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A7BAC" w14:textId="26D5A80C" w:rsidR="0059743C" w:rsidRDefault="0059743C" w:rsidP="003B0128">
      <w:pPr>
        <w:pStyle w:val="Title"/>
        <w:spacing w:after="240"/>
      </w:pPr>
      <w:bookmarkStart w:id="0" w:name="_GoBack"/>
      <w:bookmarkEnd w:id="0"/>
      <w:r w:rsidRPr="002E3CB4">
        <w:t>NDA Research Promotion Scheme</w:t>
      </w:r>
      <w:r w:rsidR="007E7927">
        <w:t xml:space="preserve"> </w:t>
      </w:r>
      <w:r w:rsidR="007E7927" w:rsidRPr="00E92CFB">
        <w:t>(</w:t>
      </w:r>
      <w:r w:rsidR="00597381" w:rsidRPr="005541E0">
        <w:t xml:space="preserve">Community </w:t>
      </w:r>
      <w:r w:rsidR="00597381" w:rsidRPr="00E92CFB">
        <w:t>Integration</w:t>
      </w:r>
      <w:r w:rsidR="007E7927" w:rsidRPr="00E92CFB">
        <w:t>)</w:t>
      </w:r>
      <w:r w:rsidRPr="002E3CB4">
        <w:t xml:space="preserve"> </w:t>
      </w:r>
      <w:r w:rsidR="004A5A2B">
        <w:t>201</w:t>
      </w:r>
      <w:r w:rsidR="0070250B">
        <w:t>7</w:t>
      </w:r>
      <w:r>
        <w:t xml:space="preserve"> </w:t>
      </w:r>
    </w:p>
    <w:p w14:paraId="17175120" w14:textId="77777777" w:rsidR="0059743C" w:rsidRPr="005352D5" w:rsidRDefault="00DE1A53" w:rsidP="003B0128">
      <w:pPr>
        <w:pStyle w:val="Title"/>
      </w:pPr>
      <w:r>
        <w:t>Terms and G</w:t>
      </w:r>
      <w:r w:rsidR="003B0128">
        <w:t>uidelines</w:t>
      </w:r>
    </w:p>
    <w:p w14:paraId="748FF1B8" w14:textId="77777777" w:rsidR="0059743C" w:rsidRPr="005352D5" w:rsidRDefault="003B0128" w:rsidP="0059743C">
      <w:pPr>
        <w:pStyle w:val="Heading1"/>
      </w:pPr>
      <w:r>
        <w:t xml:space="preserve">1. </w:t>
      </w:r>
      <w:r w:rsidR="0059743C" w:rsidRPr="005352D5">
        <w:t>Introduction</w:t>
      </w:r>
      <w:r w:rsidR="00DE1A53">
        <w:t xml:space="preserve"> and theme</w:t>
      </w:r>
    </w:p>
    <w:p w14:paraId="563D872F" w14:textId="325C7B8B" w:rsidR="00C96BD9" w:rsidRPr="005F00D0" w:rsidRDefault="0059743C" w:rsidP="0059743C">
      <w:pPr>
        <w:rPr>
          <w:lang w:val="en-US"/>
        </w:rPr>
      </w:pPr>
      <w:r w:rsidRPr="002D3234">
        <w:rPr>
          <w:lang w:val="en-US"/>
        </w:rPr>
        <w:t>The National Disability Authority (NDA) is an independent statutory body which was established to provide evidence-based expert advice to the Government on disability policy and practice</w:t>
      </w:r>
      <w:r w:rsidR="00C96BD9">
        <w:rPr>
          <w:lang w:val="en-US"/>
        </w:rPr>
        <w:t xml:space="preserve"> </w:t>
      </w:r>
      <w:r w:rsidR="00C96BD9" w:rsidRPr="008925F1">
        <w:rPr>
          <w:lang w:val="en-US"/>
        </w:rPr>
        <w:t>and to promote Universal Design in Ireland</w:t>
      </w:r>
      <w:r w:rsidR="00C96BD9">
        <w:rPr>
          <w:lang w:val="en-US"/>
        </w:rPr>
        <w:t>.</w:t>
      </w:r>
      <w:r w:rsidR="00C96BD9" w:rsidRPr="002D3234">
        <w:rPr>
          <w:lang w:val="en-US"/>
        </w:rPr>
        <w:t xml:space="preserve">   </w:t>
      </w:r>
    </w:p>
    <w:p w14:paraId="1178087E" w14:textId="77777777" w:rsidR="00C96BD9" w:rsidRDefault="0059743C" w:rsidP="00EC631D">
      <w:pPr>
        <w:rPr>
          <w:rFonts w:cs="Arial"/>
          <w:lang w:val="en-US"/>
        </w:rPr>
      </w:pPr>
      <w:r>
        <w:rPr>
          <w:rFonts w:cs="Arial"/>
          <w:lang w:val="en-US"/>
        </w:rPr>
        <w:t xml:space="preserve">The NDA’s Research Promotion Scheme aims to achieve quality new research on specific themes aligned to the NDA's strategic priorities, through the provision of funding to successful applicants. </w:t>
      </w:r>
    </w:p>
    <w:p w14:paraId="44EA8B43" w14:textId="0A7ED5F9" w:rsidR="0059743C" w:rsidRDefault="0059743C" w:rsidP="00EC631D">
      <w:pPr>
        <w:rPr>
          <w:rFonts w:cs="Arial"/>
          <w:lang w:val="en-US"/>
        </w:rPr>
      </w:pPr>
      <w:r>
        <w:rPr>
          <w:rFonts w:cs="Arial"/>
          <w:lang w:val="en-US"/>
        </w:rPr>
        <w:t xml:space="preserve">The NDA is now inviting proposals for research projects </w:t>
      </w:r>
      <w:r w:rsidRPr="00C44018">
        <w:rPr>
          <w:rFonts w:cs="Arial"/>
          <w:bCs/>
        </w:rPr>
        <w:t xml:space="preserve">from research </w:t>
      </w:r>
      <w:r>
        <w:rPr>
          <w:rFonts w:cs="Arial"/>
          <w:bCs/>
        </w:rPr>
        <w:t>bodies and organisations</w:t>
      </w:r>
      <w:r w:rsidRPr="00C44018">
        <w:rPr>
          <w:rFonts w:cs="Arial"/>
          <w:bCs/>
        </w:rPr>
        <w:t xml:space="preserve">, </w:t>
      </w:r>
      <w:r>
        <w:rPr>
          <w:rFonts w:cs="Arial"/>
          <w:bCs/>
        </w:rPr>
        <w:t xml:space="preserve">disability organisations or service providers, or other relevant bodies, under the theme set for </w:t>
      </w:r>
      <w:r w:rsidR="004A5A2B">
        <w:rPr>
          <w:rFonts w:cs="Arial"/>
          <w:lang w:val="en-US"/>
        </w:rPr>
        <w:t>201</w:t>
      </w:r>
      <w:r w:rsidR="00B87761">
        <w:rPr>
          <w:rFonts w:cs="Arial"/>
          <w:lang w:val="en-US"/>
        </w:rPr>
        <w:t>7</w:t>
      </w:r>
      <w:r>
        <w:rPr>
          <w:rFonts w:cs="Arial"/>
          <w:lang w:val="en-US"/>
        </w:rPr>
        <w:t>:</w:t>
      </w:r>
    </w:p>
    <w:p w14:paraId="7E57D92C" w14:textId="3EE363BC" w:rsidR="00597381" w:rsidRPr="005541E0" w:rsidRDefault="008925F1" w:rsidP="0070223D">
      <w:pPr>
        <w:autoSpaceDE w:val="0"/>
        <w:autoSpaceDN w:val="0"/>
        <w:adjustRightInd w:val="0"/>
        <w:jc w:val="center"/>
        <w:rPr>
          <w:rFonts w:cs="Arial"/>
          <w:b/>
          <w:color w:val="000000"/>
          <w:lang w:eastAsia="en-IE"/>
        </w:rPr>
      </w:pPr>
      <w:r w:rsidRPr="00E92CFB">
        <w:rPr>
          <w:rFonts w:cs="Arial"/>
          <w:b/>
          <w:color w:val="000000"/>
          <w:lang w:eastAsia="en-IE"/>
        </w:rPr>
        <w:t>The effective promotion and support of</w:t>
      </w:r>
      <w:r w:rsidR="00597381" w:rsidRPr="00E92CFB">
        <w:rPr>
          <w:rFonts w:cs="Arial"/>
          <w:b/>
          <w:color w:val="000000"/>
          <w:lang w:eastAsia="en-IE"/>
        </w:rPr>
        <w:t xml:space="preserve"> community </w:t>
      </w:r>
      <w:r w:rsidR="005541E0" w:rsidRPr="005541E0">
        <w:rPr>
          <w:rFonts w:cs="Arial"/>
          <w:b/>
          <w:lang w:eastAsia="en-IE"/>
        </w:rPr>
        <w:t>integration</w:t>
      </w:r>
      <w:r w:rsidR="00597381" w:rsidRPr="00E92CFB">
        <w:rPr>
          <w:rFonts w:cs="Arial"/>
          <w:b/>
          <w:color w:val="000000"/>
          <w:lang w:eastAsia="en-IE"/>
        </w:rPr>
        <w:t xml:space="preserve"> of people with disabilities</w:t>
      </w:r>
      <w:r w:rsidR="00DC0A82" w:rsidRPr="005541E0">
        <w:rPr>
          <w:rFonts w:cs="Arial"/>
          <w:b/>
          <w:color w:val="000000"/>
          <w:lang w:eastAsia="en-IE"/>
        </w:rPr>
        <w:t>.</w:t>
      </w:r>
      <w:r w:rsidR="00597381" w:rsidRPr="00E92CFB">
        <w:rPr>
          <w:rFonts w:cs="Arial"/>
          <w:b/>
          <w:color w:val="000000"/>
          <w:lang w:eastAsia="en-IE"/>
        </w:rPr>
        <w:t xml:space="preserve"> </w:t>
      </w:r>
    </w:p>
    <w:p w14:paraId="27260C96" w14:textId="70E777D1" w:rsidR="00E26911" w:rsidRPr="008213F5" w:rsidRDefault="007B76FE" w:rsidP="008213F5">
      <w:pPr>
        <w:autoSpaceDE w:val="0"/>
        <w:autoSpaceDN w:val="0"/>
        <w:adjustRightInd w:val="0"/>
        <w:rPr>
          <w:rFonts w:ascii="Gill Sans MT" w:hAnsi="Gill Sans MT" w:cs="Arial"/>
          <w:shd w:val="clear" w:color="auto" w:fill="FFFFFF"/>
        </w:rPr>
      </w:pPr>
      <w:r>
        <w:rPr>
          <w:rFonts w:ascii="Gill Sans MT" w:hAnsi="Gill Sans MT" w:cs="Arial"/>
          <w:bCs/>
          <w:shd w:val="clear" w:color="auto" w:fill="FFFFFF"/>
        </w:rPr>
        <w:t>The theme of c</w:t>
      </w:r>
      <w:r w:rsidR="008213F5" w:rsidRPr="008213F5">
        <w:rPr>
          <w:rFonts w:ascii="Gill Sans MT" w:hAnsi="Gill Sans MT" w:cs="Arial"/>
          <w:bCs/>
          <w:shd w:val="clear" w:color="auto" w:fill="FFFFFF"/>
        </w:rPr>
        <w:t xml:space="preserve">ommunity integration </w:t>
      </w:r>
      <w:r>
        <w:rPr>
          <w:rFonts w:ascii="Gill Sans MT" w:hAnsi="Gill Sans MT" w:cs="Arial"/>
          <w:bCs/>
          <w:shd w:val="clear" w:color="auto" w:fill="FFFFFF"/>
        </w:rPr>
        <w:t>is about</w:t>
      </w:r>
      <w:r w:rsidRPr="008213F5">
        <w:rPr>
          <w:rFonts w:ascii="Gill Sans MT" w:hAnsi="Gill Sans MT" w:cs="Arial"/>
          <w:bCs/>
          <w:shd w:val="clear" w:color="auto" w:fill="FFFFFF"/>
        </w:rPr>
        <w:t xml:space="preserve"> </w:t>
      </w:r>
      <w:r w:rsidR="008213F5" w:rsidRPr="008213F5">
        <w:rPr>
          <w:rFonts w:ascii="Gill Sans MT" w:hAnsi="Gill Sans MT" w:cs="Arial"/>
          <w:bCs/>
          <w:shd w:val="clear" w:color="auto" w:fill="FFFFFF"/>
        </w:rPr>
        <w:t xml:space="preserve">people with disabilities </w:t>
      </w:r>
      <w:r>
        <w:rPr>
          <w:rFonts w:ascii="Gill Sans MT" w:hAnsi="Gill Sans MT" w:cs="Arial"/>
          <w:bCs/>
          <w:shd w:val="clear" w:color="auto" w:fill="FFFFFF"/>
        </w:rPr>
        <w:t>being enabled and supported</w:t>
      </w:r>
      <w:r w:rsidRPr="008213F5">
        <w:rPr>
          <w:rFonts w:ascii="Gill Sans MT" w:hAnsi="Gill Sans MT" w:cs="Arial"/>
          <w:bCs/>
          <w:shd w:val="clear" w:color="auto" w:fill="FFFFFF"/>
        </w:rPr>
        <w:t xml:space="preserve"> </w:t>
      </w:r>
      <w:r w:rsidR="008213F5" w:rsidRPr="008213F5">
        <w:rPr>
          <w:rFonts w:ascii="Gill Sans MT" w:hAnsi="Gill Sans MT" w:cs="Arial"/>
          <w:bCs/>
          <w:shd w:val="clear" w:color="auto" w:fill="FFFFFF"/>
        </w:rPr>
        <w:t xml:space="preserve">to live in the community and to be valued </w:t>
      </w:r>
      <w:r w:rsidR="00E635B7">
        <w:rPr>
          <w:rFonts w:ascii="Gill Sans MT" w:hAnsi="Gill Sans MT" w:cs="Arial"/>
          <w:bCs/>
          <w:shd w:val="clear" w:color="auto" w:fill="FFFFFF"/>
        </w:rPr>
        <w:t xml:space="preserve">for their uniqueness and abilities </w:t>
      </w:r>
      <w:r w:rsidR="008213F5" w:rsidRPr="008213F5">
        <w:rPr>
          <w:rFonts w:ascii="Gill Sans MT" w:hAnsi="Gill Sans MT" w:cs="Arial"/>
          <w:bCs/>
          <w:shd w:val="clear" w:color="auto" w:fill="FFFFFF"/>
        </w:rPr>
        <w:t xml:space="preserve">in the same way as </w:t>
      </w:r>
      <w:r w:rsidR="00E635B7">
        <w:rPr>
          <w:rFonts w:ascii="Gill Sans MT" w:hAnsi="Gill Sans MT" w:cs="Arial"/>
          <w:bCs/>
          <w:shd w:val="clear" w:color="auto" w:fill="FFFFFF"/>
        </w:rPr>
        <w:t>all other persons</w:t>
      </w:r>
      <w:r w:rsidR="008213F5" w:rsidRPr="008213F5">
        <w:rPr>
          <w:rFonts w:ascii="Gill Sans MT" w:hAnsi="Gill Sans MT" w:cs="Arial"/>
          <w:bCs/>
          <w:shd w:val="clear" w:color="auto" w:fill="FFFFFF"/>
        </w:rPr>
        <w:t>. While c</w:t>
      </w:r>
      <w:r w:rsidR="00227F47" w:rsidRPr="008213F5">
        <w:rPr>
          <w:rFonts w:ascii="Gill Sans MT" w:hAnsi="Gill Sans MT" w:cs="Arial"/>
          <w:bCs/>
          <w:shd w:val="clear" w:color="auto" w:fill="FFFFFF"/>
        </w:rPr>
        <w:t xml:space="preserve">ommunity integration </w:t>
      </w:r>
      <w:r w:rsidR="008213F5" w:rsidRPr="008213F5">
        <w:rPr>
          <w:rFonts w:ascii="Gill Sans MT" w:hAnsi="Gill Sans MT" w:cs="Arial"/>
          <w:bCs/>
          <w:shd w:val="clear" w:color="auto" w:fill="FFFFFF"/>
        </w:rPr>
        <w:t>has been variously defined it is generally</w:t>
      </w:r>
      <w:r w:rsidR="00227F47" w:rsidRPr="008213F5">
        <w:rPr>
          <w:rFonts w:ascii="Gill Sans MT" w:hAnsi="Gill Sans MT" w:cs="Arial"/>
          <w:bCs/>
          <w:shd w:val="clear" w:color="auto" w:fill="FFFFFF"/>
        </w:rPr>
        <w:t xml:space="preserve"> understood </w:t>
      </w:r>
      <w:r w:rsidR="008213F5" w:rsidRPr="008213F5">
        <w:rPr>
          <w:rFonts w:ascii="Gill Sans MT" w:hAnsi="Gill Sans MT" w:cs="Arial"/>
          <w:bCs/>
          <w:shd w:val="clear" w:color="auto" w:fill="FFFFFF"/>
        </w:rPr>
        <w:t>to</w:t>
      </w:r>
      <w:r w:rsidR="00227F47" w:rsidRPr="008213F5">
        <w:rPr>
          <w:rFonts w:ascii="Gill Sans MT" w:hAnsi="Gill Sans MT" w:cs="Arial"/>
          <w:bCs/>
          <w:shd w:val="clear" w:color="auto" w:fill="FFFFFF"/>
        </w:rPr>
        <w:t xml:space="preserve"> encompass relationships with others, independence in determining one’s living situation</w:t>
      </w:r>
      <w:r w:rsidR="00E635B7">
        <w:rPr>
          <w:rFonts w:ascii="Gill Sans MT" w:hAnsi="Gill Sans MT" w:cs="Arial"/>
          <w:bCs/>
          <w:shd w:val="clear" w:color="auto" w:fill="FFFFFF"/>
        </w:rPr>
        <w:t>,</w:t>
      </w:r>
      <w:r w:rsidR="00227F47" w:rsidRPr="008213F5">
        <w:rPr>
          <w:rFonts w:ascii="Gill Sans MT" w:hAnsi="Gill Sans MT" w:cs="Arial"/>
          <w:bCs/>
          <w:shd w:val="clear" w:color="auto" w:fill="FFFFFF"/>
        </w:rPr>
        <w:t xml:space="preserve"> and opportunities to participate in both purposeful and leisure activities.</w:t>
      </w:r>
      <w:r w:rsidR="005541E0" w:rsidRPr="008213F5">
        <w:rPr>
          <w:rFonts w:ascii="Gill Sans MT" w:hAnsi="Gill Sans MT" w:cs="Arial"/>
          <w:shd w:val="clear" w:color="auto" w:fill="FFFFFF"/>
        </w:rPr>
        <w:t xml:space="preserve"> </w:t>
      </w:r>
      <w:r w:rsidR="005541E0" w:rsidRPr="008213F5">
        <w:rPr>
          <w:rFonts w:ascii="Gill Sans MT" w:hAnsi="Gill Sans MT"/>
        </w:rPr>
        <w:t xml:space="preserve"> </w:t>
      </w:r>
    </w:p>
    <w:p w14:paraId="2FB5646A" w14:textId="35FE377F" w:rsidR="00597381" w:rsidRPr="00E92CFB" w:rsidRDefault="00597381" w:rsidP="00E92CFB">
      <w:pPr>
        <w:autoSpaceDE w:val="0"/>
        <w:autoSpaceDN w:val="0"/>
        <w:adjustRightInd w:val="0"/>
        <w:ind w:left="360"/>
        <w:rPr>
          <w:rFonts w:cs="Arial"/>
          <w:color w:val="000000"/>
          <w:lang w:eastAsia="en-IE"/>
        </w:rPr>
      </w:pPr>
      <w:r w:rsidRPr="00E92CFB">
        <w:rPr>
          <w:rFonts w:cs="Arial"/>
          <w:color w:val="000000"/>
          <w:lang w:eastAsia="en-IE"/>
        </w:rPr>
        <w:t xml:space="preserve">Effective measures </w:t>
      </w:r>
      <w:r w:rsidR="007B76FE">
        <w:rPr>
          <w:rFonts w:cs="Arial"/>
          <w:color w:val="000000"/>
          <w:lang w:eastAsia="en-IE"/>
        </w:rPr>
        <w:t xml:space="preserve">or approaches </w:t>
      </w:r>
      <w:r w:rsidRPr="00E92CFB">
        <w:rPr>
          <w:rFonts w:cs="Arial"/>
          <w:color w:val="000000"/>
          <w:lang w:eastAsia="en-IE"/>
        </w:rPr>
        <w:t>include but are not limited to:</w:t>
      </w:r>
    </w:p>
    <w:p w14:paraId="06D3B28A" w14:textId="0803C1E7" w:rsidR="007B76FE" w:rsidRDefault="007B76FE" w:rsidP="00E92CFB">
      <w:pPr>
        <w:pStyle w:val="ListParagraph"/>
        <w:numPr>
          <w:ilvl w:val="0"/>
          <w:numId w:val="20"/>
        </w:numPr>
        <w:autoSpaceDE w:val="0"/>
        <w:autoSpaceDN w:val="0"/>
        <w:adjustRightInd w:val="0"/>
        <w:rPr>
          <w:rFonts w:cs="Arial"/>
          <w:color w:val="000000"/>
          <w:lang w:eastAsia="en-IE"/>
        </w:rPr>
      </w:pPr>
      <w:r>
        <w:rPr>
          <w:rFonts w:cs="Arial"/>
          <w:color w:val="000000"/>
          <w:lang w:eastAsia="en-IE"/>
        </w:rPr>
        <w:t>Person centred approaches</w:t>
      </w:r>
    </w:p>
    <w:p w14:paraId="7BFE9341" w14:textId="77777777" w:rsidR="007B76FE" w:rsidRPr="008213F5" w:rsidRDefault="007B76FE" w:rsidP="007B76FE">
      <w:pPr>
        <w:pStyle w:val="ListParagraph"/>
        <w:numPr>
          <w:ilvl w:val="0"/>
          <w:numId w:val="20"/>
        </w:numPr>
        <w:autoSpaceDE w:val="0"/>
        <w:autoSpaceDN w:val="0"/>
        <w:adjustRightInd w:val="0"/>
        <w:rPr>
          <w:rFonts w:cs="Arial"/>
          <w:color w:val="000000"/>
          <w:lang w:eastAsia="en-IE"/>
        </w:rPr>
      </w:pPr>
      <w:r w:rsidRPr="008213F5">
        <w:rPr>
          <w:rFonts w:cs="Arial"/>
          <w:color w:val="000000"/>
          <w:lang w:eastAsia="en-IE"/>
        </w:rPr>
        <w:t>Self-directed supports</w:t>
      </w:r>
    </w:p>
    <w:p w14:paraId="43109976" w14:textId="77777777" w:rsidR="007B76FE" w:rsidRPr="00E92CFB" w:rsidRDefault="007B76FE" w:rsidP="007B76FE">
      <w:pPr>
        <w:pStyle w:val="ListParagraph"/>
        <w:numPr>
          <w:ilvl w:val="0"/>
          <w:numId w:val="20"/>
        </w:numPr>
        <w:autoSpaceDE w:val="0"/>
        <w:autoSpaceDN w:val="0"/>
        <w:adjustRightInd w:val="0"/>
        <w:rPr>
          <w:rFonts w:cs="Arial"/>
          <w:color w:val="000000"/>
          <w:lang w:eastAsia="en-IE"/>
        </w:rPr>
      </w:pPr>
      <w:r w:rsidRPr="008213F5">
        <w:rPr>
          <w:rFonts w:cs="Arial"/>
          <w:color w:val="000000"/>
          <w:lang w:eastAsia="en-IE"/>
        </w:rPr>
        <w:t>Feasibility, sustainability and cost effectiveness of independent living supports</w:t>
      </w:r>
    </w:p>
    <w:p w14:paraId="3936CBE3" w14:textId="77760CBD" w:rsidR="003B059F" w:rsidRPr="005541E0" w:rsidRDefault="003B059F" w:rsidP="00E92CFB">
      <w:pPr>
        <w:pStyle w:val="ListParagraph"/>
        <w:numPr>
          <w:ilvl w:val="0"/>
          <w:numId w:val="20"/>
        </w:numPr>
        <w:autoSpaceDE w:val="0"/>
        <w:autoSpaceDN w:val="0"/>
        <w:adjustRightInd w:val="0"/>
        <w:rPr>
          <w:rFonts w:cs="Arial"/>
          <w:color w:val="000000"/>
          <w:lang w:eastAsia="en-IE"/>
        </w:rPr>
      </w:pPr>
      <w:r w:rsidRPr="005541E0">
        <w:rPr>
          <w:rFonts w:cs="Arial"/>
          <w:color w:val="000000"/>
          <w:lang w:eastAsia="en-IE"/>
        </w:rPr>
        <w:t>Social role valorisation</w:t>
      </w:r>
    </w:p>
    <w:p w14:paraId="166A2E54" w14:textId="76EEA7CB" w:rsidR="00597381" w:rsidRPr="005541E0" w:rsidRDefault="00DC0A82" w:rsidP="00E92CFB">
      <w:pPr>
        <w:pStyle w:val="ListParagraph"/>
        <w:numPr>
          <w:ilvl w:val="0"/>
          <w:numId w:val="20"/>
        </w:numPr>
        <w:autoSpaceDE w:val="0"/>
        <w:autoSpaceDN w:val="0"/>
        <w:adjustRightInd w:val="0"/>
        <w:rPr>
          <w:rFonts w:cs="Arial"/>
          <w:color w:val="000000"/>
          <w:lang w:eastAsia="en-IE"/>
        </w:rPr>
      </w:pPr>
      <w:r w:rsidRPr="005541E0">
        <w:rPr>
          <w:rFonts w:cs="Arial"/>
          <w:color w:val="000000"/>
          <w:lang w:eastAsia="en-IE"/>
        </w:rPr>
        <w:t xml:space="preserve">Learning and development opportunities for </w:t>
      </w:r>
      <w:r w:rsidR="007B76FE" w:rsidRPr="005541E0">
        <w:rPr>
          <w:rFonts w:cs="Arial"/>
          <w:color w:val="000000"/>
          <w:lang w:eastAsia="en-IE"/>
        </w:rPr>
        <w:t>people with disabilities</w:t>
      </w:r>
      <w:r w:rsidR="007B76FE">
        <w:rPr>
          <w:rFonts w:cs="Arial"/>
          <w:color w:val="000000"/>
          <w:lang w:eastAsia="en-IE"/>
        </w:rPr>
        <w:t>, their families and</w:t>
      </w:r>
      <w:r w:rsidR="007B76FE" w:rsidRPr="005541E0">
        <w:rPr>
          <w:rFonts w:cs="Arial"/>
          <w:color w:val="000000"/>
          <w:lang w:eastAsia="en-IE"/>
        </w:rPr>
        <w:t xml:space="preserve"> </w:t>
      </w:r>
      <w:r w:rsidRPr="005541E0">
        <w:rPr>
          <w:rFonts w:cs="Arial"/>
          <w:color w:val="000000"/>
          <w:lang w:eastAsia="en-IE"/>
        </w:rPr>
        <w:t xml:space="preserve">staff </w:t>
      </w:r>
    </w:p>
    <w:p w14:paraId="04FE98FA" w14:textId="4CC5FB04" w:rsidR="00597381" w:rsidRPr="00E92CFB" w:rsidRDefault="00597381" w:rsidP="00E92CFB">
      <w:pPr>
        <w:pStyle w:val="ListParagraph"/>
        <w:numPr>
          <w:ilvl w:val="0"/>
          <w:numId w:val="20"/>
        </w:numPr>
        <w:autoSpaceDE w:val="0"/>
        <w:autoSpaceDN w:val="0"/>
        <w:adjustRightInd w:val="0"/>
        <w:rPr>
          <w:rFonts w:cs="Arial"/>
          <w:color w:val="000000"/>
          <w:lang w:eastAsia="en-IE"/>
        </w:rPr>
      </w:pPr>
      <w:r w:rsidRPr="00E92CFB">
        <w:rPr>
          <w:rFonts w:cs="Arial"/>
          <w:color w:val="000000"/>
          <w:lang w:eastAsia="en-IE"/>
        </w:rPr>
        <w:t>Circles of support</w:t>
      </w:r>
    </w:p>
    <w:p w14:paraId="623BAE5B" w14:textId="259DD429" w:rsidR="008925F1" w:rsidRPr="00E92CFB" w:rsidRDefault="008925F1" w:rsidP="00E92CFB">
      <w:pPr>
        <w:pStyle w:val="ListParagraph"/>
        <w:numPr>
          <w:ilvl w:val="0"/>
          <w:numId w:val="20"/>
        </w:numPr>
        <w:autoSpaceDE w:val="0"/>
        <w:autoSpaceDN w:val="0"/>
        <w:adjustRightInd w:val="0"/>
        <w:rPr>
          <w:rFonts w:cs="Arial"/>
          <w:color w:val="000000"/>
          <w:lang w:eastAsia="en-IE"/>
        </w:rPr>
      </w:pPr>
      <w:r w:rsidRPr="00E92CFB">
        <w:rPr>
          <w:rFonts w:cs="Arial"/>
          <w:color w:val="000000"/>
          <w:lang w:eastAsia="en-IE"/>
        </w:rPr>
        <w:t>Local area initiatives</w:t>
      </w:r>
    </w:p>
    <w:p w14:paraId="0AC8FE89" w14:textId="43ED0374" w:rsidR="00597381" w:rsidRPr="008213F5" w:rsidRDefault="008925F1" w:rsidP="00E92CFB">
      <w:pPr>
        <w:pStyle w:val="ListParagraph"/>
        <w:numPr>
          <w:ilvl w:val="0"/>
          <w:numId w:val="20"/>
        </w:numPr>
        <w:autoSpaceDE w:val="0"/>
        <w:autoSpaceDN w:val="0"/>
        <w:adjustRightInd w:val="0"/>
        <w:rPr>
          <w:rFonts w:cs="Arial"/>
          <w:color w:val="000000"/>
          <w:lang w:eastAsia="en-IE"/>
        </w:rPr>
      </w:pPr>
      <w:r w:rsidRPr="00E92CFB">
        <w:rPr>
          <w:rFonts w:cs="Arial"/>
          <w:color w:val="000000"/>
          <w:lang w:eastAsia="en-IE"/>
        </w:rPr>
        <w:t>Informal supports</w:t>
      </w:r>
    </w:p>
    <w:p w14:paraId="61FDF138" w14:textId="77777777" w:rsidR="009E53E3" w:rsidRDefault="00E635B7" w:rsidP="0050726E">
      <w:pPr>
        <w:autoSpaceDE w:val="0"/>
        <w:autoSpaceDN w:val="0"/>
        <w:adjustRightInd w:val="0"/>
        <w:rPr>
          <w:rFonts w:cs="Arial"/>
          <w:color w:val="000000"/>
          <w:lang w:eastAsia="en-IE"/>
        </w:rPr>
      </w:pPr>
      <w:r>
        <w:rPr>
          <w:rFonts w:cs="Arial"/>
          <w:color w:val="000000"/>
          <w:lang w:eastAsia="en-IE"/>
        </w:rPr>
        <w:lastRenderedPageBreak/>
        <w:t>The NDA is</w:t>
      </w:r>
      <w:r w:rsidR="00DC0A82" w:rsidRPr="00E92CFB">
        <w:rPr>
          <w:rFonts w:cs="Arial"/>
          <w:color w:val="000000"/>
          <w:lang w:eastAsia="en-IE"/>
        </w:rPr>
        <w:t xml:space="preserve"> particularly interested in </w:t>
      </w:r>
      <w:r w:rsidR="007B76FE">
        <w:rPr>
          <w:rFonts w:cs="Arial"/>
          <w:color w:val="000000"/>
          <w:lang w:eastAsia="en-IE"/>
        </w:rPr>
        <w:t xml:space="preserve">research on </w:t>
      </w:r>
      <w:r w:rsidR="00DC0A82" w:rsidRPr="00E92CFB">
        <w:rPr>
          <w:rFonts w:cs="Arial"/>
          <w:color w:val="000000"/>
          <w:lang w:eastAsia="en-IE"/>
        </w:rPr>
        <w:t xml:space="preserve">measures </w:t>
      </w:r>
      <w:r w:rsidR="004C5083" w:rsidRPr="00E92CFB">
        <w:rPr>
          <w:rFonts w:cs="Arial"/>
          <w:color w:val="000000"/>
          <w:lang w:eastAsia="en-IE"/>
        </w:rPr>
        <w:t xml:space="preserve">which have been found to be effective in promoting and supporting the </w:t>
      </w:r>
      <w:r w:rsidR="004C5083" w:rsidRPr="00E92CFB">
        <w:rPr>
          <w:rFonts w:cs="Arial"/>
          <w:color w:val="000000" w:themeColor="text1"/>
          <w:lang w:eastAsia="en-IE"/>
        </w:rPr>
        <w:t xml:space="preserve">community </w:t>
      </w:r>
      <w:r w:rsidR="0043744E" w:rsidRPr="00E92CFB">
        <w:rPr>
          <w:rFonts w:cs="Arial"/>
          <w:color w:val="000000" w:themeColor="text1"/>
          <w:lang w:eastAsia="en-IE"/>
        </w:rPr>
        <w:t>integration</w:t>
      </w:r>
      <w:r w:rsidR="004C5083" w:rsidRPr="00E92CFB">
        <w:rPr>
          <w:rFonts w:cs="Arial"/>
          <w:color w:val="000000" w:themeColor="text1"/>
          <w:lang w:eastAsia="en-IE"/>
        </w:rPr>
        <w:t xml:space="preserve"> </w:t>
      </w:r>
      <w:r w:rsidR="004C5083" w:rsidRPr="00E92CFB">
        <w:rPr>
          <w:rFonts w:cs="Arial"/>
          <w:color w:val="000000"/>
          <w:lang w:eastAsia="en-IE"/>
        </w:rPr>
        <w:t>of persons with severe and profound intellectual disabilities and with significant physical disabilities.</w:t>
      </w:r>
      <w:r w:rsidR="00DC0A82" w:rsidRPr="00E92CFB">
        <w:rPr>
          <w:rFonts w:cs="Arial"/>
          <w:color w:val="000000"/>
          <w:lang w:eastAsia="en-IE"/>
        </w:rPr>
        <w:t xml:space="preserve"> </w:t>
      </w:r>
      <w:r w:rsidR="004C5083" w:rsidRPr="00E92CFB">
        <w:rPr>
          <w:rFonts w:cs="Arial"/>
          <w:color w:val="000000"/>
          <w:lang w:eastAsia="en-IE"/>
        </w:rPr>
        <w:t>C</w:t>
      </w:r>
      <w:r w:rsidR="00DC0A82" w:rsidRPr="00E92CFB">
        <w:rPr>
          <w:rFonts w:cs="Arial"/>
          <w:color w:val="000000"/>
          <w:lang w:eastAsia="en-IE"/>
        </w:rPr>
        <w:t xml:space="preserve">ase studies that illustrate the step by step process by </w:t>
      </w:r>
      <w:r w:rsidR="00DC0A82" w:rsidRPr="00E92CFB">
        <w:rPr>
          <w:rFonts w:cs="Arial"/>
          <w:color w:val="000000" w:themeColor="text1"/>
          <w:lang w:eastAsia="en-IE"/>
        </w:rPr>
        <w:t xml:space="preserve">which community </w:t>
      </w:r>
      <w:r w:rsidR="0043744E" w:rsidRPr="00E92CFB">
        <w:rPr>
          <w:rFonts w:cs="Arial"/>
          <w:color w:val="000000" w:themeColor="text1"/>
          <w:lang w:eastAsia="en-IE"/>
        </w:rPr>
        <w:t>integration</w:t>
      </w:r>
      <w:r w:rsidR="00DC0A82" w:rsidRPr="00E92CFB">
        <w:rPr>
          <w:rFonts w:cs="Arial"/>
          <w:color w:val="000000" w:themeColor="text1"/>
          <w:lang w:eastAsia="en-IE"/>
        </w:rPr>
        <w:t xml:space="preserve"> </w:t>
      </w:r>
      <w:r w:rsidR="00DC0A82" w:rsidRPr="00E92CFB">
        <w:rPr>
          <w:rFonts w:cs="Arial"/>
          <w:color w:val="000000"/>
          <w:lang w:eastAsia="en-IE"/>
        </w:rPr>
        <w:t>has been achieved</w:t>
      </w:r>
      <w:r>
        <w:rPr>
          <w:rFonts w:cs="Arial"/>
          <w:color w:val="000000"/>
          <w:lang w:eastAsia="en-IE"/>
        </w:rPr>
        <w:t>,</w:t>
      </w:r>
      <w:r w:rsidR="00DC0A82" w:rsidRPr="00E92CFB">
        <w:rPr>
          <w:rFonts w:cs="Arial"/>
          <w:color w:val="000000"/>
          <w:lang w:eastAsia="en-IE"/>
        </w:rPr>
        <w:t xml:space="preserve"> or contributed to</w:t>
      </w:r>
      <w:r>
        <w:rPr>
          <w:rFonts w:cs="Arial"/>
          <w:color w:val="000000"/>
          <w:lang w:eastAsia="en-IE"/>
        </w:rPr>
        <w:t>,</w:t>
      </w:r>
      <w:r w:rsidR="004C5083" w:rsidRPr="00E92CFB">
        <w:rPr>
          <w:rFonts w:cs="Arial"/>
          <w:color w:val="000000"/>
          <w:lang w:eastAsia="en-IE"/>
        </w:rPr>
        <w:t xml:space="preserve"> are also of particular interest</w:t>
      </w:r>
      <w:r w:rsidR="00DC0A82" w:rsidRPr="00E92CFB">
        <w:rPr>
          <w:rFonts w:cs="Arial"/>
          <w:color w:val="000000"/>
          <w:lang w:eastAsia="en-IE"/>
        </w:rPr>
        <w:t>.</w:t>
      </w:r>
      <w:r w:rsidR="007B76FE" w:rsidRPr="007B76FE">
        <w:rPr>
          <w:rFonts w:cs="Arial"/>
          <w:color w:val="000000"/>
          <w:lang w:eastAsia="en-IE"/>
        </w:rPr>
        <w:t xml:space="preserve"> </w:t>
      </w:r>
      <w:r w:rsidR="007B76FE" w:rsidRPr="00E92CFB">
        <w:rPr>
          <w:rFonts w:cs="Arial"/>
          <w:color w:val="000000"/>
          <w:lang w:eastAsia="en-IE"/>
        </w:rPr>
        <w:t>Proposals should reference the Irish policy framework and the measures highlighted should be applicable in the Irish context.</w:t>
      </w:r>
    </w:p>
    <w:p w14:paraId="12468447" w14:textId="34E57673" w:rsidR="0050726E" w:rsidRPr="00EC631D" w:rsidRDefault="0050726E" w:rsidP="0050726E">
      <w:pPr>
        <w:autoSpaceDE w:val="0"/>
        <w:autoSpaceDN w:val="0"/>
        <w:adjustRightInd w:val="0"/>
        <w:rPr>
          <w:rFonts w:cs="Arial"/>
          <w:color w:val="000000"/>
          <w:lang w:eastAsia="en-IE"/>
        </w:rPr>
      </w:pPr>
      <w:r w:rsidRPr="00EC631D">
        <w:rPr>
          <w:rFonts w:cs="Arial"/>
          <w:color w:val="000000"/>
          <w:lang w:eastAsia="en-IE"/>
        </w:rPr>
        <w:t>Applicants should demonstrate that their proposed research topic fills a gap in current research and will add to the existing evidence base.  Applicants should also show how their research is of sufficient scale to give findings that could be generalised.</w:t>
      </w:r>
    </w:p>
    <w:p w14:paraId="364D65DF" w14:textId="77777777" w:rsidR="00854C24" w:rsidRDefault="00854C24" w:rsidP="00854C24">
      <w:pPr>
        <w:pStyle w:val="Heading2"/>
      </w:pPr>
      <w:r>
        <w:t>Deliverables</w:t>
      </w:r>
    </w:p>
    <w:p w14:paraId="5249D9D4" w14:textId="77777777" w:rsidR="00854C24" w:rsidRDefault="00854C24" w:rsidP="00854C24">
      <w:pPr>
        <w:spacing w:after="120"/>
      </w:pPr>
      <w:r>
        <w:t>Successful applicants will be required to</w:t>
      </w:r>
    </w:p>
    <w:p w14:paraId="44C0498F" w14:textId="7DE82613" w:rsidR="007B76FE" w:rsidRDefault="00854C24" w:rsidP="007B76FE">
      <w:pPr>
        <w:pStyle w:val="ListBullet"/>
      </w:pPr>
      <w:r>
        <w:t>undertake a piece of research relevant to the theme</w:t>
      </w:r>
      <w:r w:rsidR="007B76FE">
        <w:t>, with a strong evidence-base and meeting NDA’s quality standards</w:t>
      </w:r>
    </w:p>
    <w:p w14:paraId="212FD3EF" w14:textId="77777777" w:rsidR="00854C24" w:rsidRDefault="00854C24" w:rsidP="00854C24">
      <w:pPr>
        <w:pStyle w:val="ListBullet"/>
      </w:pPr>
      <w:r>
        <w:t>write a report of the research, to a publishable standard</w:t>
      </w:r>
    </w:p>
    <w:p w14:paraId="42E22D19" w14:textId="5ADC21D1" w:rsidR="00854C24" w:rsidRDefault="00854C24" w:rsidP="00854C24">
      <w:pPr>
        <w:pStyle w:val="ListBullet"/>
      </w:pPr>
      <w:r>
        <w:t xml:space="preserve">develop a strategy for dissemination of the research to key target audiences </w:t>
      </w:r>
      <w:r w:rsidR="00021B6F">
        <w:t>including policy makers, service providers and academics</w:t>
      </w:r>
    </w:p>
    <w:p w14:paraId="79E8F78A" w14:textId="01441388" w:rsidR="00854C24" w:rsidRDefault="00854C24" w:rsidP="00854C24">
      <w:pPr>
        <w:pStyle w:val="ListBullet"/>
      </w:pPr>
      <w:r>
        <w:t>permit the NDA to publish the report on its website</w:t>
      </w:r>
      <w:r w:rsidR="00EE7750">
        <w:t xml:space="preserve"> if it so decides</w:t>
      </w:r>
    </w:p>
    <w:p w14:paraId="796D52B4" w14:textId="77777777" w:rsidR="00854C24" w:rsidRPr="00854C24" w:rsidRDefault="00854C24" w:rsidP="00854C24">
      <w:pPr>
        <w:pStyle w:val="ListBullet"/>
      </w:pPr>
      <w:r>
        <w:t>give a seminar in the NDA</w:t>
      </w:r>
    </w:p>
    <w:p w14:paraId="720AC10B" w14:textId="77777777" w:rsidR="0059743C" w:rsidRDefault="0059743C" w:rsidP="0059743C">
      <w:pPr>
        <w:pStyle w:val="Heading1"/>
      </w:pPr>
      <w:r w:rsidRPr="00EE5315">
        <w:t xml:space="preserve">2.  </w:t>
      </w:r>
      <w:r w:rsidR="00DE1A53">
        <w:t>Application process and timeframe</w:t>
      </w:r>
    </w:p>
    <w:p w14:paraId="219CB45D" w14:textId="4A0A320E" w:rsidR="00E00304" w:rsidRDefault="00DE1A53" w:rsidP="00E00304">
      <w:r w:rsidRPr="005F00D0">
        <w:t>Applicati</w:t>
      </w:r>
      <w:r>
        <w:t>ons</w:t>
      </w:r>
      <w:r w:rsidRPr="005F00D0">
        <w:t xml:space="preserve"> for funding are required to use the standard RPS</w:t>
      </w:r>
      <w:r w:rsidR="008213F5">
        <w:t xml:space="preserve"> </w:t>
      </w:r>
      <w:r w:rsidR="007E7927">
        <w:t>(</w:t>
      </w:r>
      <w:r w:rsidR="008213F5">
        <w:t>Community Integration</w:t>
      </w:r>
      <w:r w:rsidR="007E7927">
        <w:t xml:space="preserve">) </w:t>
      </w:r>
      <w:r w:rsidR="00914D4E">
        <w:t>201</w:t>
      </w:r>
      <w:r w:rsidR="00B87761">
        <w:t>7</w:t>
      </w:r>
      <w:r w:rsidR="00914D4E">
        <w:t xml:space="preserve"> </w:t>
      </w:r>
      <w:r w:rsidRPr="005F00D0">
        <w:t xml:space="preserve">Application Form, which contains full details of parameters and requirements for applying, and which should be read in conjunction with these </w:t>
      </w:r>
      <w:r w:rsidR="00EE7750">
        <w:t xml:space="preserve">terms and </w:t>
      </w:r>
      <w:r w:rsidRPr="005F00D0">
        <w:t xml:space="preserve">guidelines. </w:t>
      </w:r>
    </w:p>
    <w:p w14:paraId="13C026E2" w14:textId="77777777" w:rsidR="00DE1A53" w:rsidRDefault="00E00304" w:rsidP="00DE1A53">
      <w:r>
        <w:t xml:space="preserve">Successful applicants will be given details of the NDA’s quality criteria and style guidance which they will be expected to follow as an integral part of their agreement with NDA. </w:t>
      </w:r>
    </w:p>
    <w:p w14:paraId="4DA07070" w14:textId="09983507" w:rsidR="0059743C" w:rsidRDefault="0059743C" w:rsidP="0059743C">
      <w:r w:rsidRPr="0059743C">
        <w:t>Th</w:t>
      </w:r>
      <w:r>
        <w:t xml:space="preserve">e table </w:t>
      </w:r>
      <w:r w:rsidR="00021B6F">
        <w:t xml:space="preserve">below </w:t>
      </w:r>
      <w:r>
        <w:t xml:space="preserve">outlines the key milestones in the application process: </w:t>
      </w:r>
    </w:p>
    <w:p w14:paraId="2F36F27C" w14:textId="1E8FC61D" w:rsidR="00021B6F" w:rsidRDefault="00021B6F" w:rsidP="0059743C"/>
    <w:p w14:paraId="0CAFFD89" w14:textId="77777777" w:rsidR="00021B6F" w:rsidRPr="0057260A" w:rsidRDefault="00021B6F" w:rsidP="0059743C"/>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4411"/>
        <w:gridCol w:w="4411"/>
      </w:tblGrid>
      <w:tr w:rsidR="0059743C" w:rsidRPr="005F00D0" w14:paraId="4209371D" w14:textId="77777777" w:rsidTr="006C14D1">
        <w:trPr>
          <w:tblHeader/>
        </w:trPr>
        <w:tc>
          <w:tcPr>
            <w:tcW w:w="4428" w:type="dxa"/>
            <w:shd w:val="clear" w:color="auto" w:fill="auto"/>
          </w:tcPr>
          <w:p w14:paraId="1F064557" w14:textId="77777777" w:rsidR="0059743C" w:rsidRPr="005F00D0" w:rsidRDefault="0059743C" w:rsidP="0059743C">
            <w:pPr>
              <w:pStyle w:val="TableHead"/>
            </w:pPr>
            <w:r>
              <w:lastRenderedPageBreak/>
              <w:t>Stage:</w:t>
            </w:r>
          </w:p>
        </w:tc>
        <w:tc>
          <w:tcPr>
            <w:tcW w:w="4428" w:type="dxa"/>
            <w:shd w:val="clear" w:color="auto" w:fill="auto"/>
          </w:tcPr>
          <w:p w14:paraId="4E9EED7A" w14:textId="77777777" w:rsidR="0059743C" w:rsidRPr="005F00D0" w:rsidRDefault="0059743C" w:rsidP="0059743C">
            <w:pPr>
              <w:pStyle w:val="TableHead"/>
            </w:pPr>
            <w:r w:rsidRPr="00EC631D">
              <w:t>Date/Time:</w:t>
            </w:r>
          </w:p>
        </w:tc>
      </w:tr>
      <w:tr w:rsidR="0059743C" w:rsidRPr="005F00D0" w14:paraId="53458087" w14:textId="77777777" w:rsidTr="006C14D1">
        <w:tc>
          <w:tcPr>
            <w:tcW w:w="4428" w:type="dxa"/>
            <w:shd w:val="clear" w:color="auto" w:fill="auto"/>
            <w:vAlign w:val="center"/>
          </w:tcPr>
          <w:p w14:paraId="76942C8C" w14:textId="77777777" w:rsidR="0059743C" w:rsidRPr="005F00D0" w:rsidRDefault="0059743C" w:rsidP="0059743C">
            <w:r>
              <w:t>Call for Applications</w:t>
            </w:r>
          </w:p>
        </w:tc>
        <w:tc>
          <w:tcPr>
            <w:tcW w:w="4428" w:type="dxa"/>
            <w:shd w:val="clear" w:color="auto" w:fill="auto"/>
            <w:vAlign w:val="center"/>
          </w:tcPr>
          <w:p w14:paraId="2D7DEEF9" w14:textId="7F9C2ECE" w:rsidR="0059743C" w:rsidRPr="005F00D0" w:rsidRDefault="004B57D4">
            <w:r>
              <w:t>8</w:t>
            </w:r>
            <w:r w:rsidRPr="004B57D4">
              <w:rPr>
                <w:vertAlign w:val="superscript"/>
              </w:rPr>
              <w:t>th</w:t>
            </w:r>
            <w:r>
              <w:t xml:space="preserve"> August</w:t>
            </w:r>
            <w:r w:rsidR="00EC1970">
              <w:t>, 201</w:t>
            </w:r>
            <w:r w:rsidR="00B87761">
              <w:t>7</w:t>
            </w:r>
          </w:p>
        </w:tc>
      </w:tr>
      <w:tr w:rsidR="0059743C" w:rsidRPr="005F00D0" w14:paraId="1403E71D" w14:textId="77777777" w:rsidTr="006C14D1">
        <w:tc>
          <w:tcPr>
            <w:tcW w:w="4428" w:type="dxa"/>
            <w:shd w:val="clear" w:color="auto" w:fill="auto"/>
            <w:vAlign w:val="center"/>
          </w:tcPr>
          <w:p w14:paraId="2C608C1E" w14:textId="77777777" w:rsidR="0059743C" w:rsidRPr="005F00D0" w:rsidRDefault="0059743C" w:rsidP="0059743C">
            <w:r>
              <w:t>Deadline for Completed Applications</w:t>
            </w:r>
          </w:p>
        </w:tc>
        <w:tc>
          <w:tcPr>
            <w:tcW w:w="4428" w:type="dxa"/>
            <w:shd w:val="clear" w:color="auto" w:fill="auto"/>
            <w:vAlign w:val="center"/>
          </w:tcPr>
          <w:p w14:paraId="0EEC22E8" w14:textId="7029008C" w:rsidR="0059743C" w:rsidRPr="005F00D0" w:rsidRDefault="00EC1970" w:rsidP="004B57D4">
            <w:r>
              <w:t xml:space="preserve">12 noon, </w:t>
            </w:r>
            <w:r w:rsidR="004B57D4">
              <w:t>29</w:t>
            </w:r>
            <w:r w:rsidR="004B57D4" w:rsidRPr="004B57D4">
              <w:rPr>
                <w:vertAlign w:val="superscript"/>
              </w:rPr>
              <w:t>th</w:t>
            </w:r>
            <w:r w:rsidR="004B57D4">
              <w:t xml:space="preserve"> September</w:t>
            </w:r>
            <w:r>
              <w:t>, 201</w:t>
            </w:r>
            <w:r w:rsidR="00B87761">
              <w:t>7</w:t>
            </w:r>
          </w:p>
        </w:tc>
      </w:tr>
      <w:tr w:rsidR="0059743C" w:rsidRPr="005F00D0" w14:paraId="5CFB2E53" w14:textId="77777777" w:rsidTr="006C14D1">
        <w:trPr>
          <w:trHeight w:val="435"/>
        </w:trPr>
        <w:tc>
          <w:tcPr>
            <w:tcW w:w="4428" w:type="dxa"/>
            <w:shd w:val="clear" w:color="auto" w:fill="auto"/>
            <w:vAlign w:val="center"/>
          </w:tcPr>
          <w:p w14:paraId="74C60C4A" w14:textId="77777777" w:rsidR="0059743C" w:rsidRPr="005F00D0" w:rsidRDefault="0059743C" w:rsidP="0059743C">
            <w:r>
              <w:t>Interviewing of Short-listed Applicants</w:t>
            </w:r>
          </w:p>
        </w:tc>
        <w:tc>
          <w:tcPr>
            <w:tcW w:w="4428" w:type="dxa"/>
            <w:shd w:val="clear" w:color="auto" w:fill="auto"/>
            <w:vAlign w:val="center"/>
          </w:tcPr>
          <w:p w14:paraId="6CD25B08" w14:textId="4BDF2231" w:rsidR="0059743C" w:rsidRPr="005F00D0" w:rsidRDefault="00634262" w:rsidP="009E53E3">
            <w:r>
              <w:t xml:space="preserve">Week </w:t>
            </w:r>
            <w:r w:rsidR="00021B6F">
              <w:t>commencing</w:t>
            </w:r>
            <w:r w:rsidR="008213F5">
              <w:t xml:space="preserve"> </w:t>
            </w:r>
            <w:r w:rsidR="004B57D4">
              <w:t>2</w:t>
            </w:r>
            <w:r w:rsidR="005735F8">
              <w:t>3</w:t>
            </w:r>
            <w:r w:rsidR="009E53E3">
              <w:rPr>
                <w:vertAlign w:val="superscript"/>
              </w:rPr>
              <w:t>rd</w:t>
            </w:r>
            <w:r w:rsidR="004B57D4">
              <w:t xml:space="preserve"> October</w:t>
            </w:r>
            <w:r>
              <w:t xml:space="preserve">, </w:t>
            </w:r>
            <w:r w:rsidR="00EC1970">
              <w:t>201</w:t>
            </w:r>
            <w:r w:rsidR="00B87761">
              <w:t>7</w:t>
            </w:r>
          </w:p>
        </w:tc>
      </w:tr>
      <w:tr w:rsidR="0059743C" w:rsidRPr="005F00D0" w14:paraId="47631A82" w14:textId="77777777" w:rsidTr="006C14D1">
        <w:trPr>
          <w:trHeight w:val="484"/>
        </w:trPr>
        <w:tc>
          <w:tcPr>
            <w:tcW w:w="4428" w:type="dxa"/>
            <w:shd w:val="clear" w:color="auto" w:fill="auto"/>
            <w:vAlign w:val="center"/>
          </w:tcPr>
          <w:p w14:paraId="2B2D2010" w14:textId="77777777" w:rsidR="0059743C" w:rsidRDefault="0059743C" w:rsidP="0059743C">
            <w:r>
              <w:t>Successful Applicants Notified</w:t>
            </w:r>
          </w:p>
        </w:tc>
        <w:tc>
          <w:tcPr>
            <w:tcW w:w="4428" w:type="dxa"/>
            <w:shd w:val="clear" w:color="auto" w:fill="auto"/>
            <w:vAlign w:val="center"/>
          </w:tcPr>
          <w:p w14:paraId="7D33CD97" w14:textId="4BDA01CF" w:rsidR="0059743C" w:rsidRDefault="00634262" w:rsidP="005735F8">
            <w:r>
              <w:t xml:space="preserve">Week </w:t>
            </w:r>
            <w:r w:rsidR="00021B6F">
              <w:t xml:space="preserve">commencing </w:t>
            </w:r>
            <w:r w:rsidR="005735F8">
              <w:t>30</w:t>
            </w:r>
            <w:r w:rsidR="004B57D4" w:rsidRPr="008213F5">
              <w:rPr>
                <w:vertAlign w:val="superscript"/>
              </w:rPr>
              <w:t>th</w:t>
            </w:r>
            <w:r w:rsidR="004B57D4">
              <w:t xml:space="preserve"> October</w:t>
            </w:r>
            <w:r>
              <w:t xml:space="preserve">, </w:t>
            </w:r>
            <w:r w:rsidR="00EC1970">
              <w:t>201</w:t>
            </w:r>
            <w:r w:rsidR="00B87761">
              <w:t>7</w:t>
            </w:r>
          </w:p>
        </w:tc>
      </w:tr>
    </w:tbl>
    <w:p w14:paraId="3FFCC26C" w14:textId="05C72C36" w:rsidR="0059743C" w:rsidRDefault="00ED7D81" w:rsidP="0059743C">
      <w:pPr>
        <w:spacing w:before="240"/>
      </w:pPr>
      <w:r>
        <w:t>A</w:t>
      </w:r>
      <w:r w:rsidR="0059743C" w:rsidRPr="00821FC4">
        <w:t xml:space="preserve">pplicants should plan to initiate and deliver their research by the end </w:t>
      </w:r>
      <w:r w:rsidR="0059743C">
        <w:t xml:space="preserve">of </w:t>
      </w:r>
      <w:r w:rsidR="00507A81">
        <w:t xml:space="preserve">June </w:t>
      </w:r>
      <w:r w:rsidR="009C6D6C">
        <w:t>201</w:t>
      </w:r>
      <w:r w:rsidR="00B87761">
        <w:t>8</w:t>
      </w:r>
      <w:r w:rsidR="0059743C" w:rsidRPr="00821FC4">
        <w:t xml:space="preserve">. </w:t>
      </w:r>
      <w:r w:rsidR="00EC631D">
        <w:t>In exceptional circumstances only</w:t>
      </w:r>
      <w:r w:rsidR="0059743C" w:rsidRPr="00821FC4">
        <w:t xml:space="preserve">, </w:t>
      </w:r>
      <w:r w:rsidR="0059743C">
        <w:t>the</w:t>
      </w:r>
      <w:r w:rsidR="0059743C" w:rsidRPr="00821FC4">
        <w:t xml:space="preserve"> timeframe</w:t>
      </w:r>
      <w:r w:rsidR="00EC631D">
        <w:t xml:space="preserve"> for completion may be</w:t>
      </w:r>
      <w:r w:rsidR="0059743C" w:rsidRPr="00821FC4">
        <w:t xml:space="preserve"> open to reconsideration.</w:t>
      </w:r>
    </w:p>
    <w:p w14:paraId="5EBB70DD" w14:textId="77777777" w:rsidR="003230F8" w:rsidRDefault="003230F8" w:rsidP="003230F8">
      <w:pPr>
        <w:pStyle w:val="Heading1"/>
      </w:pPr>
      <w:r>
        <w:t>3. Eligibility</w:t>
      </w:r>
    </w:p>
    <w:p w14:paraId="57E5C100" w14:textId="139F80C2" w:rsidR="003230F8" w:rsidRPr="003230F8" w:rsidRDefault="003230F8" w:rsidP="003230F8">
      <w:pPr>
        <w:spacing w:after="120"/>
      </w:pPr>
      <w:r w:rsidRPr="003230F8">
        <w:t xml:space="preserve">Proposals/applications are </w:t>
      </w:r>
      <w:r w:rsidR="003F53C8">
        <w:t>invited</w:t>
      </w:r>
      <w:r w:rsidRPr="003230F8">
        <w:t xml:space="preserve"> from the following: </w:t>
      </w:r>
    </w:p>
    <w:p w14:paraId="2429FA5D" w14:textId="77777777" w:rsidR="003230F8" w:rsidRPr="003230F8" w:rsidRDefault="003230F8" w:rsidP="003230F8">
      <w:pPr>
        <w:pStyle w:val="ListBullet"/>
      </w:pPr>
      <w:r w:rsidRPr="003230F8">
        <w:t xml:space="preserve">research institutions and agencies </w:t>
      </w:r>
    </w:p>
    <w:p w14:paraId="797681B2" w14:textId="77777777" w:rsidR="003230F8" w:rsidRPr="003230F8" w:rsidRDefault="003230F8" w:rsidP="003230F8">
      <w:pPr>
        <w:pStyle w:val="ListBullet"/>
      </w:pPr>
      <w:r w:rsidRPr="003230F8">
        <w:t xml:space="preserve">academic departments in recognised third-level institutions </w:t>
      </w:r>
    </w:p>
    <w:p w14:paraId="525A878B" w14:textId="396EC478" w:rsidR="00B827DE" w:rsidRPr="00E92CFB" w:rsidRDefault="00ED7D81" w:rsidP="00B827DE">
      <w:pPr>
        <w:pStyle w:val="ListBullet"/>
        <w:numPr>
          <w:ilvl w:val="0"/>
          <w:numId w:val="17"/>
        </w:numPr>
      </w:pPr>
      <w:r w:rsidRPr="00E92CFB">
        <w:t>representatives of user/advocacy</w:t>
      </w:r>
      <w:r w:rsidR="00B827DE" w:rsidRPr="00E92CFB">
        <w:t xml:space="preserve"> groups</w:t>
      </w:r>
    </w:p>
    <w:p w14:paraId="760EBF54" w14:textId="45F7169F" w:rsidR="00B827DE" w:rsidRPr="00E92CFB" w:rsidRDefault="008925F1" w:rsidP="00B827DE">
      <w:pPr>
        <w:pStyle w:val="ListBullet"/>
        <w:numPr>
          <w:ilvl w:val="0"/>
          <w:numId w:val="17"/>
        </w:numPr>
      </w:pPr>
      <w:r w:rsidRPr="003F53C8">
        <w:t>service providers</w:t>
      </w:r>
    </w:p>
    <w:p w14:paraId="2ECEDF92" w14:textId="77777777" w:rsidR="003230F8" w:rsidRPr="003230F8" w:rsidRDefault="003230F8" w:rsidP="003230F8">
      <w:r w:rsidRPr="003230F8">
        <w:t xml:space="preserve">NDA encourages proposals prepared by partner agencies/ organisations/ institutions who wish to work in collaboration. However, joint applications must indicate clearly the involvement of all different partners and stakeholders in the design, planning, implementation and dissemination of the research. </w:t>
      </w:r>
    </w:p>
    <w:p w14:paraId="5163A6CD" w14:textId="24682AEF" w:rsidR="003230F8" w:rsidRDefault="003230F8" w:rsidP="003230F8">
      <w:pPr>
        <w:pStyle w:val="Heading2"/>
      </w:pPr>
      <w:r>
        <w:t>Essential criteria</w:t>
      </w:r>
    </w:p>
    <w:p w14:paraId="4B43EB77" w14:textId="0D61CAF5" w:rsidR="00021B6F" w:rsidRPr="00021B6F" w:rsidRDefault="00021B6F" w:rsidP="00021B6F">
      <w:r>
        <w:t>Only proposals received within the deadline and meeting the following essential criteria will be considered:</w:t>
      </w:r>
    </w:p>
    <w:p w14:paraId="0117BB1D" w14:textId="77777777" w:rsidR="003F53C8" w:rsidRDefault="008925F1" w:rsidP="003F53C8">
      <w:pPr>
        <w:spacing w:after="0"/>
        <w:rPr>
          <w:b/>
        </w:rPr>
      </w:pPr>
      <w:r w:rsidRPr="00E92CFB">
        <w:rPr>
          <w:b/>
        </w:rPr>
        <w:t>Contribution to Research</w:t>
      </w:r>
    </w:p>
    <w:p w14:paraId="04DF429F" w14:textId="28B69FA8" w:rsidR="008925F1" w:rsidRDefault="008925F1" w:rsidP="003F53C8">
      <w:pPr>
        <w:spacing w:after="0"/>
      </w:pPr>
      <w:r>
        <w:t>The proposed research must be original and should not duplicate research already conducted.</w:t>
      </w:r>
    </w:p>
    <w:p w14:paraId="32368764" w14:textId="74308806" w:rsidR="008925F1" w:rsidRDefault="008925F1" w:rsidP="003F53C8">
      <w:pPr>
        <w:spacing w:after="0"/>
      </w:pPr>
      <w:r>
        <w:t xml:space="preserve">The research should contribute to the existing knowledge base and advance existing scholarship. </w:t>
      </w:r>
    </w:p>
    <w:p w14:paraId="31F890AE" w14:textId="717F456D" w:rsidR="008925F1" w:rsidRDefault="008925F1" w:rsidP="003F53C8">
      <w:pPr>
        <w:spacing w:after="0"/>
      </w:pPr>
      <w:r>
        <w:t>The proposed research must inform the development of relevant policies.</w:t>
      </w:r>
    </w:p>
    <w:p w14:paraId="3A9763F4" w14:textId="186E5E33" w:rsidR="007B76FE" w:rsidRDefault="007B76FE" w:rsidP="003F53C8">
      <w:pPr>
        <w:spacing w:after="0"/>
      </w:pPr>
      <w:r>
        <w:t>The research should be based on sound evidence, of sufficient scale to allow some generalisability of findings, or indicate directions for further consideration.</w:t>
      </w:r>
    </w:p>
    <w:p w14:paraId="1919EC83" w14:textId="77777777" w:rsidR="003F53C8" w:rsidRDefault="003F53C8" w:rsidP="003F53C8">
      <w:pPr>
        <w:spacing w:after="0"/>
      </w:pPr>
    </w:p>
    <w:p w14:paraId="0ED52D79" w14:textId="77777777" w:rsidR="00021B6F" w:rsidRDefault="00021B6F" w:rsidP="00021B6F">
      <w:pPr>
        <w:pStyle w:val="Heading3"/>
      </w:pPr>
      <w:r>
        <w:t>Ability to complete research in timeframe</w:t>
      </w:r>
    </w:p>
    <w:p w14:paraId="37C1D8B8" w14:textId="142C13A1" w:rsidR="00021B6F" w:rsidRDefault="00021B6F" w:rsidP="00021B6F">
      <w:pPr>
        <w:pStyle w:val="Heading3"/>
        <w:rPr>
          <w:b w:val="0"/>
        </w:rPr>
      </w:pPr>
      <w:r w:rsidRPr="00021B6F">
        <w:t xml:space="preserve"> </w:t>
      </w:r>
      <w:r w:rsidRPr="00021B6F">
        <w:rPr>
          <w:b w:val="0"/>
        </w:rPr>
        <w:t xml:space="preserve">Only organisations which can deliver a satisfactory final draft report on the research by end </w:t>
      </w:r>
      <w:r w:rsidR="00507A81">
        <w:rPr>
          <w:b w:val="0"/>
        </w:rPr>
        <w:t>June</w:t>
      </w:r>
      <w:r w:rsidRPr="00021B6F">
        <w:rPr>
          <w:b w:val="0"/>
        </w:rPr>
        <w:t xml:space="preserve">, 2018 will be eligible for consideration. </w:t>
      </w:r>
      <w:r>
        <w:rPr>
          <w:b w:val="0"/>
        </w:rPr>
        <w:t>A</w:t>
      </w:r>
      <w:r w:rsidRPr="00021B6F">
        <w:rPr>
          <w:b w:val="0"/>
        </w:rPr>
        <w:t xml:space="preserve"> ‘satisfactory’ report refers to a report on which only minor further edits would be required.</w:t>
      </w:r>
    </w:p>
    <w:p w14:paraId="0A727220" w14:textId="77777777" w:rsidR="00021B6F" w:rsidRPr="00021B6F" w:rsidRDefault="00021B6F" w:rsidP="00021B6F"/>
    <w:p w14:paraId="6E1A3A9D" w14:textId="2F53A7F9" w:rsidR="00DC6C8F" w:rsidRDefault="00DC6C8F" w:rsidP="00DC6C8F">
      <w:pPr>
        <w:pStyle w:val="Heading3"/>
      </w:pPr>
      <w:r>
        <w:t>System of research supervision and review in place</w:t>
      </w:r>
    </w:p>
    <w:p w14:paraId="7F479C9B" w14:textId="77BBD0BD" w:rsidR="00DC6C8F" w:rsidRPr="00DC6C8F" w:rsidRDefault="00DC6C8F" w:rsidP="00DC6C8F">
      <w:r>
        <w:t>While the NDA will review the quality of the final report as a condition of payment, we are not in a position to provide ongoing supervision of the work in progress. Only proposals which provide a satisfactory arrangement for such research oversight and supervision will be accepted. This condition could be met by putting in place a research advisory committee to the project</w:t>
      </w:r>
      <w:r w:rsidR="00A00ADC">
        <w:t>,</w:t>
      </w:r>
      <w:r>
        <w:t xml:space="preserve"> comprising people with suitable qualifications and experience</w:t>
      </w:r>
      <w:r w:rsidR="00A00ADC">
        <w:t xml:space="preserve">, and indicating the willingness and availability of such persons to serve in that capacity. </w:t>
      </w:r>
      <w:r w:rsidR="007B76FE">
        <w:t>The NDA expects the final research submitted to meet its Quality Standards as set out in the call for proposals.</w:t>
      </w:r>
    </w:p>
    <w:p w14:paraId="794FE502" w14:textId="77777777" w:rsidR="003230F8" w:rsidRDefault="003230F8" w:rsidP="003230F8">
      <w:pPr>
        <w:pStyle w:val="Heading3"/>
      </w:pPr>
      <w:r>
        <w:t>Tax clearance certificate</w:t>
      </w:r>
    </w:p>
    <w:p w14:paraId="091183ED" w14:textId="77777777" w:rsidR="003230F8" w:rsidRDefault="003230F8" w:rsidP="003230F8">
      <w:pPr>
        <w:rPr>
          <w:iCs/>
        </w:rPr>
      </w:pPr>
      <w:r w:rsidRPr="003230F8">
        <w:rPr>
          <w:iCs/>
        </w:rPr>
        <w:t xml:space="preserve">Successful applicants will be required to provide </w:t>
      </w:r>
      <w:r w:rsidRPr="00DE15B8">
        <w:rPr>
          <w:iCs/>
        </w:rPr>
        <w:t>Tax Clearance Certificates</w:t>
      </w:r>
      <w:r w:rsidRPr="003230F8">
        <w:rPr>
          <w:iCs/>
        </w:rPr>
        <w:t xml:space="preserve"> to the NDA; otherwise funding cannot be provided. Organisations should ensure these are in order before submitting their application to avoid unnecessary delay in allocating funding.</w:t>
      </w:r>
    </w:p>
    <w:p w14:paraId="7FFEDADC" w14:textId="77777777" w:rsidR="00804E73" w:rsidRDefault="00804E73" w:rsidP="00914D4E">
      <w:pPr>
        <w:pStyle w:val="Heading3"/>
      </w:pPr>
      <w:r>
        <w:t xml:space="preserve">Satisfies conditions set in EU rules </w:t>
      </w:r>
    </w:p>
    <w:p w14:paraId="6F1F19DD" w14:textId="77777777" w:rsidR="00804E73" w:rsidRDefault="00804E73" w:rsidP="00804E73">
      <w:r>
        <w:t>Under EU rules, applicants will be ruled out if any of the circumstances listed in paragraph 1 of Article 45 of EU Directive 2004/18/EC of 31st March 2004 apply. These circumstances are outlined at Appendix A. (Broadly, these circumstances are bankruptcy, professional misconduct and failure to pay taxes or social security contributions.)</w:t>
      </w:r>
    </w:p>
    <w:p w14:paraId="17301B83" w14:textId="77777777" w:rsidR="0056669B" w:rsidRDefault="0056669B" w:rsidP="0056669B">
      <w:pPr>
        <w:pStyle w:val="Heading3"/>
      </w:pPr>
      <w:r>
        <w:t>Received within deadline</w:t>
      </w:r>
    </w:p>
    <w:p w14:paraId="2B9C3D8B" w14:textId="77777777" w:rsidR="0056669B" w:rsidRDefault="0056669B" w:rsidP="0056669B">
      <w:r>
        <w:t>Only proposals that have been received within the deadline will be considered.</w:t>
      </w:r>
    </w:p>
    <w:p w14:paraId="23F1C5E1" w14:textId="77777777" w:rsidR="00854C24" w:rsidRPr="003230F8" w:rsidRDefault="00854C24" w:rsidP="00854C24">
      <w:r w:rsidRPr="003230F8">
        <w:rPr>
          <w:b/>
        </w:rPr>
        <w:t>Note:</w:t>
      </w:r>
      <w:r w:rsidRPr="003230F8">
        <w:t xml:space="preserve"> </w:t>
      </w:r>
      <w:r w:rsidRPr="00484EEF">
        <w:rPr>
          <w:b/>
        </w:rPr>
        <w:t>This is not a scholarship scheme and is not designed for students.</w:t>
      </w:r>
    </w:p>
    <w:p w14:paraId="0D410E0D" w14:textId="77777777" w:rsidR="00031119" w:rsidRDefault="00DE1A53" w:rsidP="00031119">
      <w:pPr>
        <w:pStyle w:val="Heading1"/>
      </w:pPr>
      <w:r>
        <w:t>4</w:t>
      </w:r>
      <w:r w:rsidR="000E0E7C">
        <w:t xml:space="preserve">. </w:t>
      </w:r>
      <w:r w:rsidR="00031119">
        <w:t>Selection Criteria</w:t>
      </w:r>
    </w:p>
    <w:p w14:paraId="13C4BCE0" w14:textId="77777777" w:rsidR="00031119" w:rsidRDefault="00031119" w:rsidP="00031119">
      <w:pPr>
        <w:spacing w:after="120"/>
      </w:pPr>
      <w:r>
        <w:t xml:space="preserve">The </w:t>
      </w:r>
      <w:r w:rsidR="000E0E7C">
        <w:t>NDA will evaluate the eligible research proposals on the basis of the following selection criteria:</w:t>
      </w:r>
    </w:p>
    <w:p w14:paraId="7D8EA108" w14:textId="60080A0C" w:rsidR="00031119" w:rsidRPr="00E92CFB" w:rsidRDefault="00031119" w:rsidP="00031119">
      <w:pPr>
        <w:pStyle w:val="ListBullet"/>
        <w:spacing w:before="120"/>
        <w:rPr>
          <w:b/>
        </w:rPr>
      </w:pPr>
      <w:r w:rsidRPr="00E92CFB">
        <w:t xml:space="preserve">Quality of </w:t>
      </w:r>
      <w:r w:rsidR="00ED7D81" w:rsidRPr="00E92CFB">
        <w:t xml:space="preserve">research approach </w:t>
      </w:r>
      <w:r w:rsidR="00D251C5" w:rsidRPr="00E92CFB">
        <w:t xml:space="preserve">and relevance to </w:t>
      </w:r>
      <w:r w:rsidR="00ED7D81" w:rsidRPr="00E92CFB">
        <w:t>NDA strategic priorities</w:t>
      </w:r>
      <w:r w:rsidR="00D251C5" w:rsidRPr="00E92CFB">
        <w:t xml:space="preserve"> </w:t>
      </w:r>
      <w:r w:rsidRPr="00E92CFB">
        <w:t xml:space="preserve">– </w:t>
      </w:r>
      <w:r w:rsidR="00021B6F">
        <w:rPr>
          <w:b/>
        </w:rPr>
        <w:t>6</w:t>
      </w:r>
      <w:r w:rsidR="00ED7D81" w:rsidRPr="00E92CFB">
        <w:rPr>
          <w:b/>
        </w:rPr>
        <w:t>0</w:t>
      </w:r>
      <w:r w:rsidRPr="00E92CFB">
        <w:rPr>
          <w:b/>
        </w:rPr>
        <w:t>%</w:t>
      </w:r>
    </w:p>
    <w:p w14:paraId="63C4B0EE" w14:textId="6CB604E8" w:rsidR="00031119" w:rsidRPr="00E92CFB" w:rsidRDefault="00ED7D81" w:rsidP="00031119">
      <w:pPr>
        <w:pStyle w:val="ListBullet"/>
        <w:spacing w:before="120"/>
      </w:pPr>
      <w:r w:rsidRPr="00E92CFB">
        <w:t xml:space="preserve">Experience and qualifications </w:t>
      </w:r>
      <w:r w:rsidR="00031119" w:rsidRPr="00E92CFB">
        <w:t xml:space="preserve">of research team and research supervision – </w:t>
      </w:r>
      <w:r w:rsidR="00021B6F">
        <w:rPr>
          <w:b/>
        </w:rPr>
        <w:t>4</w:t>
      </w:r>
      <w:r w:rsidRPr="00E92CFB">
        <w:rPr>
          <w:b/>
        </w:rPr>
        <w:t>0</w:t>
      </w:r>
      <w:r w:rsidR="00031119" w:rsidRPr="00E92CFB">
        <w:rPr>
          <w:b/>
        </w:rPr>
        <w:t>%</w:t>
      </w:r>
    </w:p>
    <w:p w14:paraId="0F37CB66" w14:textId="77777777" w:rsidR="00D251C5" w:rsidRDefault="00D251C5" w:rsidP="00031119">
      <w:r>
        <w:t>Only projects which reach a pass mark under each of t</w:t>
      </w:r>
      <w:r w:rsidR="000E0E7C">
        <w:t>he above criteria will be further considered</w:t>
      </w:r>
      <w:r>
        <w:t xml:space="preserve">. </w:t>
      </w:r>
    </w:p>
    <w:p w14:paraId="6A82D228" w14:textId="77777777" w:rsidR="0056669B" w:rsidRDefault="00862621" w:rsidP="0056669B">
      <w:pPr>
        <w:pStyle w:val="Heading2"/>
      </w:pPr>
      <w:r>
        <w:t>Short listing</w:t>
      </w:r>
    </w:p>
    <w:p w14:paraId="37C53B06" w14:textId="340FD72D" w:rsidR="00031119" w:rsidRDefault="00031119" w:rsidP="00031119">
      <w:r>
        <w:t xml:space="preserve">Following initial assessment, the NDA will create a shortlist of applicants to interview at the second assessment stage. </w:t>
      </w:r>
      <w:r w:rsidRPr="00B20A63">
        <w:t xml:space="preserve">The researcher </w:t>
      </w:r>
      <w:r>
        <w:t xml:space="preserve">leading the project </w:t>
      </w:r>
      <w:r w:rsidRPr="00B20A63">
        <w:t xml:space="preserve">must attend this interview, which will take place </w:t>
      </w:r>
      <w:r w:rsidR="00975338">
        <w:t xml:space="preserve">week </w:t>
      </w:r>
      <w:r w:rsidR="00021B6F">
        <w:t>of</w:t>
      </w:r>
      <w:r w:rsidR="003F53C8">
        <w:t xml:space="preserve"> </w:t>
      </w:r>
      <w:r w:rsidR="004B57D4">
        <w:t>2</w:t>
      </w:r>
      <w:r w:rsidR="005735F8">
        <w:t>3</w:t>
      </w:r>
      <w:r w:rsidR="005735F8">
        <w:rPr>
          <w:vertAlign w:val="superscript"/>
        </w:rPr>
        <w:t xml:space="preserve">rd </w:t>
      </w:r>
      <w:r w:rsidR="004B57D4">
        <w:t>October</w:t>
      </w:r>
      <w:r w:rsidR="00975338" w:rsidRPr="003F53C8">
        <w:t>,</w:t>
      </w:r>
      <w:r w:rsidR="00975338">
        <w:t xml:space="preserve"> 201</w:t>
      </w:r>
      <w:r w:rsidR="00B87761">
        <w:t>7</w:t>
      </w:r>
      <w:r w:rsidR="00975338">
        <w:t xml:space="preserve">, </w:t>
      </w:r>
      <w:r w:rsidRPr="00B20A63">
        <w:t xml:space="preserve">at the NDA offices. </w:t>
      </w:r>
      <w:r>
        <w:t xml:space="preserve">Applicants will have the opportunity to present their proposed research at this stage and will be questioned on specific aspects of their proposal. </w:t>
      </w:r>
    </w:p>
    <w:p w14:paraId="24761DA3" w14:textId="77777777" w:rsidR="000E0E7C" w:rsidRDefault="00031119" w:rsidP="00031119">
      <w:r>
        <w:t xml:space="preserve">Failure to attend this interview will eliminate applicants from further consideration. </w:t>
      </w:r>
    </w:p>
    <w:p w14:paraId="625BC27D" w14:textId="77777777" w:rsidR="0056669B" w:rsidRDefault="0056669B" w:rsidP="0056669B">
      <w:pPr>
        <w:pStyle w:val="Heading2"/>
      </w:pPr>
      <w:r>
        <w:t>Rights reserved</w:t>
      </w:r>
    </w:p>
    <w:p w14:paraId="7541322A" w14:textId="77777777" w:rsidR="00031119" w:rsidRDefault="000E0E7C" w:rsidP="00031119">
      <w:r>
        <w:t>The NDA reserves the right not to award any funding, or to award funding in relation to some elements only of a particular research proposal. Re</w:t>
      </w:r>
      <w:r w:rsidR="00031119">
        <w:t>ach</w:t>
      </w:r>
      <w:r>
        <w:t xml:space="preserve">ing </w:t>
      </w:r>
      <w:r w:rsidR="00031119">
        <w:t xml:space="preserve">the interview stage </w:t>
      </w:r>
      <w:r>
        <w:t xml:space="preserve">is not a guarantee that funding </w:t>
      </w:r>
      <w:r w:rsidR="00031119">
        <w:t>will be awarded.</w:t>
      </w:r>
    </w:p>
    <w:p w14:paraId="612E5FA7" w14:textId="77777777" w:rsidR="003B0128" w:rsidRDefault="003B0128" w:rsidP="003B0128">
      <w:pPr>
        <w:rPr>
          <w:rFonts w:eastAsia="MS Mincho"/>
        </w:rPr>
      </w:pPr>
      <w:r>
        <w:rPr>
          <w:rFonts w:eastAsia="MS Mincho"/>
        </w:rPr>
        <w:t xml:space="preserve">Following award, a contract will be signed by the NDA and the proposing organisation. The contract will specify the conditions to apply in the event of unsatisfactory performance or failure to complete the proposed research. </w:t>
      </w:r>
    </w:p>
    <w:p w14:paraId="4B18872C" w14:textId="77777777" w:rsidR="0056669B" w:rsidRPr="003230F8" w:rsidRDefault="0056669B" w:rsidP="0056669B">
      <w:pPr>
        <w:pStyle w:val="Heading1"/>
      </w:pPr>
      <w:r>
        <w:t>5. Funding</w:t>
      </w:r>
    </w:p>
    <w:p w14:paraId="07068658" w14:textId="77777777" w:rsidR="0056669B" w:rsidRPr="0057260A" w:rsidRDefault="0056669B" w:rsidP="0056669B">
      <w:pPr>
        <w:pStyle w:val="Heading2"/>
      </w:pPr>
      <w:r>
        <w:t xml:space="preserve">Maximum grant </w:t>
      </w:r>
    </w:p>
    <w:p w14:paraId="205C8BE7" w14:textId="77777777" w:rsidR="0056669B" w:rsidRDefault="0056669B" w:rsidP="0056669B">
      <w:r>
        <w:t>T</w:t>
      </w:r>
      <w:r w:rsidRPr="002D3234">
        <w:t xml:space="preserve">he </w:t>
      </w:r>
      <w:r>
        <w:t xml:space="preserve">maximum grant will be </w:t>
      </w:r>
      <w:r w:rsidRPr="003F53C8">
        <w:t>€25,000, and it is envisaged that grants will be in the range €20,000 to €25,000.</w:t>
      </w:r>
      <w:r w:rsidRPr="002D3234">
        <w:t xml:space="preserve"> </w:t>
      </w:r>
    </w:p>
    <w:p w14:paraId="196FDDA9" w14:textId="77777777" w:rsidR="0056669B" w:rsidRDefault="0056669B" w:rsidP="0056669B">
      <w:pPr>
        <w:pStyle w:val="Heading2"/>
      </w:pPr>
      <w:r>
        <w:t>Number of awards</w:t>
      </w:r>
    </w:p>
    <w:p w14:paraId="73974D78" w14:textId="77777777" w:rsidR="0056669B" w:rsidRPr="00031119" w:rsidRDefault="0056669B" w:rsidP="0056669B">
      <w:r>
        <w:t xml:space="preserve">It is envisaged that up to two awards will be made, subject to the quality of proposals received, and to budgetary pressures. Additional qualifying research projects may be put on a reserve list, should extra funding become available in the course of the year. </w:t>
      </w:r>
    </w:p>
    <w:p w14:paraId="0E83F3D3" w14:textId="77777777" w:rsidR="0056669B" w:rsidRPr="00F42E09" w:rsidRDefault="0056669B" w:rsidP="0056669B">
      <w:pPr>
        <w:pStyle w:val="Heading2"/>
      </w:pPr>
      <w:r w:rsidRPr="00F42E09">
        <w:t>Use of Funding</w:t>
      </w:r>
    </w:p>
    <w:p w14:paraId="772DA99C" w14:textId="77777777" w:rsidR="0056669B" w:rsidRDefault="0056669B" w:rsidP="0056669B">
      <w:r>
        <w:t xml:space="preserve">Research Promotion Scheme funding may only be used towards the current expenditure associated with </w:t>
      </w:r>
      <w:r w:rsidRPr="00F93DC4">
        <w:t xml:space="preserve">the </w:t>
      </w:r>
      <w:r w:rsidR="00CC0A49" w:rsidRPr="00F93DC4">
        <w:t xml:space="preserve">direct </w:t>
      </w:r>
      <w:r w:rsidRPr="00F93DC4">
        <w:t>costs</w:t>
      </w:r>
      <w:r>
        <w:t xml:space="preserve"> of the research process, including additional personnel, hired specifically and exclusively to work on the funded research. Funding </w:t>
      </w:r>
      <w:r w:rsidR="00A705A8">
        <w:t>may not be used</w:t>
      </w:r>
      <w:r>
        <w:t xml:space="preserve"> for capital </w:t>
      </w:r>
      <w:r w:rsidRPr="00EC1838">
        <w:t>expenditure</w:t>
      </w:r>
      <w:r w:rsidR="00CC0A49" w:rsidRPr="00EC1838">
        <w:t xml:space="preserve"> or overheads</w:t>
      </w:r>
      <w:r w:rsidRPr="00EC1838">
        <w:t>.</w:t>
      </w:r>
    </w:p>
    <w:p w14:paraId="2DD0BC36" w14:textId="77777777" w:rsidR="0056669B" w:rsidRDefault="0056669B" w:rsidP="0056669B">
      <w:pPr>
        <w:pStyle w:val="Heading2"/>
      </w:pPr>
      <w:r>
        <w:t>Payments</w:t>
      </w:r>
    </w:p>
    <w:p w14:paraId="3BD124E1" w14:textId="59480826" w:rsidR="0056669B" w:rsidRDefault="0056669B" w:rsidP="0056669B">
      <w:pPr>
        <w:autoSpaceDE w:val="0"/>
        <w:autoSpaceDN w:val="0"/>
        <w:adjustRightInd w:val="0"/>
        <w:spacing w:after="0"/>
        <w:rPr>
          <w:rFonts w:cs="Gill Sans"/>
          <w:szCs w:val="26"/>
          <w:lang w:val="en-GB" w:eastAsia="en-GB"/>
        </w:rPr>
      </w:pPr>
      <w:r>
        <w:rPr>
          <w:rFonts w:cs="Gill Sans"/>
          <w:szCs w:val="26"/>
          <w:lang w:val="en-GB" w:eastAsia="en-GB"/>
        </w:rPr>
        <w:t xml:space="preserve">Payment of the </w:t>
      </w:r>
      <w:r w:rsidR="003F53C8">
        <w:rPr>
          <w:rFonts w:cs="Gill Sans"/>
          <w:szCs w:val="26"/>
          <w:lang w:val="en-GB" w:eastAsia="en-GB"/>
        </w:rPr>
        <w:t>grant</w:t>
      </w:r>
      <w:r>
        <w:rPr>
          <w:rFonts w:cs="Gill Sans"/>
          <w:szCs w:val="26"/>
          <w:lang w:val="en-GB" w:eastAsia="en-GB"/>
        </w:rPr>
        <w:t xml:space="preserve"> will be made in three tranches, which subject to rounding</w:t>
      </w:r>
      <w:r w:rsidR="00E00304">
        <w:rPr>
          <w:rFonts w:cs="Gill Sans"/>
          <w:szCs w:val="26"/>
          <w:lang w:val="en-GB" w:eastAsia="en-GB"/>
        </w:rPr>
        <w:t>,</w:t>
      </w:r>
      <w:r>
        <w:rPr>
          <w:rFonts w:cs="Gill Sans"/>
          <w:szCs w:val="26"/>
          <w:lang w:val="en-GB" w:eastAsia="en-GB"/>
        </w:rPr>
        <w:t xml:space="preserve"> are: </w:t>
      </w:r>
    </w:p>
    <w:p w14:paraId="6180AD98" w14:textId="77777777" w:rsidR="0056669B" w:rsidRDefault="00B827DE" w:rsidP="0056669B">
      <w:pPr>
        <w:pStyle w:val="ListBullet"/>
        <w:spacing w:before="120"/>
        <w:rPr>
          <w:lang w:val="en-GB" w:eastAsia="en-GB"/>
        </w:rPr>
      </w:pPr>
      <w:r>
        <w:rPr>
          <w:lang w:val="en-GB" w:eastAsia="en-GB"/>
        </w:rPr>
        <w:t xml:space="preserve">A third </w:t>
      </w:r>
      <w:r w:rsidR="0056669B">
        <w:rPr>
          <w:lang w:val="en-GB" w:eastAsia="en-GB"/>
        </w:rPr>
        <w:t>on acceptance of contract</w:t>
      </w:r>
    </w:p>
    <w:p w14:paraId="2090829A" w14:textId="77777777" w:rsidR="0056669B" w:rsidRDefault="00B827DE" w:rsidP="0056669B">
      <w:pPr>
        <w:pStyle w:val="ListBullet"/>
        <w:spacing w:before="120"/>
        <w:rPr>
          <w:lang w:val="en-GB" w:eastAsia="en-GB"/>
        </w:rPr>
      </w:pPr>
      <w:r>
        <w:rPr>
          <w:lang w:val="en-GB" w:eastAsia="en-GB"/>
        </w:rPr>
        <w:t>A third</w:t>
      </w:r>
      <w:r w:rsidR="0056669B">
        <w:rPr>
          <w:lang w:val="en-GB" w:eastAsia="en-GB"/>
        </w:rPr>
        <w:t xml:space="preserve"> on receipt of a </w:t>
      </w:r>
      <w:r w:rsidR="0056669B">
        <w:rPr>
          <w:b/>
          <w:bCs/>
          <w:lang w:val="en-GB" w:eastAsia="en-GB"/>
        </w:rPr>
        <w:t>satisfactory</w:t>
      </w:r>
      <w:r w:rsidR="0056669B">
        <w:rPr>
          <w:lang w:val="en-GB" w:eastAsia="en-GB"/>
        </w:rPr>
        <w:t xml:space="preserve"> draft research report </w:t>
      </w:r>
    </w:p>
    <w:p w14:paraId="62EF1460" w14:textId="77777777" w:rsidR="0056669B" w:rsidRPr="0056669B" w:rsidRDefault="00B827DE" w:rsidP="0056669B">
      <w:pPr>
        <w:pStyle w:val="ListBullet"/>
        <w:spacing w:before="120" w:after="240"/>
        <w:ind w:left="357" w:hanging="357"/>
      </w:pPr>
      <w:r>
        <w:rPr>
          <w:lang w:val="en-GB" w:eastAsia="en-GB"/>
        </w:rPr>
        <w:t>A third</w:t>
      </w:r>
      <w:r w:rsidR="0056669B">
        <w:rPr>
          <w:lang w:val="en-GB" w:eastAsia="en-GB"/>
        </w:rPr>
        <w:t xml:space="preserve"> on satisfactory completion of the research report </w:t>
      </w:r>
    </w:p>
    <w:p w14:paraId="08ED9D31" w14:textId="77777777" w:rsidR="00B827DE" w:rsidRDefault="008049A6" w:rsidP="0056669B">
      <w:r>
        <w:t xml:space="preserve">Rounding will be applied to ensure the last two payments are in exact €’000s. </w:t>
      </w:r>
    </w:p>
    <w:p w14:paraId="1EB40D03" w14:textId="77777777" w:rsidR="0056669B" w:rsidRDefault="0056669B" w:rsidP="0056669B">
      <w:r>
        <w:t xml:space="preserve">A satisfactory draft report is one that requires only minor further editing. </w:t>
      </w:r>
    </w:p>
    <w:p w14:paraId="7C63E602" w14:textId="77777777" w:rsidR="0056669B" w:rsidRPr="0056669B" w:rsidRDefault="0056669B" w:rsidP="0056669B">
      <w:r w:rsidRPr="0056669B">
        <w:t xml:space="preserve">The final draft is expected to be of publishable standard and the final payment will be withheld if this condition is not satisfied. </w:t>
      </w:r>
    </w:p>
    <w:p w14:paraId="1F7BC43A" w14:textId="77777777" w:rsidR="003B0128" w:rsidRDefault="0056669B" w:rsidP="003B0128">
      <w:pPr>
        <w:pStyle w:val="Heading1"/>
      </w:pPr>
      <w:r>
        <w:t xml:space="preserve">6. </w:t>
      </w:r>
      <w:r w:rsidR="003B0128">
        <w:t>Monitoring</w:t>
      </w:r>
      <w:r>
        <w:t xml:space="preserve"> and quality evaluation</w:t>
      </w:r>
    </w:p>
    <w:p w14:paraId="6A23B551" w14:textId="650E89BF" w:rsidR="003B0128" w:rsidRDefault="003B0128" w:rsidP="003B0128">
      <w:r>
        <w:t xml:space="preserve">Funded organisations </w:t>
      </w:r>
      <w:r w:rsidR="003F53C8">
        <w:t>must</w:t>
      </w:r>
      <w:r>
        <w:t xml:space="preserve"> meet the NDA requirements for the submission of interim, final and other reports and will be required to submit periodic information regarding overall project performance, monitoring and management.</w:t>
      </w:r>
    </w:p>
    <w:p w14:paraId="76EFD2DE" w14:textId="77777777" w:rsidR="0056669B" w:rsidRDefault="003B0128" w:rsidP="003B0128">
      <w:pPr>
        <w:rPr>
          <w:b/>
        </w:rPr>
      </w:pPr>
      <w:r w:rsidRPr="006F3445">
        <w:rPr>
          <w:b/>
        </w:rPr>
        <w:t xml:space="preserve">Please note successful applicants are expected to source their own academic supervision and/or advisory committee. </w:t>
      </w:r>
    </w:p>
    <w:p w14:paraId="697984CF" w14:textId="77777777" w:rsidR="003B0128" w:rsidRDefault="00CC0A49" w:rsidP="003B0128">
      <w:r>
        <w:t>Successful a</w:t>
      </w:r>
      <w:r w:rsidR="003B0128">
        <w:t xml:space="preserve">pplicants </w:t>
      </w:r>
      <w:r>
        <w:t xml:space="preserve">will be required to </w:t>
      </w:r>
      <w:r w:rsidR="003B0128">
        <w:t>familiarise themselves with</w:t>
      </w:r>
      <w:r>
        <w:t xml:space="preserve"> and follow the</w:t>
      </w:r>
      <w:r w:rsidR="00465781">
        <w:t xml:space="preserve"> </w:t>
      </w:r>
      <w:r w:rsidR="003B0128">
        <w:t xml:space="preserve">Quality Criteria for </w:t>
      </w:r>
      <w:r w:rsidR="00EC1838">
        <w:t xml:space="preserve">NDA </w:t>
      </w:r>
      <w:r w:rsidR="003B0128">
        <w:t xml:space="preserve">Research </w:t>
      </w:r>
      <w:r>
        <w:t>(</w:t>
      </w:r>
      <w:r w:rsidR="004C0A51">
        <w:t xml:space="preserve">which will </w:t>
      </w:r>
      <w:r w:rsidR="00176E77">
        <w:t>be provided at contract stage)</w:t>
      </w:r>
      <w:r w:rsidR="003B0128">
        <w:t>.</w:t>
      </w:r>
    </w:p>
    <w:p w14:paraId="75E8E445" w14:textId="77777777" w:rsidR="003B0128" w:rsidRDefault="003B0128" w:rsidP="003B0128">
      <w:pPr>
        <w:pStyle w:val="Heading2"/>
      </w:pPr>
      <w:r>
        <w:t>Interim Report</w:t>
      </w:r>
    </w:p>
    <w:p w14:paraId="028A1A90" w14:textId="0458D4DA" w:rsidR="003B0128" w:rsidRDefault="003B0128" w:rsidP="00DE1A53">
      <w:pPr>
        <w:spacing w:after="120"/>
      </w:pPr>
      <w:r>
        <w:t>Maximum 15 pages</w:t>
      </w:r>
      <w:r w:rsidR="00DE1A53">
        <w:t>,</w:t>
      </w:r>
      <w:r>
        <w:t xml:space="preserve"> in line with the NDA </w:t>
      </w:r>
      <w:r w:rsidR="00862621">
        <w:t xml:space="preserve">Corporate </w:t>
      </w:r>
      <w:r>
        <w:t xml:space="preserve">Style Guidance for </w:t>
      </w:r>
      <w:r w:rsidR="00F6070E">
        <w:t>contractors</w:t>
      </w:r>
      <w:r w:rsidR="00E92CFB">
        <w:t xml:space="preserve"> (see http:nda.ie/)</w:t>
      </w:r>
      <w:r w:rsidR="00F6070E">
        <w:t xml:space="preserve">. </w:t>
      </w:r>
      <w:r>
        <w:t xml:space="preserve">To contain a </w:t>
      </w:r>
      <w:r w:rsidRPr="00387B00">
        <w:rPr>
          <w:b/>
        </w:rPr>
        <w:t>brief progress note</w:t>
      </w:r>
      <w:r>
        <w:t xml:space="preserve"> on the following specific elements of the research</w:t>
      </w:r>
      <w:r w:rsidR="0056669B">
        <w:t xml:space="preserve"> (where applicable)</w:t>
      </w:r>
      <w:r>
        <w:t>:</w:t>
      </w:r>
    </w:p>
    <w:p w14:paraId="0729C495" w14:textId="77777777" w:rsidR="003B0128" w:rsidRPr="00F42E09" w:rsidRDefault="003B0128" w:rsidP="004B4431">
      <w:pPr>
        <w:pStyle w:val="ListBullet"/>
      </w:pPr>
      <w:r w:rsidRPr="00F42E09">
        <w:t>Methodology – including search terms</w:t>
      </w:r>
      <w:r>
        <w:t>, scope</w:t>
      </w:r>
      <w:r w:rsidRPr="00F42E09">
        <w:t xml:space="preserve"> and sources for literature review</w:t>
      </w:r>
    </w:p>
    <w:p w14:paraId="6867396F" w14:textId="77777777" w:rsidR="003B0128" w:rsidRPr="00F42E09" w:rsidRDefault="003B0128" w:rsidP="004B4431">
      <w:pPr>
        <w:pStyle w:val="ListBullet"/>
      </w:pPr>
      <w:r w:rsidRPr="00F42E09">
        <w:t xml:space="preserve">Literature review – summary of key arguments and theories, identification </w:t>
      </w:r>
      <w:r w:rsidR="004B4431">
        <w:t>of key authors and sources, i</w:t>
      </w:r>
      <w:r w:rsidRPr="00F42E09">
        <w:t>mplications for the</w:t>
      </w:r>
      <w:r>
        <w:t xml:space="preserve"> research, practice, and policy</w:t>
      </w:r>
    </w:p>
    <w:p w14:paraId="5B1335B9" w14:textId="77777777" w:rsidR="0056669B" w:rsidRDefault="0056669B" w:rsidP="004B4431">
      <w:pPr>
        <w:pStyle w:val="ListBullet"/>
        <w:ind w:left="357" w:hanging="357"/>
      </w:pPr>
      <w:r>
        <w:t>Fieldwork</w:t>
      </w:r>
    </w:p>
    <w:p w14:paraId="0B00E608" w14:textId="77777777" w:rsidR="003B0128" w:rsidRDefault="003B0128" w:rsidP="00DE1A53">
      <w:pPr>
        <w:pStyle w:val="ListBullet"/>
        <w:spacing w:before="120" w:after="240"/>
        <w:ind w:left="357" w:hanging="357"/>
      </w:pPr>
      <w:r w:rsidRPr="00F42E09">
        <w:t>Schedule and timeframe for the completion of the research – identifying a</w:t>
      </w:r>
      <w:r>
        <w:t>ny deviation from original plan</w:t>
      </w:r>
    </w:p>
    <w:p w14:paraId="3C8582FE" w14:textId="77777777" w:rsidR="003B0128" w:rsidRDefault="003B0128" w:rsidP="003B0128">
      <w:pPr>
        <w:pStyle w:val="Heading2"/>
      </w:pPr>
      <w:r>
        <w:t>Final Report</w:t>
      </w:r>
    </w:p>
    <w:p w14:paraId="68FF2C0D" w14:textId="77777777" w:rsidR="00EE7750" w:rsidRDefault="00EE7750" w:rsidP="00EE7750">
      <w:r>
        <w:t xml:space="preserve">The final report </w:t>
      </w:r>
      <w:r w:rsidR="00ED20D8">
        <w:t>should be of publishable standard, in line with</w:t>
      </w:r>
      <w:r w:rsidR="00EC1838" w:rsidRPr="00EC1838">
        <w:t xml:space="preserve"> </w:t>
      </w:r>
      <w:r w:rsidR="00EC1838">
        <w:t>the Quality Criteria for NDA Research</w:t>
      </w:r>
      <w:r w:rsidR="00ED20D8">
        <w:t xml:space="preserve"> and should be written in a style which is accessible to a broad audience. It </w:t>
      </w:r>
      <w:r>
        <w:t xml:space="preserve">will be produced in accordance with NDA style guidance, which is </w:t>
      </w:r>
      <w:r w:rsidR="00ED20D8">
        <w:t xml:space="preserve">designed to ensure a report that readily accessible to the screen-reader technology used by people with disabilities. </w:t>
      </w:r>
    </w:p>
    <w:p w14:paraId="2049F080" w14:textId="77777777" w:rsidR="00ED20D8" w:rsidRDefault="00ED20D8" w:rsidP="00EE7750">
      <w:r>
        <w:t xml:space="preserve">In addition, there will be a two-page Executive Summary setting out the key findings. </w:t>
      </w:r>
    </w:p>
    <w:p w14:paraId="4F9C290E" w14:textId="77777777" w:rsidR="003B0128" w:rsidRDefault="00EE7750" w:rsidP="00EE7750">
      <w:pPr>
        <w:pStyle w:val="ListBullet"/>
        <w:numPr>
          <w:ilvl w:val="0"/>
          <w:numId w:val="0"/>
        </w:numPr>
        <w:spacing w:before="120"/>
      </w:pPr>
      <w:r>
        <w:t xml:space="preserve">The core report (excluding appendices) is expected to be of the order of </w:t>
      </w:r>
      <w:r w:rsidR="003B0128">
        <w:t>60 pages</w:t>
      </w:r>
      <w:r w:rsidR="00FD2A99">
        <w:t xml:space="preserve"> but this would be agreed with NDA contact person</w:t>
      </w:r>
      <w:r>
        <w:t xml:space="preserve">. </w:t>
      </w:r>
      <w:r w:rsidR="003B0128">
        <w:t xml:space="preserve"> </w:t>
      </w:r>
    </w:p>
    <w:p w14:paraId="34DFCDA9" w14:textId="77777777" w:rsidR="003B0128" w:rsidRDefault="003B0128" w:rsidP="003B0128">
      <w:pPr>
        <w:pStyle w:val="Heading1"/>
      </w:pPr>
      <w:r>
        <w:t>7. Applications</w:t>
      </w:r>
    </w:p>
    <w:p w14:paraId="08E1A27E" w14:textId="2365D869" w:rsidR="00176E77" w:rsidRDefault="008E3D18" w:rsidP="008E3D18">
      <w:r w:rsidRPr="008E3D18">
        <w:t xml:space="preserve">Completed applications should be returned by: </w:t>
      </w:r>
      <w:r w:rsidRPr="008E3D18">
        <w:rPr>
          <w:b/>
        </w:rPr>
        <w:t xml:space="preserve">12 noon on </w:t>
      </w:r>
      <w:r w:rsidR="004B57D4">
        <w:rPr>
          <w:b/>
        </w:rPr>
        <w:t>29</w:t>
      </w:r>
      <w:r w:rsidR="004B57D4" w:rsidRPr="004B57D4">
        <w:rPr>
          <w:b/>
          <w:vertAlign w:val="superscript"/>
        </w:rPr>
        <w:t>th</w:t>
      </w:r>
      <w:r w:rsidR="004B57D4">
        <w:rPr>
          <w:b/>
        </w:rPr>
        <w:t xml:space="preserve"> September</w:t>
      </w:r>
      <w:r w:rsidR="009C6D6C">
        <w:rPr>
          <w:b/>
        </w:rPr>
        <w:t>, 201</w:t>
      </w:r>
      <w:r w:rsidR="0027130B">
        <w:rPr>
          <w:b/>
        </w:rPr>
        <w:t>7</w:t>
      </w:r>
      <w:r w:rsidRPr="008E3D18">
        <w:t xml:space="preserve">. Applications received after this time and date will not be processed. </w:t>
      </w:r>
    </w:p>
    <w:p w14:paraId="532363EF" w14:textId="6E534C89" w:rsidR="008E3D18" w:rsidRDefault="008E3D18" w:rsidP="008E3D18">
      <w:r w:rsidRPr="008E3D18">
        <w:t xml:space="preserve">Applications should be marked </w:t>
      </w:r>
      <w:r w:rsidRPr="008E3D18">
        <w:rPr>
          <w:b/>
        </w:rPr>
        <w:t>'RPS</w:t>
      </w:r>
      <w:r w:rsidR="003F53C8">
        <w:rPr>
          <w:b/>
        </w:rPr>
        <w:t xml:space="preserve"> (Community Integration)</w:t>
      </w:r>
      <w:r w:rsidRPr="008E3D18">
        <w:rPr>
          <w:b/>
        </w:rPr>
        <w:t xml:space="preserve"> </w:t>
      </w:r>
      <w:r w:rsidR="009C6D6C">
        <w:rPr>
          <w:b/>
        </w:rPr>
        <w:t>201</w:t>
      </w:r>
      <w:r w:rsidR="0027130B">
        <w:rPr>
          <w:b/>
        </w:rPr>
        <w:t>7</w:t>
      </w:r>
      <w:r w:rsidRPr="008E3D18">
        <w:rPr>
          <w:b/>
        </w:rPr>
        <w:t>'</w:t>
      </w:r>
      <w:r w:rsidRPr="008E3D18">
        <w:t xml:space="preserve"> and submitted by email or hardcopy t</w:t>
      </w:r>
      <w:r>
        <w:t>o:</w:t>
      </w:r>
    </w:p>
    <w:p w14:paraId="0FBDAF74" w14:textId="5B91A0EA" w:rsidR="003B0128" w:rsidRPr="00E635B7" w:rsidRDefault="00E635B7" w:rsidP="003B0128">
      <w:pPr>
        <w:tabs>
          <w:tab w:val="left" w:pos="0"/>
        </w:tabs>
        <w:spacing w:after="120"/>
        <w:rPr>
          <w:b/>
          <w:bCs/>
        </w:rPr>
      </w:pPr>
      <w:r w:rsidRPr="00E635B7">
        <w:rPr>
          <w:rFonts w:cs="Arial"/>
          <w:b/>
          <w:bCs/>
        </w:rPr>
        <w:t>Kate McCabe</w:t>
      </w:r>
      <w:r w:rsidR="003B0128" w:rsidRPr="00E635B7">
        <w:rPr>
          <w:rFonts w:cs="Arial"/>
          <w:b/>
          <w:bCs/>
        </w:rPr>
        <w:t>, Policy and Research</w:t>
      </w:r>
      <w:r w:rsidR="003B0128" w:rsidRPr="00E635B7">
        <w:rPr>
          <w:b/>
          <w:bCs/>
        </w:rPr>
        <w:t xml:space="preserve">, National </w:t>
      </w:r>
      <w:r w:rsidR="003B0128" w:rsidRPr="00E635B7">
        <w:rPr>
          <w:rFonts w:cs="Arial"/>
          <w:b/>
          <w:bCs/>
        </w:rPr>
        <w:t>Disability Authority, 25 Clyde Road, Ballsbridge, Dublin 4.</w:t>
      </w:r>
    </w:p>
    <w:p w14:paraId="7B00B0A1" w14:textId="4894EFEB" w:rsidR="00ED20D8" w:rsidRPr="00E635B7" w:rsidRDefault="003B0128" w:rsidP="00FD2A99">
      <w:pPr>
        <w:tabs>
          <w:tab w:val="left" w:pos="748"/>
        </w:tabs>
        <w:ind w:left="1469" w:hanging="1469"/>
      </w:pPr>
      <w:r w:rsidRPr="00E635B7">
        <w:t>Email:</w:t>
      </w:r>
      <w:r w:rsidRPr="00E635B7">
        <w:rPr>
          <w:b/>
        </w:rPr>
        <w:t xml:space="preserve"> </w:t>
      </w:r>
      <w:hyperlink r:id="rId8" w:history="1">
        <w:r w:rsidR="00E635B7" w:rsidRPr="00E635B7">
          <w:rPr>
            <w:rStyle w:val="Hyperlink"/>
            <w:bCs/>
          </w:rPr>
          <w:t>kmmccabe@nda.ie</w:t>
        </w:r>
      </w:hyperlink>
      <w:r w:rsidRPr="00E635B7">
        <w:rPr>
          <w:b/>
        </w:rPr>
        <w:t xml:space="preserve"> </w:t>
      </w:r>
      <w:r w:rsidR="00EE7750" w:rsidRPr="00E635B7">
        <w:rPr>
          <w:b/>
        </w:rPr>
        <w:t xml:space="preserve"> </w:t>
      </w:r>
    </w:p>
    <w:p w14:paraId="6485193B" w14:textId="69879F1E" w:rsidR="00FC6B41" w:rsidRDefault="00FC6B41" w:rsidP="0009160F">
      <w:r w:rsidRPr="00E635B7">
        <w:t xml:space="preserve">Please address any queries you have to </w:t>
      </w:r>
      <w:r w:rsidR="00E635B7" w:rsidRPr="00E635B7">
        <w:t>Kate McCabe</w:t>
      </w:r>
      <w:r w:rsidR="00EC1838" w:rsidRPr="00E635B7">
        <w:t xml:space="preserve"> </w:t>
      </w:r>
      <w:r w:rsidR="008E3D18" w:rsidRPr="00E635B7">
        <w:t>at</w:t>
      </w:r>
      <w:r w:rsidR="0009160F" w:rsidRPr="00E635B7">
        <w:t xml:space="preserve"> 01-6080</w:t>
      </w:r>
      <w:r w:rsidR="00E635B7">
        <w:t>405</w:t>
      </w:r>
      <w:r w:rsidR="00EC1838" w:rsidRPr="00E635B7">
        <w:t>.</w:t>
      </w:r>
      <w:r w:rsidR="0009160F">
        <w:t xml:space="preserve"> </w:t>
      </w:r>
    </w:p>
    <w:p w14:paraId="6125D94D" w14:textId="77777777" w:rsidR="00804E73" w:rsidRPr="00B04ABA" w:rsidRDefault="00FC6B41" w:rsidP="00FC6B41">
      <w:pPr>
        <w:pStyle w:val="Title"/>
      </w:pPr>
      <w:r>
        <w:br w:type="page"/>
      </w:r>
      <w:r w:rsidR="00804E73" w:rsidRPr="00B04ABA">
        <w:t>Appendix A</w:t>
      </w:r>
    </w:p>
    <w:p w14:paraId="040E5C42" w14:textId="77777777" w:rsidR="00804E73" w:rsidRPr="00FC6B41" w:rsidRDefault="00804E73" w:rsidP="00804E73">
      <w:pPr>
        <w:pStyle w:val="Heading1"/>
        <w:rPr>
          <w:kern w:val="28"/>
          <w:sz w:val="26"/>
          <w:szCs w:val="28"/>
        </w:rPr>
      </w:pPr>
      <w:r w:rsidRPr="00FC6B41">
        <w:rPr>
          <w:kern w:val="28"/>
          <w:sz w:val="26"/>
          <w:szCs w:val="28"/>
        </w:rPr>
        <w:t>Extract from Article 4</w:t>
      </w:r>
      <w:r w:rsidR="00FC6B41" w:rsidRPr="00FC6B41">
        <w:rPr>
          <w:kern w:val="28"/>
          <w:sz w:val="26"/>
          <w:szCs w:val="28"/>
        </w:rPr>
        <w:t>5, EU Directive 2004/18/EC of 31</w:t>
      </w:r>
      <w:r w:rsidRPr="00FC6B41">
        <w:rPr>
          <w:kern w:val="28"/>
          <w:sz w:val="26"/>
          <w:szCs w:val="28"/>
        </w:rPr>
        <w:t xml:space="preserve">st March 2004 </w:t>
      </w:r>
    </w:p>
    <w:p w14:paraId="35F5F810" w14:textId="77777777" w:rsidR="00804E73" w:rsidRPr="00FC6B41" w:rsidRDefault="00804E73" w:rsidP="00804E73">
      <w:pPr>
        <w:pStyle w:val="Heading2"/>
        <w:rPr>
          <w:kern w:val="28"/>
          <w:sz w:val="26"/>
        </w:rPr>
      </w:pPr>
      <w:r w:rsidRPr="00FC6B41">
        <w:rPr>
          <w:kern w:val="28"/>
          <w:sz w:val="26"/>
        </w:rPr>
        <w:t>Article 45</w:t>
      </w:r>
    </w:p>
    <w:p w14:paraId="383A5E79" w14:textId="77777777" w:rsidR="00804E73" w:rsidRPr="00B04ABA" w:rsidRDefault="00804E73" w:rsidP="00804E73">
      <w:pPr>
        <w:spacing w:after="120"/>
        <w:rPr>
          <w:kern w:val="28"/>
        </w:rPr>
      </w:pPr>
      <w:r w:rsidRPr="00B04ABA">
        <w:rPr>
          <w:kern w:val="28"/>
        </w:rPr>
        <w:t>Any economic operator may be excluded from participation in a contract where that economic operator:</w:t>
      </w:r>
    </w:p>
    <w:p w14:paraId="32470793" w14:textId="77777777" w:rsidR="00804E73" w:rsidRDefault="00804E73" w:rsidP="00804E73">
      <w:pPr>
        <w:pStyle w:val="ListNumber2"/>
        <w:numPr>
          <w:ilvl w:val="0"/>
          <w:numId w:val="9"/>
        </w:numPr>
        <w:spacing w:before="0" w:after="120"/>
        <w:rPr>
          <w:kern w:val="28"/>
        </w:rPr>
      </w:pPr>
      <w:r w:rsidRPr="00B04ABA">
        <w:rPr>
          <w:kern w:val="28"/>
        </w:rPr>
        <w:t>is bankrupt or is being wound up, whose affairs are being administered by the court, who has entered into an arrangement with creditors, who has suspended business activities or who is in an analogous situation arising from a similar procedure under national laws and regulations;</w:t>
      </w:r>
    </w:p>
    <w:p w14:paraId="69FA4E0B" w14:textId="77777777" w:rsidR="00804E73" w:rsidRDefault="00804E73" w:rsidP="00804E73">
      <w:pPr>
        <w:pStyle w:val="ListNumber2"/>
        <w:numPr>
          <w:ilvl w:val="0"/>
          <w:numId w:val="9"/>
        </w:numPr>
        <w:spacing w:before="0" w:after="120"/>
        <w:rPr>
          <w:kern w:val="28"/>
        </w:rPr>
      </w:pPr>
      <w:r w:rsidRPr="00B04ABA">
        <w:rPr>
          <w:kern w:val="28"/>
        </w:rPr>
        <w:t>is the subject of proceedings for a declaration of bankruptcy, for an order for compulsory winding up or administration by the court or for an arrangement with creditors or of any other similar proceedings under national laws and regulations;</w:t>
      </w:r>
    </w:p>
    <w:p w14:paraId="4290EC50" w14:textId="77777777" w:rsidR="00804E73" w:rsidRDefault="00804E73" w:rsidP="00804E73">
      <w:pPr>
        <w:pStyle w:val="ListNumber2"/>
        <w:numPr>
          <w:ilvl w:val="0"/>
          <w:numId w:val="9"/>
        </w:numPr>
        <w:spacing w:before="0" w:after="120"/>
        <w:rPr>
          <w:kern w:val="28"/>
        </w:rPr>
      </w:pPr>
      <w:r w:rsidRPr="00B04ABA">
        <w:rPr>
          <w:kern w:val="28"/>
        </w:rPr>
        <w:t>has been convicted of an offence concerning his professional conduct by a judgment which has the force of res judicata;</w:t>
      </w:r>
    </w:p>
    <w:p w14:paraId="4CC69D9E" w14:textId="77777777" w:rsidR="00804E73" w:rsidRDefault="00804E73" w:rsidP="00804E73">
      <w:pPr>
        <w:pStyle w:val="ListNumber2"/>
        <w:numPr>
          <w:ilvl w:val="0"/>
          <w:numId w:val="9"/>
        </w:numPr>
        <w:spacing w:before="0" w:after="120"/>
        <w:rPr>
          <w:kern w:val="28"/>
        </w:rPr>
      </w:pPr>
      <w:r w:rsidRPr="00B04ABA">
        <w:rPr>
          <w:kern w:val="28"/>
        </w:rPr>
        <w:t>has been guilty of grave professional misconduct proven by any means which the contracting authorities can justify;</w:t>
      </w:r>
    </w:p>
    <w:p w14:paraId="7A998718" w14:textId="77777777" w:rsidR="00804E73" w:rsidRDefault="00804E73" w:rsidP="00804E73">
      <w:pPr>
        <w:pStyle w:val="ListNumber2"/>
        <w:numPr>
          <w:ilvl w:val="0"/>
          <w:numId w:val="9"/>
        </w:numPr>
        <w:spacing w:before="0" w:after="120"/>
        <w:rPr>
          <w:kern w:val="28"/>
        </w:rPr>
      </w:pPr>
      <w:r w:rsidRPr="00B04ABA">
        <w:rPr>
          <w:kern w:val="28"/>
        </w:rPr>
        <w:t>has not fulfilled obligations relating to the payment of social security contributions in accordance with the legal provisions of the country in which he is established or with those of the country of the contracting authority;</w:t>
      </w:r>
    </w:p>
    <w:p w14:paraId="6EE0959B" w14:textId="77777777" w:rsidR="00804E73" w:rsidRDefault="00804E73" w:rsidP="00804E73">
      <w:pPr>
        <w:pStyle w:val="ListNumber2"/>
        <w:numPr>
          <w:ilvl w:val="0"/>
          <w:numId w:val="9"/>
        </w:numPr>
        <w:spacing w:before="0" w:after="120"/>
        <w:rPr>
          <w:kern w:val="28"/>
        </w:rPr>
      </w:pPr>
      <w:r w:rsidRPr="00B04ABA">
        <w:rPr>
          <w:kern w:val="28"/>
        </w:rPr>
        <w:t>has not fulfilled obligations relating to the payment of taxes in accordance with the legal provisions of the country in which he is established or those of the country of the contracting authority;</w:t>
      </w:r>
    </w:p>
    <w:p w14:paraId="38D85F1C" w14:textId="77777777" w:rsidR="00804E73" w:rsidRPr="00ED50E6" w:rsidRDefault="00804E73" w:rsidP="00ED50E6">
      <w:pPr>
        <w:pStyle w:val="ListNumber2"/>
        <w:numPr>
          <w:ilvl w:val="0"/>
          <w:numId w:val="9"/>
        </w:numPr>
        <w:rPr>
          <w:kern w:val="28"/>
        </w:rPr>
      </w:pPr>
      <w:r w:rsidRPr="00B04ABA">
        <w:rPr>
          <w:kern w:val="28"/>
        </w:rPr>
        <w:t>is guilty of serious misrepresentation in supplying the information required under this Chapter.</w:t>
      </w:r>
    </w:p>
    <w:sectPr w:rsidR="00804E73" w:rsidRPr="00ED50E6" w:rsidSect="00FC6B41">
      <w:footerReference w:type="default" r:id="rId9"/>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035F8" w14:textId="77777777" w:rsidR="00FC0417" w:rsidRDefault="00FC0417">
      <w:r>
        <w:separator/>
      </w:r>
    </w:p>
  </w:endnote>
  <w:endnote w:type="continuationSeparator" w:id="0">
    <w:p w14:paraId="280161EF" w14:textId="77777777" w:rsidR="00FC0417" w:rsidRDefault="00FC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B1C83" w14:textId="15BA90F3" w:rsidR="00A565FB" w:rsidRDefault="00A565FB">
    <w:pPr>
      <w:pStyle w:val="Footer"/>
    </w:pPr>
    <w:r>
      <w:t>NDA: RPS</w:t>
    </w:r>
    <w:r w:rsidR="007E7927">
      <w:t xml:space="preserve"> (</w:t>
    </w:r>
    <w:r w:rsidR="004C5083">
      <w:t xml:space="preserve">Community </w:t>
    </w:r>
    <w:r w:rsidR="003F53C8">
      <w:t>Integration</w:t>
    </w:r>
    <w:r w:rsidR="007E7927">
      <w:t>)</w:t>
    </w:r>
    <w:r>
      <w:t xml:space="preserve"> 201</w:t>
    </w:r>
    <w:r w:rsidR="0070250B">
      <w:t>7</w:t>
    </w:r>
    <w:r>
      <w:t xml:space="preserve"> Terms and Guidelines </w:t>
    </w:r>
    <w:r w:rsidR="007E7927">
      <w:t>0</w:t>
    </w:r>
    <w:r w:rsidR="005735F8">
      <w:t>8</w:t>
    </w:r>
    <w:r>
      <w:t>/1</w:t>
    </w:r>
    <w:r w:rsidR="0070250B">
      <w:t>7</w:t>
    </w:r>
    <w:r>
      <w:tab/>
    </w:r>
    <w:r>
      <w:tab/>
    </w:r>
    <w:r>
      <w:fldChar w:fldCharType="begin"/>
    </w:r>
    <w:r>
      <w:instrText xml:space="preserve"> PAGE  \* Arabic  \* MERGEFORMAT </w:instrText>
    </w:r>
    <w:r>
      <w:fldChar w:fldCharType="separate"/>
    </w:r>
    <w:r w:rsidR="00F165A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153C2" w14:textId="77777777" w:rsidR="00FC0417" w:rsidRDefault="00FC0417">
      <w:r>
        <w:separator/>
      </w:r>
    </w:p>
  </w:footnote>
  <w:footnote w:type="continuationSeparator" w:id="0">
    <w:p w14:paraId="2E308F5E" w14:textId="77777777" w:rsidR="00FC0417" w:rsidRDefault="00FC0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79C0E2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66C1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8090019"/>
    <w:lvl w:ilvl="0">
      <w:start w:val="1"/>
      <w:numFmt w:val="lowerLetter"/>
      <w:lvlText w:val="%1."/>
      <w:lvlJc w:val="left"/>
      <w:pPr>
        <w:tabs>
          <w:tab w:val="num" w:pos="644"/>
        </w:tabs>
        <w:ind w:left="644" w:hanging="360"/>
      </w:pPr>
      <w:rPr>
        <w:rFonts w:hint="default"/>
      </w:rPr>
    </w:lvl>
  </w:abstractNum>
  <w:abstractNum w:abstractNumId="4" w15:restartNumberingAfterBreak="0">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15:restartNumberingAfterBreak="0">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15:restartNumberingAfterBreak="0">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15:restartNumberingAfterBreak="0">
    <w:nsid w:val="FFFFFFFE"/>
    <w:multiLevelType w:val="singleLevel"/>
    <w:tmpl w:val="0A62CA84"/>
    <w:lvl w:ilvl="0">
      <w:numFmt w:val="bullet"/>
      <w:lvlText w:val="*"/>
      <w:lvlJc w:val="left"/>
    </w:lvl>
  </w:abstractNum>
  <w:abstractNum w:abstractNumId="11" w15:restartNumberingAfterBreak="0">
    <w:nsid w:val="471128D2"/>
    <w:multiLevelType w:val="hybridMultilevel"/>
    <w:tmpl w:val="515C93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6F1F3915"/>
    <w:multiLevelType w:val="hybridMultilevel"/>
    <w:tmpl w:val="452E610A"/>
    <w:lvl w:ilvl="0" w:tplc="9E4E8740">
      <w:start w:val="1"/>
      <w:numFmt w:val="bullet"/>
      <w:lvlText w:val=""/>
      <w:lvlJc w:val="left"/>
      <w:pPr>
        <w:tabs>
          <w:tab w:val="num" w:pos="360"/>
        </w:tabs>
        <w:ind w:left="360" w:hanging="360"/>
      </w:pPr>
      <w:rPr>
        <w:rFonts w:ascii="Symbol" w:hAnsi="Symbol" w:hint="default"/>
        <w:sz w:val="20"/>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3" w15:restartNumberingAfterBreak="0">
    <w:nsid w:val="77F95DC7"/>
    <w:multiLevelType w:val="hybridMultilevel"/>
    <w:tmpl w:val="BB206C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2"/>
  </w:num>
  <w:num w:numId="18">
    <w:abstractNumId w:val="10"/>
    <w:lvlOverride w:ilvl="0">
      <w:lvl w:ilvl="0">
        <w:numFmt w:val="bullet"/>
        <w:lvlText w:val=""/>
        <w:legacy w:legacy="1" w:legacySpace="0" w:legacyIndent="0"/>
        <w:lvlJc w:val="left"/>
        <w:rPr>
          <w:rFonts w:ascii="Symbol" w:hAnsi="Symbol" w:hint="default"/>
          <w:sz w:val="22"/>
        </w:rPr>
      </w:lvl>
    </w:lvlOverride>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43C"/>
    <w:rsid w:val="00021B6F"/>
    <w:rsid w:val="00031119"/>
    <w:rsid w:val="00055418"/>
    <w:rsid w:val="0009160F"/>
    <w:rsid w:val="000B35AE"/>
    <w:rsid w:val="000B3956"/>
    <w:rsid w:val="000B4D79"/>
    <w:rsid w:val="000E0E7C"/>
    <w:rsid w:val="001004DA"/>
    <w:rsid w:val="00117EC4"/>
    <w:rsid w:val="0013443C"/>
    <w:rsid w:val="0013755B"/>
    <w:rsid w:val="00152F74"/>
    <w:rsid w:val="00176E77"/>
    <w:rsid w:val="00181FE6"/>
    <w:rsid w:val="00191535"/>
    <w:rsid w:val="00193C84"/>
    <w:rsid w:val="001C2025"/>
    <w:rsid w:val="001C4776"/>
    <w:rsid w:val="001D290B"/>
    <w:rsid w:val="001F0D22"/>
    <w:rsid w:val="00227660"/>
    <w:rsid w:val="00227F47"/>
    <w:rsid w:val="00232005"/>
    <w:rsid w:val="00247D48"/>
    <w:rsid w:val="00263FB5"/>
    <w:rsid w:val="00265A74"/>
    <w:rsid w:val="0027130B"/>
    <w:rsid w:val="00281016"/>
    <w:rsid w:val="00287B8E"/>
    <w:rsid w:val="0029589B"/>
    <w:rsid w:val="002D100B"/>
    <w:rsid w:val="002E2FAC"/>
    <w:rsid w:val="00316BE3"/>
    <w:rsid w:val="003230F8"/>
    <w:rsid w:val="0033276D"/>
    <w:rsid w:val="00333B4E"/>
    <w:rsid w:val="00353947"/>
    <w:rsid w:val="00362F7E"/>
    <w:rsid w:val="00365613"/>
    <w:rsid w:val="003A44C8"/>
    <w:rsid w:val="003B0128"/>
    <w:rsid w:val="003B059F"/>
    <w:rsid w:val="003B10EC"/>
    <w:rsid w:val="003C4AF9"/>
    <w:rsid w:val="003F53C8"/>
    <w:rsid w:val="003F7727"/>
    <w:rsid w:val="00410402"/>
    <w:rsid w:val="00430C81"/>
    <w:rsid w:val="0043744E"/>
    <w:rsid w:val="0044117F"/>
    <w:rsid w:val="00452BE5"/>
    <w:rsid w:val="004617E0"/>
    <w:rsid w:val="00465781"/>
    <w:rsid w:val="00475F03"/>
    <w:rsid w:val="00484EEF"/>
    <w:rsid w:val="004934C9"/>
    <w:rsid w:val="004A5A2B"/>
    <w:rsid w:val="004B4431"/>
    <w:rsid w:val="004B57D4"/>
    <w:rsid w:val="004C0A51"/>
    <w:rsid w:val="004C5083"/>
    <w:rsid w:val="004C571A"/>
    <w:rsid w:val="004C5836"/>
    <w:rsid w:val="005043D1"/>
    <w:rsid w:val="0050726E"/>
    <w:rsid w:val="00507A81"/>
    <w:rsid w:val="00516544"/>
    <w:rsid w:val="00517861"/>
    <w:rsid w:val="005464F6"/>
    <w:rsid w:val="005541E0"/>
    <w:rsid w:val="00561704"/>
    <w:rsid w:val="0056669B"/>
    <w:rsid w:val="005735F8"/>
    <w:rsid w:val="0059473E"/>
    <w:rsid w:val="00597381"/>
    <w:rsid w:val="0059743C"/>
    <w:rsid w:val="005A4C01"/>
    <w:rsid w:val="005B16F7"/>
    <w:rsid w:val="005C292B"/>
    <w:rsid w:val="005D65AB"/>
    <w:rsid w:val="005E2953"/>
    <w:rsid w:val="005F2D83"/>
    <w:rsid w:val="00634262"/>
    <w:rsid w:val="0065147B"/>
    <w:rsid w:val="0065481E"/>
    <w:rsid w:val="00657531"/>
    <w:rsid w:val="006B6024"/>
    <w:rsid w:val="006C14D1"/>
    <w:rsid w:val="006D55CB"/>
    <w:rsid w:val="006E0C75"/>
    <w:rsid w:val="006F25EC"/>
    <w:rsid w:val="0070223D"/>
    <w:rsid w:val="0070250B"/>
    <w:rsid w:val="0070516D"/>
    <w:rsid w:val="007118BA"/>
    <w:rsid w:val="007608EF"/>
    <w:rsid w:val="00766F1D"/>
    <w:rsid w:val="007B381B"/>
    <w:rsid w:val="007B6238"/>
    <w:rsid w:val="007B76FE"/>
    <w:rsid w:val="007C1D90"/>
    <w:rsid w:val="007C73F7"/>
    <w:rsid w:val="007D71FC"/>
    <w:rsid w:val="007E7927"/>
    <w:rsid w:val="007F44BC"/>
    <w:rsid w:val="008023A6"/>
    <w:rsid w:val="008049A6"/>
    <w:rsid w:val="00804E73"/>
    <w:rsid w:val="008213F5"/>
    <w:rsid w:val="00831FA1"/>
    <w:rsid w:val="00854C24"/>
    <w:rsid w:val="00862621"/>
    <w:rsid w:val="008822F1"/>
    <w:rsid w:val="008925F1"/>
    <w:rsid w:val="008E2168"/>
    <w:rsid w:val="008E3D18"/>
    <w:rsid w:val="008F29EC"/>
    <w:rsid w:val="00914D4E"/>
    <w:rsid w:val="009222D3"/>
    <w:rsid w:val="0093301D"/>
    <w:rsid w:val="009331FD"/>
    <w:rsid w:val="00934D7D"/>
    <w:rsid w:val="00944E73"/>
    <w:rsid w:val="00975338"/>
    <w:rsid w:val="009B3BE5"/>
    <w:rsid w:val="009C3BD7"/>
    <w:rsid w:val="009C4D62"/>
    <w:rsid w:val="009C6D6C"/>
    <w:rsid w:val="009D6752"/>
    <w:rsid w:val="009D7CB0"/>
    <w:rsid w:val="009E492F"/>
    <w:rsid w:val="009E4CA4"/>
    <w:rsid w:val="009E53E3"/>
    <w:rsid w:val="009E6CB7"/>
    <w:rsid w:val="009F537C"/>
    <w:rsid w:val="00A00ADC"/>
    <w:rsid w:val="00A05270"/>
    <w:rsid w:val="00A065EE"/>
    <w:rsid w:val="00A06DA0"/>
    <w:rsid w:val="00A1079C"/>
    <w:rsid w:val="00A23B60"/>
    <w:rsid w:val="00A443B9"/>
    <w:rsid w:val="00A55A94"/>
    <w:rsid w:val="00A565FB"/>
    <w:rsid w:val="00A676C3"/>
    <w:rsid w:val="00A705A8"/>
    <w:rsid w:val="00A70C02"/>
    <w:rsid w:val="00A74B71"/>
    <w:rsid w:val="00A97811"/>
    <w:rsid w:val="00AA356B"/>
    <w:rsid w:val="00AB77BD"/>
    <w:rsid w:val="00AE0B43"/>
    <w:rsid w:val="00B05D5D"/>
    <w:rsid w:val="00B568DA"/>
    <w:rsid w:val="00B64264"/>
    <w:rsid w:val="00B76547"/>
    <w:rsid w:val="00B827DE"/>
    <w:rsid w:val="00B837E6"/>
    <w:rsid w:val="00B87761"/>
    <w:rsid w:val="00BA2579"/>
    <w:rsid w:val="00BC74C2"/>
    <w:rsid w:val="00BD0DCA"/>
    <w:rsid w:val="00BE3DCC"/>
    <w:rsid w:val="00C0028B"/>
    <w:rsid w:val="00C154AE"/>
    <w:rsid w:val="00C44C6A"/>
    <w:rsid w:val="00C47E44"/>
    <w:rsid w:val="00C51472"/>
    <w:rsid w:val="00C632F9"/>
    <w:rsid w:val="00C867C9"/>
    <w:rsid w:val="00C900C1"/>
    <w:rsid w:val="00C96BD9"/>
    <w:rsid w:val="00CB280C"/>
    <w:rsid w:val="00CC0A49"/>
    <w:rsid w:val="00CC68ED"/>
    <w:rsid w:val="00CC7549"/>
    <w:rsid w:val="00D00B7E"/>
    <w:rsid w:val="00D02608"/>
    <w:rsid w:val="00D1422D"/>
    <w:rsid w:val="00D23CC1"/>
    <w:rsid w:val="00D251C5"/>
    <w:rsid w:val="00D4681B"/>
    <w:rsid w:val="00D5494F"/>
    <w:rsid w:val="00D70522"/>
    <w:rsid w:val="00D833C7"/>
    <w:rsid w:val="00D83D2C"/>
    <w:rsid w:val="00DC0A82"/>
    <w:rsid w:val="00DC6C8F"/>
    <w:rsid w:val="00DE15B8"/>
    <w:rsid w:val="00DE1A53"/>
    <w:rsid w:val="00DF1713"/>
    <w:rsid w:val="00DF2E9D"/>
    <w:rsid w:val="00DF5940"/>
    <w:rsid w:val="00E00304"/>
    <w:rsid w:val="00E12C84"/>
    <w:rsid w:val="00E26911"/>
    <w:rsid w:val="00E3037B"/>
    <w:rsid w:val="00E40EC7"/>
    <w:rsid w:val="00E635B7"/>
    <w:rsid w:val="00E92CFB"/>
    <w:rsid w:val="00EC1838"/>
    <w:rsid w:val="00EC1970"/>
    <w:rsid w:val="00EC631D"/>
    <w:rsid w:val="00ED20D8"/>
    <w:rsid w:val="00ED50E6"/>
    <w:rsid w:val="00ED7D81"/>
    <w:rsid w:val="00EE4467"/>
    <w:rsid w:val="00EE7750"/>
    <w:rsid w:val="00F165A1"/>
    <w:rsid w:val="00F351D6"/>
    <w:rsid w:val="00F6070E"/>
    <w:rsid w:val="00F93DC4"/>
    <w:rsid w:val="00FC0417"/>
    <w:rsid w:val="00FC4DC9"/>
    <w:rsid w:val="00FC6B41"/>
    <w:rsid w:val="00FC6F35"/>
    <w:rsid w:val="00FD2A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EC900"/>
  <w15:chartTrackingRefBased/>
  <w15:docId w15:val="{384E5770-D232-4A84-A5C2-618B949E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Pr>
      <w:u w:val="dottedHeavy"/>
    </w:rPr>
  </w:style>
  <w:style w:type="character" w:customStyle="1" w:styleId="Acronym">
    <w:name w:val="Acronym"/>
    <w:rPr>
      <w:u w:val="dotted"/>
    </w:rPr>
  </w:style>
  <w:style w:type="paragraph" w:styleId="CommentText">
    <w:name w:val="annotation text"/>
    <w:basedOn w:val="Normal"/>
    <w:link w:val="CommentTextChar"/>
    <w:semiHidden/>
    <w:rPr>
      <w:rFonts w:ascii="Arial" w:hAnsi="Arial"/>
      <w:sz w:val="20"/>
      <w:lang w:val="x-none"/>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pPr>
      <w:spacing w:after="120"/>
      <w:ind w:left="283"/>
    </w:pPr>
    <w:rPr>
      <w:rFonts w:ascii="Arial" w:hAnsi="Arial"/>
      <w:sz w:val="24"/>
      <w:lang w:val="x-none"/>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Pr>
      <w:i/>
    </w:rPr>
  </w:style>
  <w:style w:type="paragraph" w:customStyle="1" w:styleId="DefinitionDescription">
    <w:name w:val="Definition Description"/>
    <w:basedOn w:val="Normal"/>
    <w:next w:val="Normal"/>
    <w:pPr>
      <w:ind w:left="1077"/>
    </w:pPr>
  </w:style>
  <w:style w:type="paragraph" w:customStyle="1" w:styleId="DefinitionTerm">
    <w:name w:val="Definition Term"/>
    <w:basedOn w:val="Normal"/>
    <w:next w:val="DefinitionDescription"/>
    <w:rPr>
      <w:b/>
    </w:rPr>
  </w:style>
  <w:style w:type="paragraph" w:styleId="DocumentMap">
    <w:name w:val="Document Map"/>
    <w:basedOn w:val="Normal"/>
    <w:semiHidden/>
    <w:pPr>
      <w:shd w:val="clear" w:color="auto" w:fill="000080"/>
    </w:pPr>
    <w:rPr>
      <w:rFonts w:ascii="Tahoma" w:hAnsi="Tahoma" w:cs="Tahoma"/>
      <w:sz w:val="20"/>
    </w:rPr>
  </w:style>
  <w:style w:type="character" w:styleId="Emphasis">
    <w:name w:val="Emphasis"/>
    <w:qFormat/>
    <w:rPr>
      <w:i/>
    </w:rPr>
  </w:style>
  <w:style w:type="character" w:styleId="FollowedHyperlink">
    <w:name w:val="FollowedHyperlink"/>
    <w:rPr>
      <w:color w:val="800080"/>
      <w:u w:val="single"/>
    </w:rPr>
  </w:style>
  <w:style w:type="paragraph" w:styleId="Footer">
    <w:name w:val="footer"/>
    <w:basedOn w:val="Normal"/>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rsid w:val="00F351D6"/>
    <w:pPr>
      <w:tabs>
        <w:tab w:val="center" w:pos="4320"/>
        <w:tab w:val="right" w:pos="8640"/>
      </w:tabs>
      <w:spacing w:after="120"/>
    </w:pPr>
    <w:rPr>
      <w:color w:val="333333"/>
      <w:sz w:val="22"/>
      <w:szCs w:val="20"/>
    </w:rPr>
  </w:style>
  <w:style w:type="character" w:styleId="Hyperlink">
    <w:name w:val="Hyperlink"/>
    <w:rPr>
      <w:color w:val="0000FF"/>
      <w:u w:val="single"/>
    </w:rPr>
  </w:style>
  <w:style w:type="paragraph" w:styleId="ListBullet">
    <w:name w:val="List Bullet"/>
    <w:basedOn w:val="Normal"/>
    <w:rsid w:val="007B6238"/>
    <w:pPr>
      <w:numPr>
        <w:numId w:val="1"/>
      </w:numPr>
      <w:spacing w:after="120"/>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pPr>
      <w:spacing w:before="120" w:after="120"/>
      <w:ind w:left="357"/>
    </w:pPr>
  </w:style>
  <w:style w:type="paragraph" w:styleId="ListContinue2">
    <w:name w:val="List Continue 2"/>
    <w:basedOn w:val="Normal"/>
    <w:pPr>
      <w:spacing w:before="60" w:after="60"/>
      <w:ind w:left="641"/>
    </w:pPr>
  </w:style>
  <w:style w:type="paragraph" w:styleId="ListContinue3">
    <w:name w:val="List Continue 3"/>
    <w:basedOn w:val="Normal"/>
    <w:pPr>
      <w:spacing w:before="60" w:after="60"/>
      <w:ind w:left="924"/>
    </w:pPr>
  </w:style>
  <w:style w:type="paragraph" w:styleId="ListNumber">
    <w:name w:val="List Number"/>
    <w:basedOn w:val="Normal"/>
    <w:pPr>
      <w:numPr>
        <w:numId w:val="8"/>
      </w:numPr>
      <w:tabs>
        <w:tab w:val="clear" w:pos="360"/>
      </w:tabs>
      <w:spacing w:after="120"/>
    </w:pPr>
  </w:style>
  <w:style w:type="paragraph" w:styleId="ListNumber2">
    <w:name w:val="List Number 2"/>
    <w:basedOn w:val="Normal"/>
    <w:pPr>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style>
  <w:style w:type="character" w:customStyle="1" w:styleId="Quote1">
    <w:name w:val="Quote1"/>
    <w:rPr>
      <w:i/>
    </w:rPr>
  </w:style>
  <w:style w:type="paragraph" w:styleId="Subtitle">
    <w:name w:val="Subtitle"/>
    <w:basedOn w:val="Normal"/>
    <w:next w:val="Normal"/>
    <w:qFormat/>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pPr>
      <w:spacing w:after="0"/>
    </w:pPr>
    <w:rPr>
      <w:b/>
    </w:rPr>
  </w:style>
  <w:style w:type="paragraph" w:customStyle="1" w:styleId="TableNote">
    <w:name w:val="Table Note"/>
    <w:basedOn w:val="Normal"/>
    <w:next w:val="Normal"/>
    <w:pPr>
      <w:spacing w:before="120"/>
      <w:jc w:val="center"/>
    </w:pPr>
    <w:rPr>
      <w:sz w:val="20"/>
      <w:szCs w:val="20"/>
    </w:rPr>
  </w:style>
  <w:style w:type="paragraph" w:customStyle="1" w:styleId="TableRowHead">
    <w:name w:val="Table Row Head"/>
    <w:basedOn w:val="Normal"/>
    <w:pPr>
      <w:keepNext/>
      <w:spacing w:after="0"/>
    </w:pPr>
    <w:rPr>
      <w:rFonts w:ascii="Arial Bold" w:hAnsi="Arial Bold"/>
      <w:b/>
    </w:rPr>
  </w:style>
  <w:style w:type="paragraph" w:customStyle="1" w:styleId="TableSummary">
    <w:name w:val="Table Summary"/>
    <w:basedOn w:val="Normal"/>
    <w:next w:val="TableHead"/>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table" w:styleId="TableGrid">
    <w:name w:val="Table Grid"/>
    <w:basedOn w:val="TableNormal"/>
    <w:rsid w:val="0059743C"/>
    <w:pPr>
      <w:spacing w:after="240" w:line="36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9C6D6C"/>
    <w:rPr>
      <w:sz w:val="16"/>
      <w:szCs w:val="16"/>
    </w:rPr>
  </w:style>
  <w:style w:type="paragraph" w:styleId="CommentSubject">
    <w:name w:val="annotation subject"/>
    <w:basedOn w:val="CommentText"/>
    <w:next w:val="CommentText"/>
    <w:link w:val="CommentSubjectChar"/>
    <w:rsid w:val="009C6D6C"/>
    <w:rPr>
      <w:rFonts w:ascii="Gill Sans" w:hAnsi="Gill Sans"/>
      <w:b/>
      <w:bCs/>
      <w:szCs w:val="20"/>
      <w:lang w:val="en-IE"/>
    </w:rPr>
  </w:style>
  <w:style w:type="character" w:customStyle="1" w:styleId="CommentSubjectChar">
    <w:name w:val="Comment Subject Char"/>
    <w:link w:val="CommentSubject"/>
    <w:rsid w:val="009C6D6C"/>
    <w:rPr>
      <w:rFonts w:ascii="Gill Sans" w:eastAsia="Times New Roman" w:hAnsi="Gill Sans"/>
      <w:b/>
      <w:bCs/>
      <w:szCs w:val="24"/>
      <w:lang w:eastAsia="en-US"/>
    </w:rPr>
  </w:style>
  <w:style w:type="paragraph" w:styleId="BalloonText">
    <w:name w:val="Balloon Text"/>
    <w:basedOn w:val="Normal"/>
    <w:link w:val="BalloonTextChar"/>
    <w:rsid w:val="009C6D6C"/>
    <w:pPr>
      <w:spacing w:after="0"/>
    </w:pPr>
    <w:rPr>
      <w:rFonts w:ascii="Tahoma" w:hAnsi="Tahoma" w:cs="Tahoma"/>
      <w:sz w:val="16"/>
      <w:szCs w:val="16"/>
    </w:rPr>
  </w:style>
  <w:style w:type="character" w:customStyle="1" w:styleId="BalloonTextChar">
    <w:name w:val="Balloon Text Char"/>
    <w:link w:val="BalloonText"/>
    <w:rsid w:val="009C6D6C"/>
    <w:rPr>
      <w:rFonts w:ascii="Tahoma" w:eastAsia="Times New Roman" w:hAnsi="Tahoma" w:cs="Tahoma"/>
      <w:sz w:val="16"/>
      <w:szCs w:val="16"/>
      <w:lang w:eastAsia="en-US"/>
    </w:rPr>
  </w:style>
  <w:style w:type="paragraph" w:styleId="ListParagraph">
    <w:name w:val="List Paragraph"/>
    <w:basedOn w:val="Normal"/>
    <w:uiPriority w:val="34"/>
    <w:qFormat/>
    <w:rsid w:val="008925F1"/>
    <w:pPr>
      <w:ind w:left="720"/>
      <w:contextualSpacing/>
    </w:pPr>
  </w:style>
  <w:style w:type="paragraph" w:styleId="Revision">
    <w:name w:val="Revision"/>
    <w:hidden/>
    <w:uiPriority w:val="99"/>
    <w:semiHidden/>
    <w:rsid w:val="008E2168"/>
    <w:rPr>
      <w:rFonts w:ascii="Gill Sans" w:eastAsia="Times New Roman" w:hAnsi="Gill Sans"/>
      <w:sz w:val="2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mmccabe@nda.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E3BF3-59D7-4BA9-82C0-3A5A6BC1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0</TotalTime>
  <Pages>8</Pages>
  <Words>1962</Words>
  <Characters>11188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NDA Research Promotion Scheme 2013</vt:lpstr>
    </vt:vector>
  </TitlesOfParts>
  <Company>National Disability Authority</Company>
  <LinksUpToDate>false</LinksUpToDate>
  <CharactersWithSpaces>13124</CharactersWithSpaces>
  <SharedDoc>false</SharedDoc>
  <HLinks>
    <vt:vector size="6" baseType="variant">
      <vt:variant>
        <vt:i4>8061001</vt:i4>
      </vt:variant>
      <vt:variant>
        <vt:i4>0</vt:i4>
      </vt:variant>
      <vt:variant>
        <vt:i4>0</vt:i4>
      </vt:variant>
      <vt:variant>
        <vt:i4>5</vt:i4>
      </vt:variant>
      <vt:variant>
        <vt:lpwstr>mailto:dmomalley@nda.ie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 Research Promotion Scheme 2013</dc:title>
  <dc:subject/>
  <dc:creator>fitzgerem</dc:creator>
  <cp:keywords/>
  <cp:lastModifiedBy>Kate M. McCabe</cp:lastModifiedBy>
  <cp:revision>2</cp:revision>
  <cp:lastPrinted>2017-06-27T13:17:00Z</cp:lastPrinted>
  <dcterms:created xsi:type="dcterms:W3CDTF">2017-07-06T08:26:00Z</dcterms:created>
  <dcterms:modified xsi:type="dcterms:W3CDTF">2017-07-06T08:26:00Z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_IntOfficeMacros">
    <vt:lpwstr>Disabled</vt:lpwstr>
  </property>
  <property fmtid="{D5CDD505-2E9C-101B-9397-08002B2CF9AE}" pid="3" name="SW_CustomTitle">
    <vt:lpwstr/>
  </property>
</Properties>
</file>