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6A013" w14:textId="2EF33ED9" w:rsidR="008D4F5F" w:rsidRPr="008D4F5F" w:rsidRDefault="0059743C" w:rsidP="008D4F5F">
      <w:pPr>
        <w:pStyle w:val="Title"/>
        <w:spacing w:after="240"/>
      </w:pPr>
      <w:r w:rsidRPr="002E3CB4">
        <w:t>NDA Research Promotion Scheme</w:t>
      </w:r>
      <w:r w:rsidR="007E7927">
        <w:t xml:space="preserve"> </w:t>
      </w:r>
      <w:r w:rsidR="008D4F5F">
        <w:t>General Terms and Guidelines</w:t>
      </w:r>
    </w:p>
    <w:p w14:paraId="7BB6CB0C" w14:textId="444E7C0A" w:rsidR="0059743C" w:rsidRPr="008D4F5F" w:rsidRDefault="003B0128" w:rsidP="008D4F5F">
      <w:pPr>
        <w:pStyle w:val="Heading1"/>
        <w:rPr>
          <w:color w:val="BF2296"/>
        </w:rPr>
      </w:pPr>
      <w:r w:rsidRPr="008D4F5F">
        <w:rPr>
          <w:color w:val="BF2296"/>
        </w:rPr>
        <w:t xml:space="preserve">1. </w:t>
      </w:r>
      <w:r w:rsidR="0059743C" w:rsidRPr="008D4F5F">
        <w:rPr>
          <w:color w:val="BF2296"/>
        </w:rPr>
        <w:t>Introduction</w:t>
      </w:r>
    </w:p>
    <w:p w14:paraId="2E98742F" w14:textId="0F3EE51C" w:rsidR="002C621B" w:rsidRPr="005F00D0" w:rsidRDefault="002C621B" w:rsidP="002C621B">
      <w:pPr>
        <w:rPr>
          <w:lang w:val="en-US"/>
        </w:rPr>
      </w:pPr>
      <w:r w:rsidRPr="002D3234">
        <w:rPr>
          <w:lang w:val="en-US"/>
        </w:rPr>
        <w:t>The National Disability Authority (NDA) is an independent statutory body which was established to provide evidence-based expert advice to the Government on disability policy and practice</w:t>
      </w:r>
      <w:r>
        <w:rPr>
          <w:lang w:val="en-US"/>
        </w:rPr>
        <w:t xml:space="preserve"> </w:t>
      </w:r>
      <w:r w:rsidRPr="008925F1">
        <w:rPr>
          <w:lang w:val="en-US"/>
        </w:rPr>
        <w:t>and to promote Universal Design in Ireland</w:t>
      </w:r>
      <w:r w:rsidR="000E5557">
        <w:rPr>
          <w:lang w:val="en-US"/>
        </w:rPr>
        <w:t xml:space="preserve">. </w:t>
      </w:r>
      <w:r w:rsidRPr="002D3234">
        <w:rPr>
          <w:lang w:val="en-US"/>
        </w:rPr>
        <w:t xml:space="preserve"> </w:t>
      </w:r>
    </w:p>
    <w:p w14:paraId="3667DFBD" w14:textId="77777777" w:rsidR="008D4F5F" w:rsidRDefault="008D4F5F" w:rsidP="008D4F5F">
      <w:r>
        <w:t>Including disability in</w:t>
      </w:r>
      <w:r w:rsidRPr="008D4F5F">
        <w:t xml:space="preserve"> research is a key strategic priority for the National Disability Authority (NDA). The</w:t>
      </w:r>
      <w:r>
        <w:t xml:space="preserve"> Research Promotion Scheme aims to deliver quality new research on specific themes relating to disability. This scheme runs every two years, subject to funding.</w:t>
      </w:r>
    </w:p>
    <w:p w14:paraId="585BA3C4" w14:textId="53B4D4DE" w:rsidR="0059743C" w:rsidRDefault="0059743C" w:rsidP="0059743C">
      <w:pPr>
        <w:pStyle w:val="Heading1"/>
      </w:pPr>
      <w:r w:rsidRPr="0091064D">
        <w:rPr>
          <w:color w:val="BF2296"/>
        </w:rPr>
        <w:t>2</w:t>
      </w:r>
      <w:r w:rsidR="000E5557">
        <w:rPr>
          <w:color w:val="BF2296"/>
        </w:rPr>
        <w:t xml:space="preserve">. </w:t>
      </w:r>
      <w:r w:rsidR="00DE1A53" w:rsidRPr="0091064D">
        <w:rPr>
          <w:color w:val="BF2296"/>
        </w:rPr>
        <w:t>Application process</w:t>
      </w:r>
    </w:p>
    <w:p w14:paraId="4EA67FA0" w14:textId="16C096B9" w:rsidR="00E00304" w:rsidRDefault="00DE1A53" w:rsidP="00E00304">
      <w:r w:rsidRPr="005F00D0">
        <w:t>Applicati</w:t>
      </w:r>
      <w:r>
        <w:t>ons</w:t>
      </w:r>
      <w:r w:rsidRPr="005F00D0">
        <w:t xml:space="preserve"> for funding are required to use the standard </w:t>
      </w:r>
      <w:r w:rsidRPr="004F622F">
        <w:t>RPS</w:t>
      </w:r>
      <w:r w:rsidR="001E45F0">
        <w:t xml:space="preserve"> </w:t>
      </w:r>
      <w:r w:rsidRPr="005F00D0">
        <w:t xml:space="preserve">Application Form, which should be read in conjunction with </w:t>
      </w:r>
      <w:r w:rsidR="00DE302E">
        <w:t>th</w:t>
      </w:r>
      <w:r w:rsidR="001E45F0">
        <w:t>e Call for Proposals</w:t>
      </w:r>
      <w:r w:rsidR="00DE302E">
        <w:t xml:space="preserve"> document</w:t>
      </w:r>
      <w:r w:rsidR="001E45F0">
        <w:t xml:space="preserve"> (</w:t>
      </w:r>
      <w:proofErr w:type="gramStart"/>
      <w:r w:rsidR="002C66A7">
        <w:t>available</w:t>
      </w:r>
      <w:proofErr w:type="gramEnd"/>
      <w:r w:rsidR="002C66A7">
        <w:t xml:space="preserve"> </w:t>
      </w:r>
      <w:r w:rsidR="001E45F0">
        <w:t>at the time of the Scheme launch)</w:t>
      </w:r>
      <w:r w:rsidRPr="005F00D0">
        <w:t xml:space="preserve">. </w:t>
      </w:r>
    </w:p>
    <w:p w14:paraId="5FA5ADC4" w14:textId="58D28E88" w:rsidR="0059743C" w:rsidRPr="00CB7FF1" w:rsidRDefault="0059743C" w:rsidP="0059743C">
      <w:r w:rsidRPr="00077F2D">
        <w:t xml:space="preserve">The </w:t>
      </w:r>
      <w:r w:rsidR="001E45F0">
        <w:t>application process from the Call for Proposals through to evaluation, interviews and award stage takes approximately 6-8 weeks.</w:t>
      </w:r>
    </w:p>
    <w:p w14:paraId="0CE4BC13" w14:textId="77777777" w:rsidR="003230F8" w:rsidRPr="0091064D" w:rsidRDefault="003230F8" w:rsidP="003230F8">
      <w:pPr>
        <w:pStyle w:val="Heading1"/>
        <w:rPr>
          <w:color w:val="BF2296"/>
        </w:rPr>
      </w:pPr>
      <w:r w:rsidRPr="0091064D">
        <w:rPr>
          <w:color w:val="BF2296"/>
        </w:rPr>
        <w:t>3. Eligibility</w:t>
      </w:r>
    </w:p>
    <w:p w14:paraId="3E0FD648" w14:textId="5D75AAD7" w:rsidR="003230F8" w:rsidRPr="003230F8" w:rsidRDefault="003230F8" w:rsidP="003230F8">
      <w:pPr>
        <w:spacing w:after="120"/>
      </w:pPr>
      <w:r w:rsidRPr="003230F8">
        <w:t xml:space="preserve">Proposals </w:t>
      </w:r>
      <w:r w:rsidR="002C66A7">
        <w:t>under</w:t>
      </w:r>
      <w:r w:rsidR="001E45F0">
        <w:t xml:space="preserve"> the Research promotion Scheme </w:t>
      </w:r>
      <w:r w:rsidRPr="003230F8">
        <w:t xml:space="preserve">are </w:t>
      </w:r>
      <w:r w:rsidR="003F53C8">
        <w:t>invited</w:t>
      </w:r>
      <w:r w:rsidRPr="003230F8">
        <w:t xml:space="preserve"> from the following: </w:t>
      </w:r>
    </w:p>
    <w:p w14:paraId="009C5689" w14:textId="77777777" w:rsidR="003230F8" w:rsidRPr="003230F8" w:rsidRDefault="003230F8" w:rsidP="002C66A7">
      <w:pPr>
        <w:pStyle w:val="ListBullet"/>
        <w:ind w:left="357" w:hanging="357"/>
      </w:pPr>
      <w:r w:rsidRPr="003230F8">
        <w:t xml:space="preserve">research institutions and agencies </w:t>
      </w:r>
    </w:p>
    <w:p w14:paraId="08B07919" w14:textId="77777777" w:rsidR="003230F8" w:rsidRPr="003230F8" w:rsidRDefault="003230F8" w:rsidP="002C66A7">
      <w:pPr>
        <w:pStyle w:val="ListBullet"/>
        <w:ind w:left="357" w:hanging="357"/>
      </w:pPr>
      <w:r w:rsidRPr="003230F8">
        <w:t xml:space="preserve">academic departments in recognised third-level institutions </w:t>
      </w:r>
    </w:p>
    <w:p w14:paraId="44BD7A9C" w14:textId="7B0C0527" w:rsidR="00B07402" w:rsidRDefault="00B07402" w:rsidP="002C66A7">
      <w:pPr>
        <w:pStyle w:val="ListBullet"/>
        <w:ind w:left="357" w:hanging="357"/>
      </w:pPr>
      <w:r w:rsidRPr="00ED689D">
        <w:t>DPOs</w:t>
      </w:r>
    </w:p>
    <w:p w14:paraId="752277D1" w14:textId="17FFA083" w:rsidR="00B827DE" w:rsidRPr="00E92CFB" w:rsidRDefault="00ED7D81" w:rsidP="002C66A7">
      <w:pPr>
        <w:pStyle w:val="ListBullet"/>
        <w:numPr>
          <w:ilvl w:val="0"/>
          <w:numId w:val="17"/>
        </w:numPr>
        <w:ind w:left="357" w:hanging="357"/>
      </w:pPr>
      <w:r w:rsidRPr="00E92CFB">
        <w:t>representatives of user/advocacy</w:t>
      </w:r>
      <w:r w:rsidR="00B827DE" w:rsidRPr="00E92CFB">
        <w:t xml:space="preserve"> groups</w:t>
      </w:r>
    </w:p>
    <w:p w14:paraId="465B7A0F" w14:textId="77777777" w:rsidR="00B827DE" w:rsidRDefault="008925F1" w:rsidP="002C66A7">
      <w:pPr>
        <w:pStyle w:val="ListBullet"/>
        <w:numPr>
          <w:ilvl w:val="0"/>
          <w:numId w:val="17"/>
        </w:numPr>
        <w:ind w:left="357" w:hanging="357"/>
      </w:pPr>
      <w:r w:rsidRPr="003F53C8">
        <w:t>service providers</w:t>
      </w:r>
    </w:p>
    <w:p w14:paraId="7A8AC36A" w14:textId="3FA5C20E" w:rsidR="00E15AC2" w:rsidRDefault="00E15AC2" w:rsidP="003230F8">
      <w:r w:rsidRPr="00E15AC2">
        <w:t xml:space="preserve">The </w:t>
      </w:r>
      <w:r w:rsidR="00ED689D">
        <w:t xml:space="preserve">scheme is </w:t>
      </w:r>
      <w:r w:rsidRPr="00E15AC2">
        <w:t xml:space="preserve">open to researchers based throughout </w:t>
      </w:r>
      <w:proofErr w:type="gramStart"/>
      <w:r w:rsidRPr="00E15AC2">
        <w:t>Europe</w:t>
      </w:r>
      <w:proofErr w:type="gramEnd"/>
      <w:r w:rsidRPr="00E15AC2">
        <w:t xml:space="preserve"> </w:t>
      </w:r>
      <w:r w:rsidR="00B07402">
        <w:t>but</w:t>
      </w:r>
      <w:r w:rsidR="00B07402" w:rsidRPr="00E15AC2">
        <w:t xml:space="preserve"> </w:t>
      </w:r>
      <w:r w:rsidRPr="00E15AC2">
        <w:t xml:space="preserve">the research findings </w:t>
      </w:r>
      <w:r w:rsidR="00B07402">
        <w:t>must</w:t>
      </w:r>
      <w:r w:rsidR="00B07402" w:rsidRPr="00E15AC2">
        <w:t xml:space="preserve"> </w:t>
      </w:r>
      <w:r w:rsidRPr="00E15AC2">
        <w:t xml:space="preserve">have application in Ireland. </w:t>
      </w:r>
    </w:p>
    <w:p w14:paraId="41567F14" w14:textId="3EA0F249" w:rsidR="002C66A7" w:rsidRPr="003230F8" w:rsidRDefault="003230F8" w:rsidP="003230F8">
      <w:r w:rsidRPr="003230F8">
        <w:lastRenderedPageBreak/>
        <w:t xml:space="preserve">NDA encourages proposals prepared by partner agencies/ organisations/ institutions who wish to work in collaboration. However, joint applications must </w:t>
      </w:r>
      <w:proofErr w:type="gramStart"/>
      <w:r w:rsidRPr="003230F8">
        <w:t>indicate clearly</w:t>
      </w:r>
      <w:proofErr w:type="gramEnd"/>
      <w:r w:rsidRPr="003230F8">
        <w:t xml:space="preserve"> the involvement of all different partners and stakeholders in the design, planning, implementation and dissemination of the research. </w:t>
      </w:r>
    </w:p>
    <w:p w14:paraId="197A77CB" w14:textId="74DC8F17" w:rsidR="003230F8" w:rsidRPr="002C66A7" w:rsidRDefault="002C66A7" w:rsidP="002C66A7">
      <w:pPr>
        <w:pStyle w:val="Heading1"/>
        <w:rPr>
          <w:color w:val="BF2296"/>
        </w:rPr>
      </w:pPr>
      <w:r>
        <w:rPr>
          <w:color w:val="BF2296"/>
        </w:rPr>
        <w:t xml:space="preserve">4. </w:t>
      </w:r>
      <w:r w:rsidR="003230F8" w:rsidRPr="002C66A7">
        <w:rPr>
          <w:color w:val="BF2296"/>
        </w:rPr>
        <w:t>Essential criteria</w:t>
      </w:r>
    </w:p>
    <w:p w14:paraId="0A52676A" w14:textId="77777777" w:rsidR="00021B6F" w:rsidRPr="00021B6F" w:rsidRDefault="00021B6F" w:rsidP="00021B6F">
      <w:r>
        <w:t>Only proposals meeting the following essential criteria will be considered:</w:t>
      </w:r>
    </w:p>
    <w:p w14:paraId="1655F79F" w14:textId="77777777" w:rsidR="003F53C8" w:rsidRDefault="008925F1" w:rsidP="00897935">
      <w:pPr>
        <w:pStyle w:val="Heading2"/>
      </w:pPr>
      <w:r w:rsidRPr="00E92CFB">
        <w:t>Contribution to Research</w:t>
      </w:r>
    </w:p>
    <w:p w14:paraId="7B094562" w14:textId="77777777" w:rsidR="008925F1" w:rsidRDefault="008925F1" w:rsidP="003F53C8">
      <w:pPr>
        <w:spacing w:after="0"/>
      </w:pPr>
      <w:r>
        <w:t>The proposed research must be original and should not duplicate research already conducted.</w:t>
      </w:r>
    </w:p>
    <w:p w14:paraId="18E26E8D" w14:textId="55125984" w:rsidR="00BE1426" w:rsidRDefault="008925F1" w:rsidP="004278D7">
      <w:pPr>
        <w:spacing w:before="240" w:after="0"/>
      </w:pPr>
      <w:r>
        <w:t xml:space="preserve">The research should contribute to the existing knowledge base and advance existing scholarship. </w:t>
      </w:r>
    </w:p>
    <w:p w14:paraId="7A10F72C" w14:textId="77777777" w:rsidR="008925F1" w:rsidRDefault="008925F1" w:rsidP="004278D7">
      <w:pPr>
        <w:spacing w:before="240" w:after="0"/>
      </w:pPr>
      <w:r>
        <w:t>The proposed research must inform the development of relevant policies.</w:t>
      </w:r>
    </w:p>
    <w:p w14:paraId="2AA9BF9F" w14:textId="5D57024F" w:rsidR="00C465E0" w:rsidRPr="00C465E0" w:rsidRDefault="007B76FE" w:rsidP="00C465E0">
      <w:pPr>
        <w:pStyle w:val="NormalAfterList"/>
      </w:pPr>
      <w:r>
        <w:t>The research should be based on sound evidence, of sufficient scale to allow some generalisability of findings, or indicate directions for further consideration.</w:t>
      </w:r>
    </w:p>
    <w:p w14:paraId="010D4327" w14:textId="77777777" w:rsidR="00021B6F" w:rsidRDefault="00021B6F" w:rsidP="00897935">
      <w:pPr>
        <w:pStyle w:val="Heading2"/>
      </w:pPr>
      <w:r>
        <w:t>Ability to complete research in timeframe</w:t>
      </w:r>
    </w:p>
    <w:p w14:paraId="74D5CD5C" w14:textId="653E9F13" w:rsidR="00021B6F" w:rsidRDefault="00021B6F" w:rsidP="00E44148">
      <w:pPr>
        <w:pStyle w:val="NormalAfterList"/>
        <w:rPr>
          <w:b/>
        </w:rPr>
      </w:pPr>
      <w:r w:rsidRPr="00021B6F">
        <w:t xml:space="preserve">Only organisations which can deliver a satisfactory final draft report on the research </w:t>
      </w:r>
      <w:r w:rsidR="00C465E0">
        <w:t>within</w:t>
      </w:r>
      <w:r w:rsidRPr="00ED689D">
        <w:t xml:space="preserve"> </w:t>
      </w:r>
      <w:r w:rsidR="00ED689D" w:rsidRPr="00ED689D">
        <w:t xml:space="preserve">the </w:t>
      </w:r>
      <w:r w:rsidR="00C465E0">
        <w:rPr>
          <w:b/>
        </w:rPr>
        <w:t>timeframe specified</w:t>
      </w:r>
      <w:r w:rsidRPr="00ED689D">
        <w:t xml:space="preserve"> will </w:t>
      </w:r>
      <w:r w:rsidRPr="00021B6F">
        <w:t xml:space="preserve">be eligible for consideration. </w:t>
      </w:r>
    </w:p>
    <w:p w14:paraId="49344A58" w14:textId="77777777" w:rsidR="00DC6C8F" w:rsidRDefault="00DC6C8F" w:rsidP="00897935">
      <w:pPr>
        <w:pStyle w:val="Heading2"/>
      </w:pPr>
      <w:r w:rsidRPr="00C465E0">
        <w:rPr>
          <w:highlight w:val="yellow"/>
        </w:rPr>
        <w:t>System of research supervision and review in place</w:t>
      </w:r>
    </w:p>
    <w:p w14:paraId="7614E403" w14:textId="77BCB4F2" w:rsidR="00DC6C8F" w:rsidRPr="00DC6C8F" w:rsidRDefault="00897935" w:rsidP="00DC6C8F">
      <w:r>
        <w:t xml:space="preserve">The NDA will require project grantees to </w:t>
      </w:r>
      <w:r w:rsidRPr="00042F95">
        <w:t xml:space="preserve">have a system in place that will provide support, </w:t>
      </w:r>
      <w:proofErr w:type="gramStart"/>
      <w:r w:rsidRPr="00042F95">
        <w:t>guidance</w:t>
      </w:r>
      <w:proofErr w:type="gramEnd"/>
      <w:r w:rsidRPr="00042F95">
        <w:t xml:space="preserve"> and review of </w:t>
      </w:r>
      <w:r>
        <w:t xml:space="preserve">the research, </w:t>
      </w:r>
      <w:r w:rsidRPr="00042F95">
        <w:t>for example</w:t>
      </w:r>
      <w:r>
        <w:t>,</w:t>
      </w:r>
      <w:r w:rsidRPr="00042F95">
        <w:t xml:space="preserve"> </w:t>
      </w:r>
      <w:r>
        <w:t xml:space="preserve">through </w:t>
      </w:r>
      <w:r w:rsidRPr="00042F95">
        <w:t>a research advisory committee.</w:t>
      </w:r>
      <w:r>
        <w:t xml:space="preserve"> </w:t>
      </w:r>
      <w:r w:rsidR="00DC6C8F">
        <w:t xml:space="preserve">While the NDA will review the quality of the final report as a condition of payment, we are not </w:t>
      </w:r>
      <w:proofErr w:type="gramStart"/>
      <w:r w:rsidR="00DC6C8F">
        <w:t>in a position</w:t>
      </w:r>
      <w:proofErr w:type="gramEnd"/>
      <w:r w:rsidR="00DC6C8F">
        <w:t xml:space="preserve"> to provide ongoing supervision of the work in progress</w:t>
      </w:r>
      <w:r>
        <w:t>.</w:t>
      </w:r>
      <w:r w:rsidR="00ED689D">
        <w:t xml:space="preserve"> </w:t>
      </w:r>
      <w:r w:rsidR="007B76FE">
        <w:t xml:space="preserve">The NDA expects the final research submitted to meet its Quality </w:t>
      </w:r>
      <w:r w:rsidR="000E5557">
        <w:t>Guidelines for Research</w:t>
      </w:r>
      <w:r w:rsidR="007B76FE">
        <w:t xml:space="preserve"> as set out in </w:t>
      </w:r>
      <w:r w:rsidR="0067255A">
        <w:t>Appendix B of this document</w:t>
      </w:r>
      <w:r w:rsidR="007B76FE">
        <w:t>.</w:t>
      </w:r>
    </w:p>
    <w:p w14:paraId="1A7C4353" w14:textId="77777777" w:rsidR="003230F8" w:rsidRDefault="003230F8" w:rsidP="00897935">
      <w:pPr>
        <w:pStyle w:val="Heading2"/>
      </w:pPr>
      <w:r>
        <w:t>Tax clearance certificate</w:t>
      </w:r>
    </w:p>
    <w:p w14:paraId="2C2F80EC" w14:textId="1F7AACD3" w:rsidR="003230F8" w:rsidRDefault="003230F8" w:rsidP="003230F8">
      <w:pPr>
        <w:rPr>
          <w:iCs/>
        </w:rPr>
      </w:pPr>
      <w:r w:rsidRPr="003230F8">
        <w:rPr>
          <w:iCs/>
        </w:rPr>
        <w:t xml:space="preserve">Successful applicants will be required to provide </w:t>
      </w:r>
      <w:r w:rsidRPr="00DE15B8">
        <w:rPr>
          <w:iCs/>
        </w:rPr>
        <w:t>Tax Clearance Certificates</w:t>
      </w:r>
      <w:r w:rsidR="00C465E0">
        <w:rPr>
          <w:iCs/>
        </w:rPr>
        <w:t xml:space="preserve"> or Tax Access Number</w:t>
      </w:r>
      <w:r w:rsidRPr="003230F8">
        <w:rPr>
          <w:iCs/>
        </w:rPr>
        <w:t xml:space="preserve"> to the NDA; </w:t>
      </w:r>
      <w:proofErr w:type="gramStart"/>
      <w:r w:rsidRPr="003230F8">
        <w:rPr>
          <w:iCs/>
        </w:rPr>
        <w:t>otherwise</w:t>
      </w:r>
      <w:proofErr w:type="gramEnd"/>
      <w:r w:rsidRPr="003230F8">
        <w:rPr>
          <w:iCs/>
        </w:rPr>
        <w:t xml:space="preserve"> funding cannot be provided. Organisations should ensure these are in order before submitting their application to avoid unnecessary delay in allocating funding.</w:t>
      </w:r>
    </w:p>
    <w:p w14:paraId="3571B94C" w14:textId="77777777" w:rsidR="00804E73" w:rsidRDefault="00804E73" w:rsidP="00897935">
      <w:pPr>
        <w:pStyle w:val="Heading2"/>
      </w:pPr>
      <w:r>
        <w:lastRenderedPageBreak/>
        <w:t xml:space="preserve">Satisfies conditions set in EU rules </w:t>
      </w:r>
    </w:p>
    <w:p w14:paraId="66DE7119" w14:textId="2E310FD8" w:rsidR="00804E73" w:rsidRDefault="00804E73" w:rsidP="00804E73">
      <w:r>
        <w:t>Under EU rules, applicants will be ruled out if any of the circumstances listed in paragraph 1 of Article 45 of EU Directive 2004/</w:t>
      </w:r>
      <w:r w:rsidR="00C465E0">
        <w:t xml:space="preserve">18/EC of 31st March 2004 apply. </w:t>
      </w:r>
      <w:r>
        <w:t xml:space="preserve">Broadly, these circumstances are bankruptcy, professional </w:t>
      </w:r>
      <w:proofErr w:type="gramStart"/>
      <w:r>
        <w:t>misconduct</w:t>
      </w:r>
      <w:proofErr w:type="gramEnd"/>
      <w:r>
        <w:t xml:space="preserve"> and failure to pay taxes or soci</w:t>
      </w:r>
      <w:r w:rsidR="002C66A7">
        <w:t>al security contributions.</w:t>
      </w:r>
    </w:p>
    <w:p w14:paraId="7EA5B9C6" w14:textId="77777777" w:rsidR="0056669B" w:rsidRDefault="0056669B" w:rsidP="00897935">
      <w:pPr>
        <w:pStyle w:val="Heading2"/>
      </w:pPr>
      <w:r>
        <w:t>Received within deadline</w:t>
      </w:r>
    </w:p>
    <w:p w14:paraId="36D4DE23" w14:textId="77777777" w:rsidR="0056669B" w:rsidRDefault="0056669B" w:rsidP="0056669B">
      <w:r>
        <w:t>Only proposals that have been received within the deadline will be considered.</w:t>
      </w:r>
    </w:p>
    <w:p w14:paraId="1F5AAC46" w14:textId="58FBE900" w:rsidR="00854C24" w:rsidRDefault="00854C24" w:rsidP="00854C24">
      <w:pPr>
        <w:rPr>
          <w:b/>
        </w:rPr>
      </w:pPr>
      <w:r w:rsidRPr="003230F8">
        <w:rPr>
          <w:b/>
        </w:rPr>
        <w:t>Note:</w:t>
      </w:r>
      <w:r w:rsidRPr="003230F8">
        <w:t xml:space="preserve"> </w:t>
      </w:r>
      <w:r w:rsidRPr="00484EEF">
        <w:rPr>
          <w:b/>
        </w:rPr>
        <w:t>This is not a scholarship scheme and is not designed for students.</w:t>
      </w:r>
    </w:p>
    <w:p w14:paraId="06E5BA42" w14:textId="6DE41D85" w:rsidR="002C66A7" w:rsidRPr="002C66A7" w:rsidRDefault="00897935" w:rsidP="002C66A7">
      <w:pPr>
        <w:pStyle w:val="Heading1"/>
        <w:rPr>
          <w:color w:val="BF2296"/>
        </w:rPr>
      </w:pPr>
      <w:r>
        <w:rPr>
          <w:color w:val="BF2296"/>
        </w:rPr>
        <w:t xml:space="preserve">5. </w:t>
      </w:r>
      <w:r w:rsidR="002C66A7" w:rsidRPr="002C66A7">
        <w:rPr>
          <w:color w:val="BF2296"/>
        </w:rPr>
        <w:t>Deliverables</w:t>
      </w:r>
    </w:p>
    <w:p w14:paraId="362727F4" w14:textId="77777777" w:rsidR="002C66A7" w:rsidRDefault="002C66A7" w:rsidP="002C66A7">
      <w:pPr>
        <w:spacing w:after="120"/>
      </w:pPr>
      <w:r>
        <w:t>Successful applicants will be required to</w:t>
      </w:r>
    </w:p>
    <w:p w14:paraId="17349B67" w14:textId="129F6B46" w:rsidR="002C66A7" w:rsidRDefault="002C66A7" w:rsidP="002C66A7">
      <w:pPr>
        <w:pStyle w:val="ListBullet"/>
      </w:pPr>
      <w:r>
        <w:t>undertake a piece of research relevant to the theme, with a strong evidence-base and meeting NDA’s Quality Guidelines for NDA Research</w:t>
      </w:r>
      <w:r w:rsidR="00897935">
        <w:rPr>
          <w:rStyle w:val="FootnoteReference"/>
        </w:rPr>
        <w:footnoteReference w:id="1"/>
      </w:r>
    </w:p>
    <w:p w14:paraId="583A7723" w14:textId="1A8D5394" w:rsidR="002C66A7" w:rsidRDefault="002C66A7" w:rsidP="002C66A7">
      <w:pPr>
        <w:pStyle w:val="ListBullet"/>
      </w:pPr>
      <w:r>
        <w:t>write a report of the research, to a publishable standard, meeting NDA’s Corporate style and accessibility standards</w:t>
      </w:r>
      <w:r w:rsidR="00897935">
        <w:rPr>
          <w:rStyle w:val="FootnoteReference"/>
        </w:rPr>
        <w:footnoteReference w:id="2"/>
      </w:r>
    </w:p>
    <w:p w14:paraId="55F966CF" w14:textId="77777777" w:rsidR="002C66A7" w:rsidRDefault="002C66A7" w:rsidP="002C66A7">
      <w:pPr>
        <w:pStyle w:val="ListBullet"/>
      </w:pPr>
      <w:r>
        <w:t>develop a strategy for dissemination of the research to key target audiences including policy makers, service providers and academics</w:t>
      </w:r>
    </w:p>
    <w:p w14:paraId="5BE9FF05" w14:textId="77777777" w:rsidR="002C66A7" w:rsidRDefault="002C66A7" w:rsidP="002C66A7">
      <w:pPr>
        <w:pStyle w:val="ListBullet"/>
      </w:pPr>
      <w:r>
        <w:t>give a seminar in the NDA (via webinar or in-person)</w:t>
      </w:r>
    </w:p>
    <w:p w14:paraId="3AE94B44" w14:textId="112D4929" w:rsidR="002C66A7" w:rsidRPr="00854C24" w:rsidRDefault="002C66A7" w:rsidP="002C66A7">
      <w:pPr>
        <w:pStyle w:val="ListBullet"/>
        <w:numPr>
          <w:ilvl w:val="0"/>
          <w:numId w:val="0"/>
        </w:numPr>
      </w:pPr>
      <w:r>
        <w:t>Strategic Priority 4 of the NDA Strategic Plan 2022-24 states that the NDA will cultivate</w:t>
      </w:r>
      <w:r w:rsidRPr="008127CA">
        <w:t xml:space="preserve"> strong and open processes to engage and consult with persons with disabilities in the wider disability community.</w:t>
      </w:r>
      <w:r>
        <w:t xml:space="preserve"> Proposals that will include direct and meaningful consultation with persons with disabilities and particularly those that include persons with disabilities in the research process are particularly welcome. </w:t>
      </w:r>
    </w:p>
    <w:p w14:paraId="53267A44" w14:textId="77777777" w:rsidR="002C66A7" w:rsidRPr="003230F8" w:rsidRDefault="002C66A7" w:rsidP="00854C24"/>
    <w:p w14:paraId="2B819192" w14:textId="01AE8B91" w:rsidR="0056669B" w:rsidRPr="0091064D" w:rsidRDefault="00897935" w:rsidP="0056669B">
      <w:pPr>
        <w:pStyle w:val="Heading1"/>
        <w:rPr>
          <w:color w:val="BF2296"/>
        </w:rPr>
      </w:pPr>
      <w:r>
        <w:rPr>
          <w:color w:val="BF2296"/>
        </w:rPr>
        <w:lastRenderedPageBreak/>
        <w:t>6</w:t>
      </w:r>
      <w:r w:rsidR="0056669B" w:rsidRPr="0091064D">
        <w:rPr>
          <w:color w:val="BF2296"/>
        </w:rPr>
        <w:t>. Funding</w:t>
      </w:r>
    </w:p>
    <w:p w14:paraId="1B86B310" w14:textId="77777777" w:rsidR="0056669B" w:rsidRPr="00F42E09" w:rsidRDefault="0056669B" w:rsidP="0056669B">
      <w:pPr>
        <w:pStyle w:val="Heading2"/>
      </w:pPr>
      <w:r w:rsidRPr="00F42E09">
        <w:t>Use of Funding</w:t>
      </w:r>
    </w:p>
    <w:p w14:paraId="6BC8C891" w14:textId="33CC582F" w:rsidR="00C465E0" w:rsidRPr="00B04ABA" w:rsidRDefault="0056669B" w:rsidP="00C465E0">
      <w:r>
        <w:t xml:space="preserve">Research Promotion Scheme funding may only be used towards the </w:t>
      </w:r>
      <w:r w:rsidRPr="00A45725">
        <w:rPr>
          <w:b/>
        </w:rPr>
        <w:t>current</w:t>
      </w:r>
      <w:r>
        <w:t xml:space="preserve"> expenditure associated with </w:t>
      </w:r>
      <w:r w:rsidRPr="00F93DC4">
        <w:t xml:space="preserve">the </w:t>
      </w:r>
      <w:r w:rsidR="00CC0A49" w:rsidRPr="00F93DC4">
        <w:t xml:space="preserve">direct </w:t>
      </w:r>
      <w:r w:rsidRPr="00F93DC4">
        <w:t>costs</w:t>
      </w:r>
      <w:r>
        <w:t xml:space="preserve"> of the research process, including additional personnel, hired specifically and exclusively to work on the funded research</w:t>
      </w:r>
      <w:r w:rsidR="002C66A7">
        <w:t>.</w:t>
      </w:r>
    </w:p>
    <w:sectPr w:rsidR="00C465E0" w:rsidRPr="00B04ABA" w:rsidSect="00FC6B41">
      <w:headerReference w:type="default" r:id="rId8"/>
      <w:footerReference w:type="default" r:id="rId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3C004" w14:textId="77777777" w:rsidR="00CC37D9" w:rsidRDefault="00CC37D9">
      <w:r>
        <w:separator/>
      </w:r>
    </w:p>
  </w:endnote>
  <w:endnote w:type="continuationSeparator" w:id="0">
    <w:p w14:paraId="69365C0D" w14:textId="77777777" w:rsidR="00CC37D9" w:rsidRDefault="00CC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98CC" w14:textId="604A0FD3" w:rsidR="00CC37D9" w:rsidRDefault="008D4F5F">
    <w:pPr>
      <w:pStyle w:val="Footer"/>
    </w:pPr>
    <w:r w:rsidRPr="008D4F5F">
      <w:t>NDA Research Promotion Sch</w:t>
    </w:r>
    <w:r>
      <w:t xml:space="preserve">eme General </w:t>
    </w:r>
    <w:r w:rsidR="00CC37D9">
      <w:t>Terms and Guidelines</w:t>
    </w:r>
    <w:r w:rsidR="00897935">
      <w:t xml:space="preserve"> 2022</w:t>
    </w:r>
    <w:r w:rsidR="00CC37D9">
      <w:tab/>
    </w:r>
    <w:r w:rsidR="00CC37D9">
      <w:tab/>
    </w:r>
    <w:r w:rsidR="00CC37D9">
      <w:fldChar w:fldCharType="begin"/>
    </w:r>
    <w:r w:rsidR="00CC37D9">
      <w:instrText xml:space="preserve"> PAGE  \* Arabic  \* MERGEFORMAT </w:instrText>
    </w:r>
    <w:r w:rsidR="00CC37D9">
      <w:fldChar w:fldCharType="separate"/>
    </w:r>
    <w:r w:rsidR="00897935">
      <w:rPr>
        <w:noProof/>
      </w:rPr>
      <w:t>4</w:t>
    </w:r>
    <w:r w:rsidR="00CC37D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5DEC" w14:textId="77777777" w:rsidR="00CC37D9" w:rsidRDefault="00CC37D9">
      <w:r>
        <w:separator/>
      </w:r>
    </w:p>
  </w:footnote>
  <w:footnote w:type="continuationSeparator" w:id="0">
    <w:p w14:paraId="270A9185" w14:textId="77777777" w:rsidR="00CC37D9" w:rsidRDefault="00CC37D9">
      <w:r>
        <w:continuationSeparator/>
      </w:r>
    </w:p>
  </w:footnote>
  <w:footnote w:id="1">
    <w:p w14:paraId="08E30B30" w14:textId="6655AF5B" w:rsidR="00897935" w:rsidRDefault="00897935">
      <w:pPr>
        <w:pStyle w:val="FootnoteText"/>
      </w:pPr>
      <w:r>
        <w:rPr>
          <w:rStyle w:val="FootnoteReference"/>
        </w:rPr>
        <w:footnoteRef/>
      </w:r>
      <w:r>
        <w:t xml:space="preserve"> Supplied with Call for Proposals</w:t>
      </w:r>
    </w:p>
  </w:footnote>
  <w:footnote w:id="2">
    <w:p w14:paraId="3ACC2730" w14:textId="297C0AF3" w:rsidR="00897935" w:rsidRDefault="00897935">
      <w:pPr>
        <w:pStyle w:val="FootnoteText"/>
      </w:pPr>
      <w:r>
        <w:rPr>
          <w:rStyle w:val="FootnoteReference"/>
        </w:rPr>
        <w:footnoteRef/>
      </w:r>
      <w:r>
        <w:t xml:space="preserve"> Supplied with Call for Proposals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B448" w14:textId="7EC742DB" w:rsidR="00897935" w:rsidRDefault="00897935">
    <w:pPr>
      <w:pStyle w:val="Header"/>
    </w:pPr>
    <w:r>
      <w:rPr>
        <w:noProof/>
        <w:lang w:eastAsia="en-IE"/>
      </w:rPr>
      <w:drawing>
        <wp:inline distT="0" distB="0" distL="0" distR="0" wp14:anchorId="3D5CBAD4" wp14:editId="297826D1">
          <wp:extent cx="1729410" cy="1235890"/>
          <wp:effectExtent l="0" t="0" r="4445" b="2540"/>
          <wp:docPr id="1" name="Picture 1" descr="Colour Logo" title="Logo of the National Disability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A_LOGO_2010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233" cy="12457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9C0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66C1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090019"/>
    <w:lvl w:ilvl="0">
      <w:start w:val="1"/>
      <w:numFmt w:val="lowerLetter"/>
      <w:lvlText w:val="%1."/>
      <w:lvlJc w:val="left"/>
      <w:pPr>
        <w:tabs>
          <w:tab w:val="num" w:pos="644"/>
        </w:tabs>
        <w:ind w:left="644" w:hanging="360"/>
      </w:pPr>
      <w:rPr>
        <w:rFonts w:hint="default"/>
      </w:rPr>
    </w:lvl>
  </w:abstractNum>
  <w:abstractNum w:abstractNumId="4" w15:restartNumberingAfterBreak="0">
    <w:nsid w:val="FFFFFF80"/>
    <w:multiLevelType w:val="singleLevel"/>
    <w:tmpl w:val="D048E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6219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B22CE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345D9C"/>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FFFFFFFE"/>
    <w:multiLevelType w:val="singleLevel"/>
    <w:tmpl w:val="0A62CA84"/>
    <w:lvl w:ilvl="0">
      <w:numFmt w:val="bullet"/>
      <w:lvlText w:val="*"/>
      <w:lvlJc w:val="left"/>
    </w:lvl>
  </w:abstractNum>
  <w:abstractNum w:abstractNumId="11" w15:restartNumberingAfterBreak="0">
    <w:nsid w:val="0590245E"/>
    <w:multiLevelType w:val="hybridMultilevel"/>
    <w:tmpl w:val="306E34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2061BAF"/>
    <w:multiLevelType w:val="hybridMultilevel"/>
    <w:tmpl w:val="3C7CD830"/>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1E0B4B80"/>
    <w:multiLevelType w:val="hybridMultilevel"/>
    <w:tmpl w:val="55D89854"/>
    <w:lvl w:ilvl="0" w:tplc="1809000F">
      <w:start w:val="1"/>
      <w:numFmt w:val="decimal"/>
      <w:lvlText w:val="%1."/>
      <w:lvlJc w:val="left"/>
      <w:pPr>
        <w:tabs>
          <w:tab w:val="num" w:pos="720"/>
        </w:tabs>
        <w:ind w:left="720" w:hanging="360"/>
      </w:p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4" w15:restartNumberingAfterBreak="0">
    <w:nsid w:val="25D50DB5"/>
    <w:multiLevelType w:val="hybridMultilevel"/>
    <w:tmpl w:val="1E4E11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A923A25"/>
    <w:multiLevelType w:val="hybridMultilevel"/>
    <w:tmpl w:val="BCA21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71128D2"/>
    <w:multiLevelType w:val="hybridMultilevel"/>
    <w:tmpl w:val="ECCE29B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51A160E8"/>
    <w:multiLevelType w:val="hybridMultilevel"/>
    <w:tmpl w:val="41585BC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66E8227B"/>
    <w:multiLevelType w:val="hybridMultilevel"/>
    <w:tmpl w:val="B7B4F18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F1F3915"/>
    <w:multiLevelType w:val="hybridMultilevel"/>
    <w:tmpl w:val="452E610A"/>
    <w:lvl w:ilvl="0" w:tplc="9E4E8740">
      <w:start w:val="1"/>
      <w:numFmt w:val="bullet"/>
      <w:lvlText w:val=""/>
      <w:lvlJc w:val="left"/>
      <w:pPr>
        <w:tabs>
          <w:tab w:val="num" w:pos="360"/>
        </w:tabs>
        <w:ind w:left="360" w:hanging="360"/>
      </w:pPr>
      <w:rPr>
        <w:rFonts w:ascii="Symbol" w:hAnsi="Symbol" w:hint="default"/>
        <w:sz w:val="20"/>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0" w15:restartNumberingAfterBreak="0">
    <w:nsid w:val="77F95DC7"/>
    <w:multiLevelType w:val="hybridMultilevel"/>
    <w:tmpl w:val="BB206C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FE42641"/>
    <w:multiLevelType w:val="hybridMultilevel"/>
    <w:tmpl w:val="E9BEE1CA"/>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166818272">
    <w:abstractNumId w:val="9"/>
  </w:num>
  <w:num w:numId="2" w16cid:durableId="89132461">
    <w:abstractNumId w:val="9"/>
  </w:num>
  <w:num w:numId="3" w16cid:durableId="870534681">
    <w:abstractNumId w:val="7"/>
  </w:num>
  <w:num w:numId="4" w16cid:durableId="1364478549">
    <w:abstractNumId w:val="7"/>
  </w:num>
  <w:num w:numId="5" w16cid:durableId="333729604">
    <w:abstractNumId w:val="6"/>
  </w:num>
  <w:num w:numId="6" w16cid:durableId="2168375">
    <w:abstractNumId w:val="6"/>
  </w:num>
  <w:num w:numId="7" w16cid:durableId="803042124">
    <w:abstractNumId w:val="8"/>
  </w:num>
  <w:num w:numId="8" w16cid:durableId="902103468">
    <w:abstractNumId w:val="8"/>
  </w:num>
  <w:num w:numId="9" w16cid:durableId="918446642">
    <w:abstractNumId w:val="3"/>
  </w:num>
  <w:num w:numId="10" w16cid:durableId="1659458672">
    <w:abstractNumId w:val="3"/>
  </w:num>
  <w:num w:numId="11" w16cid:durableId="2013869938">
    <w:abstractNumId w:val="2"/>
  </w:num>
  <w:num w:numId="12" w16cid:durableId="1064376315">
    <w:abstractNumId w:val="2"/>
  </w:num>
  <w:num w:numId="13" w16cid:durableId="248346708">
    <w:abstractNumId w:val="5"/>
  </w:num>
  <w:num w:numId="14" w16cid:durableId="512693067">
    <w:abstractNumId w:val="4"/>
  </w:num>
  <w:num w:numId="15" w16cid:durableId="1232814676">
    <w:abstractNumId w:val="1"/>
  </w:num>
  <w:num w:numId="16" w16cid:durableId="218055914">
    <w:abstractNumId w:val="0"/>
  </w:num>
  <w:num w:numId="17" w16cid:durableId="155414721">
    <w:abstractNumId w:val="19"/>
  </w:num>
  <w:num w:numId="18" w16cid:durableId="710303343">
    <w:abstractNumId w:val="10"/>
    <w:lvlOverride w:ilvl="0">
      <w:lvl w:ilvl="0">
        <w:numFmt w:val="bullet"/>
        <w:lvlText w:val=""/>
        <w:legacy w:legacy="1" w:legacySpace="0" w:legacyIndent="0"/>
        <w:lvlJc w:val="left"/>
        <w:rPr>
          <w:rFonts w:ascii="Symbol" w:hAnsi="Symbol" w:hint="default"/>
          <w:sz w:val="22"/>
        </w:rPr>
      </w:lvl>
    </w:lvlOverride>
  </w:num>
  <w:num w:numId="19" w16cid:durableId="1228568188">
    <w:abstractNumId w:val="20"/>
  </w:num>
  <w:num w:numId="20" w16cid:durableId="1362316979">
    <w:abstractNumId w:val="16"/>
  </w:num>
  <w:num w:numId="21" w16cid:durableId="1009718503">
    <w:abstractNumId w:val="18"/>
  </w:num>
  <w:num w:numId="22" w16cid:durableId="1414624966">
    <w:abstractNumId w:val="14"/>
  </w:num>
  <w:num w:numId="23" w16cid:durableId="731660340">
    <w:abstractNumId w:val="17"/>
  </w:num>
  <w:num w:numId="24" w16cid:durableId="1575165278">
    <w:abstractNumId w:val="15"/>
  </w:num>
  <w:num w:numId="25" w16cid:durableId="1718505637">
    <w:abstractNumId w:val="11"/>
  </w:num>
  <w:num w:numId="26" w16cid:durableId="795874433">
    <w:abstractNumId w:val="13"/>
  </w:num>
  <w:num w:numId="27" w16cid:durableId="1945071694">
    <w:abstractNumId w:val="12"/>
  </w:num>
  <w:num w:numId="28" w16cid:durableId="4867451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43C"/>
    <w:rsid w:val="00002C3F"/>
    <w:rsid w:val="00021B6F"/>
    <w:rsid w:val="00031119"/>
    <w:rsid w:val="00044839"/>
    <w:rsid w:val="00053868"/>
    <w:rsid w:val="00055418"/>
    <w:rsid w:val="00060810"/>
    <w:rsid w:val="00077F2D"/>
    <w:rsid w:val="000867E6"/>
    <w:rsid w:val="0009160F"/>
    <w:rsid w:val="000B2B07"/>
    <w:rsid w:val="000B35AE"/>
    <w:rsid w:val="000B3956"/>
    <w:rsid w:val="000B4D79"/>
    <w:rsid w:val="000D098A"/>
    <w:rsid w:val="000E0E7C"/>
    <w:rsid w:val="000E5557"/>
    <w:rsid w:val="001004DA"/>
    <w:rsid w:val="00117EC4"/>
    <w:rsid w:val="00122FF3"/>
    <w:rsid w:val="0013443C"/>
    <w:rsid w:val="0013755B"/>
    <w:rsid w:val="00152080"/>
    <w:rsid w:val="00152F74"/>
    <w:rsid w:val="00176E77"/>
    <w:rsid w:val="00181FE6"/>
    <w:rsid w:val="00191535"/>
    <w:rsid w:val="00193C84"/>
    <w:rsid w:val="001B0ABB"/>
    <w:rsid w:val="001C2025"/>
    <w:rsid w:val="001C4776"/>
    <w:rsid w:val="001D0C14"/>
    <w:rsid w:val="001D290B"/>
    <w:rsid w:val="001E45F0"/>
    <w:rsid w:val="001F0D22"/>
    <w:rsid w:val="00221CC3"/>
    <w:rsid w:val="00227660"/>
    <w:rsid w:val="00227CEC"/>
    <w:rsid w:val="00227F47"/>
    <w:rsid w:val="00232005"/>
    <w:rsid w:val="00240BD9"/>
    <w:rsid w:val="00242AE1"/>
    <w:rsid w:val="002476FF"/>
    <w:rsid w:val="00247D48"/>
    <w:rsid w:val="00263FB5"/>
    <w:rsid w:val="00265A74"/>
    <w:rsid w:val="0027130B"/>
    <w:rsid w:val="00272C1E"/>
    <w:rsid w:val="00280E44"/>
    <w:rsid w:val="00281016"/>
    <w:rsid w:val="00287B8E"/>
    <w:rsid w:val="00287FEC"/>
    <w:rsid w:val="0029589B"/>
    <w:rsid w:val="00296EFD"/>
    <w:rsid w:val="002A76E3"/>
    <w:rsid w:val="002B674D"/>
    <w:rsid w:val="002C0E9C"/>
    <w:rsid w:val="002C621B"/>
    <w:rsid w:val="002C66A7"/>
    <w:rsid w:val="002D100B"/>
    <w:rsid w:val="002E2FAC"/>
    <w:rsid w:val="002F51D0"/>
    <w:rsid w:val="00316BE3"/>
    <w:rsid w:val="0032098B"/>
    <w:rsid w:val="003230F8"/>
    <w:rsid w:val="0033276D"/>
    <w:rsid w:val="00333B4E"/>
    <w:rsid w:val="00353947"/>
    <w:rsid w:val="00362F7E"/>
    <w:rsid w:val="00365613"/>
    <w:rsid w:val="00375076"/>
    <w:rsid w:val="00380094"/>
    <w:rsid w:val="00396152"/>
    <w:rsid w:val="003978E1"/>
    <w:rsid w:val="003A44C8"/>
    <w:rsid w:val="003B0128"/>
    <w:rsid w:val="003B059F"/>
    <w:rsid w:val="003B10EC"/>
    <w:rsid w:val="003C4AF9"/>
    <w:rsid w:val="003D6D4B"/>
    <w:rsid w:val="003E1036"/>
    <w:rsid w:val="003F0D0B"/>
    <w:rsid w:val="003F53C8"/>
    <w:rsid w:val="003F7727"/>
    <w:rsid w:val="0040257A"/>
    <w:rsid w:val="00407685"/>
    <w:rsid w:val="00410402"/>
    <w:rsid w:val="00417753"/>
    <w:rsid w:val="004278D7"/>
    <w:rsid w:val="00430C81"/>
    <w:rsid w:val="0043619F"/>
    <w:rsid w:val="0043744E"/>
    <w:rsid w:val="0044117F"/>
    <w:rsid w:val="00452BE5"/>
    <w:rsid w:val="004617E0"/>
    <w:rsid w:val="00465781"/>
    <w:rsid w:val="00475F03"/>
    <w:rsid w:val="00482EDB"/>
    <w:rsid w:val="00484EEF"/>
    <w:rsid w:val="00484F7D"/>
    <w:rsid w:val="004924F8"/>
    <w:rsid w:val="004934C9"/>
    <w:rsid w:val="004A2691"/>
    <w:rsid w:val="004A4E72"/>
    <w:rsid w:val="004A5A2B"/>
    <w:rsid w:val="004B4431"/>
    <w:rsid w:val="004B57D4"/>
    <w:rsid w:val="004C0A51"/>
    <w:rsid w:val="004C5083"/>
    <w:rsid w:val="004C571A"/>
    <w:rsid w:val="004C5836"/>
    <w:rsid w:val="004C7292"/>
    <w:rsid w:val="004D28BA"/>
    <w:rsid w:val="004E6C8D"/>
    <w:rsid w:val="004F622F"/>
    <w:rsid w:val="005043D1"/>
    <w:rsid w:val="0050726E"/>
    <w:rsid w:val="00507A81"/>
    <w:rsid w:val="00513018"/>
    <w:rsid w:val="00516544"/>
    <w:rsid w:val="00517861"/>
    <w:rsid w:val="00521E48"/>
    <w:rsid w:val="005315FA"/>
    <w:rsid w:val="005464F6"/>
    <w:rsid w:val="005541E0"/>
    <w:rsid w:val="00560033"/>
    <w:rsid w:val="00561704"/>
    <w:rsid w:val="0056669B"/>
    <w:rsid w:val="005735F8"/>
    <w:rsid w:val="005847E5"/>
    <w:rsid w:val="0059473E"/>
    <w:rsid w:val="00597381"/>
    <w:rsid w:val="0059743C"/>
    <w:rsid w:val="005A4C01"/>
    <w:rsid w:val="005B16F7"/>
    <w:rsid w:val="005B4F82"/>
    <w:rsid w:val="005C292B"/>
    <w:rsid w:val="005C42F4"/>
    <w:rsid w:val="005D65AB"/>
    <w:rsid w:val="005E2953"/>
    <w:rsid w:val="005F2D83"/>
    <w:rsid w:val="006121AD"/>
    <w:rsid w:val="00634262"/>
    <w:rsid w:val="0065147B"/>
    <w:rsid w:val="00654408"/>
    <w:rsid w:val="0065481E"/>
    <w:rsid w:val="00657531"/>
    <w:rsid w:val="00671970"/>
    <w:rsid w:val="0067255A"/>
    <w:rsid w:val="00691B4C"/>
    <w:rsid w:val="006A3B77"/>
    <w:rsid w:val="006B6024"/>
    <w:rsid w:val="006C14D1"/>
    <w:rsid w:val="006C7EAD"/>
    <w:rsid w:val="006D1F66"/>
    <w:rsid w:val="006D55CB"/>
    <w:rsid w:val="006E0C75"/>
    <w:rsid w:val="006E7EB9"/>
    <w:rsid w:val="006F25EC"/>
    <w:rsid w:val="0070223D"/>
    <w:rsid w:val="0070250B"/>
    <w:rsid w:val="0070516D"/>
    <w:rsid w:val="007118BA"/>
    <w:rsid w:val="00715CC7"/>
    <w:rsid w:val="00717561"/>
    <w:rsid w:val="007337CF"/>
    <w:rsid w:val="007608EF"/>
    <w:rsid w:val="0076113E"/>
    <w:rsid w:val="00766F1D"/>
    <w:rsid w:val="007B381B"/>
    <w:rsid w:val="007B6238"/>
    <w:rsid w:val="007B76FE"/>
    <w:rsid w:val="007C1D90"/>
    <w:rsid w:val="007C73F7"/>
    <w:rsid w:val="007D71FC"/>
    <w:rsid w:val="007D7770"/>
    <w:rsid w:val="007E7927"/>
    <w:rsid w:val="007F44BC"/>
    <w:rsid w:val="008023A6"/>
    <w:rsid w:val="008049A6"/>
    <w:rsid w:val="00804E73"/>
    <w:rsid w:val="008213F5"/>
    <w:rsid w:val="00831FA1"/>
    <w:rsid w:val="00854C24"/>
    <w:rsid w:val="00862621"/>
    <w:rsid w:val="008822F1"/>
    <w:rsid w:val="008925F1"/>
    <w:rsid w:val="00897935"/>
    <w:rsid w:val="008A3578"/>
    <w:rsid w:val="008D4F5F"/>
    <w:rsid w:val="008E2168"/>
    <w:rsid w:val="008E3D18"/>
    <w:rsid w:val="008F29EC"/>
    <w:rsid w:val="00905936"/>
    <w:rsid w:val="0091064D"/>
    <w:rsid w:val="00914D4E"/>
    <w:rsid w:val="009222D3"/>
    <w:rsid w:val="009223F2"/>
    <w:rsid w:val="0093301D"/>
    <w:rsid w:val="009331FD"/>
    <w:rsid w:val="00934D7D"/>
    <w:rsid w:val="00942180"/>
    <w:rsid w:val="00944E73"/>
    <w:rsid w:val="0095182B"/>
    <w:rsid w:val="00975338"/>
    <w:rsid w:val="00975B07"/>
    <w:rsid w:val="009B3BE5"/>
    <w:rsid w:val="009C3BD7"/>
    <w:rsid w:val="009C4D62"/>
    <w:rsid w:val="009C6D6C"/>
    <w:rsid w:val="009D6752"/>
    <w:rsid w:val="009D7CB0"/>
    <w:rsid w:val="009E492F"/>
    <w:rsid w:val="009E4CA4"/>
    <w:rsid w:val="009E53E3"/>
    <w:rsid w:val="009E6CB7"/>
    <w:rsid w:val="009F537C"/>
    <w:rsid w:val="009F7EF2"/>
    <w:rsid w:val="00A00ADC"/>
    <w:rsid w:val="00A04231"/>
    <w:rsid w:val="00A05270"/>
    <w:rsid w:val="00A065EE"/>
    <w:rsid w:val="00A06DA0"/>
    <w:rsid w:val="00A1079C"/>
    <w:rsid w:val="00A23B60"/>
    <w:rsid w:val="00A35D54"/>
    <w:rsid w:val="00A443B9"/>
    <w:rsid w:val="00A45332"/>
    <w:rsid w:val="00A45725"/>
    <w:rsid w:val="00A55A94"/>
    <w:rsid w:val="00A565FB"/>
    <w:rsid w:val="00A676C3"/>
    <w:rsid w:val="00A705A8"/>
    <w:rsid w:val="00A70C02"/>
    <w:rsid w:val="00A74B71"/>
    <w:rsid w:val="00A853A3"/>
    <w:rsid w:val="00A86940"/>
    <w:rsid w:val="00A97811"/>
    <w:rsid w:val="00AA356B"/>
    <w:rsid w:val="00AA5C5C"/>
    <w:rsid w:val="00AB77BD"/>
    <w:rsid w:val="00AC5353"/>
    <w:rsid w:val="00AD5EE5"/>
    <w:rsid w:val="00AE0B43"/>
    <w:rsid w:val="00AF48EF"/>
    <w:rsid w:val="00B05D5D"/>
    <w:rsid w:val="00B07402"/>
    <w:rsid w:val="00B541F5"/>
    <w:rsid w:val="00B568DA"/>
    <w:rsid w:val="00B64264"/>
    <w:rsid w:val="00B76547"/>
    <w:rsid w:val="00B827DE"/>
    <w:rsid w:val="00B837E6"/>
    <w:rsid w:val="00B8677C"/>
    <w:rsid w:val="00B87761"/>
    <w:rsid w:val="00BA2579"/>
    <w:rsid w:val="00BC1066"/>
    <w:rsid w:val="00BC1941"/>
    <w:rsid w:val="00BC2A79"/>
    <w:rsid w:val="00BC74C2"/>
    <w:rsid w:val="00BD0DCA"/>
    <w:rsid w:val="00BD7A51"/>
    <w:rsid w:val="00BE1426"/>
    <w:rsid w:val="00BE3DCC"/>
    <w:rsid w:val="00BF253D"/>
    <w:rsid w:val="00C0028B"/>
    <w:rsid w:val="00C06A85"/>
    <w:rsid w:val="00C14E07"/>
    <w:rsid w:val="00C154AE"/>
    <w:rsid w:val="00C42D6D"/>
    <w:rsid w:val="00C44C6A"/>
    <w:rsid w:val="00C465E0"/>
    <w:rsid w:val="00C47E44"/>
    <w:rsid w:val="00C51472"/>
    <w:rsid w:val="00C632F9"/>
    <w:rsid w:val="00C867C9"/>
    <w:rsid w:val="00C900C1"/>
    <w:rsid w:val="00C96BD9"/>
    <w:rsid w:val="00CB280C"/>
    <w:rsid w:val="00CB5B5A"/>
    <w:rsid w:val="00CB7FF1"/>
    <w:rsid w:val="00CC0A49"/>
    <w:rsid w:val="00CC37D9"/>
    <w:rsid w:val="00CC68ED"/>
    <w:rsid w:val="00CC7549"/>
    <w:rsid w:val="00CE1B47"/>
    <w:rsid w:val="00D00B7E"/>
    <w:rsid w:val="00D02608"/>
    <w:rsid w:val="00D02E5F"/>
    <w:rsid w:val="00D038D1"/>
    <w:rsid w:val="00D1422D"/>
    <w:rsid w:val="00D23CC1"/>
    <w:rsid w:val="00D251C5"/>
    <w:rsid w:val="00D42C79"/>
    <w:rsid w:val="00D4681B"/>
    <w:rsid w:val="00D5494F"/>
    <w:rsid w:val="00D70522"/>
    <w:rsid w:val="00D833C7"/>
    <w:rsid w:val="00D83D2C"/>
    <w:rsid w:val="00D85353"/>
    <w:rsid w:val="00DB1FC7"/>
    <w:rsid w:val="00DC0A82"/>
    <w:rsid w:val="00DC43A0"/>
    <w:rsid w:val="00DC6C8F"/>
    <w:rsid w:val="00DE0DC2"/>
    <w:rsid w:val="00DE15B8"/>
    <w:rsid w:val="00DE1A53"/>
    <w:rsid w:val="00DE302E"/>
    <w:rsid w:val="00DF1713"/>
    <w:rsid w:val="00DF2E9D"/>
    <w:rsid w:val="00DF5940"/>
    <w:rsid w:val="00E00304"/>
    <w:rsid w:val="00E0199D"/>
    <w:rsid w:val="00E079D3"/>
    <w:rsid w:val="00E10EB4"/>
    <w:rsid w:val="00E117F2"/>
    <w:rsid w:val="00E12C84"/>
    <w:rsid w:val="00E13B9E"/>
    <w:rsid w:val="00E15AC2"/>
    <w:rsid w:val="00E2551D"/>
    <w:rsid w:val="00E26911"/>
    <w:rsid w:val="00E3037B"/>
    <w:rsid w:val="00E40EC7"/>
    <w:rsid w:val="00E44148"/>
    <w:rsid w:val="00E635B7"/>
    <w:rsid w:val="00E66FC4"/>
    <w:rsid w:val="00E772B5"/>
    <w:rsid w:val="00E92CFB"/>
    <w:rsid w:val="00EB4960"/>
    <w:rsid w:val="00EC1838"/>
    <w:rsid w:val="00EC1970"/>
    <w:rsid w:val="00EC5999"/>
    <w:rsid w:val="00EC631D"/>
    <w:rsid w:val="00ED20D8"/>
    <w:rsid w:val="00ED50E6"/>
    <w:rsid w:val="00ED689D"/>
    <w:rsid w:val="00ED7D81"/>
    <w:rsid w:val="00EE3A19"/>
    <w:rsid w:val="00EE4467"/>
    <w:rsid w:val="00EE7750"/>
    <w:rsid w:val="00F351D6"/>
    <w:rsid w:val="00F4165F"/>
    <w:rsid w:val="00F6070E"/>
    <w:rsid w:val="00F93DC4"/>
    <w:rsid w:val="00FB507C"/>
    <w:rsid w:val="00FC0417"/>
    <w:rsid w:val="00FC4DC9"/>
    <w:rsid w:val="00FC6B41"/>
    <w:rsid w:val="00FC6F35"/>
    <w:rsid w:val="00FD1983"/>
    <w:rsid w:val="00FD2A99"/>
    <w:rsid w:val="00FE03AD"/>
    <w:rsid w:val="00FE0ADB"/>
    <w:rsid w:val="00FF4FB4"/>
    <w:rsid w:val="00FF7A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5AC818"/>
  <w15:chartTrackingRefBased/>
  <w15:docId w15:val="{384E5770-D232-4A84-A5C2-618B949E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2" w:uiPriority="99"/>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B8E"/>
    <w:pPr>
      <w:spacing w:after="240"/>
    </w:pPr>
    <w:rPr>
      <w:rFonts w:ascii="Gill Sans" w:eastAsia="Times New Roman" w:hAnsi="Gill Sans"/>
      <w:sz w:val="26"/>
      <w:szCs w:val="24"/>
      <w:lang w:eastAsia="en-US"/>
    </w:rPr>
  </w:style>
  <w:style w:type="paragraph" w:styleId="Heading1">
    <w:name w:val="heading 1"/>
    <w:basedOn w:val="Normal"/>
    <w:next w:val="Normal"/>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qFormat/>
    <w:rsid w:val="003B10EC"/>
    <w:pPr>
      <w:keepNext/>
      <w:spacing w:after="60"/>
      <w:outlineLvl w:val="1"/>
    </w:pPr>
    <w:rPr>
      <w:rFonts w:cs="Arial Bold"/>
      <w:b/>
      <w:bCs/>
      <w:iCs/>
      <w:sz w:val="28"/>
      <w:szCs w:val="28"/>
    </w:rPr>
  </w:style>
  <w:style w:type="paragraph" w:styleId="Heading3">
    <w:name w:val="heading 3"/>
    <w:basedOn w:val="Normal"/>
    <w:next w:val="Normal"/>
    <w:qFormat/>
    <w:rsid w:val="003B10EC"/>
    <w:pPr>
      <w:keepNext/>
      <w:spacing w:after="0"/>
      <w:outlineLvl w:val="2"/>
    </w:pPr>
    <w:rPr>
      <w:rFonts w:cs="Arial Bold"/>
      <w:b/>
      <w:bCs/>
    </w:rPr>
  </w:style>
  <w:style w:type="paragraph" w:styleId="Heading4">
    <w:name w:val="heading 4"/>
    <w:basedOn w:val="Normal"/>
    <w:next w:val="Normal"/>
    <w:qFormat/>
    <w:rsid w:val="003B10EC"/>
    <w:pPr>
      <w:keepNext/>
      <w:spacing w:after="0"/>
      <w:outlineLvl w:val="3"/>
    </w:pPr>
    <w:rPr>
      <w:b/>
      <w:bCs/>
      <w:color w:val="333333"/>
    </w:rPr>
  </w:style>
  <w:style w:type="paragraph" w:styleId="Heading5">
    <w:name w:val="heading 5"/>
    <w:basedOn w:val="Normal"/>
    <w:next w:val="Normal"/>
    <w:qFormat/>
    <w:rsid w:val="003B10EC"/>
    <w:pPr>
      <w:spacing w:after="0"/>
      <w:outlineLvl w:val="4"/>
    </w:pPr>
    <w:rPr>
      <w:b/>
      <w:bCs/>
      <w:i/>
      <w:iCs/>
      <w:szCs w:val="26"/>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Pr>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rsid w:val="007B6238"/>
    <w:pPr>
      <w:numPr>
        <w:numId w:val="1"/>
      </w:numPr>
      <w:spacing w:after="120"/>
    </w:pPr>
  </w:style>
  <w:style w:type="paragraph" w:styleId="ListBullet2">
    <w:name w:val="List Bullet 2"/>
    <w:basedOn w:val="Normal"/>
    <w:uiPriority w:val="99"/>
    <w:rsid w:val="005C292B"/>
    <w:pPr>
      <w:numPr>
        <w:numId w:val="4"/>
      </w:numPr>
      <w:tabs>
        <w:tab w:val="clear" w:pos="717"/>
        <w:tab w:val="left" w:pos="357"/>
      </w:tabs>
      <w:spacing w:before="60" w:after="60"/>
      <w:ind w:left="641" w:hanging="357"/>
    </w:pPr>
  </w:style>
  <w:style w:type="paragraph" w:styleId="ListBullet3">
    <w:name w:val="List Bullet 3"/>
    <w:basedOn w:val="Normal"/>
    <w:rsid w:val="001F0D22"/>
    <w:pPr>
      <w:numPr>
        <w:numId w:val="6"/>
      </w:numPr>
      <w:spacing w:before="60" w:after="60"/>
      <w:ind w:left="925" w:hanging="284"/>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spacing w:before="60" w:after="60"/>
    </w:pPr>
  </w:style>
  <w:style w:type="paragraph" w:styleId="ListNumber3">
    <w:name w:val="List Number 3"/>
    <w:basedOn w:val="Normal"/>
    <w:rsid w:val="00055418"/>
    <w:pPr>
      <w:numPr>
        <w:numId w:val="12"/>
      </w:numPr>
      <w:tabs>
        <w:tab w:val="clear" w:pos="926"/>
        <w:tab w:val="num" w:pos="360"/>
      </w:tabs>
      <w:spacing w:before="60" w:after="60"/>
      <w:ind w:left="924"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rsid w:val="006E0C75"/>
    <w:pPr>
      <w:jc w:val="left"/>
    </w:pPr>
  </w:style>
  <w:style w:type="paragraph" w:styleId="FootnoteText">
    <w:name w:val="footnote text"/>
    <w:aliases w:val="Footnote Text Char2 Char1,Footnote Text Char Char1 Char1,Footnote Text Char1 Char Char Char,Footnote Text Char Char Char Char Char,Footnote Text Char1 Char1 Char,Footnote Text Char Char Char1 Char,Footnote Text Char1"/>
    <w:basedOn w:val="Normal"/>
    <w:link w:val="FootnoteTextChar"/>
    <w:rsid w:val="009222D3"/>
    <w:pPr>
      <w:spacing w:after="8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rsid w:val="00A1079C"/>
    <w:rPr>
      <w:rFonts w:ascii="Gill Sans" w:hAnsi="Gill Sans"/>
      <w:sz w:val="26"/>
      <w:vertAlign w:val="superscript"/>
    </w:rPr>
  </w:style>
  <w:style w:type="table" w:styleId="TableGrid">
    <w:name w:val="Table Grid"/>
    <w:basedOn w:val="TableNormal"/>
    <w:rsid w:val="0059743C"/>
    <w:pPr>
      <w:spacing w:after="240" w:line="36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C6D6C"/>
    <w:rPr>
      <w:sz w:val="16"/>
      <w:szCs w:val="16"/>
    </w:rPr>
  </w:style>
  <w:style w:type="paragraph" w:styleId="CommentSubject">
    <w:name w:val="annotation subject"/>
    <w:basedOn w:val="CommentText"/>
    <w:next w:val="CommentText"/>
    <w:link w:val="CommentSubjectChar"/>
    <w:rsid w:val="009C6D6C"/>
    <w:rPr>
      <w:rFonts w:ascii="Gill Sans" w:hAnsi="Gill Sans"/>
      <w:b/>
      <w:bCs/>
      <w:szCs w:val="20"/>
      <w:lang w:val="en-IE"/>
    </w:rPr>
  </w:style>
  <w:style w:type="character" w:customStyle="1" w:styleId="CommentSubjectChar">
    <w:name w:val="Comment Subject Char"/>
    <w:link w:val="CommentSubject"/>
    <w:rsid w:val="009C6D6C"/>
    <w:rPr>
      <w:rFonts w:ascii="Gill Sans" w:eastAsia="Times New Roman" w:hAnsi="Gill Sans"/>
      <w:b/>
      <w:bCs/>
      <w:szCs w:val="24"/>
      <w:lang w:eastAsia="en-US"/>
    </w:rPr>
  </w:style>
  <w:style w:type="paragraph" w:styleId="BalloonText">
    <w:name w:val="Balloon Text"/>
    <w:basedOn w:val="Normal"/>
    <w:link w:val="BalloonTextChar"/>
    <w:rsid w:val="009C6D6C"/>
    <w:pPr>
      <w:spacing w:after="0"/>
    </w:pPr>
    <w:rPr>
      <w:rFonts w:ascii="Tahoma" w:hAnsi="Tahoma" w:cs="Tahoma"/>
      <w:sz w:val="16"/>
      <w:szCs w:val="16"/>
    </w:rPr>
  </w:style>
  <w:style w:type="character" w:customStyle="1" w:styleId="BalloonTextChar">
    <w:name w:val="Balloon Text Char"/>
    <w:link w:val="BalloonText"/>
    <w:rsid w:val="009C6D6C"/>
    <w:rPr>
      <w:rFonts w:ascii="Tahoma" w:eastAsia="Times New Roman" w:hAnsi="Tahoma" w:cs="Tahoma"/>
      <w:sz w:val="16"/>
      <w:szCs w:val="16"/>
      <w:lang w:eastAsia="en-US"/>
    </w:rPr>
  </w:style>
  <w:style w:type="paragraph" w:styleId="ListParagraph">
    <w:name w:val="List Paragraph"/>
    <w:basedOn w:val="Normal"/>
    <w:uiPriority w:val="34"/>
    <w:qFormat/>
    <w:rsid w:val="008925F1"/>
    <w:pPr>
      <w:ind w:left="720"/>
      <w:contextualSpacing/>
    </w:pPr>
  </w:style>
  <w:style w:type="paragraph" w:styleId="Revision">
    <w:name w:val="Revision"/>
    <w:hidden/>
    <w:uiPriority w:val="99"/>
    <w:semiHidden/>
    <w:rsid w:val="008E2168"/>
    <w:rPr>
      <w:rFonts w:ascii="Gill Sans" w:eastAsia="Times New Roman" w:hAnsi="Gill Sans"/>
      <w:sz w:val="26"/>
      <w:szCs w:val="24"/>
      <w:lang w:eastAsia="en-US"/>
    </w:rPr>
  </w:style>
  <w:style w:type="character" w:customStyle="1" w:styleId="FootnoteTextChar">
    <w:name w:val="Footnote Text Char"/>
    <w:aliases w:val="Footnote Text Char2 Char1 Char,Footnote Text Char Char1 Char1 Char,Footnote Text Char1 Char Char Char Char,Footnote Text Char Char Char Char Char Char,Footnote Text Char1 Char1 Char Char,Footnote Text Char Char Char1 Char Char"/>
    <w:basedOn w:val="DefaultParagraphFont"/>
    <w:link w:val="FootnoteText"/>
    <w:rsid w:val="002C621B"/>
    <w:rPr>
      <w:rFonts w:ascii="Gill Sans" w:eastAsia="Times New Roman" w:hAnsi="Gill Sans"/>
      <w:sz w:val="22"/>
      <w:lang w:eastAsia="en-US"/>
    </w:rPr>
  </w:style>
  <w:style w:type="paragraph" w:customStyle="1" w:styleId="Default">
    <w:name w:val="Default"/>
    <w:rsid w:val="004E6C8D"/>
    <w:pPr>
      <w:autoSpaceDE w:val="0"/>
      <w:autoSpaceDN w:val="0"/>
      <w:adjustRightInd w:val="0"/>
    </w:pPr>
    <w:rPr>
      <w:rFonts w:eastAsia="Times New Roman"/>
      <w:color w:val="000000"/>
      <w:sz w:val="24"/>
      <w:szCs w:val="24"/>
    </w:rPr>
  </w:style>
  <w:style w:type="character" w:styleId="Strong">
    <w:name w:val="Strong"/>
    <w:basedOn w:val="DefaultParagraphFont"/>
    <w:uiPriority w:val="22"/>
    <w:qFormat/>
    <w:rsid w:val="00E15A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79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86727-E30E-4E40-909E-E737741CB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0</TotalTime>
  <Pages>4</Pages>
  <Words>713</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NDA Research Promotion Scheme 2013</vt:lpstr>
    </vt:vector>
  </TitlesOfParts>
  <Company>National Disability Authority</Company>
  <LinksUpToDate>false</LinksUpToDate>
  <CharactersWithSpaces>4862</CharactersWithSpaces>
  <SharedDoc>false</SharedDoc>
  <HLinks>
    <vt:vector size="6" baseType="variant">
      <vt:variant>
        <vt:i4>8061001</vt:i4>
      </vt:variant>
      <vt:variant>
        <vt:i4>0</vt:i4>
      </vt:variant>
      <vt:variant>
        <vt:i4>0</vt:i4>
      </vt:variant>
      <vt:variant>
        <vt:i4>5</vt:i4>
      </vt:variant>
      <vt:variant>
        <vt:lpwstr>mailto:dmomalley@nda.ie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 Research Promotion Scheme 2013</dc:title>
  <dc:subject/>
  <dc:creator>fitzgerem</dc:creator>
  <cp:keywords/>
  <cp:lastModifiedBy>Damhnait O'Malley (NDA)</cp:lastModifiedBy>
  <cp:revision>2</cp:revision>
  <cp:lastPrinted>2019-04-03T11:07:00Z</cp:lastPrinted>
  <dcterms:created xsi:type="dcterms:W3CDTF">2023-07-18T11:30:00Z</dcterms:created>
  <dcterms:modified xsi:type="dcterms:W3CDTF">2023-07-18T11:30:00Z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Disabled</vt:lpwstr>
  </property>
  <property fmtid="{D5CDD505-2E9C-101B-9397-08002B2CF9AE}" pid="3" name="SW_CustomTitle">
    <vt:lpwstr/>
  </property>
</Properties>
</file>