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FBCA" w14:textId="77777777" w:rsidR="00365C67" w:rsidRDefault="00365C67" w:rsidP="00365C67">
      <w:pPr>
        <w:pStyle w:val="Title"/>
        <w:spacing w:before="840" w:after="2880"/>
        <w:jc w:val="left"/>
        <w:rPr>
          <w:sz w:val="48"/>
          <w:szCs w:val="48"/>
        </w:rPr>
      </w:pPr>
      <w:bookmarkStart w:id="0" w:name="_Toc101857178"/>
      <w:bookmarkStart w:id="1" w:name="_Toc130474348"/>
      <w:bookmarkStart w:id="2" w:name="_Toc132710518"/>
      <w:r>
        <w:rPr>
          <w:sz w:val="48"/>
          <w:szCs w:val="48"/>
        </w:rPr>
        <w:t xml:space="preserve">Comprehensive </w:t>
      </w:r>
      <w:bookmarkStart w:id="3" w:name="_GoBack"/>
      <w:bookmarkEnd w:id="3"/>
      <w:r>
        <w:rPr>
          <w:sz w:val="48"/>
          <w:szCs w:val="48"/>
        </w:rPr>
        <w:t xml:space="preserve">Employment Strategy </w:t>
      </w:r>
      <w:r w:rsidRPr="00167D17">
        <w:rPr>
          <w:sz w:val="48"/>
          <w:szCs w:val="48"/>
        </w:rPr>
        <w:t xml:space="preserve">NDA </w:t>
      </w:r>
      <w:r>
        <w:rPr>
          <w:sz w:val="48"/>
          <w:szCs w:val="48"/>
        </w:rPr>
        <w:t>Year-end A</w:t>
      </w:r>
      <w:r w:rsidRPr="00167D17">
        <w:rPr>
          <w:sz w:val="48"/>
          <w:szCs w:val="48"/>
        </w:rPr>
        <w:t>ssessment 202</w:t>
      </w:r>
      <w:bookmarkEnd w:id="0"/>
      <w:r>
        <w:rPr>
          <w:sz w:val="48"/>
          <w:szCs w:val="48"/>
        </w:rPr>
        <w:t>2</w:t>
      </w:r>
      <w:bookmarkEnd w:id="1"/>
      <w:bookmarkEnd w:id="2"/>
    </w:p>
    <w:p w14:paraId="093D53FF" w14:textId="0DBFF054" w:rsidR="00365C67" w:rsidRDefault="008F2DDA" w:rsidP="00365C67">
      <w:r w:rsidRPr="00491745">
        <w:t>June</w:t>
      </w:r>
      <w:r w:rsidR="00365C67" w:rsidRPr="00491745">
        <w:t xml:space="preserve"> </w:t>
      </w:r>
      <w:r w:rsidR="00365C67">
        <w:t>2023</w:t>
      </w:r>
    </w:p>
    <w:p w14:paraId="7B3B6E49" w14:textId="69CF7C46" w:rsidR="008F2DDA" w:rsidRDefault="008F2DDA" w:rsidP="00365C67"/>
    <w:p w14:paraId="2325A3DD" w14:textId="005B3BF0" w:rsidR="008F2DDA" w:rsidRDefault="008F2DDA" w:rsidP="00365C67"/>
    <w:p w14:paraId="4717140B" w14:textId="77777777" w:rsidR="008F2DDA" w:rsidRPr="00DE74ED" w:rsidRDefault="008F2DDA" w:rsidP="00365C67"/>
    <w:p w14:paraId="7E6BE635" w14:textId="77777777" w:rsidR="00365C67" w:rsidRDefault="00365C67" w:rsidP="00365C67">
      <w:pPr>
        <w:spacing w:after="0"/>
      </w:pPr>
      <w:r>
        <w:rPr>
          <w:noProof/>
          <w:lang w:eastAsia="en-IE"/>
        </w:rPr>
        <w:drawing>
          <wp:inline distT="0" distB="0" distL="0" distR="0" wp14:anchorId="45E8CBDE" wp14:editId="0EE1D94B">
            <wp:extent cx="2524125" cy="1800225"/>
            <wp:effectExtent l="0" t="0" r="9525" b="9525"/>
            <wp:docPr id="2" name="Picture 2" descr="Logo of National Disability Authority" title="Logo"/>
            <wp:cNvGraphicFramePr/>
            <a:graphic xmlns:a="http://schemas.openxmlformats.org/drawingml/2006/main">
              <a:graphicData uri="http://schemas.openxmlformats.org/drawingml/2006/picture">
                <pic:pic xmlns:pic="http://schemas.openxmlformats.org/drawingml/2006/picture">
                  <pic:nvPicPr>
                    <pic:cNvPr id="1" name="Picture 1" descr="Logo of National Disability Authority" title="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800225"/>
                    </a:xfrm>
                    <a:prstGeom prst="rect">
                      <a:avLst/>
                    </a:prstGeom>
                    <a:noFill/>
                    <a:ln>
                      <a:noFill/>
                    </a:ln>
                  </pic:spPr>
                </pic:pic>
              </a:graphicData>
            </a:graphic>
          </wp:inline>
        </w:drawing>
      </w:r>
    </w:p>
    <w:p w14:paraId="0C6B6A54" w14:textId="77777777" w:rsidR="00365C67" w:rsidRPr="00365C67" w:rsidRDefault="00365C67" w:rsidP="00365C67">
      <w:pPr>
        <w:spacing w:after="0"/>
        <w:rPr>
          <w:rFonts w:cs="Arial"/>
          <w:b/>
          <w:bCs/>
          <w:kern w:val="28"/>
          <w:sz w:val="36"/>
          <w:szCs w:val="32"/>
        </w:rPr>
      </w:pPr>
      <w:r>
        <w:br w:type="page"/>
      </w:r>
    </w:p>
    <w:bookmarkStart w:id="4" w:name="_Toc101857179" w:displacedByCustomXml="next"/>
    <w:bookmarkStart w:id="5" w:name="_Toc130474350" w:displacedByCustomXml="next"/>
    <w:sdt>
      <w:sdtPr>
        <w:rPr>
          <w:rFonts w:ascii="Gill Sans MT" w:eastAsia="Times New Roman" w:hAnsi="Gill Sans MT" w:cs="Times New Roman"/>
          <w:color w:val="auto"/>
          <w:sz w:val="26"/>
          <w:szCs w:val="24"/>
          <w:lang w:val="en-IE"/>
        </w:rPr>
        <w:id w:val="596919027"/>
        <w:docPartObj>
          <w:docPartGallery w:val="Table of Contents"/>
          <w:docPartUnique/>
        </w:docPartObj>
      </w:sdtPr>
      <w:sdtEndPr>
        <w:rPr>
          <w:b/>
          <w:bCs/>
          <w:noProof/>
        </w:rPr>
      </w:sdtEndPr>
      <w:sdtContent>
        <w:p w14:paraId="0D162F4D" w14:textId="46C86B55" w:rsidR="001274E8" w:rsidRDefault="001274E8">
          <w:pPr>
            <w:pStyle w:val="TOCHeading"/>
          </w:pPr>
          <w:r>
            <w:t>Table of Contents</w:t>
          </w:r>
        </w:p>
        <w:p w14:paraId="0FD6D16C" w14:textId="7574ACE3" w:rsidR="001274E8" w:rsidRDefault="001274E8">
          <w:pPr>
            <w:pStyle w:val="TOC1"/>
            <w:tabs>
              <w:tab w:val="right" w:leader="dot" w:pos="8630"/>
            </w:tabs>
            <w:rPr>
              <w:rFonts w:asciiTheme="minorHAnsi" w:eastAsiaTheme="minorEastAsia" w:hAnsiTheme="minorHAnsi" w:cstheme="minorBidi"/>
              <w:b w:val="0"/>
              <w:noProof/>
              <w:sz w:val="22"/>
              <w:szCs w:val="22"/>
              <w:lang w:eastAsia="en-IE"/>
            </w:rPr>
          </w:pPr>
          <w:r>
            <w:fldChar w:fldCharType="begin"/>
          </w:r>
          <w:r>
            <w:instrText xml:space="preserve"> TOC \o "1-3" \h \z \u </w:instrText>
          </w:r>
          <w:r>
            <w:fldChar w:fldCharType="separate"/>
          </w:r>
          <w:hyperlink w:anchor="_Toc132710518" w:history="1">
            <w:r w:rsidRPr="006E632D">
              <w:rPr>
                <w:rStyle w:val="Hyperlink"/>
                <w:noProof/>
              </w:rPr>
              <w:t>Comprehensive Employment Strategy NDA Year-end Assessment 2022</w:t>
            </w:r>
            <w:r>
              <w:rPr>
                <w:noProof/>
                <w:webHidden/>
              </w:rPr>
              <w:tab/>
            </w:r>
            <w:r>
              <w:rPr>
                <w:noProof/>
                <w:webHidden/>
              </w:rPr>
              <w:fldChar w:fldCharType="begin"/>
            </w:r>
            <w:r>
              <w:rPr>
                <w:noProof/>
                <w:webHidden/>
              </w:rPr>
              <w:instrText xml:space="preserve"> PAGEREF _Toc132710518 \h </w:instrText>
            </w:r>
            <w:r>
              <w:rPr>
                <w:noProof/>
                <w:webHidden/>
              </w:rPr>
            </w:r>
            <w:r>
              <w:rPr>
                <w:noProof/>
                <w:webHidden/>
              </w:rPr>
              <w:fldChar w:fldCharType="separate"/>
            </w:r>
            <w:r>
              <w:rPr>
                <w:noProof/>
                <w:webHidden/>
              </w:rPr>
              <w:t>1</w:t>
            </w:r>
            <w:r>
              <w:rPr>
                <w:noProof/>
                <w:webHidden/>
              </w:rPr>
              <w:fldChar w:fldCharType="end"/>
            </w:r>
          </w:hyperlink>
        </w:p>
        <w:p w14:paraId="3F2CD867" w14:textId="443FD938" w:rsidR="001274E8" w:rsidRDefault="002305B9">
          <w:pPr>
            <w:pStyle w:val="TOC1"/>
            <w:tabs>
              <w:tab w:val="right" w:leader="dot" w:pos="8630"/>
            </w:tabs>
            <w:rPr>
              <w:rFonts w:asciiTheme="minorHAnsi" w:eastAsiaTheme="minorEastAsia" w:hAnsiTheme="minorHAnsi" w:cstheme="minorBidi"/>
              <w:b w:val="0"/>
              <w:noProof/>
              <w:sz w:val="22"/>
              <w:szCs w:val="22"/>
              <w:lang w:eastAsia="en-IE"/>
            </w:rPr>
          </w:pPr>
          <w:hyperlink w:anchor="_Toc132710519" w:history="1">
            <w:r w:rsidR="001274E8" w:rsidRPr="006E632D">
              <w:rPr>
                <w:rStyle w:val="Hyperlink"/>
                <w:noProof/>
              </w:rPr>
              <w:t>CES 2022 independent assessment</w:t>
            </w:r>
            <w:r w:rsidR="001274E8">
              <w:rPr>
                <w:noProof/>
                <w:webHidden/>
              </w:rPr>
              <w:tab/>
            </w:r>
            <w:r w:rsidR="001274E8">
              <w:rPr>
                <w:noProof/>
                <w:webHidden/>
              </w:rPr>
              <w:fldChar w:fldCharType="begin"/>
            </w:r>
            <w:r w:rsidR="001274E8">
              <w:rPr>
                <w:noProof/>
                <w:webHidden/>
              </w:rPr>
              <w:instrText xml:space="preserve"> PAGEREF _Toc132710519 \h </w:instrText>
            </w:r>
            <w:r w:rsidR="001274E8">
              <w:rPr>
                <w:noProof/>
                <w:webHidden/>
              </w:rPr>
            </w:r>
            <w:r w:rsidR="001274E8">
              <w:rPr>
                <w:noProof/>
                <w:webHidden/>
              </w:rPr>
              <w:fldChar w:fldCharType="separate"/>
            </w:r>
            <w:r w:rsidR="001274E8">
              <w:rPr>
                <w:noProof/>
                <w:webHidden/>
              </w:rPr>
              <w:t>2</w:t>
            </w:r>
            <w:r w:rsidR="001274E8">
              <w:rPr>
                <w:noProof/>
                <w:webHidden/>
              </w:rPr>
              <w:fldChar w:fldCharType="end"/>
            </w:r>
          </w:hyperlink>
        </w:p>
        <w:p w14:paraId="3676BBCA" w14:textId="0323ECCB" w:rsidR="001274E8" w:rsidRDefault="002305B9">
          <w:pPr>
            <w:pStyle w:val="TOC2"/>
            <w:tabs>
              <w:tab w:val="right" w:leader="dot" w:pos="8630"/>
            </w:tabs>
            <w:rPr>
              <w:rFonts w:asciiTheme="minorHAnsi" w:eastAsiaTheme="minorEastAsia" w:hAnsiTheme="minorHAnsi" w:cstheme="minorBidi"/>
              <w:noProof/>
              <w:sz w:val="22"/>
              <w:szCs w:val="22"/>
              <w:lang w:eastAsia="en-IE"/>
            </w:rPr>
          </w:pPr>
          <w:hyperlink w:anchor="_Toc132710520" w:history="1">
            <w:r w:rsidR="001274E8" w:rsidRPr="006E632D">
              <w:rPr>
                <w:rStyle w:val="Hyperlink"/>
                <w:noProof/>
              </w:rPr>
              <w:t>List of Acronyms</w:t>
            </w:r>
            <w:r w:rsidR="001274E8">
              <w:rPr>
                <w:noProof/>
                <w:webHidden/>
              </w:rPr>
              <w:tab/>
            </w:r>
            <w:r w:rsidR="001274E8">
              <w:rPr>
                <w:noProof/>
                <w:webHidden/>
              </w:rPr>
              <w:fldChar w:fldCharType="begin"/>
            </w:r>
            <w:r w:rsidR="001274E8">
              <w:rPr>
                <w:noProof/>
                <w:webHidden/>
              </w:rPr>
              <w:instrText xml:space="preserve"> PAGEREF _Toc132710520 \h </w:instrText>
            </w:r>
            <w:r w:rsidR="001274E8">
              <w:rPr>
                <w:noProof/>
                <w:webHidden/>
              </w:rPr>
            </w:r>
            <w:r w:rsidR="001274E8">
              <w:rPr>
                <w:noProof/>
                <w:webHidden/>
              </w:rPr>
              <w:fldChar w:fldCharType="separate"/>
            </w:r>
            <w:r w:rsidR="001274E8">
              <w:rPr>
                <w:noProof/>
                <w:webHidden/>
              </w:rPr>
              <w:t>3</w:t>
            </w:r>
            <w:r w:rsidR="001274E8">
              <w:rPr>
                <w:noProof/>
                <w:webHidden/>
              </w:rPr>
              <w:fldChar w:fldCharType="end"/>
            </w:r>
          </w:hyperlink>
        </w:p>
        <w:p w14:paraId="040EFC18" w14:textId="2B459DE2" w:rsidR="001274E8" w:rsidRDefault="002305B9">
          <w:pPr>
            <w:pStyle w:val="TOC1"/>
            <w:tabs>
              <w:tab w:val="right" w:leader="dot" w:pos="8630"/>
            </w:tabs>
            <w:rPr>
              <w:rFonts w:asciiTheme="minorHAnsi" w:eastAsiaTheme="minorEastAsia" w:hAnsiTheme="minorHAnsi" w:cstheme="minorBidi"/>
              <w:b w:val="0"/>
              <w:noProof/>
              <w:sz w:val="22"/>
              <w:szCs w:val="22"/>
              <w:lang w:eastAsia="en-IE"/>
            </w:rPr>
          </w:pPr>
          <w:hyperlink w:anchor="_Toc132710521" w:history="1">
            <w:r w:rsidR="001274E8" w:rsidRPr="006E632D">
              <w:rPr>
                <w:rStyle w:val="Hyperlink"/>
                <w:noProof/>
              </w:rPr>
              <w:t>CES 2022 independent assessment</w:t>
            </w:r>
            <w:r w:rsidR="001274E8">
              <w:rPr>
                <w:noProof/>
                <w:webHidden/>
              </w:rPr>
              <w:tab/>
            </w:r>
            <w:r w:rsidR="001274E8">
              <w:rPr>
                <w:noProof/>
                <w:webHidden/>
              </w:rPr>
              <w:fldChar w:fldCharType="begin"/>
            </w:r>
            <w:r w:rsidR="001274E8">
              <w:rPr>
                <w:noProof/>
                <w:webHidden/>
              </w:rPr>
              <w:instrText xml:space="preserve"> PAGEREF _Toc132710521 \h </w:instrText>
            </w:r>
            <w:r w:rsidR="001274E8">
              <w:rPr>
                <w:noProof/>
                <w:webHidden/>
              </w:rPr>
            </w:r>
            <w:r w:rsidR="001274E8">
              <w:rPr>
                <w:noProof/>
                <w:webHidden/>
              </w:rPr>
              <w:fldChar w:fldCharType="separate"/>
            </w:r>
            <w:r w:rsidR="001274E8">
              <w:rPr>
                <w:noProof/>
                <w:webHidden/>
              </w:rPr>
              <w:t>4</w:t>
            </w:r>
            <w:r w:rsidR="001274E8">
              <w:rPr>
                <w:noProof/>
                <w:webHidden/>
              </w:rPr>
              <w:fldChar w:fldCharType="end"/>
            </w:r>
          </w:hyperlink>
        </w:p>
        <w:p w14:paraId="4DE9D1AD" w14:textId="16E4E167" w:rsidR="001274E8" w:rsidRDefault="002305B9">
          <w:pPr>
            <w:pStyle w:val="TOC1"/>
            <w:tabs>
              <w:tab w:val="right" w:leader="dot" w:pos="8630"/>
            </w:tabs>
            <w:rPr>
              <w:rFonts w:asciiTheme="minorHAnsi" w:eastAsiaTheme="minorEastAsia" w:hAnsiTheme="minorHAnsi" w:cstheme="minorBidi"/>
              <w:b w:val="0"/>
              <w:noProof/>
              <w:sz w:val="22"/>
              <w:szCs w:val="22"/>
              <w:lang w:eastAsia="en-IE"/>
            </w:rPr>
          </w:pPr>
          <w:hyperlink w:anchor="_Toc132710522" w:history="1">
            <w:r w:rsidR="001274E8" w:rsidRPr="006E632D">
              <w:rPr>
                <w:rStyle w:val="Hyperlink"/>
                <w:noProof/>
              </w:rPr>
              <w:t>Introduction</w:t>
            </w:r>
            <w:r w:rsidR="001274E8">
              <w:rPr>
                <w:noProof/>
                <w:webHidden/>
              </w:rPr>
              <w:tab/>
            </w:r>
            <w:r w:rsidR="001274E8">
              <w:rPr>
                <w:noProof/>
                <w:webHidden/>
              </w:rPr>
              <w:fldChar w:fldCharType="begin"/>
            </w:r>
            <w:r w:rsidR="001274E8">
              <w:rPr>
                <w:noProof/>
                <w:webHidden/>
              </w:rPr>
              <w:instrText xml:space="preserve"> PAGEREF _Toc132710522 \h </w:instrText>
            </w:r>
            <w:r w:rsidR="001274E8">
              <w:rPr>
                <w:noProof/>
                <w:webHidden/>
              </w:rPr>
            </w:r>
            <w:r w:rsidR="001274E8">
              <w:rPr>
                <w:noProof/>
                <w:webHidden/>
              </w:rPr>
              <w:fldChar w:fldCharType="separate"/>
            </w:r>
            <w:r w:rsidR="001274E8">
              <w:rPr>
                <w:noProof/>
                <w:webHidden/>
              </w:rPr>
              <w:t>4</w:t>
            </w:r>
            <w:r w:rsidR="001274E8">
              <w:rPr>
                <w:noProof/>
                <w:webHidden/>
              </w:rPr>
              <w:fldChar w:fldCharType="end"/>
            </w:r>
          </w:hyperlink>
        </w:p>
        <w:p w14:paraId="1E1DB317" w14:textId="7D9C0C17" w:rsidR="001274E8" w:rsidRDefault="002305B9">
          <w:pPr>
            <w:pStyle w:val="TOC1"/>
            <w:tabs>
              <w:tab w:val="right" w:leader="dot" w:pos="8630"/>
            </w:tabs>
            <w:rPr>
              <w:rFonts w:asciiTheme="minorHAnsi" w:eastAsiaTheme="minorEastAsia" w:hAnsiTheme="minorHAnsi" w:cstheme="minorBidi"/>
              <w:b w:val="0"/>
              <w:noProof/>
              <w:sz w:val="22"/>
              <w:szCs w:val="22"/>
              <w:lang w:eastAsia="en-IE"/>
            </w:rPr>
          </w:pPr>
          <w:hyperlink w:anchor="_Toc132710523" w:history="1">
            <w:r w:rsidR="001274E8" w:rsidRPr="006E632D">
              <w:rPr>
                <w:rStyle w:val="Hyperlink"/>
                <w:noProof/>
                <w:lang w:eastAsia="en-IE"/>
              </w:rPr>
              <w:t>2022 in context</w:t>
            </w:r>
            <w:r w:rsidR="001274E8">
              <w:rPr>
                <w:noProof/>
                <w:webHidden/>
              </w:rPr>
              <w:tab/>
            </w:r>
            <w:r w:rsidR="001274E8">
              <w:rPr>
                <w:noProof/>
                <w:webHidden/>
              </w:rPr>
              <w:fldChar w:fldCharType="begin"/>
            </w:r>
            <w:r w:rsidR="001274E8">
              <w:rPr>
                <w:noProof/>
                <w:webHidden/>
              </w:rPr>
              <w:instrText xml:space="preserve"> PAGEREF _Toc132710523 \h </w:instrText>
            </w:r>
            <w:r w:rsidR="001274E8">
              <w:rPr>
                <w:noProof/>
                <w:webHidden/>
              </w:rPr>
            </w:r>
            <w:r w:rsidR="001274E8">
              <w:rPr>
                <w:noProof/>
                <w:webHidden/>
              </w:rPr>
              <w:fldChar w:fldCharType="separate"/>
            </w:r>
            <w:r w:rsidR="001274E8">
              <w:rPr>
                <w:noProof/>
                <w:webHidden/>
              </w:rPr>
              <w:t>5</w:t>
            </w:r>
            <w:r w:rsidR="001274E8">
              <w:rPr>
                <w:noProof/>
                <w:webHidden/>
              </w:rPr>
              <w:fldChar w:fldCharType="end"/>
            </w:r>
          </w:hyperlink>
        </w:p>
        <w:p w14:paraId="746C39A4" w14:textId="7A31981D" w:rsidR="001274E8" w:rsidRDefault="00B04490">
          <w:pPr>
            <w:pStyle w:val="TOC3"/>
            <w:tabs>
              <w:tab w:val="right" w:leader="dot" w:pos="8630"/>
            </w:tabs>
            <w:rPr>
              <w:rFonts w:asciiTheme="minorHAnsi" w:eastAsiaTheme="minorEastAsia" w:hAnsiTheme="minorHAnsi" w:cstheme="minorBidi"/>
              <w:noProof/>
              <w:sz w:val="22"/>
              <w:szCs w:val="22"/>
              <w:lang w:eastAsia="en-IE"/>
            </w:rPr>
          </w:pPr>
          <w:r>
            <w:t>I</w:t>
          </w:r>
          <w:hyperlink w:anchor="_Toc132710524" w:history="1">
            <w:r w:rsidR="001274E8" w:rsidRPr="006E632D">
              <w:rPr>
                <w:rStyle w:val="Hyperlink"/>
                <w:noProof/>
              </w:rPr>
              <w:t>rish figures in comparison to EU performance</w:t>
            </w:r>
            <w:r w:rsidR="001274E8">
              <w:rPr>
                <w:noProof/>
                <w:webHidden/>
              </w:rPr>
              <w:tab/>
            </w:r>
            <w:r w:rsidR="001274E8">
              <w:rPr>
                <w:noProof/>
                <w:webHidden/>
              </w:rPr>
              <w:fldChar w:fldCharType="begin"/>
            </w:r>
            <w:r w:rsidR="001274E8">
              <w:rPr>
                <w:noProof/>
                <w:webHidden/>
              </w:rPr>
              <w:instrText xml:space="preserve"> PAGEREF _Toc132710524 \h </w:instrText>
            </w:r>
            <w:r w:rsidR="001274E8">
              <w:rPr>
                <w:noProof/>
                <w:webHidden/>
              </w:rPr>
            </w:r>
            <w:r w:rsidR="001274E8">
              <w:rPr>
                <w:noProof/>
                <w:webHidden/>
              </w:rPr>
              <w:fldChar w:fldCharType="separate"/>
            </w:r>
            <w:r w:rsidR="001274E8">
              <w:rPr>
                <w:noProof/>
                <w:webHidden/>
              </w:rPr>
              <w:t>5</w:t>
            </w:r>
            <w:r w:rsidR="001274E8">
              <w:rPr>
                <w:noProof/>
                <w:webHidden/>
              </w:rPr>
              <w:fldChar w:fldCharType="end"/>
            </w:r>
          </w:hyperlink>
        </w:p>
        <w:p w14:paraId="76EC42EF" w14:textId="5FD5C4B1" w:rsidR="001274E8" w:rsidRDefault="002305B9">
          <w:pPr>
            <w:pStyle w:val="TOC2"/>
            <w:tabs>
              <w:tab w:val="right" w:leader="dot" w:pos="8630"/>
            </w:tabs>
            <w:rPr>
              <w:rFonts w:asciiTheme="minorHAnsi" w:eastAsiaTheme="minorEastAsia" w:hAnsiTheme="minorHAnsi" w:cstheme="minorBidi"/>
              <w:noProof/>
              <w:sz w:val="22"/>
              <w:szCs w:val="22"/>
              <w:lang w:eastAsia="en-IE"/>
            </w:rPr>
          </w:pPr>
          <w:hyperlink w:anchor="_Toc132710525" w:history="1">
            <w:r w:rsidR="001274E8" w:rsidRPr="006E632D">
              <w:rPr>
                <w:rStyle w:val="Hyperlink"/>
                <w:noProof/>
              </w:rPr>
              <w:t>Disability Employment Gap</w:t>
            </w:r>
            <w:r w:rsidR="001274E8">
              <w:rPr>
                <w:noProof/>
                <w:webHidden/>
              </w:rPr>
              <w:tab/>
            </w:r>
            <w:r w:rsidR="001274E8">
              <w:rPr>
                <w:noProof/>
                <w:webHidden/>
              </w:rPr>
              <w:fldChar w:fldCharType="begin"/>
            </w:r>
            <w:r w:rsidR="001274E8">
              <w:rPr>
                <w:noProof/>
                <w:webHidden/>
              </w:rPr>
              <w:instrText xml:space="preserve"> PAGEREF _Toc132710525 \h </w:instrText>
            </w:r>
            <w:r w:rsidR="001274E8">
              <w:rPr>
                <w:noProof/>
                <w:webHidden/>
              </w:rPr>
            </w:r>
            <w:r w:rsidR="001274E8">
              <w:rPr>
                <w:noProof/>
                <w:webHidden/>
              </w:rPr>
              <w:fldChar w:fldCharType="separate"/>
            </w:r>
            <w:r w:rsidR="001274E8">
              <w:rPr>
                <w:noProof/>
                <w:webHidden/>
              </w:rPr>
              <w:t>8</w:t>
            </w:r>
            <w:r w:rsidR="001274E8">
              <w:rPr>
                <w:noProof/>
                <w:webHidden/>
              </w:rPr>
              <w:fldChar w:fldCharType="end"/>
            </w:r>
          </w:hyperlink>
        </w:p>
        <w:p w14:paraId="60D0BC7D" w14:textId="53880533" w:rsidR="001274E8" w:rsidRDefault="002305B9">
          <w:pPr>
            <w:pStyle w:val="TOC1"/>
            <w:tabs>
              <w:tab w:val="right" w:leader="dot" w:pos="8630"/>
            </w:tabs>
            <w:rPr>
              <w:rFonts w:asciiTheme="minorHAnsi" w:eastAsiaTheme="minorEastAsia" w:hAnsiTheme="minorHAnsi" w:cstheme="minorBidi"/>
              <w:b w:val="0"/>
              <w:noProof/>
              <w:sz w:val="22"/>
              <w:szCs w:val="22"/>
              <w:lang w:eastAsia="en-IE"/>
            </w:rPr>
          </w:pPr>
          <w:hyperlink w:anchor="_Toc132710526" w:history="1">
            <w:r w:rsidR="001274E8" w:rsidRPr="006E632D">
              <w:rPr>
                <w:rStyle w:val="Hyperlink"/>
                <w:noProof/>
              </w:rPr>
              <w:t>Key Developments in 2022</w:t>
            </w:r>
            <w:r w:rsidR="001274E8">
              <w:rPr>
                <w:noProof/>
                <w:webHidden/>
              </w:rPr>
              <w:tab/>
            </w:r>
            <w:r w:rsidR="001274E8">
              <w:rPr>
                <w:noProof/>
                <w:webHidden/>
              </w:rPr>
              <w:fldChar w:fldCharType="begin"/>
            </w:r>
            <w:r w:rsidR="001274E8">
              <w:rPr>
                <w:noProof/>
                <w:webHidden/>
              </w:rPr>
              <w:instrText xml:space="preserve"> PAGEREF _Toc132710526 \h </w:instrText>
            </w:r>
            <w:r w:rsidR="001274E8">
              <w:rPr>
                <w:noProof/>
                <w:webHidden/>
              </w:rPr>
            </w:r>
            <w:r w:rsidR="001274E8">
              <w:rPr>
                <w:noProof/>
                <w:webHidden/>
              </w:rPr>
              <w:fldChar w:fldCharType="separate"/>
            </w:r>
            <w:r w:rsidR="001274E8">
              <w:rPr>
                <w:noProof/>
                <w:webHidden/>
              </w:rPr>
              <w:t>9</w:t>
            </w:r>
            <w:r w:rsidR="001274E8">
              <w:rPr>
                <w:noProof/>
                <w:webHidden/>
              </w:rPr>
              <w:fldChar w:fldCharType="end"/>
            </w:r>
          </w:hyperlink>
        </w:p>
        <w:p w14:paraId="42DBF661" w14:textId="308B93B2" w:rsidR="001274E8" w:rsidRDefault="002305B9">
          <w:pPr>
            <w:pStyle w:val="TOC2"/>
            <w:tabs>
              <w:tab w:val="right" w:leader="dot" w:pos="8630"/>
            </w:tabs>
            <w:rPr>
              <w:rFonts w:asciiTheme="minorHAnsi" w:eastAsiaTheme="minorEastAsia" w:hAnsiTheme="minorHAnsi" w:cstheme="minorBidi"/>
              <w:noProof/>
              <w:sz w:val="22"/>
              <w:szCs w:val="22"/>
              <w:lang w:eastAsia="en-IE"/>
            </w:rPr>
          </w:pPr>
          <w:hyperlink w:anchor="_Toc132710527" w:history="1">
            <w:r w:rsidR="001274E8" w:rsidRPr="006E632D">
              <w:rPr>
                <w:rStyle w:val="Hyperlink"/>
                <w:noProof/>
                <w:lang w:eastAsia="en-IE"/>
              </w:rPr>
              <w:t>Continued challenges during 2022</w:t>
            </w:r>
            <w:r w:rsidR="001274E8">
              <w:rPr>
                <w:noProof/>
                <w:webHidden/>
              </w:rPr>
              <w:tab/>
            </w:r>
            <w:r w:rsidR="001274E8">
              <w:rPr>
                <w:noProof/>
                <w:webHidden/>
              </w:rPr>
              <w:fldChar w:fldCharType="begin"/>
            </w:r>
            <w:r w:rsidR="001274E8">
              <w:rPr>
                <w:noProof/>
                <w:webHidden/>
              </w:rPr>
              <w:instrText xml:space="preserve"> PAGEREF _Toc132710527 \h </w:instrText>
            </w:r>
            <w:r w:rsidR="001274E8">
              <w:rPr>
                <w:noProof/>
                <w:webHidden/>
              </w:rPr>
            </w:r>
            <w:r w:rsidR="001274E8">
              <w:rPr>
                <w:noProof/>
                <w:webHidden/>
              </w:rPr>
              <w:fldChar w:fldCharType="separate"/>
            </w:r>
            <w:r w:rsidR="001274E8">
              <w:rPr>
                <w:noProof/>
                <w:webHidden/>
              </w:rPr>
              <w:t>10</w:t>
            </w:r>
            <w:r w:rsidR="001274E8">
              <w:rPr>
                <w:noProof/>
                <w:webHidden/>
              </w:rPr>
              <w:fldChar w:fldCharType="end"/>
            </w:r>
          </w:hyperlink>
        </w:p>
        <w:p w14:paraId="0B87C175" w14:textId="3B07E662" w:rsidR="001274E8" w:rsidRDefault="002305B9">
          <w:pPr>
            <w:pStyle w:val="TOC1"/>
            <w:tabs>
              <w:tab w:val="right" w:leader="dot" w:pos="8630"/>
            </w:tabs>
            <w:rPr>
              <w:rFonts w:asciiTheme="minorHAnsi" w:eastAsiaTheme="minorEastAsia" w:hAnsiTheme="minorHAnsi" w:cstheme="minorBidi"/>
              <w:b w:val="0"/>
              <w:noProof/>
              <w:sz w:val="22"/>
              <w:szCs w:val="22"/>
              <w:lang w:eastAsia="en-IE"/>
            </w:rPr>
          </w:pPr>
          <w:hyperlink w:anchor="_Toc132710528" w:history="1">
            <w:r w:rsidR="001274E8" w:rsidRPr="006E632D">
              <w:rPr>
                <w:rStyle w:val="Hyperlink"/>
                <w:noProof/>
                <w:shd w:val="clear" w:color="auto" w:fill="FFFFFF"/>
              </w:rPr>
              <w:t>Strategic priority areas</w:t>
            </w:r>
            <w:r w:rsidR="001274E8">
              <w:rPr>
                <w:noProof/>
                <w:webHidden/>
              </w:rPr>
              <w:tab/>
            </w:r>
            <w:r w:rsidR="001274E8">
              <w:rPr>
                <w:noProof/>
                <w:webHidden/>
              </w:rPr>
              <w:fldChar w:fldCharType="begin"/>
            </w:r>
            <w:r w:rsidR="001274E8">
              <w:rPr>
                <w:noProof/>
                <w:webHidden/>
              </w:rPr>
              <w:instrText xml:space="preserve"> PAGEREF _Toc132710528 \h </w:instrText>
            </w:r>
            <w:r w:rsidR="001274E8">
              <w:rPr>
                <w:noProof/>
                <w:webHidden/>
              </w:rPr>
            </w:r>
            <w:r w:rsidR="001274E8">
              <w:rPr>
                <w:noProof/>
                <w:webHidden/>
              </w:rPr>
              <w:fldChar w:fldCharType="separate"/>
            </w:r>
            <w:r w:rsidR="001274E8">
              <w:rPr>
                <w:noProof/>
                <w:webHidden/>
              </w:rPr>
              <w:t>12</w:t>
            </w:r>
            <w:r w:rsidR="001274E8">
              <w:rPr>
                <w:noProof/>
                <w:webHidden/>
              </w:rPr>
              <w:fldChar w:fldCharType="end"/>
            </w:r>
          </w:hyperlink>
        </w:p>
        <w:p w14:paraId="72154D4A" w14:textId="5C2C4EA7" w:rsidR="001274E8" w:rsidRDefault="002305B9">
          <w:pPr>
            <w:pStyle w:val="TOC2"/>
            <w:tabs>
              <w:tab w:val="right" w:leader="dot" w:pos="8630"/>
            </w:tabs>
            <w:rPr>
              <w:rFonts w:asciiTheme="minorHAnsi" w:eastAsiaTheme="minorEastAsia" w:hAnsiTheme="minorHAnsi" w:cstheme="minorBidi"/>
              <w:noProof/>
              <w:sz w:val="22"/>
              <w:szCs w:val="22"/>
              <w:lang w:eastAsia="en-IE"/>
            </w:rPr>
          </w:pPr>
          <w:hyperlink w:anchor="_Toc132710529" w:history="1">
            <w:r w:rsidR="001274E8" w:rsidRPr="006E632D">
              <w:rPr>
                <w:rStyle w:val="Hyperlink"/>
                <w:noProof/>
              </w:rPr>
              <w:t>SP1 Build skills, capacity and independence</w:t>
            </w:r>
            <w:r w:rsidR="001274E8">
              <w:rPr>
                <w:noProof/>
                <w:webHidden/>
              </w:rPr>
              <w:tab/>
            </w:r>
            <w:r w:rsidR="001274E8">
              <w:rPr>
                <w:noProof/>
                <w:webHidden/>
              </w:rPr>
              <w:fldChar w:fldCharType="begin"/>
            </w:r>
            <w:r w:rsidR="001274E8">
              <w:rPr>
                <w:noProof/>
                <w:webHidden/>
              </w:rPr>
              <w:instrText xml:space="preserve"> PAGEREF _Toc132710529 \h </w:instrText>
            </w:r>
            <w:r w:rsidR="001274E8">
              <w:rPr>
                <w:noProof/>
                <w:webHidden/>
              </w:rPr>
            </w:r>
            <w:r w:rsidR="001274E8">
              <w:rPr>
                <w:noProof/>
                <w:webHidden/>
              </w:rPr>
              <w:fldChar w:fldCharType="separate"/>
            </w:r>
            <w:r w:rsidR="001274E8">
              <w:rPr>
                <w:noProof/>
                <w:webHidden/>
              </w:rPr>
              <w:t>12</w:t>
            </w:r>
            <w:r w:rsidR="001274E8">
              <w:rPr>
                <w:noProof/>
                <w:webHidden/>
              </w:rPr>
              <w:fldChar w:fldCharType="end"/>
            </w:r>
          </w:hyperlink>
        </w:p>
        <w:p w14:paraId="3642FB08" w14:textId="3F3C08A4" w:rsidR="001274E8" w:rsidRDefault="002305B9">
          <w:pPr>
            <w:pStyle w:val="TOC2"/>
            <w:tabs>
              <w:tab w:val="right" w:leader="dot" w:pos="8630"/>
            </w:tabs>
            <w:rPr>
              <w:rFonts w:asciiTheme="minorHAnsi" w:eastAsiaTheme="minorEastAsia" w:hAnsiTheme="minorHAnsi" w:cstheme="minorBidi"/>
              <w:noProof/>
              <w:sz w:val="22"/>
              <w:szCs w:val="22"/>
              <w:lang w:eastAsia="en-IE"/>
            </w:rPr>
          </w:pPr>
          <w:hyperlink w:anchor="_Toc132710530" w:history="1">
            <w:r w:rsidR="001274E8" w:rsidRPr="006E632D">
              <w:rPr>
                <w:rStyle w:val="Hyperlink"/>
                <w:noProof/>
              </w:rPr>
              <w:t>SP2 Provide bridges and supports into work</w:t>
            </w:r>
            <w:r w:rsidR="001274E8">
              <w:rPr>
                <w:noProof/>
                <w:webHidden/>
              </w:rPr>
              <w:tab/>
            </w:r>
            <w:r w:rsidR="001274E8">
              <w:rPr>
                <w:noProof/>
                <w:webHidden/>
              </w:rPr>
              <w:fldChar w:fldCharType="begin"/>
            </w:r>
            <w:r w:rsidR="001274E8">
              <w:rPr>
                <w:noProof/>
                <w:webHidden/>
              </w:rPr>
              <w:instrText xml:space="preserve"> PAGEREF _Toc132710530 \h </w:instrText>
            </w:r>
            <w:r w:rsidR="001274E8">
              <w:rPr>
                <w:noProof/>
                <w:webHidden/>
              </w:rPr>
            </w:r>
            <w:r w:rsidR="001274E8">
              <w:rPr>
                <w:noProof/>
                <w:webHidden/>
              </w:rPr>
              <w:fldChar w:fldCharType="separate"/>
            </w:r>
            <w:r w:rsidR="001274E8">
              <w:rPr>
                <w:noProof/>
                <w:webHidden/>
              </w:rPr>
              <w:t>14</w:t>
            </w:r>
            <w:r w:rsidR="001274E8">
              <w:rPr>
                <w:noProof/>
                <w:webHidden/>
              </w:rPr>
              <w:fldChar w:fldCharType="end"/>
            </w:r>
          </w:hyperlink>
        </w:p>
        <w:p w14:paraId="42A53228" w14:textId="7BF8FB20" w:rsidR="001274E8" w:rsidRDefault="002305B9">
          <w:pPr>
            <w:pStyle w:val="TOC3"/>
            <w:tabs>
              <w:tab w:val="right" w:leader="dot" w:pos="8630"/>
            </w:tabs>
            <w:rPr>
              <w:rFonts w:asciiTheme="minorHAnsi" w:eastAsiaTheme="minorEastAsia" w:hAnsiTheme="minorHAnsi" w:cstheme="minorBidi"/>
              <w:noProof/>
              <w:sz w:val="22"/>
              <w:szCs w:val="22"/>
              <w:lang w:eastAsia="en-IE"/>
            </w:rPr>
          </w:pPr>
          <w:hyperlink w:anchor="_Toc132710531" w:history="1">
            <w:r w:rsidR="001274E8" w:rsidRPr="006E632D">
              <w:rPr>
                <w:rStyle w:val="Hyperlink"/>
                <w:noProof/>
                <w:lang w:val="en-US"/>
              </w:rPr>
              <w:t>National Transport Authority (</w:t>
            </w:r>
            <w:r w:rsidR="001274E8" w:rsidRPr="006E632D">
              <w:rPr>
                <w:rStyle w:val="Hyperlink"/>
                <w:rFonts w:eastAsiaTheme="minorHAnsi"/>
                <w:noProof/>
              </w:rPr>
              <w:t>NTA)</w:t>
            </w:r>
            <w:r w:rsidR="001274E8">
              <w:rPr>
                <w:noProof/>
                <w:webHidden/>
              </w:rPr>
              <w:tab/>
            </w:r>
            <w:r w:rsidR="001274E8">
              <w:rPr>
                <w:noProof/>
                <w:webHidden/>
              </w:rPr>
              <w:fldChar w:fldCharType="begin"/>
            </w:r>
            <w:r w:rsidR="001274E8">
              <w:rPr>
                <w:noProof/>
                <w:webHidden/>
              </w:rPr>
              <w:instrText xml:space="preserve"> PAGEREF _Toc132710531 \h </w:instrText>
            </w:r>
            <w:r w:rsidR="001274E8">
              <w:rPr>
                <w:noProof/>
                <w:webHidden/>
              </w:rPr>
            </w:r>
            <w:r w:rsidR="001274E8">
              <w:rPr>
                <w:noProof/>
                <w:webHidden/>
              </w:rPr>
              <w:fldChar w:fldCharType="separate"/>
            </w:r>
            <w:r w:rsidR="001274E8">
              <w:rPr>
                <w:noProof/>
                <w:webHidden/>
              </w:rPr>
              <w:t>16</w:t>
            </w:r>
            <w:r w:rsidR="001274E8">
              <w:rPr>
                <w:noProof/>
                <w:webHidden/>
              </w:rPr>
              <w:fldChar w:fldCharType="end"/>
            </w:r>
          </w:hyperlink>
        </w:p>
        <w:p w14:paraId="5681F09C" w14:textId="579F9D5A" w:rsidR="001274E8" w:rsidRDefault="002305B9">
          <w:pPr>
            <w:pStyle w:val="TOC2"/>
            <w:tabs>
              <w:tab w:val="right" w:leader="dot" w:pos="8630"/>
            </w:tabs>
            <w:rPr>
              <w:rFonts w:asciiTheme="minorHAnsi" w:eastAsiaTheme="minorEastAsia" w:hAnsiTheme="minorHAnsi" w:cstheme="minorBidi"/>
              <w:noProof/>
              <w:sz w:val="22"/>
              <w:szCs w:val="22"/>
              <w:lang w:eastAsia="en-IE"/>
            </w:rPr>
          </w:pPr>
          <w:hyperlink w:anchor="_Toc132710532" w:history="1">
            <w:r w:rsidR="001274E8" w:rsidRPr="006E632D">
              <w:rPr>
                <w:rStyle w:val="Hyperlink"/>
                <w:noProof/>
              </w:rPr>
              <w:t>SP3 Make work pay</w:t>
            </w:r>
            <w:r w:rsidR="001274E8">
              <w:rPr>
                <w:noProof/>
                <w:webHidden/>
              </w:rPr>
              <w:tab/>
            </w:r>
            <w:r w:rsidR="001274E8">
              <w:rPr>
                <w:noProof/>
                <w:webHidden/>
              </w:rPr>
              <w:fldChar w:fldCharType="begin"/>
            </w:r>
            <w:r w:rsidR="001274E8">
              <w:rPr>
                <w:noProof/>
                <w:webHidden/>
              </w:rPr>
              <w:instrText xml:space="preserve"> PAGEREF _Toc132710532 \h </w:instrText>
            </w:r>
            <w:r w:rsidR="001274E8">
              <w:rPr>
                <w:noProof/>
                <w:webHidden/>
              </w:rPr>
            </w:r>
            <w:r w:rsidR="001274E8">
              <w:rPr>
                <w:noProof/>
                <w:webHidden/>
              </w:rPr>
              <w:fldChar w:fldCharType="separate"/>
            </w:r>
            <w:r w:rsidR="001274E8">
              <w:rPr>
                <w:noProof/>
                <w:webHidden/>
              </w:rPr>
              <w:t>17</w:t>
            </w:r>
            <w:r w:rsidR="001274E8">
              <w:rPr>
                <w:noProof/>
                <w:webHidden/>
              </w:rPr>
              <w:fldChar w:fldCharType="end"/>
            </w:r>
          </w:hyperlink>
        </w:p>
        <w:p w14:paraId="51F886D5" w14:textId="784DD2FC" w:rsidR="001274E8" w:rsidRDefault="002305B9">
          <w:pPr>
            <w:pStyle w:val="TOC2"/>
            <w:tabs>
              <w:tab w:val="right" w:leader="dot" w:pos="8630"/>
            </w:tabs>
            <w:rPr>
              <w:rFonts w:asciiTheme="minorHAnsi" w:eastAsiaTheme="minorEastAsia" w:hAnsiTheme="minorHAnsi" w:cstheme="minorBidi"/>
              <w:noProof/>
              <w:sz w:val="22"/>
              <w:szCs w:val="22"/>
              <w:lang w:eastAsia="en-IE"/>
            </w:rPr>
          </w:pPr>
          <w:hyperlink w:anchor="_Toc132710533" w:history="1">
            <w:r w:rsidR="001274E8" w:rsidRPr="006E632D">
              <w:rPr>
                <w:rStyle w:val="Hyperlink"/>
                <w:noProof/>
              </w:rPr>
              <w:t>SP4 Promote job retention and re-entry to work</w:t>
            </w:r>
            <w:r w:rsidR="001274E8">
              <w:rPr>
                <w:noProof/>
                <w:webHidden/>
              </w:rPr>
              <w:tab/>
            </w:r>
            <w:r w:rsidR="001274E8">
              <w:rPr>
                <w:noProof/>
                <w:webHidden/>
              </w:rPr>
              <w:fldChar w:fldCharType="begin"/>
            </w:r>
            <w:r w:rsidR="001274E8">
              <w:rPr>
                <w:noProof/>
                <w:webHidden/>
              </w:rPr>
              <w:instrText xml:space="preserve"> PAGEREF _Toc132710533 \h </w:instrText>
            </w:r>
            <w:r w:rsidR="001274E8">
              <w:rPr>
                <w:noProof/>
                <w:webHidden/>
              </w:rPr>
            </w:r>
            <w:r w:rsidR="001274E8">
              <w:rPr>
                <w:noProof/>
                <w:webHidden/>
              </w:rPr>
              <w:fldChar w:fldCharType="separate"/>
            </w:r>
            <w:r w:rsidR="001274E8">
              <w:rPr>
                <w:noProof/>
                <w:webHidden/>
              </w:rPr>
              <w:t>19</w:t>
            </w:r>
            <w:r w:rsidR="001274E8">
              <w:rPr>
                <w:noProof/>
                <w:webHidden/>
              </w:rPr>
              <w:fldChar w:fldCharType="end"/>
            </w:r>
          </w:hyperlink>
        </w:p>
        <w:p w14:paraId="46598460" w14:textId="60A97235" w:rsidR="001274E8" w:rsidRDefault="002305B9">
          <w:pPr>
            <w:pStyle w:val="TOC2"/>
            <w:tabs>
              <w:tab w:val="right" w:leader="dot" w:pos="8630"/>
            </w:tabs>
            <w:rPr>
              <w:rFonts w:asciiTheme="minorHAnsi" w:eastAsiaTheme="minorEastAsia" w:hAnsiTheme="minorHAnsi" w:cstheme="minorBidi"/>
              <w:noProof/>
              <w:sz w:val="22"/>
              <w:szCs w:val="22"/>
              <w:lang w:eastAsia="en-IE"/>
            </w:rPr>
          </w:pPr>
          <w:hyperlink w:anchor="_Toc132710534" w:history="1">
            <w:r w:rsidR="001274E8" w:rsidRPr="006E632D">
              <w:rPr>
                <w:rStyle w:val="Hyperlink"/>
                <w:noProof/>
                <w:lang w:eastAsia="en-IE"/>
              </w:rPr>
              <w:t>SP5 Provide co-ordinated and seamless support</w:t>
            </w:r>
            <w:r w:rsidR="001274E8">
              <w:rPr>
                <w:noProof/>
                <w:webHidden/>
              </w:rPr>
              <w:tab/>
            </w:r>
            <w:r w:rsidR="001274E8">
              <w:rPr>
                <w:noProof/>
                <w:webHidden/>
              </w:rPr>
              <w:fldChar w:fldCharType="begin"/>
            </w:r>
            <w:r w:rsidR="001274E8">
              <w:rPr>
                <w:noProof/>
                <w:webHidden/>
              </w:rPr>
              <w:instrText xml:space="preserve"> PAGEREF _Toc132710534 \h </w:instrText>
            </w:r>
            <w:r w:rsidR="001274E8">
              <w:rPr>
                <w:noProof/>
                <w:webHidden/>
              </w:rPr>
            </w:r>
            <w:r w:rsidR="001274E8">
              <w:rPr>
                <w:noProof/>
                <w:webHidden/>
              </w:rPr>
              <w:fldChar w:fldCharType="separate"/>
            </w:r>
            <w:r w:rsidR="001274E8">
              <w:rPr>
                <w:noProof/>
                <w:webHidden/>
              </w:rPr>
              <w:t>20</w:t>
            </w:r>
            <w:r w:rsidR="001274E8">
              <w:rPr>
                <w:noProof/>
                <w:webHidden/>
              </w:rPr>
              <w:fldChar w:fldCharType="end"/>
            </w:r>
          </w:hyperlink>
        </w:p>
        <w:p w14:paraId="73383F66" w14:textId="1E4D899C" w:rsidR="001274E8" w:rsidRDefault="002305B9">
          <w:pPr>
            <w:pStyle w:val="TOC2"/>
            <w:tabs>
              <w:tab w:val="right" w:leader="dot" w:pos="8630"/>
            </w:tabs>
            <w:rPr>
              <w:rFonts w:asciiTheme="minorHAnsi" w:eastAsiaTheme="minorEastAsia" w:hAnsiTheme="minorHAnsi" w:cstheme="minorBidi"/>
              <w:noProof/>
              <w:sz w:val="22"/>
              <w:szCs w:val="22"/>
              <w:lang w:eastAsia="en-IE"/>
            </w:rPr>
          </w:pPr>
          <w:hyperlink w:anchor="_Toc132710535" w:history="1">
            <w:r w:rsidR="001274E8" w:rsidRPr="006E632D">
              <w:rPr>
                <w:rStyle w:val="Hyperlink"/>
                <w:noProof/>
                <w:lang w:eastAsia="en-IE"/>
              </w:rPr>
              <w:t>SP6 Engage Employers</w:t>
            </w:r>
            <w:r w:rsidR="001274E8">
              <w:rPr>
                <w:noProof/>
                <w:webHidden/>
              </w:rPr>
              <w:tab/>
            </w:r>
            <w:r w:rsidR="001274E8">
              <w:rPr>
                <w:noProof/>
                <w:webHidden/>
              </w:rPr>
              <w:fldChar w:fldCharType="begin"/>
            </w:r>
            <w:r w:rsidR="001274E8">
              <w:rPr>
                <w:noProof/>
                <w:webHidden/>
              </w:rPr>
              <w:instrText xml:space="preserve"> PAGEREF _Toc132710535 \h </w:instrText>
            </w:r>
            <w:r w:rsidR="001274E8">
              <w:rPr>
                <w:noProof/>
                <w:webHidden/>
              </w:rPr>
            </w:r>
            <w:r w:rsidR="001274E8">
              <w:rPr>
                <w:noProof/>
                <w:webHidden/>
              </w:rPr>
              <w:fldChar w:fldCharType="separate"/>
            </w:r>
            <w:r w:rsidR="001274E8">
              <w:rPr>
                <w:noProof/>
                <w:webHidden/>
              </w:rPr>
              <w:t>20</w:t>
            </w:r>
            <w:r w:rsidR="001274E8">
              <w:rPr>
                <w:noProof/>
                <w:webHidden/>
              </w:rPr>
              <w:fldChar w:fldCharType="end"/>
            </w:r>
          </w:hyperlink>
        </w:p>
        <w:p w14:paraId="4FE514CE" w14:textId="4D203E72" w:rsidR="001274E8" w:rsidRDefault="002305B9">
          <w:pPr>
            <w:pStyle w:val="TOC3"/>
            <w:tabs>
              <w:tab w:val="right" w:leader="dot" w:pos="8630"/>
            </w:tabs>
            <w:rPr>
              <w:rFonts w:asciiTheme="minorHAnsi" w:eastAsiaTheme="minorEastAsia" w:hAnsiTheme="minorHAnsi" w:cstheme="minorBidi"/>
              <w:noProof/>
              <w:sz w:val="22"/>
              <w:szCs w:val="22"/>
              <w:lang w:eastAsia="en-IE"/>
            </w:rPr>
          </w:pPr>
          <w:hyperlink w:anchor="_Toc132710536" w:history="1">
            <w:r w:rsidR="001274E8" w:rsidRPr="006E632D">
              <w:rPr>
                <w:rStyle w:val="Hyperlink"/>
                <w:noProof/>
              </w:rPr>
              <w:t>Alternative recruitment strategies</w:t>
            </w:r>
            <w:r w:rsidR="001274E8">
              <w:rPr>
                <w:noProof/>
                <w:webHidden/>
              </w:rPr>
              <w:tab/>
            </w:r>
            <w:r w:rsidR="001274E8">
              <w:rPr>
                <w:noProof/>
                <w:webHidden/>
              </w:rPr>
              <w:fldChar w:fldCharType="begin"/>
            </w:r>
            <w:r w:rsidR="001274E8">
              <w:rPr>
                <w:noProof/>
                <w:webHidden/>
              </w:rPr>
              <w:instrText xml:space="preserve"> PAGEREF _Toc132710536 \h </w:instrText>
            </w:r>
            <w:r w:rsidR="001274E8">
              <w:rPr>
                <w:noProof/>
                <w:webHidden/>
              </w:rPr>
            </w:r>
            <w:r w:rsidR="001274E8">
              <w:rPr>
                <w:noProof/>
                <w:webHidden/>
              </w:rPr>
              <w:fldChar w:fldCharType="separate"/>
            </w:r>
            <w:r w:rsidR="001274E8">
              <w:rPr>
                <w:noProof/>
                <w:webHidden/>
              </w:rPr>
              <w:t>22</w:t>
            </w:r>
            <w:r w:rsidR="001274E8">
              <w:rPr>
                <w:noProof/>
                <w:webHidden/>
              </w:rPr>
              <w:fldChar w:fldCharType="end"/>
            </w:r>
          </w:hyperlink>
        </w:p>
        <w:p w14:paraId="225BFA48" w14:textId="04D4F6EF" w:rsidR="001274E8" w:rsidRDefault="002305B9">
          <w:pPr>
            <w:pStyle w:val="TOC1"/>
            <w:tabs>
              <w:tab w:val="right" w:leader="dot" w:pos="8630"/>
            </w:tabs>
            <w:rPr>
              <w:rFonts w:asciiTheme="minorHAnsi" w:eastAsiaTheme="minorEastAsia" w:hAnsiTheme="minorHAnsi" w:cstheme="minorBidi"/>
              <w:b w:val="0"/>
              <w:noProof/>
              <w:sz w:val="22"/>
              <w:szCs w:val="22"/>
              <w:lang w:eastAsia="en-IE"/>
            </w:rPr>
          </w:pPr>
          <w:hyperlink w:anchor="_Toc132710537" w:history="1">
            <w:r w:rsidR="001274E8" w:rsidRPr="006E632D">
              <w:rPr>
                <w:rStyle w:val="Hyperlink"/>
                <w:noProof/>
              </w:rPr>
              <w:t>Conclusion</w:t>
            </w:r>
            <w:r w:rsidR="001274E8">
              <w:rPr>
                <w:noProof/>
                <w:webHidden/>
              </w:rPr>
              <w:tab/>
            </w:r>
            <w:r w:rsidR="001274E8">
              <w:rPr>
                <w:noProof/>
                <w:webHidden/>
              </w:rPr>
              <w:fldChar w:fldCharType="begin"/>
            </w:r>
            <w:r w:rsidR="001274E8">
              <w:rPr>
                <w:noProof/>
                <w:webHidden/>
              </w:rPr>
              <w:instrText xml:space="preserve"> PAGEREF _Toc132710537 \h </w:instrText>
            </w:r>
            <w:r w:rsidR="001274E8">
              <w:rPr>
                <w:noProof/>
                <w:webHidden/>
              </w:rPr>
            </w:r>
            <w:r w:rsidR="001274E8">
              <w:rPr>
                <w:noProof/>
                <w:webHidden/>
              </w:rPr>
              <w:fldChar w:fldCharType="separate"/>
            </w:r>
            <w:r w:rsidR="001274E8">
              <w:rPr>
                <w:noProof/>
                <w:webHidden/>
              </w:rPr>
              <w:t>23</w:t>
            </w:r>
            <w:r w:rsidR="001274E8">
              <w:rPr>
                <w:noProof/>
                <w:webHidden/>
              </w:rPr>
              <w:fldChar w:fldCharType="end"/>
            </w:r>
          </w:hyperlink>
        </w:p>
        <w:p w14:paraId="3D9D4EA9" w14:textId="54B4C5F6" w:rsidR="001274E8" w:rsidRDefault="002305B9">
          <w:pPr>
            <w:pStyle w:val="TOC1"/>
            <w:tabs>
              <w:tab w:val="right" w:leader="dot" w:pos="8630"/>
            </w:tabs>
            <w:rPr>
              <w:rFonts w:asciiTheme="minorHAnsi" w:eastAsiaTheme="minorEastAsia" w:hAnsiTheme="minorHAnsi" w:cstheme="minorBidi"/>
              <w:b w:val="0"/>
              <w:noProof/>
              <w:sz w:val="22"/>
              <w:szCs w:val="22"/>
              <w:lang w:eastAsia="en-IE"/>
            </w:rPr>
          </w:pPr>
          <w:hyperlink w:anchor="_Toc132710538" w:history="1">
            <w:r w:rsidR="001274E8" w:rsidRPr="006E632D">
              <w:rPr>
                <w:rStyle w:val="Hyperlink"/>
                <w:noProof/>
              </w:rPr>
              <w:t>Appendix 1: EU Disability Employment Package launched in 2022</w:t>
            </w:r>
            <w:r w:rsidR="001274E8">
              <w:rPr>
                <w:noProof/>
                <w:webHidden/>
              </w:rPr>
              <w:tab/>
            </w:r>
            <w:r w:rsidR="001274E8">
              <w:rPr>
                <w:noProof/>
                <w:webHidden/>
              </w:rPr>
              <w:fldChar w:fldCharType="begin"/>
            </w:r>
            <w:r w:rsidR="001274E8">
              <w:rPr>
                <w:noProof/>
                <w:webHidden/>
              </w:rPr>
              <w:instrText xml:space="preserve"> PAGEREF _Toc132710538 \h </w:instrText>
            </w:r>
            <w:r w:rsidR="001274E8">
              <w:rPr>
                <w:noProof/>
                <w:webHidden/>
              </w:rPr>
            </w:r>
            <w:r w:rsidR="001274E8">
              <w:rPr>
                <w:noProof/>
                <w:webHidden/>
              </w:rPr>
              <w:fldChar w:fldCharType="separate"/>
            </w:r>
            <w:r w:rsidR="001274E8">
              <w:rPr>
                <w:noProof/>
                <w:webHidden/>
              </w:rPr>
              <w:t>24</w:t>
            </w:r>
            <w:r w:rsidR="001274E8">
              <w:rPr>
                <w:noProof/>
                <w:webHidden/>
              </w:rPr>
              <w:fldChar w:fldCharType="end"/>
            </w:r>
          </w:hyperlink>
        </w:p>
        <w:p w14:paraId="56DF6D34" w14:textId="58B5F245" w:rsidR="001274E8" w:rsidRDefault="002305B9">
          <w:pPr>
            <w:pStyle w:val="TOC1"/>
            <w:tabs>
              <w:tab w:val="right" w:leader="dot" w:pos="8630"/>
            </w:tabs>
            <w:rPr>
              <w:rFonts w:asciiTheme="minorHAnsi" w:eastAsiaTheme="minorEastAsia" w:hAnsiTheme="minorHAnsi" w:cstheme="minorBidi"/>
              <w:b w:val="0"/>
              <w:noProof/>
              <w:sz w:val="22"/>
              <w:szCs w:val="22"/>
              <w:lang w:eastAsia="en-IE"/>
            </w:rPr>
          </w:pPr>
          <w:hyperlink w:anchor="_Toc132710539" w:history="1">
            <w:r w:rsidR="001274E8" w:rsidRPr="006E632D">
              <w:rPr>
                <w:rStyle w:val="Hyperlink"/>
                <w:rFonts w:eastAsia="Calibri"/>
                <w:noProof/>
              </w:rPr>
              <w:t>Appendix 2: Disability Employment Charter UK</w:t>
            </w:r>
            <w:r w:rsidR="001274E8">
              <w:rPr>
                <w:noProof/>
                <w:webHidden/>
              </w:rPr>
              <w:tab/>
            </w:r>
            <w:r w:rsidR="001274E8">
              <w:rPr>
                <w:noProof/>
                <w:webHidden/>
              </w:rPr>
              <w:fldChar w:fldCharType="begin"/>
            </w:r>
            <w:r w:rsidR="001274E8">
              <w:rPr>
                <w:noProof/>
                <w:webHidden/>
              </w:rPr>
              <w:instrText xml:space="preserve"> PAGEREF _Toc132710539 \h </w:instrText>
            </w:r>
            <w:r w:rsidR="001274E8">
              <w:rPr>
                <w:noProof/>
                <w:webHidden/>
              </w:rPr>
            </w:r>
            <w:r w:rsidR="001274E8">
              <w:rPr>
                <w:noProof/>
                <w:webHidden/>
              </w:rPr>
              <w:fldChar w:fldCharType="separate"/>
            </w:r>
            <w:r w:rsidR="001274E8">
              <w:rPr>
                <w:noProof/>
                <w:webHidden/>
              </w:rPr>
              <w:t>25</w:t>
            </w:r>
            <w:r w:rsidR="001274E8">
              <w:rPr>
                <w:noProof/>
                <w:webHidden/>
              </w:rPr>
              <w:fldChar w:fldCharType="end"/>
            </w:r>
          </w:hyperlink>
        </w:p>
        <w:p w14:paraId="546D4C7D" w14:textId="66B8E8B9" w:rsidR="001274E8" w:rsidRDefault="002305B9">
          <w:pPr>
            <w:pStyle w:val="TOC2"/>
            <w:tabs>
              <w:tab w:val="right" w:leader="dot" w:pos="8630"/>
            </w:tabs>
            <w:rPr>
              <w:rFonts w:asciiTheme="minorHAnsi" w:eastAsiaTheme="minorEastAsia" w:hAnsiTheme="minorHAnsi" w:cstheme="minorBidi"/>
              <w:noProof/>
              <w:sz w:val="22"/>
              <w:szCs w:val="22"/>
              <w:lang w:eastAsia="en-IE"/>
            </w:rPr>
          </w:pPr>
          <w:hyperlink w:anchor="_Toc132710540" w:history="1">
            <w:r w:rsidR="001274E8" w:rsidRPr="006E632D">
              <w:rPr>
                <w:rStyle w:val="Hyperlink"/>
                <w:rFonts w:eastAsia="Calibri"/>
                <w:noProof/>
              </w:rPr>
              <w:t>Accessible Employment theme at NDA annual conference 2022</w:t>
            </w:r>
            <w:r w:rsidR="001274E8">
              <w:rPr>
                <w:noProof/>
                <w:webHidden/>
              </w:rPr>
              <w:tab/>
            </w:r>
            <w:r w:rsidR="001274E8">
              <w:rPr>
                <w:noProof/>
                <w:webHidden/>
              </w:rPr>
              <w:fldChar w:fldCharType="begin"/>
            </w:r>
            <w:r w:rsidR="001274E8">
              <w:rPr>
                <w:noProof/>
                <w:webHidden/>
              </w:rPr>
              <w:instrText xml:space="preserve"> PAGEREF _Toc132710540 \h </w:instrText>
            </w:r>
            <w:r w:rsidR="001274E8">
              <w:rPr>
                <w:noProof/>
                <w:webHidden/>
              </w:rPr>
            </w:r>
            <w:r w:rsidR="001274E8">
              <w:rPr>
                <w:noProof/>
                <w:webHidden/>
              </w:rPr>
              <w:fldChar w:fldCharType="separate"/>
            </w:r>
            <w:r w:rsidR="001274E8">
              <w:rPr>
                <w:noProof/>
                <w:webHidden/>
              </w:rPr>
              <w:t>25</w:t>
            </w:r>
            <w:r w:rsidR="001274E8">
              <w:rPr>
                <w:noProof/>
                <w:webHidden/>
              </w:rPr>
              <w:fldChar w:fldCharType="end"/>
            </w:r>
          </w:hyperlink>
        </w:p>
        <w:p w14:paraId="272145E3" w14:textId="5EC5011C" w:rsidR="001274E8" w:rsidRDefault="001274E8">
          <w:r>
            <w:rPr>
              <w:b/>
              <w:bCs/>
              <w:noProof/>
            </w:rPr>
            <w:fldChar w:fldCharType="end"/>
          </w:r>
        </w:p>
      </w:sdtContent>
    </w:sdt>
    <w:p w14:paraId="6CD6C573" w14:textId="77777777" w:rsidR="002F206C" w:rsidRDefault="002F206C">
      <w:pPr>
        <w:spacing w:after="0"/>
        <w:rPr>
          <w:rFonts w:cs="Arial Bold"/>
          <w:b/>
          <w:bCs/>
          <w:iCs/>
          <w:sz w:val="28"/>
          <w:szCs w:val="28"/>
        </w:rPr>
      </w:pPr>
      <w:bookmarkStart w:id="6" w:name="_Toc132710520"/>
      <w:r>
        <w:br w:type="page"/>
      </w:r>
    </w:p>
    <w:p w14:paraId="7EEF5B79" w14:textId="366F748B" w:rsidR="00365C67" w:rsidRDefault="00365C67" w:rsidP="00C24351">
      <w:pPr>
        <w:pStyle w:val="Heading2"/>
      </w:pPr>
      <w:r>
        <w:lastRenderedPageBreak/>
        <w:t>List of Acronyms</w:t>
      </w:r>
      <w:bookmarkEnd w:id="6"/>
      <w:bookmarkEnd w:id="5"/>
      <w:bookmarkEnd w:id="4"/>
    </w:p>
    <w:tbl>
      <w:tblPr>
        <w:tblStyle w:val="TableGrid"/>
        <w:tblW w:w="0" w:type="auto"/>
        <w:tblLook w:val="04A0" w:firstRow="1" w:lastRow="0" w:firstColumn="1" w:lastColumn="0" w:noHBand="0" w:noVBand="1"/>
        <w:tblCaption w:val="Table on list of Acronyms"/>
        <w:tblDescription w:val="Discription of Acronyms"/>
      </w:tblPr>
      <w:tblGrid>
        <w:gridCol w:w="1838"/>
        <w:gridCol w:w="6792"/>
      </w:tblGrid>
      <w:tr w:rsidR="00365C67" w14:paraId="11528134" w14:textId="77777777" w:rsidTr="00785F52">
        <w:trPr>
          <w:tblHeader/>
        </w:trPr>
        <w:tc>
          <w:tcPr>
            <w:tcW w:w="1838" w:type="dxa"/>
          </w:tcPr>
          <w:p w14:paraId="3F9528D8" w14:textId="77777777" w:rsidR="00365C67" w:rsidRDefault="00365C67" w:rsidP="00785F52">
            <w:pPr>
              <w:spacing w:after="0"/>
              <w:jc w:val="both"/>
            </w:pPr>
            <w:r>
              <w:t>AHEAD</w:t>
            </w:r>
          </w:p>
        </w:tc>
        <w:tc>
          <w:tcPr>
            <w:tcW w:w="6792" w:type="dxa"/>
          </w:tcPr>
          <w:p w14:paraId="584CB1EC" w14:textId="77777777" w:rsidR="00365C67" w:rsidRDefault="00365C67" w:rsidP="00785F52">
            <w:pPr>
              <w:spacing w:after="0"/>
              <w:jc w:val="both"/>
            </w:pPr>
            <w:r>
              <w:rPr>
                <w:szCs w:val="26"/>
              </w:rPr>
              <w:t>Association Higher Education and Disability</w:t>
            </w:r>
          </w:p>
        </w:tc>
      </w:tr>
      <w:tr w:rsidR="00365C67" w14:paraId="391B9159" w14:textId="77777777" w:rsidTr="00785F52">
        <w:tc>
          <w:tcPr>
            <w:tcW w:w="1838" w:type="dxa"/>
          </w:tcPr>
          <w:p w14:paraId="253372E5" w14:textId="77777777" w:rsidR="00365C67" w:rsidRDefault="00365C67" w:rsidP="00785F52">
            <w:pPr>
              <w:spacing w:after="0"/>
              <w:jc w:val="both"/>
            </w:pPr>
            <w:r>
              <w:t>CES</w:t>
            </w:r>
          </w:p>
        </w:tc>
        <w:tc>
          <w:tcPr>
            <w:tcW w:w="6792" w:type="dxa"/>
          </w:tcPr>
          <w:p w14:paraId="41CB8E36" w14:textId="77777777" w:rsidR="00365C67" w:rsidRDefault="00365C67" w:rsidP="00785F52">
            <w:pPr>
              <w:spacing w:after="0"/>
              <w:jc w:val="both"/>
            </w:pPr>
            <w:r w:rsidRPr="00034D95">
              <w:rPr>
                <w:rFonts w:eastAsiaTheme="minorHAnsi" w:cs="Calibri"/>
                <w:szCs w:val="26"/>
              </w:rPr>
              <w:t>Comprehensive Employment Strategy for People with Disabilities 2015-2024</w:t>
            </w:r>
          </w:p>
        </w:tc>
      </w:tr>
      <w:tr w:rsidR="00365C67" w14:paraId="4A52A3BA" w14:textId="77777777" w:rsidTr="00785F52">
        <w:tc>
          <w:tcPr>
            <w:tcW w:w="1838" w:type="dxa"/>
          </w:tcPr>
          <w:p w14:paraId="71A3D41A" w14:textId="77777777" w:rsidR="00365C67" w:rsidRDefault="00365C67" w:rsidP="00785F52">
            <w:pPr>
              <w:spacing w:after="0"/>
              <w:jc w:val="both"/>
            </w:pPr>
            <w:r>
              <w:t>COVID-19</w:t>
            </w:r>
          </w:p>
        </w:tc>
        <w:tc>
          <w:tcPr>
            <w:tcW w:w="6792" w:type="dxa"/>
          </w:tcPr>
          <w:p w14:paraId="350CE24E" w14:textId="77777777" w:rsidR="00365C67" w:rsidRDefault="00365C67" w:rsidP="00785F52">
            <w:pPr>
              <w:spacing w:after="0"/>
              <w:jc w:val="both"/>
            </w:pPr>
            <w:r>
              <w:rPr>
                <w:rFonts w:cs="Arial"/>
                <w:szCs w:val="26"/>
                <w:shd w:val="clear" w:color="auto" w:fill="FFFFFF"/>
              </w:rPr>
              <w:t>I</w:t>
            </w:r>
            <w:r w:rsidRPr="00034D95">
              <w:rPr>
                <w:rFonts w:cs="Arial"/>
                <w:szCs w:val="26"/>
                <w:shd w:val="clear" w:color="auto" w:fill="FFFFFF"/>
              </w:rPr>
              <w:t>nfectious disease caused by a newly discovered coronavirus</w:t>
            </w:r>
          </w:p>
        </w:tc>
      </w:tr>
      <w:tr w:rsidR="00365C67" w14:paraId="335AB743" w14:textId="77777777" w:rsidTr="00785F52">
        <w:tc>
          <w:tcPr>
            <w:tcW w:w="1838" w:type="dxa"/>
          </w:tcPr>
          <w:p w14:paraId="5F5FE4CB" w14:textId="77777777" w:rsidR="00365C67" w:rsidRDefault="00365C67" w:rsidP="00785F52">
            <w:pPr>
              <w:spacing w:after="0"/>
              <w:jc w:val="both"/>
            </w:pPr>
            <w:r>
              <w:t>CSO</w:t>
            </w:r>
          </w:p>
        </w:tc>
        <w:tc>
          <w:tcPr>
            <w:tcW w:w="6792" w:type="dxa"/>
          </w:tcPr>
          <w:p w14:paraId="7CD931DC" w14:textId="77777777" w:rsidR="00365C67" w:rsidRDefault="00365C67" w:rsidP="00785F52">
            <w:pPr>
              <w:spacing w:after="0"/>
              <w:jc w:val="both"/>
            </w:pPr>
            <w:r w:rsidRPr="00034D95">
              <w:rPr>
                <w:szCs w:val="26"/>
              </w:rPr>
              <w:t>Central Statistics Office</w:t>
            </w:r>
          </w:p>
        </w:tc>
      </w:tr>
      <w:tr w:rsidR="00365C67" w14:paraId="34BAF37F" w14:textId="77777777" w:rsidTr="00785F52">
        <w:tc>
          <w:tcPr>
            <w:tcW w:w="1838" w:type="dxa"/>
          </w:tcPr>
          <w:p w14:paraId="3A35665F" w14:textId="77777777" w:rsidR="00365C67" w:rsidRDefault="00365C67" w:rsidP="00785F52">
            <w:pPr>
              <w:spacing w:after="0"/>
              <w:jc w:val="both"/>
            </w:pPr>
            <w:r>
              <w:t>DA</w:t>
            </w:r>
          </w:p>
        </w:tc>
        <w:tc>
          <w:tcPr>
            <w:tcW w:w="6792" w:type="dxa"/>
          </w:tcPr>
          <w:p w14:paraId="2DA52CF8" w14:textId="77777777" w:rsidR="00365C67" w:rsidRDefault="00365C67" w:rsidP="00785F52">
            <w:pPr>
              <w:spacing w:after="0"/>
              <w:jc w:val="both"/>
            </w:pPr>
            <w:r w:rsidRPr="00034D95">
              <w:rPr>
                <w:szCs w:val="26"/>
              </w:rPr>
              <w:t>Disability Allowance</w:t>
            </w:r>
          </w:p>
        </w:tc>
      </w:tr>
      <w:tr w:rsidR="00365C67" w14:paraId="7847F19C" w14:textId="77777777" w:rsidTr="00785F52">
        <w:tc>
          <w:tcPr>
            <w:tcW w:w="1838" w:type="dxa"/>
          </w:tcPr>
          <w:p w14:paraId="031C1AF8" w14:textId="77777777" w:rsidR="00365C67" w:rsidRDefault="00365C67" w:rsidP="00785F52">
            <w:pPr>
              <w:spacing w:after="0"/>
              <w:jc w:val="both"/>
            </w:pPr>
            <w:r>
              <w:t>DCEDIY</w:t>
            </w:r>
          </w:p>
        </w:tc>
        <w:tc>
          <w:tcPr>
            <w:tcW w:w="6792" w:type="dxa"/>
          </w:tcPr>
          <w:p w14:paraId="684348AD" w14:textId="77777777" w:rsidR="00365C67" w:rsidRDefault="00365C67" w:rsidP="00785F52">
            <w:pPr>
              <w:spacing w:after="0"/>
              <w:jc w:val="both"/>
            </w:pPr>
            <w:r w:rsidRPr="00034D95">
              <w:rPr>
                <w:rFonts w:eastAsiaTheme="minorHAnsi" w:cs="Calibri"/>
                <w:szCs w:val="26"/>
              </w:rPr>
              <w:t>Department of Children, Equality, Disability, Integration and Youth</w:t>
            </w:r>
          </w:p>
        </w:tc>
      </w:tr>
      <w:tr w:rsidR="00365C67" w14:paraId="1C2F9975" w14:textId="77777777" w:rsidTr="00785F52">
        <w:tc>
          <w:tcPr>
            <w:tcW w:w="1838" w:type="dxa"/>
          </w:tcPr>
          <w:p w14:paraId="7B0CD991" w14:textId="77777777" w:rsidR="00365C67" w:rsidRDefault="00365C67" w:rsidP="00785F52">
            <w:pPr>
              <w:spacing w:after="0"/>
              <w:jc w:val="both"/>
            </w:pPr>
            <w:r>
              <w:t>DFHERIS</w:t>
            </w:r>
          </w:p>
        </w:tc>
        <w:tc>
          <w:tcPr>
            <w:tcW w:w="6792" w:type="dxa"/>
          </w:tcPr>
          <w:p w14:paraId="37037F18" w14:textId="77777777" w:rsidR="00365C67" w:rsidRPr="00034D95" w:rsidRDefault="00365C67" w:rsidP="00785F52">
            <w:pPr>
              <w:spacing w:after="0"/>
              <w:jc w:val="both"/>
              <w:rPr>
                <w:szCs w:val="26"/>
              </w:rPr>
            </w:pPr>
            <w:r>
              <w:t>Department of Further Higher Education Research Innovation and Science</w:t>
            </w:r>
          </w:p>
        </w:tc>
      </w:tr>
      <w:tr w:rsidR="00365C67" w14:paraId="345029F0" w14:textId="77777777" w:rsidTr="00785F52">
        <w:tc>
          <w:tcPr>
            <w:tcW w:w="1838" w:type="dxa"/>
          </w:tcPr>
          <w:p w14:paraId="691ED9E5" w14:textId="77777777" w:rsidR="00365C67" w:rsidRDefault="00365C67" w:rsidP="00785F52">
            <w:pPr>
              <w:spacing w:after="0"/>
              <w:jc w:val="both"/>
            </w:pPr>
            <w:r>
              <w:t>DPER</w:t>
            </w:r>
          </w:p>
        </w:tc>
        <w:tc>
          <w:tcPr>
            <w:tcW w:w="6792" w:type="dxa"/>
          </w:tcPr>
          <w:p w14:paraId="5F9A0F77" w14:textId="77777777" w:rsidR="00365C67" w:rsidRDefault="00365C67" w:rsidP="00785F52">
            <w:pPr>
              <w:spacing w:after="0"/>
              <w:jc w:val="both"/>
            </w:pPr>
            <w:r>
              <w:t>Department of Public Expenditure and Reform</w:t>
            </w:r>
          </w:p>
        </w:tc>
      </w:tr>
      <w:tr w:rsidR="00365C67" w14:paraId="3D7EDB3F" w14:textId="77777777" w:rsidTr="00785F52">
        <w:tc>
          <w:tcPr>
            <w:tcW w:w="1838" w:type="dxa"/>
          </w:tcPr>
          <w:p w14:paraId="0265B0A3" w14:textId="77777777" w:rsidR="00365C67" w:rsidRDefault="00365C67" w:rsidP="00785F52">
            <w:pPr>
              <w:spacing w:after="0"/>
              <w:jc w:val="both"/>
            </w:pPr>
            <w:r>
              <w:t>DoE</w:t>
            </w:r>
          </w:p>
        </w:tc>
        <w:tc>
          <w:tcPr>
            <w:tcW w:w="6792" w:type="dxa"/>
          </w:tcPr>
          <w:p w14:paraId="12360588" w14:textId="77777777" w:rsidR="00365C67" w:rsidRDefault="00365C67" w:rsidP="00785F52">
            <w:pPr>
              <w:spacing w:after="0"/>
              <w:jc w:val="both"/>
            </w:pPr>
            <w:r w:rsidRPr="00034D95">
              <w:rPr>
                <w:szCs w:val="26"/>
              </w:rPr>
              <w:t>Department of Education</w:t>
            </w:r>
          </w:p>
        </w:tc>
      </w:tr>
      <w:tr w:rsidR="00365C67" w14:paraId="28A2C8A8" w14:textId="77777777" w:rsidTr="00785F52">
        <w:tc>
          <w:tcPr>
            <w:tcW w:w="1838" w:type="dxa"/>
          </w:tcPr>
          <w:p w14:paraId="46ADCA24" w14:textId="77777777" w:rsidR="00365C67" w:rsidRDefault="00365C67" w:rsidP="00785F52">
            <w:pPr>
              <w:spacing w:after="0"/>
              <w:jc w:val="both"/>
            </w:pPr>
            <w:r>
              <w:t>DoH</w:t>
            </w:r>
          </w:p>
        </w:tc>
        <w:tc>
          <w:tcPr>
            <w:tcW w:w="6792" w:type="dxa"/>
          </w:tcPr>
          <w:p w14:paraId="1430A125" w14:textId="77777777" w:rsidR="00365C67" w:rsidRDefault="00365C67" w:rsidP="00785F52">
            <w:pPr>
              <w:spacing w:after="0"/>
              <w:jc w:val="both"/>
            </w:pPr>
            <w:r w:rsidRPr="00034D95">
              <w:rPr>
                <w:szCs w:val="26"/>
              </w:rPr>
              <w:t>Department of Health</w:t>
            </w:r>
          </w:p>
        </w:tc>
      </w:tr>
      <w:tr w:rsidR="00365C67" w14:paraId="5B88C1A9" w14:textId="77777777" w:rsidTr="00785F52">
        <w:tc>
          <w:tcPr>
            <w:tcW w:w="1838" w:type="dxa"/>
          </w:tcPr>
          <w:p w14:paraId="07F8A210" w14:textId="77777777" w:rsidR="00365C67" w:rsidRDefault="00365C67" w:rsidP="00785F52">
            <w:pPr>
              <w:spacing w:after="0"/>
              <w:jc w:val="both"/>
            </w:pPr>
            <w:r>
              <w:t>DSP</w:t>
            </w:r>
          </w:p>
        </w:tc>
        <w:tc>
          <w:tcPr>
            <w:tcW w:w="6792" w:type="dxa"/>
          </w:tcPr>
          <w:p w14:paraId="686DE8CC" w14:textId="77777777" w:rsidR="00365C67" w:rsidRPr="00034D95" w:rsidRDefault="00365C67" w:rsidP="00785F52">
            <w:pPr>
              <w:spacing w:after="0"/>
              <w:jc w:val="both"/>
              <w:rPr>
                <w:szCs w:val="26"/>
              </w:rPr>
            </w:pPr>
            <w:r w:rsidRPr="00034D95">
              <w:rPr>
                <w:szCs w:val="26"/>
              </w:rPr>
              <w:t>Department of Social Protection</w:t>
            </w:r>
          </w:p>
        </w:tc>
      </w:tr>
      <w:tr w:rsidR="00365C67" w14:paraId="7D44EC73" w14:textId="77777777" w:rsidTr="00785F52">
        <w:tc>
          <w:tcPr>
            <w:tcW w:w="1838" w:type="dxa"/>
          </w:tcPr>
          <w:p w14:paraId="287A4B49" w14:textId="77777777" w:rsidR="00365C67" w:rsidRDefault="00365C67" w:rsidP="00785F52">
            <w:pPr>
              <w:spacing w:after="0"/>
              <w:jc w:val="both"/>
            </w:pPr>
            <w:r>
              <w:t>ESRI</w:t>
            </w:r>
          </w:p>
        </w:tc>
        <w:tc>
          <w:tcPr>
            <w:tcW w:w="6792" w:type="dxa"/>
          </w:tcPr>
          <w:p w14:paraId="76A6EFA8" w14:textId="77777777" w:rsidR="00365C67" w:rsidRPr="00034D95" w:rsidRDefault="00365C67" w:rsidP="00785F52">
            <w:pPr>
              <w:spacing w:after="0"/>
              <w:jc w:val="both"/>
              <w:rPr>
                <w:szCs w:val="26"/>
              </w:rPr>
            </w:pPr>
            <w:r>
              <w:rPr>
                <w:szCs w:val="26"/>
              </w:rPr>
              <w:t>Economic and Social Research Institute</w:t>
            </w:r>
          </w:p>
        </w:tc>
      </w:tr>
      <w:tr w:rsidR="00365C67" w14:paraId="39BFB101" w14:textId="77777777" w:rsidTr="00785F52">
        <w:tc>
          <w:tcPr>
            <w:tcW w:w="1838" w:type="dxa"/>
          </w:tcPr>
          <w:p w14:paraId="582FF1AF" w14:textId="77777777" w:rsidR="00365C67" w:rsidRDefault="00365C67" w:rsidP="00785F52">
            <w:pPr>
              <w:spacing w:after="0"/>
              <w:jc w:val="both"/>
            </w:pPr>
            <w:r>
              <w:t>FET</w:t>
            </w:r>
          </w:p>
        </w:tc>
        <w:tc>
          <w:tcPr>
            <w:tcW w:w="6792" w:type="dxa"/>
          </w:tcPr>
          <w:p w14:paraId="4257B4CB" w14:textId="77777777" w:rsidR="00365C67" w:rsidRPr="00034D95" w:rsidRDefault="00365C67" w:rsidP="00785F52">
            <w:pPr>
              <w:spacing w:after="0"/>
              <w:jc w:val="both"/>
              <w:rPr>
                <w:szCs w:val="26"/>
              </w:rPr>
            </w:pPr>
            <w:r w:rsidRPr="00034D95">
              <w:rPr>
                <w:szCs w:val="26"/>
              </w:rPr>
              <w:t>Further Education &amp; Training</w:t>
            </w:r>
          </w:p>
        </w:tc>
      </w:tr>
      <w:tr w:rsidR="00365C67" w14:paraId="488DBF9A" w14:textId="77777777" w:rsidTr="00785F52">
        <w:tc>
          <w:tcPr>
            <w:tcW w:w="1838" w:type="dxa"/>
          </w:tcPr>
          <w:p w14:paraId="09F6445D" w14:textId="77777777" w:rsidR="00365C67" w:rsidRDefault="00365C67" w:rsidP="00785F52">
            <w:pPr>
              <w:spacing w:after="0"/>
              <w:jc w:val="both"/>
            </w:pPr>
            <w:r>
              <w:t>HEA</w:t>
            </w:r>
          </w:p>
        </w:tc>
        <w:tc>
          <w:tcPr>
            <w:tcW w:w="6792" w:type="dxa"/>
          </w:tcPr>
          <w:p w14:paraId="47A964D3" w14:textId="77777777" w:rsidR="00365C67" w:rsidRPr="00034D95" w:rsidRDefault="00365C67" w:rsidP="00785F52">
            <w:pPr>
              <w:spacing w:after="0"/>
              <w:jc w:val="both"/>
              <w:rPr>
                <w:szCs w:val="26"/>
              </w:rPr>
            </w:pPr>
            <w:r w:rsidRPr="00034D95">
              <w:rPr>
                <w:szCs w:val="26"/>
              </w:rPr>
              <w:t>Higher Education Authority</w:t>
            </w:r>
          </w:p>
        </w:tc>
      </w:tr>
      <w:tr w:rsidR="00365C67" w14:paraId="4548C730" w14:textId="77777777" w:rsidTr="00785F52">
        <w:tc>
          <w:tcPr>
            <w:tcW w:w="1838" w:type="dxa"/>
          </w:tcPr>
          <w:p w14:paraId="00FC65B2" w14:textId="77777777" w:rsidR="00365C67" w:rsidRDefault="00365C67" w:rsidP="00785F52">
            <w:pPr>
              <w:spacing w:after="0"/>
              <w:jc w:val="both"/>
            </w:pPr>
            <w:r>
              <w:t>HSE</w:t>
            </w:r>
          </w:p>
        </w:tc>
        <w:tc>
          <w:tcPr>
            <w:tcW w:w="6792" w:type="dxa"/>
          </w:tcPr>
          <w:p w14:paraId="6DD5FC9B" w14:textId="77777777" w:rsidR="00365C67" w:rsidRPr="00034D95" w:rsidRDefault="00365C67" w:rsidP="00785F52">
            <w:pPr>
              <w:spacing w:after="0"/>
              <w:jc w:val="both"/>
              <w:rPr>
                <w:szCs w:val="26"/>
              </w:rPr>
            </w:pPr>
            <w:r w:rsidRPr="00034D95">
              <w:rPr>
                <w:szCs w:val="26"/>
              </w:rPr>
              <w:t>Health Service Executive</w:t>
            </w:r>
          </w:p>
        </w:tc>
      </w:tr>
      <w:tr w:rsidR="00365C67" w14:paraId="41B2F925" w14:textId="77777777" w:rsidTr="00785F52">
        <w:tc>
          <w:tcPr>
            <w:tcW w:w="1838" w:type="dxa"/>
          </w:tcPr>
          <w:p w14:paraId="140E4BA4" w14:textId="77777777" w:rsidR="00365C67" w:rsidRDefault="00365C67" w:rsidP="00785F52">
            <w:pPr>
              <w:spacing w:after="0"/>
              <w:jc w:val="both"/>
            </w:pPr>
            <w:r>
              <w:t>IGEES</w:t>
            </w:r>
          </w:p>
        </w:tc>
        <w:tc>
          <w:tcPr>
            <w:tcW w:w="6792" w:type="dxa"/>
          </w:tcPr>
          <w:p w14:paraId="037885D5" w14:textId="77777777" w:rsidR="00365C67" w:rsidRPr="00034D95" w:rsidRDefault="00365C67" w:rsidP="00785F52">
            <w:pPr>
              <w:spacing w:after="0"/>
              <w:jc w:val="both"/>
              <w:rPr>
                <w:szCs w:val="26"/>
              </w:rPr>
            </w:pPr>
            <w:r>
              <w:t>Irish Government Economic and Evaluation Service</w:t>
            </w:r>
          </w:p>
        </w:tc>
      </w:tr>
      <w:tr w:rsidR="00497FCE" w14:paraId="03E1CFD1" w14:textId="77777777" w:rsidTr="00785F52">
        <w:tc>
          <w:tcPr>
            <w:tcW w:w="1838" w:type="dxa"/>
          </w:tcPr>
          <w:p w14:paraId="73691C02" w14:textId="4DFDA45F" w:rsidR="00497FCE" w:rsidRDefault="00497FCE" w:rsidP="00785F52">
            <w:pPr>
              <w:spacing w:after="0"/>
              <w:jc w:val="both"/>
            </w:pPr>
            <w:r>
              <w:t>IHREC</w:t>
            </w:r>
          </w:p>
        </w:tc>
        <w:tc>
          <w:tcPr>
            <w:tcW w:w="6792" w:type="dxa"/>
          </w:tcPr>
          <w:p w14:paraId="22647B7B" w14:textId="5F000793" w:rsidR="00497FCE" w:rsidRDefault="00497FCE" w:rsidP="00785F52">
            <w:pPr>
              <w:spacing w:after="0"/>
              <w:jc w:val="both"/>
            </w:pPr>
            <w:r>
              <w:t>Irish Human Rights and Equality Commission</w:t>
            </w:r>
          </w:p>
        </w:tc>
      </w:tr>
      <w:tr w:rsidR="00365C67" w14:paraId="7886DC04" w14:textId="77777777" w:rsidTr="00785F52">
        <w:tc>
          <w:tcPr>
            <w:tcW w:w="1838" w:type="dxa"/>
          </w:tcPr>
          <w:p w14:paraId="0A0CE633" w14:textId="77777777" w:rsidR="00365C67" w:rsidRDefault="00365C67" w:rsidP="00785F52">
            <w:pPr>
              <w:spacing w:after="0"/>
              <w:jc w:val="both"/>
            </w:pPr>
            <w:r>
              <w:t>IPS</w:t>
            </w:r>
          </w:p>
        </w:tc>
        <w:tc>
          <w:tcPr>
            <w:tcW w:w="6792" w:type="dxa"/>
          </w:tcPr>
          <w:p w14:paraId="2BE7D944" w14:textId="77777777" w:rsidR="00365C67" w:rsidRPr="00034D95" w:rsidRDefault="00365C67" w:rsidP="00785F52">
            <w:pPr>
              <w:spacing w:after="0"/>
              <w:jc w:val="both"/>
              <w:rPr>
                <w:szCs w:val="26"/>
              </w:rPr>
            </w:pPr>
            <w:r w:rsidRPr="00034D95">
              <w:rPr>
                <w:rFonts w:eastAsiaTheme="minorHAnsi" w:cs="Calibri"/>
                <w:szCs w:val="26"/>
              </w:rPr>
              <w:t>Individual Placement and Support</w:t>
            </w:r>
            <w:r>
              <w:rPr>
                <w:rFonts w:eastAsiaTheme="minorHAnsi" w:cs="Calibri"/>
                <w:szCs w:val="26"/>
              </w:rPr>
              <w:t>,</w:t>
            </w:r>
            <w:r w:rsidRPr="00034D95">
              <w:rPr>
                <w:rFonts w:eastAsiaTheme="minorHAnsi" w:cs="Calibri"/>
                <w:szCs w:val="26"/>
              </w:rPr>
              <w:t xml:space="preserve"> model of supported employment for people with mental health concerns</w:t>
            </w:r>
          </w:p>
        </w:tc>
      </w:tr>
      <w:tr w:rsidR="00365C67" w14:paraId="380557A8" w14:textId="77777777" w:rsidTr="00785F52">
        <w:tc>
          <w:tcPr>
            <w:tcW w:w="1838" w:type="dxa"/>
          </w:tcPr>
          <w:p w14:paraId="68B38F3E" w14:textId="77777777" w:rsidR="00365C67" w:rsidRDefault="00365C67" w:rsidP="00785F52">
            <w:pPr>
              <w:spacing w:after="0"/>
              <w:jc w:val="both"/>
            </w:pPr>
            <w:r>
              <w:t>NDA</w:t>
            </w:r>
          </w:p>
        </w:tc>
        <w:tc>
          <w:tcPr>
            <w:tcW w:w="6792" w:type="dxa"/>
          </w:tcPr>
          <w:p w14:paraId="4B8B3F39" w14:textId="77777777" w:rsidR="00365C67" w:rsidRPr="00034D95" w:rsidRDefault="00365C67" w:rsidP="00785F52">
            <w:pPr>
              <w:spacing w:after="0"/>
              <w:jc w:val="both"/>
              <w:rPr>
                <w:szCs w:val="26"/>
              </w:rPr>
            </w:pPr>
            <w:r>
              <w:rPr>
                <w:szCs w:val="26"/>
              </w:rPr>
              <w:t>National Disability Authority</w:t>
            </w:r>
          </w:p>
        </w:tc>
      </w:tr>
      <w:tr w:rsidR="00365C67" w14:paraId="5BA85CEE" w14:textId="77777777" w:rsidTr="00785F52">
        <w:tc>
          <w:tcPr>
            <w:tcW w:w="1838" w:type="dxa"/>
          </w:tcPr>
          <w:p w14:paraId="40009BBA" w14:textId="77777777" w:rsidR="00365C67" w:rsidRDefault="00365C67" w:rsidP="00785F52">
            <w:pPr>
              <w:spacing w:after="0"/>
              <w:jc w:val="both"/>
            </w:pPr>
            <w:r>
              <w:t>NTA</w:t>
            </w:r>
          </w:p>
        </w:tc>
        <w:tc>
          <w:tcPr>
            <w:tcW w:w="6792" w:type="dxa"/>
          </w:tcPr>
          <w:p w14:paraId="72630449" w14:textId="77777777" w:rsidR="00365C67" w:rsidRPr="00034D95" w:rsidRDefault="00365C67" w:rsidP="00785F52">
            <w:pPr>
              <w:spacing w:after="0"/>
              <w:jc w:val="both"/>
              <w:rPr>
                <w:szCs w:val="26"/>
              </w:rPr>
            </w:pPr>
            <w:r>
              <w:rPr>
                <w:szCs w:val="26"/>
              </w:rPr>
              <w:t>National Transport Authority</w:t>
            </w:r>
          </w:p>
        </w:tc>
      </w:tr>
      <w:tr w:rsidR="00365C67" w14:paraId="76E89003" w14:textId="77777777" w:rsidTr="00785F52">
        <w:tc>
          <w:tcPr>
            <w:tcW w:w="1838" w:type="dxa"/>
          </w:tcPr>
          <w:p w14:paraId="6501EC67" w14:textId="77777777" w:rsidR="00365C67" w:rsidRDefault="00365C67" w:rsidP="00785F52">
            <w:pPr>
              <w:spacing w:after="0"/>
              <w:jc w:val="both"/>
            </w:pPr>
            <w:r>
              <w:t>OECD</w:t>
            </w:r>
          </w:p>
        </w:tc>
        <w:tc>
          <w:tcPr>
            <w:tcW w:w="6792" w:type="dxa"/>
          </w:tcPr>
          <w:p w14:paraId="15D7125F" w14:textId="77777777" w:rsidR="00365C67" w:rsidRPr="00034D95" w:rsidRDefault="00365C67" w:rsidP="00785F52">
            <w:pPr>
              <w:spacing w:after="0"/>
              <w:jc w:val="both"/>
              <w:rPr>
                <w:szCs w:val="26"/>
              </w:rPr>
            </w:pPr>
            <w:r w:rsidRPr="00034D95">
              <w:rPr>
                <w:szCs w:val="26"/>
              </w:rPr>
              <w:t>Organisation for Economic Cooperation and Development</w:t>
            </w:r>
          </w:p>
        </w:tc>
      </w:tr>
      <w:tr w:rsidR="00365C67" w14:paraId="79306127" w14:textId="77777777" w:rsidTr="00785F52">
        <w:tc>
          <w:tcPr>
            <w:tcW w:w="1838" w:type="dxa"/>
          </w:tcPr>
          <w:p w14:paraId="52E9CA8F" w14:textId="77777777" w:rsidR="00365C67" w:rsidRDefault="00365C67" w:rsidP="00785F52">
            <w:pPr>
              <w:spacing w:after="0"/>
              <w:jc w:val="both"/>
            </w:pPr>
            <w:r>
              <w:t>OWL</w:t>
            </w:r>
          </w:p>
        </w:tc>
        <w:tc>
          <w:tcPr>
            <w:tcW w:w="6792" w:type="dxa"/>
          </w:tcPr>
          <w:p w14:paraId="6E0CB95F" w14:textId="77777777" w:rsidR="00365C67" w:rsidRPr="004B4DD9" w:rsidRDefault="00365C67" w:rsidP="00785F52">
            <w:pPr>
              <w:spacing w:after="0"/>
              <w:jc w:val="both"/>
              <w:rPr>
                <w:rFonts w:cstheme="minorHAnsi"/>
                <w:szCs w:val="26"/>
              </w:rPr>
            </w:pPr>
            <w:r w:rsidRPr="00034D95">
              <w:rPr>
                <w:rFonts w:cstheme="minorHAnsi"/>
                <w:szCs w:val="26"/>
              </w:rPr>
              <w:t>Oireachtas Work Learning programme for persons with intellectual disabilities</w:t>
            </w:r>
          </w:p>
        </w:tc>
      </w:tr>
      <w:tr w:rsidR="00365C67" w14:paraId="5E79E303" w14:textId="77777777" w:rsidTr="00785F52">
        <w:tc>
          <w:tcPr>
            <w:tcW w:w="1838" w:type="dxa"/>
          </w:tcPr>
          <w:p w14:paraId="500C07E2" w14:textId="77777777" w:rsidR="00365C67" w:rsidRDefault="00365C67" w:rsidP="00785F52">
            <w:pPr>
              <w:spacing w:after="0"/>
              <w:jc w:val="both"/>
            </w:pPr>
            <w:r>
              <w:t>PAS</w:t>
            </w:r>
          </w:p>
        </w:tc>
        <w:tc>
          <w:tcPr>
            <w:tcW w:w="6792" w:type="dxa"/>
          </w:tcPr>
          <w:p w14:paraId="78974689" w14:textId="77777777" w:rsidR="00365C67" w:rsidRPr="00034D95" w:rsidRDefault="00365C67" w:rsidP="00785F52">
            <w:pPr>
              <w:spacing w:after="0"/>
              <w:jc w:val="both"/>
              <w:rPr>
                <w:szCs w:val="26"/>
                <w:lang w:val="en"/>
              </w:rPr>
            </w:pPr>
            <w:r>
              <w:rPr>
                <w:rFonts w:cstheme="minorHAnsi"/>
                <w:szCs w:val="26"/>
              </w:rPr>
              <w:t>Public Appointments Service</w:t>
            </w:r>
          </w:p>
        </w:tc>
      </w:tr>
      <w:tr w:rsidR="00365C67" w14:paraId="791621F1" w14:textId="77777777" w:rsidTr="00785F52">
        <w:tc>
          <w:tcPr>
            <w:tcW w:w="1838" w:type="dxa"/>
          </w:tcPr>
          <w:p w14:paraId="0506E401" w14:textId="77777777" w:rsidR="00365C67" w:rsidRDefault="00365C67" w:rsidP="00785F52">
            <w:pPr>
              <w:spacing w:after="0"/>
              <w:jc w:val="both"/>
            </w:pPr>
            <w:r>
              <w:t>RT</w:t>
            </w:r>
          </w:p>
        </w:tc>
        <w:tc>
          <w:tcPr>
            <w:tcW w:w="6792" w:type="dxa"/>
          </w:tcPr>
          <w:p w14:paraId="74659BC7" w14:textId="77777777" w:rsidR="00365C67" w:rsidRDefault="00365C67" w:rsidP="00785F52">
            <w:pPr>
              <w:spacing w:after="0"/>
              <w:jc w:val="both"/>
              <w:rPr>
                <w:rFonts w:cstheme="minorHAnsi"/>
                <w:szCs w:val="26"/>
              </w:rPr>
            </w:pPr>
            <w:r>
              <w:rPr>
                <w:rFonts w:cstheme="minorHAnsi"/>
                <w:szCs w:val="26"/>
              </w:rPr>
              <w:t>Rehabilitative Training</w:t>
            </w:r>
          </w:p>
        </w:tc>
      </w:tr>
      <w:tr w:rsidR="00365C67" w14:paraId="0F874610" w14:textId="77777777" w:rsidTr="00785F52">
        <w:tc>
          <w:tcPr>
            <w:tcW w:w="1838" w:type="dxa"/>
          </w:tcPr>
          <w:p w14:paraId="6121161B" w14:textId="77777777" w:rsidR="00365C67" w:rsidRDefault="00365C67" w:rsidP="00785F52">
            <w:pPr>
              <w:spacing w:after="0"/>
              <w:jc w:val="both"/>
            </w:pPr>
            <w:r>
              <w:t>Solas</w:t>
            </w:r>
          </w:p>
        </w:tc>
        <w:tc>
          <w:tcPr>
            <w:tcW w:w="6792" w:type="dxa"/>
          </w:tcPr>
          <w:p w14:paraId="4D59F7E1" w14:textId="77777777" w:rsidR="00365C67" w:rsidRPr="00034D95" w:rsidRDefault="00365C67" w:rsidP="00785F52">
            <w:pPr>
              <w:spacing w:after="0"/>
              <w:jc w:val="both"/>
              <w:rPr>
                <w:szCs w:val="26"/>
              </w:rPr>
            </w:pPr>
            <w:r w:rsidRPr="00034D95">
              <w:rPr>
                <w:szCs w:val="26"/>
              </w:rPr>
              <w:t>Seirbhisi Oideachais Leanunaigh Agus Scileanna (Fur</w:t>
            </w:r>
            <w:r>
              <w:rPr>
                <w:szCs w:val="26"/>
              </w:rPr>
              <w:t>ther Education Skills Services)</w:t>
            </w:r>
          </w:p>
        </w:tc>
      </w:tr>
      <w:tr w:rsidR="00365C67" w14:paraId="46B218DA" w14:textId="77777777" w:rsidTr="00785F52">
        <w:tc>
          <w:tcPr>
            <w:tcW w:w="1838" w:type="dxa"/>
          </w:tcPr>
          <w:p w14:paraId="539786B0" w14:textId="77777777" w:rsidR="00365C67" w:rsidRDefault="00365C67" w:rsidP="00785F52">
            <w:pPr>
              <w:spacing w:after="0"/>
              <w:jc w:val="both"/>
            </w:pPr>
            <w:r>
              <w:t>UNCRPD</w:t>
            </w:r>
          </w:p>
        </w:tc>
        <w:tc>
          <w:tcPr>
            <w:tcW w:w="6792" w:type="dxa"/>
          </w:tcPr>
          <w:p w14:paraId="7716F496" w14:textId="77777777" w:rsidR="00365C67" w:rsidRPr="00034D95" w:rsidRDefault="00365C67" w:rsidP="00785F52">
            <w:pPr>
              <w:spacing w:after="0"/>
              <w:jc w:val="both"/>
              <w:rPr>
                <w:szCs w:val="26"/>
              </w:rPr>
            </w:pPr>
            <w:r w:rsidRPr="00034D95">
              <w:rPr>
                <w:szCs w:val="26"/>
              </w:rPr>
              <w:t>United Nations Convention on the Rights of Persons with Disabilities</w:t>
            </w:r>
          </w:p>
        </w:tc>
      </w:tr>
      <w:tr w:rsidR="00365C67" w14:paraId="715EDF26" w14:textId="77777777" w:rsidTr="00785F52">
        <w:tc>
          <w:tcPr>
            <w:tcW w:w="1838" w:type="dxa"/>
          </w:tcPr>
          <w:p w14:paraId="39702E80" w14:textId="77777777" w:rsidR="00365C67" w:rsidRDefault="00365C67" w:rsidP="00785F52">
            <w:pPr>
              <w:spacing w:after="0"/>
              <w:jc w:val="both"/>
            </w:pPr>
            <w:r>
              <w:t>WAM</w:t>
            </w:r>
          </w:p>
        </w:tc>
        <w:tc>
          <w:tcPr>
            <w:tcW w:w="6792" w:type="dxa"/>
          </w:tcPr>
          <w:p w14:paraId="1FB4AD08" w14:textId="77777777" w:rsidR="00365C67" w:rsidRPr="00034D95" w:rsidRDefault="00365C67" w:rsidP="00785F52">
            <w:pPr>
              <w:spacing w:after="0"/>
              <w:jc w:val="both"/>
              <w:rPr>
                <w:szCs w:val="26"/>
              </w:rPr>
            </w:pPr>
            <w:r>
              <w:rPr>
                <w:szCs w:val="26"/>
              </w:rPr>
              <w:t>Willing Able and Mentoring</w:t>
            </w:r>
          </w:p>
        </w:tc>
      </w:tr>
    </w:tbl>
    <w:p w14:paraId="5FA3AD70" w14:textId="19E75953" w:rsidR="00365C67" w:rsidRDefault="00365C67" w:rsidP="00365C67">
      <w:pPr>
        <w:spacing w:after="0"/>
      </w:pPr>
    </w:p>
    <w:p w14:paraId="5B5A90D4" w14:textId="5076CFDD" w:rsidR="00793FF1" w:rsidRDefault="00793FF1" w:rsidP="00365C67">
      <w:pPr>
        <w:spacing w:after="0"/>
      </w:pPr>
    </w:p>
    <w:p w14:paraId="791121E8" w14:textId="5FEFD1D2" w:rsidR="00793FF1" w:rsidRDefault="00793FF1" w:rsidP="00365C67">
      <w:pPr>
        <w:spacing w:after="0"/>
      </w:pPr>
    </w:p>
    <w:p w14:paraId="0E515CE1" w14:textId="6D4CD886" w:rsidR="00793FF1" w:rsidRDefault="00793FF1" w:rsidP="00365C67">
      <w:pPr>
        <w:spacing w:after="0"/>
      </w:pPr>
    </w:p>
    <w:p w14:paraId="381B89D0" w14:textId="6430820F" w:rsidR="00793FF1" w:rsidRDefault="00793FF1" w:rsidP="00365C67">
      <w:pPr>
        <w:spacing w:after="0"/>
      </w:pPr>
    </w:p>
    <w:p w14:paraId="33FA7814" w14:textId="44BB34C0" w:rsidR="00793FF1" w:rsidRDefault="00793FF1">
      <w:pPr>
        <w:spacing w:after="0"/>
      </w:pPr>
      <w:r>
        <w:br w:type="page"/>
      </w:r>
    </w:p>
    <w:p w14:paraId="5CE37174" w14:textId="1BF043B8" w:rsidR="00793FF1" w:rsidRDefault="00793FF1" w:rsidP="00365C67">
      <w:pPr>
        <w:spacing w:after="0"/>
      </w:pPr>
    </w:p>
    <w:p w14:paraId="6B62AF26" w14:textId="06B0E7C1" w:rsidR="00793FF1" w:rsidRDefault="00793FF1" w:rsidP="00491745">
      <w:pPr>
        <w:pStyle w:val="Heading1"/>
      </w:pPr>
      <w:r>
        <w:t>Executive Summary</w:t>
      </w:r>
    </w:p>
    <w:p w14:paraId="618FFFA2" w14:textId="18C96ED7" w:rsidR="00753D9A" w:rsidRDefault="00753D9A" w:rsidP="00753D9A">
      <w:r>
        <w:t>This paper is the</w:t>
      </w:r>
      <w:r w:rsidRPr="002D1BB7">
        <w:t xml:space="preserve"> NDA’s independent review and assessment of progress</w:t>
      </w:r>
      <w:r w:rsidRPr="000B0385">
        <w:t xml:space="preserve"> by government departments and agencies in implementing the actions they committed to de</w:t>
      </w:r>
      <w:r>
        <w:t>liver or progress by end of 2022</w:t>
      </w:r>
      <w:r w:rsidRPr="000B0385">
        <w:t xml:space="preserve"> </w:t>
      </w:r>
      <w:r w:rsidRPr="002D1BB7">
        <w:t>under the Comprehensive Employment Strategy for People with Disabilities (CES</w:t>
      </w:r>
      <w:r>
        <w:t>) 2015 to 2024</w:t>
      </w:r>
      <w:r w:rsidRPr="002D1BB7">
        <w:t xml:space="preserve">. </w:t>
      </w:r>
    </w:p>
    <w:p w14:paraId="2728D2C8" w14:textId="2E076F2A" w:rsidR="00753D9A" w:rsidRPr="002830E6" w:rsidRDefault="001874D5" w:rsidP="00753D9A">
      <w:pPr>
        <w:rPr>
          <w:szCs w:val="26"/>
        </w:rPr>
      </w:pPr>
      <w:r>
        <w:rPr>
          <w:szCs w:val="26"/>
          <w:shd w:val="clear" w:color="auto" w:fill="FFFFFF"/>
        </w:rPr>
        <w:t>Work on a</w:t>
      </w:r>
      <w:r w:rsidR="00753D9A">
        <w:rPr>
          <w:szCs w:val="26"/>
          <w:shd w:val="clear" w:color="auto" w:fill="FFFFFF"/>
        </w:rPr>
        <w:t xml:space="preserve"> </w:t>
      </w:r>
      <w:r w:rsidR="00753D9A" w:rsidRPr="002830E6">
        <w:rPr>
          <w:szCs w:val="26"/>
          <w:shd w:val="clear" w:color="auto" w:fill="FFFFFF"/>
        </w:rPr>
        <w:t>final three year action plan due to run from 2022-2024</w:t>
      </w:r>
      <w:r>
        <w:rPr>
          <w:szCs w:val="26"/>
          <w:shd w:val="clear" w:color="auto" w:fill="FFFFFF"/>
        </w:rPr>
        <w:t xml:space="preserve"> was progressed in 2022 but was not finalised by year end. U</w:t>
      </w:r>
      <w:r w:rsidRPr="002830E6">
        <w:rPr>
          <w:szCs w:val="26"/>
          <w:shd w:val="clear" w:color="auto" w:fill="FFFFFF"/>
        </w:rPr>
        <w:t xml:space="preserve">nder the coordination of DCEDIY’s disability unit it is hoped </w:t>
      </w:r>
      <w:r>
        <w:rPr>
          <w:szCs w:val="26"/>
          <w:shd w:val="clear" w:color="auto" w:fill="FFFFFF"/>
        </w:rPr>
        <w:t xml:space="preserve">that </w:t>
      </w:r>
      <w:r w:rsidRPr="002830E6">
        <w:rPr>
          <w:szCs w:val="26"/>
          <w:shd w:val="clear" w:color="auto" w:fill="FFFFFF"/>
        </w:rPr>
        <w:t>an action plan will be agreed</w:t>
      </w:r>
      <w:r>
        <w:rPr>
          <w:szCs w:val="26"/>
          <w:shd w:val="clear" w:color="auto" w:fill="FFFFFF"/>
        </w:rPr>
        <w:t xml:space="preserve"> with all relevant Departments and agencies</w:t>
      </w:r>
      <w:r w:rsidRPr="002830E6">
        <w:rPr>
          <w:szCs w:val="26"/>
          <w:shd w:val="clear" w:color="auto" w:fill="FFFFFF"/>
        </w:rPr>
        <w:t xml:space="preserve"> in 2023</w:t>
      </w:r>
      <w:r>
        <w:rPr>
          <w:szCs w:val="26"/>
          <w:shd w:val="clear" w:color="auto" w:fill="FFFFFF"/>
        </w:rPr>
        <w:t xml:space="preserve">. </w:t>
      </w:r>
    </w:p>
    <w:p w14:paraId="48F5AFA4" w14:textId="20A32BD0" w:rsidR="00753D9A" w:rsidRPr="003F22D3" w:rsidRDefault="00753D9A" w:rsidP="00491745">
      <w:r>
        <w:rPr>
          <w:rFonts w:eastAsiaTheme="minorEastAsia" w:cstheme="minorBidi"/>
          <w:szCs w:val="26"/>
        </w:rPr>
        <w:t xml:space="preserve">Notwithstanding the lack of an action plan </w:t>
      </w:r>
      <w:r w:rsidR="00BC16AD">
        <w:rPr>
          <w:szCs w:val="26"/>
          <w:shd w:val="clear" w:color="auto" w:fill="FFFFFF"/>
        </w:rPr>
        <w:t xml:space="preserve">many departments and agencies </w:t>
      </w:r>
      <w:r w:rsidR="001874D5">
        <w:rPr>
          <w:szCs w:val="26"/>
          <w:shd w:val="clear" w:color="auto" w:fill="FFFFFF"/>
        </w:rPr>
        <w:t>continued to progress CES actions. The</w:t>
      </w:r>
      <w:r w:rsidR="00491745">
        <w:rPr>
          <w:szCs w:val="26"/>
          <w:shd w:val="clear" w:color="auto" w:fill="FFFFFF"/>
        </w:rPr>
        <w:t xml:space="preserve"> </w:t>
      </w:r>
      <w:r>
        <w:rPr>
          <w:rFonts w:eastAsiaTheme="minorEastAsia" w:cstheme="minorBidi"/>
          <w:szCs w:val="26"/>
        </w:rPr>
        <w:t>following areas of progress</w:t>
      </w:r>
      <w:r w:rsidR="003F22D3">
        <w:rPr>
          <w:rFonts w:eastAsiaTheme="minorEastAsia" w:cstheme="minorBidi"/>
          <w:szCs w:val="26"/>
        </w:rPr>
        <w:t xml:space="preserve"> occurred</w:t>
      </w:r>
      <w:r>
        <w:rPr>
          <w:rFonts w:eastAsiaTheme="minorEastAsia" w:cstheme="minorBidi"/>
          <w:szCs w:val="26"/>
        </w:rPr>
        <w:t xml:space="preserve"> during 2022. </w:t>
      </w:r>
    </w:p>
    <w:p w14:paraId="1460157A" w14:textId="77777777" w:rsidR="00753D9A" w:rsidRPr="006958C1" w:rsidRDefault="00753D9A" w:rsidP="00753D9A">
      <w:pPr>
        <w:pStyle w:val="Heading2"/>
      </w:pPr>
      <w:r>
        <w:t>D</w:t>
      </w:r>
      <w:r w:rsidRPr="006958C1">
        <w:t>evelopments in 2022</w:t>
      </w:r>
    </w:p>
    <w:p w14:paraId="3ABDA188" w14:textId="1E24E4C2" w:rsidR="003F22D3" w:rsidRPr="006958C1" w:rsidRDefault="00753D9A" w:rsidP="003F22D3">
      <w:pPr>
        <w:rPr>
          <w:rFonts w:eastAsiaTheme="minorEastAsia"/>
          <w:szCs w:val="26"/>
          <w:lang w:eastAsia="en-IE"/>
        </w:rPr>
      </w:pPr>
      <w:r>
        <w:rPr>
          <w:szCs w:val="26"/>
        </w:rPr>
        <w:t>Progress</w:t>
      </w:r>
      <w:r w:rsidRPr="006958C1">
        <w:rPr>
          <w:szCs w:val="26"/>
        </w:rPr>
        <w:t xml:space="preserve"> continued on some of the strategic priority areas described in</w:t>
      </w:r>
      <w:r w:rsidR="003F22D3">
        <w:rPr>
          <w:szCs w:val="26"/>
        </w:rPr>
        <w:t xml:space="preserve"> the original plan. Within the</w:t>
      </w:r>
      <w:r w:rsidR="003F22D3" w:rsidRPr="006958C1">
        <w:rPr>
          <w:szCs w:val="26"/>
        </w:rPr>
        <w:t xml:space="preserve"> strategic </w:t>
      </w:r>
      <w:r w:rsidR="003F22D3">
        <w:rPr>
          <w:szCs w:val="26"/>
        </w:rPr>
        <w:t>priority</w:t>
      </w:r>
      <w:r w:rsidR="00EE4D50">
        <w:rPr>
          <w:szCs w:val="26"/>
        </w:rPr>
        <w:t xml:space="preserve"> theme </w:t>
      </w:r>
      <w:r w:rsidR="003F22D3" w:rsidRPr="006958C1">
        <w:rPr>
          <w:szCs w:val="26"/>
        </w:rPr>
        <w:t xml:space="preserve">of ‘building skills, capacity and independence’ 2022 saw the funding of two ‘transition pilot projects’ The first project is a </w:t>
      </w:r>
      <w:r w:rsidR="003F22D3" w:rsidRPr="006958C1">
        <w:rPr>
          <w:rFonts w:eastAsiaTheme="minorEastAsia"/>
          <w:szCs w:val="26"/>
          <w:lang w:eastAsia="en-IE"/>
        </w:rPr>
        <w:t xml:space="preserve">collaborative pilot led by the National Council of Special Education which is underway in sites in Galway and Dublin North. The second pilot project concerns </w:t>
      </w:r>
      <w:r w:rsidR="00EE4D50">
        <w:rPr>
          <w:rFonts w:eastAsiaTheme="minorEastAsia"/>
          <w:szCs w:val="26"/>
          <w:lang w:eastAsia="en-IE"/>
        </w:rPr>
        <w:t xml:space="preserve">school </w:t>
      </w:r>
      <w:r w:rsidR="003F22D3" w:rsidRPr="006958C1">
        <w:rPr>
          <w:rFonts w:eastAsiaTheme="minorEastAsia"/>
          <w:szCs w:val="26"/>
          <w:lang w:eastAsia="en-IE"/>
        </w:rPr>
        <w:t>leavers with complex special education needs (SEN) and is a collaborative project between the Department of Education and WALK.</w:t>
      </w:r>
    </w:p>
    <w:p w14:paraId="27A31B2A" w14:textId="38E1F90D" w:rsidR="00753D9A" w:rsidRDefault="00EE4D50" w:rsidP="00753D9A">
      <w:pPr>
        <w:rPr>
          <w:szCs w:val="26"/>
        </w:rPr>
      </w:pPr>
      <w:r>
        <w:rPr>
          <w:szCs w:val="26"/>
        </w:rPr>
        <w:t>The</w:t>
      </w:r>
      <w:r w:rsidR="00753D9A" w:rsidRPr="006958C1">
        <w:rPr>
          <w:szCs w:val="26"/>
        </w:rPr>
        <w:t xml:space="preserve"> ‘engaging employers’ strategic priority</w:t>
      </w:r>
      <w:r>
        <w:rPr>
          <w:szCs w:val="26"/>
        </w:rPr>
        <w:t xml:space="preserve"> saw </w:t>
      </w:r>
      <w:r w:rsidR="00753D9A" w:rsidRPr="006958C1">
        <w:rPr>
          <w:szCs w:val="26"/>
        </w:rPr>
        <w:t xml:space="preserve">the minimum employment target for the public sector </w:t>
      </w:r>
      <w:r w:rsidR="001874D5">
        <w:rPr>
          <w:szCs w:val="26"/>
        </w:rPr>
        <w:t>increase</w:t>
      </w:r>
      <w:r w:rsidR="00753D9A" w:rsidRPr="006958C1">
        <w:rPr>
          <w:szCs w:val="26"/>
        </w:rPr>
        <w:t xml:space="preserve"> from 3% to 6%</w:t>
      </w:r>
      <w:r w:rsidR="001874D5">
        <w:rPr>
          <w:szCs w:val="26"/>
        </w:rPr>
        <w:t xml:space="preserve"> (to be achieved by 2025)</w:t>
      </w:r>
      <w:r w:rsidR="00753D9A" w:rsidRPr="006958C1">
        <w:rPr>
          <w:szCs w:val="26"/>
        </w:rPr>
        <w:t xml:space="preserve"> through the passing in late 2022 of the Assisted Decision Making (Capacity) (Amendment) Act</w:t>
      </w:r>
      <w:r w:rsidR="00753D9A" w:rsidRPr="006958C1">
        <w:rPr>
          <w:rStyle w:val="FootnoteReference"/>
          <w:rFonts w:ascii="Gill Sans MT" w:hAnsi="Gill Sans MT"/>
          <w:sz w:val="26"/>
          <w:szCs w:val="26"/>
        </w:rPr>
        <w:footnoteReference w:id="1"/>
      </w:r>
      <w:r w:rsidR="00753D9A" w:rsidRPr="006958C1">
        <w:rPr>
          <w:szCs w:val="26"/>
        </w:rPr>
        <w:t>. Placing this increased target on a statutory footing is welcomed, and should see the introduction of new approaches to increase the numbers of disabled people</w:t>
      </w:r>
      <w:r w:rsidR="001874D5">
        <w:rPr>
          <w:szCs w:val="26"/>
        </w:rPr>
        <w:t xml:space="preserve"> working</w:t>
      </w:r>
      <w:r w:rsidR="00753D9A" w:rsidRPr="006958C1">
        <w:rPr>
          <w:szCs w:val="26"/>
        </w:rPr>
        <w:t xml:space="preserve"> in the Irish public service. </w:t>
      </w:r>
    </w:p>
    <w:p w14:paraId="3755DEAB" w14:textId="77777777" w:rsidR="00753D9A" w:rsidRPr="006958C1" w:rsidRDefault="00753D9A" w:rsidP="00753D9A">
      <w:pPr>
        <w:rPr>
          <w:szCs w:val="26"/>
        </w:rPr>
      </w:pPr>
      <w:r w:rsidRPr="006958C1">
        <w:rPr>
          <w:szCs w:val="26"/>
        </w:rPr>
        <w:t>In 2022 ‘Employers for Change’ produced guidance on inclusive recruitment</w:t>
      </w:r>
      <w:r>
        <w:rPr>
          <w:rStyle w:val="FootnoteReference"/>
          <w:szCs w:val="26"/>
        </w:rPr>
        <w:footnoteReference w:id="2"/>
      </w:r>
      <w:r w:rsidRPr="006958C1">
        <w:rPr>
          <w:szCs w:val="26"/>
        </w:rPr>
        <w:t xml:space="preserve"> and the Irish Human Rights and Equality Commission (IHERC) commenced work on a </w:t>
      </w:r>
      <w:r w:rsidRPr="006958C1">
        <w:rPr>
          <w:szCs w:val="26"/>
        </w:rPr>
        <w:lastRenderedPageBreak/>
        <w:t>Code of Practice relating to provision of reasonable accommodation</w:t>
      </w:r>
      <w:r w:rsidRPr="006958C1">
        <w:rPr>
          <w:rStyle w:val="FootnoteReference"/>
          <w:rFonts w:ascii="Gill Sans MT" w:hAnsi="Gill Sans MT"/>
          <w:sz w:val="26"/>
          <w:szCs w:val="26"/>
        </w:rPr>
        <w:footnoteReference w:id="3"/>
      </w:r>
      <w:r w:rsidRPr="006958C1">
        <w:rPr>
          <w:szCs w:val="26"/>
        </w:rPr>
        <w:t>. Both measures will improve the information gaps that currently exist for both employers and employees.</w:t>
      </w:r>
    </w:p>
    <w:p w14:paraId="26845CC6" w14:textId="1E625438" w:rsidR="00753D9A" w:rsidRDefault="00753D9A" w:rsidP="00753D9A">
      <w:pPr>
        <w:rPr>
          <w:szCs w:val="26"/>
        </w:rPr>
      </w:pPr>
      <w:r w:rsidRPr="006958C1">
        <w:rPr>
          <w:szCs w:val="26"/>
        </w:rPr>
        <w:t>The review of the reasonable accommodation fund (RAF)</w:t>
      </w:r>
      <w:r>
        <w:rPr>
          <w:rStyle w:val="FootnoteReference"/>
          <w:szCs w:val="26"/>
        </w:rPr>
        <w:footnoteReference w:id="4"/>
      </w:r>
      <w:r w:rsidRPr="006958C1">
        <w:rPr>
          <w:szCs w:val="26"/>
        </w:rPr>
        <w:t xml:space="preserve"> conducted by the Department of Social Protection was completed in 2022. While not published yet, it was noted that Budget 2023 allocated an additional €1 million to this fund. This increased budget will be useful if the redesigned RAF programme is made more user-friendly and relevant for both employer and employee.</w:t>
      </w:r>
    </w:p>
    <w:p w14:paraId="3D459ED1" w14:textId="6A1D16E7" w:rsidR="004C55F0" w:rsidRPr="004C55F0" w:rsidRDefault="004C55F0" w:rsidP="00753D9A">
      <w:pPr>
        <w:rPr>
          <w:szCs w:val="26"/>
        </w:rPr>
      </w:pPr>
      <w:r w:rsidRPr="004C55F0">
        <w:rPr>
          <w:szCs w:val="26"/>
        </w:rPr>
        <w:t xml:space="preserve">Further developments within DSP occurred during 2022 these include the commencement of the early engagement process </w:t>
      </w:r>
      <w:r w:rsidRPr="00491745">
        <w:rPr>
          <w:rFonts w:cstheme="minorHAnsi"/>
          <w:lang w:eastAsia="en-IE"/>
        </w:rPr>
        <w:t>targeted at young re</w:t>
      </w:r>
      <w:r w:rsidRPr="004C55F0">
        <w:rPr>
          <w:rFonts w:cstheme="minorHAnsi"/>
          <w:lang w:eastAsia="en-IE"/>
        </w:rPr>
        <w:t>cipients of disability payment and explored options available to them</w:t>
      </w:r>
    </w:p>
    <w:p w14:paraId="0536F6CD" w14:textId="2C310C0A" w:rsidR="00753D9A" w:rsidRDefault="00753D9A" w:rsidP="00753D9A">
      <w:pPr>
        <w:rPr>
          <w:szCs w:val="26"/>
        </w:rPr>
      </w:pPr>
      <w:r>
        <w:rPr>
          <w:szCs w:val="26"/>
        </w:rPr>
        <w:t>During</w:t>
      </w:r>
      <w:r w:rsidRPr="006958C1">
        <w:rPr>
          <w:szCs w:val="26"/>
        </w:rPr>
        <w:t xml:space="preserve"> 2022 The National Access Plan (NAP) for Higher Education created new </w:t>
      </w:r>
      <w:r w:rsidRPr="006958C1">
        <w:rPr>
          <w:color w:val="000000"/>
          <w:szCs w:val="26"/>
        </w:rPr>
        <w:t>funding of €3 million a year to 2025 so higher education institutions (HEI) can implement universal design and enhance opportunities for students with intellectual disabilities and autism in higher education</w:t>
      </w:r>
      <w:r>
        <w:rPr>
          <w:rStyle w:val="FootnoteReference"/>
          <w:color w:val="000000"/>
          <w:szCs w:val="26"/>
        </w:rPr>
        <w:footnoteReference w:id="5"/>
      </w:r>
      <w:r w:rsidRPr="006958C1">
        <w:rPr>
          <w:color w:val="000000"/>
          <w:szCs w:val="26"/>
        </w:rPr>
        <w:t>.</w:t>
      </w:r>
      <w:r w:rsidRPr="006958C1">
        <w:rPr>
          <w:szCs w:val="26"/>
        </w:rPr>
        <w:t xml:space="preserve"> This innovation within the HEI sector will </w:t>
      </w:r>
      <w:r>
        <w:rPr>
          <w:szCs w:val="26"/>
        </w:rPr>
        <w:t xml:space="preserve">create an evidence base to support </w:t>
      </w:r>
      <w:r w:rsidRPr="006958C1">
        <w:rPr>
          <w:szCs w:val="26"/>
        </w:rPr>
        <w:t>new systems and practice that can lead to improved access and participation to this sector for learners with disabilities.</w:t>
      </w:r>
    </w:p>
    <w:p w14:paraId="485EAD12" w14:textId="22C42207" w:rsidR="00753D9A" w:rsidRPr="00EE4D50" w:rsidRDefault="001465C5" w:rsidP="00753D9A">
      <w:pPr>
        <w:rPr>
          <w:szCs w:val="26"/>
        </w:rPr>
      </w:pPr>
      <w:r>
        <w:rPr>
          <w:szCs w:val="26"/>
        </w:rPr>
        <w:t>In l</w:t>
      </w:r>
      <w:r w:rsidR="00753D9A">
        <w:rPr>
          <w:szCs w:val="26"/>
        </w:rPr>
        <w:t xml:space="preserve">ate </w:t>
      </w:r>
      <w:r w:rsidR="00753D9A" w:rsidRPr="006F1C55">
        <w:rPr>
          <w:szCs w:val="26"/>
        </w:rPr>
        <w:t xml:space="preserve">2022, a National Policy Group was established to develop a strategic framework on Lifelong Guidance. </w:t>
      </w:r>
      <w:r w:rsidR="00753D9A" w:rsidRPr="006958C1">
        <w:rPr>
          <w:szCs w:val="26"/>
        </w:rPr>
        <w:t>This group comprises of five government departments who are</w:t>
      </w:r>
      <w:r w:rsidR="00753D9A">
        <w:rPr>
          <w:szCs w:val="26"/>
        </w:rPr>
        <w:t xml:space="preserve"> </w:t>
      </w:r>
      <w:r w:rsidR="00753D9A" w:rsidRPr="006958C1">
        <w:rPr>
          <w:szCs w:val="26"/>
        </w:rPr>
        <w:t xml:space="preserve">the key departments required to address the gaps in the provision of guidance, support and information for all people including people with disabilities when accessing support guidance and critically career guidance. </w:t>
      </w:r>
    </w:p>
    <w:p w14:paraId="73226141" w14:textId="77777777" w:rsidR="00753D9A" w:rsidRDefault="00753D9A" w:rsidP="00753D9A">
      <w:pPr>
        <w:pStyle w:val="Heading2"/>
      </w:pPr>
      <w:r>
        <w:t>Areas requiring further development during 2023</w:t>
      </w:r>
    </w:p>
    <w:p w14:paraId="274B6B52" w14:textId="74063C8F" w:rsidR="00EE4D50" w:rsidRDefault="00753D9A" w:rsidP="00753D9A">
      <w:pPr>
        <w:rPr>
          <w:szCs w:val="26"/>
        </w:rPr>
      </w:pPr>
      <w:r w:rsidRPr="00CA6B26">
        <w:rPr>
          <w:szCs w:val="26"/>
        </w:rPr>
        <w:t xml:space="preserve">The NDA advises that employment will continue to be a significant area where cross-departmental commitments will be required </w:t>
      </w:r>
      <w:r w:rsidR="00EE4D50">
        <w:rPr>
          <w:szCs w:val="26"/>
        </w:rPr>
        <w:t xml:space="preserve">during 2023 and 2024. While the CES is coming to its conclusion </w:t>
      </w:r>
      <w:r w:rsidRPr="00CA6B26">
        <w:rPr>
          <w:szCs w:val="26"/>
        </w:rPr>
        <w:t xml:space="preserve">the </w:t>
      </w:r>
      <w:r w:rsidR="001465C5">
        <w:rPr>
          <w:szCs w:val="26"/>
        </w:rPr>
        <w:t xml:space="preserve">inclusion of clear, well defined and ambitious targets and associated actions relating to employment in the new </w:t>
      </w:r>
      <w:r w:rsidRPr="00CA6B26">
        <w:rPr>
          <w:szCs w:val="26"/>
        </w:rPr>
        <w:t xml:space="preserve">UNCRPD Implementation Strategy </w:t>
      </w:r>
      <w:r w:rsidR="005A0993">
        <w:rPr>
          <w:szCs w:val="26"/>
        </w:rPr>
        <w:t>will be</w:t>
      </w:r>
      <w:r w:rsidR="00EE4D50">
        <w:rPr>
          <w:szCs w:val="26"/>
        </w:rPr>
        <w:t xml:space="preserve"> </w:t>
      </w:r>
      <w:r w:rsidR="001465C5">
        <w:rPr>
          <w:szCs w:val="26"/>
        </w:rPr>
        <w:t>crucial</w:t>
      </w:r>
      <w:r w:rsidRPr="00CA6B26">
        <w:rPr>
          <w:szCs w:val="26"/>
        </w:rPr>
        <w:t>.</w:t>
      </w:r>
      <w:r>
        <w:rPr>
          <w:szCs w:val="26"/>
        </w:rPr>
        <w:t xml:space="preserve"> </w:t>
      </w:r>
    </w:p>
    <w:p w14:paraId="5A9DA336" w14:textId="560B5208" w:rsidR="00753D9A" w:rsidRPr="00491745" w:rsidRDefault="00753D9A" w:rsidP="00753D9A">
      <w:pPr>
        <w:rPr>
          <w:szCs w:val="26"/>
        </w:rPr>
      </w:pPr>
      <w:r w:rsidRPr="00CA6B26">
        <w:rPr>
          <w:szCs w:val="26"/>
        </w:rPr>
        <w:lastRenderedPageBreak/>
        <w:t xml:space="preserve">In that regard a number of development areas require </w:t>
      </w:r>
      <w:r w:rsidR="005A0993">
        <w:rPr>
          <w:szCs w:val="26"/>
        </w:rPr>
        <w:t>additional</w:t>
      </w:r>
      <w:r w:rsidRPr="00CA6B26">
        <w:rPr>
          <w:szCs w:val="26"/>
        </w:rPr>
        <w:t xml:space="preserve"> focus during 2023.</w:t>
      </w:r>
      <w:r w:rsidR="00EE4D50">
        <w:rPr>
          <w:szCs w:val="26"/>
        </w:rPr>
        <w:t xml:space="preserve"> These include:</w:t>
      </w:r>
    </w:p>
    <w:p w14:paraId="34EEBBE5" w14:textId="081CF2E2" w:rsidR="00753D9A" w:rsidRPr="00CA6B26" w:rsidRDefault="00753D9A" w:rsidP="00753D9A">
      <w:pPr>
        <w:rPr>
          <w:szCs w:val="26"/>
          <w:shd w:val="clear" w:color="auto" w:fill="FFFFFF"/>
        </w:rPr>
      </w:pPr>
      <w:r w:rsidRPr="00CA6B26">
        <w:rPr>
          <w:szCs w:val="26"/>
          <w:shd w:val="clear" w:color="auto" w:fill="FFFFFF"/>
        </w:rPr>
        <w:t>Further exploration of the</w:t>
      </w:r>
      <w:r w:rsidRPr="00CA6B26">
        <w:rPr>
          <w:rFonts w:cs="Arial"/>
          <w:szCs w:val="26"/>
          <w:shd w:val="clear" w:color="auto" w:fill="FFFFFF"/>
        </w:rPr>
        <w:t xml:space="preserve"> provision of P</w:t>
      </w:r>
      <w:r w:rsidRPr="00CA6B26">
        <w:rPr>
          <w:szCs w:val="26"/>
          <w:shd w:val="clear" w:color="auto" w:fill="FFFFFF"/>
        </w:rPr>
        <w:t>ersonal Assistants (P</w:t>
      </w:r>
      <w:r w:rsidRPr="00CA6B26">
        <w:rPr>
          <w:rFonts w:cs="Arial"/>
          <w:szCs w:val="26"/>
          <w:shd w:val="clear" w:color="auto" w:fill="FFFFFF"/>
        </w:rPr>
        <w:t>A</w:t>
      </w:r>
      <w:r w:rsidRPr="00CA6B26">
        <w:rPr>
          <w:szCs w:val="26"/>
          <w:shd w:val="clear" w:color="auto" w:fill="FFFFFF"/>
        </w:rPr>
        <w:t>)</w:t>
      </w:r>
      <w:r w:rsidRPr="00CA6B26">
        <w:rPr>
          <w:rFonts w:cs="Arial"/>
          <w:szCs w:val="26"/>
          <w:shd w:val="clear" w:color="auto" w:fill="FFFFFF"/>
        </w:rPr>
        <w:t xml:space="preserve"> servic</w:t>
      </w:r>
      <w:r w:rsidR="005A0993">
        <w:rPr>
          <w:rFonts w:cs="Arial"/>
          <w:szCs w:val="26"/>
          <w:shd w:val="clear" w:color="auto" w:fill="FFFFFF"/>
        </w:rPr>
        <w:t>es in an employment context</w:t>
      </w:r>
      <w:r w:rsidR="001465C5">
        <w:rPr>
          <w:rFonts w:cs="Arial"/>
          <w:szCs w:val="26"/>
          <w:shd w:val="clear" w:color="auto" w:fill="FFFFFF"/>
        </w:rPr>
        <w:t>. T</w:t>
      </w:r>
      <w:r w:rsidRPr="00CA6B26">
        <w:rPr>
          <w:rFonts w:cs="Arial"/>
          <w:szCs w:val="26"/>
          <w:shd w:val="clear" w:color="auto" w:fill="FFFFFF"/>
        </w:rPr>
        <w:t>he NDA advises that this could be a key priority during the remainder of the Strategy’s lifetime.</w:t>
      </w:r>
    </w:p>
    <w:p w14:paraId="5131E9A5" w14:textId="34BDB0FF" w:rsidR="00753D9A" w:rsidRPr="00CA6B26" w:rsidRDefault="000B0A0B" w:rsidP="00753D9A">
      <w:pPr>
        <w:rPr>
          <w:szCs w:val="26"/>
        </w:rPr>
      </w:pPr>
      <w:r>
        <w:rPr>
          <w:rFonts w:eastAsiaTheme="minorEastAsia" w:cstheme="minorBidi"/>
          <w:szCs w:val="26"/>
        </w:rPr>
        <w:t>T</w:t>
      </w:r>
      <w:r w:rsidR="00753D9A" w:rsidRPr="00CA6B26">
        <w:rPr>
          <w:rFonts w:eastAsiaTheme="minorEastAsia" w:cstheme="minorBidi"/>
          <w:szCs w:val="26"/>
          <w:lang w:eastAsia="en-IE"/>
        </w:rPr>
        <w:t xml:space="preserve">he Cost of Disability report </w:t>
      </w:r>
      <w:r w:rsidR="00753D9A" w:rsidRPr="00CA6B26">
        <w:rPr>
          <w:szCs w:val="26"/>
        </w:rPr>
        <w:t>demonstrated significant additional costs faced by persons with disabilities</w:t>
      </w:r>
      <w:r>
        <w:rPr>
          <w:szCs w:val="26"/>
        </w:rPr>
        <w:t>.</w:t>
      </w:r>
      <w:r w:rsidR="00753D9A" w:rsidRPr="00CA6B26">
        <w:rPr>
          <w:rStyle w:val="FootnoteReference"/>
          <w:rFonts w:ascii="Gill Sans MT" w:hAnsi="Gill Sans MT"/>
          <w:sz w:val="26"/>
          <w:szCs w:val="26"/>
        </w:rPr>
        <w:footnoteReference w:id="6"/>
      </w:r>
      <w:r w:rsidR="00753D9A" w:rsidRPr="00CA6B26">
        <w:rPr>
          <w:szCs w:val="26"/>
        </w:rPr>
        <w:t xml:space="preserve"> </w:t>
      </w:r>
      <w:r>
        <w:rPr>
          <w:szCs w:val="26"/>
        </w:rPr>
        <w:t>This report was</w:t>
      </w:r>
      <w:r w:rsidR="00753D9A" w:rsidRPr="00CA6B26">
        <w:rPr>
          <w:rFonts w:eastAsiaTheme="minorEastAsia" w:cstheme="minorBidi"/>
          <w:szCs w:val="26"/>
          <w:lang w:eastAsia="en-IE"/>
        </w:rPr>
        <w:t xml:space="preserve"> referred to the National Disability Inclusion Strategy Steering Group to </w:t>
      </w:r>
      <w:r>
        <w:rPr>
          <w:rFonts w:eastAsiaTheme="minorEastAsia" w:cstheme="minorBidi"/>
          <w:szCs w:val="26"/>
          <w:lang w:eastAsia="en-IE"/>
        </w:rPr>
        <w:t>monitor cross-Government responses to the report in the context of NDIS actions</w:t>
      </w:r>
      <w:r>
        <w:rPr>
          <w:rFonts w:eastAsiaTheme="minorEastAsia" w:cstheme="minorBidi"/>
          <w:szCs w:val="26"/>
        </w:rPr>
        <w:t>. A</w:t>
      </w:r>
      <w:r w:rsidR="00753D9A" w:rsidRPr="00CA6B26">
        <w:rPr>
          <w:rFonts w:eastAsiaTheme="minorEastAsia" w:cstheme="minorBidi"/>
          <w:szCs w:val="26"/>
          <w:lang w:eastAsia="en-IE"/>
        </w:rPr>
        <w:t xml:space="preserve"> precise mechanism to implement recommendations remains unclear.</w:t>
      </w:r>
    </w:p>
    <w:p w14:paraId="02DD423A" w14:textId="6C3BE559" w:rsidR="00753D9A" w:rsidRDefault="00753D9A" w:rsidP="00753D9A">
      <w:pPr>
        <w:kinsoku w:val="0"/>
        <w:overflowPunct w:val="0"/>
        <w:contextualSpacing/>
        <w:textAlignment w:val="baseline"/>
        <w:rPr>
          <w:szCs w:val="26"/>
        </w:rPr>
      </w:pPr>
      <w:r w:rsidRPr="00CA6B26">
        <w:rPr>
          <w:szCs w:val="26"/>
        </w:rPr>
        <w:t>No reported progress on the provision of coordinated and seamless support to people with disabilities to access employment</w:t>
      </w:r>
      <w:r>
        <w:rPr>
          <w:szCs w:val="26"/>
        </w:rPr>
        <w:t xml:space="preserve"> occurred </w:t>
      </w:r>
      <w:r w:rsidR="005A0993">
        <w:rPr>
          <w:szCs w:val="26"/>
        </w:rPr>
        <w:t>during 2023 (</w:t>
      </w:r>
      <w:r w:rsidR="00EE4D50">
        <w:rPr>
          <w:szCs w:val="26"/>
        </w:rPr>
        <w:t xml:space="preserve">CES action is </w:t>
      </w:r>
      <w:r w:rsidRPr="00CA6B26">
        <w:rPr>
          <w:szCs w:val="26"/>
        </w:rPr>
        <w:t xml:space="preserve">commonly referred to as action </w:t>
      </w:r>
      <w:r>
        <w:rPr>
          <w:szCs w:val="26"/>
        </w:rPr>
        <w:t>5.1)</w:t>
      </w:r>
      <w:r w:rsidR="000B0A0B">
        <w:rPr>
          <w:szCs w:val="26"/>
        </w:rPr>
        <w:t>.</w:t>
      </w:r>
      <w:r w:rsidRPr="00CA6B26">
        <w:rPr>
          <w:szCs w:val="26"/>
        </w:rPr>
        <w:t xml:space="preserve"> </w:t>
      </w:r>
    </w:p>
    <w:p w14:paraId="7D425208" w14:textId="77777777" w:rsidR="00753D9A" w:rsidRDefault="00753D9A" w:rsidP="00753D9A">
      <w:pPr>
        <w:kinsoku w:val="0"/>
        <w:overflowPunct w:val="0"/>
        <w:contextualSpacing/>
        <w:textAlignment w:val="baseline"/>
        <w:rPr>
          <w:szCs w:val="26"/>
        </w:rPr>
      </w:pPr>
    </w:p>
    <w:p w14:paraId="7451E821" w14:textId="4B55952D" w:rsidR="00753D9A" w:rsidRPr="00427575" w:rsidRDefault="005A0993" w:rsidP="00753D9A">
      <w:pPr>
        <w:kinsoku w:val="0"/>
        <w:overflowPunct w:val="0"/>
        <w:contextualSpacing/>
        <w:textAlignment w:val="baseline"/>
        <w:rPr>
          <w:szCs w:val="26"/>
        </w:rPr>
      </w:pPr>
      <w:r>
        <w:rPr>
          <w:szCs w:val="26"/>
        </w:rPr>
        <w:t>W</w:t>
      </w:r>
      <w:r w:rsidR="00EE4D50">
        <w:rPr>
          <w:szCs w:val="26"/>
        </w:rPr>
        <w:t>ithin</w:t>
      </w:r>
      <w:r w:rsidR="00753D9A" w:rsidRPr="00CA6B26">
        <w:rPr>
          <w:szCs w:val="26"/>
        </w:rPr>
        <w:t xml:space="preserve"> the strategic area of supporting a return to work </w:t>
      </w:r>
      <w:r w:rsidR="00753D9A">
        <w:rPr>
          <w:szCs w:val="26"/>
        </w:rPr>
        <w:t>there was no reported action</w:t>
      </w:r>
      <w:r>
        <w:rPr>
          <w:szCs w:val="26"/>
        </w:rPr>
        <w:t xml:space="preserve"> on</w:t>
      </w:r>
      <w:r w:rsidR="00753D9A" w:rsidRPr="00CA6B26">
        <w:rPr>
          <w:szCs w:val="26"/>
        </w:rPr>
        <w:t xml:space="preserve"> the delivery of a national programme of vocational rehabilitation</w:t>
      </w:r>
      <w:r w:rsidR="00753D9A">
        <w:rPr>
          <w:rStyle w:val="FootnoteReference"/>
          <w:szCs w:val="26"/>
        </w:rPr>
        <w:footnoteReference w:id="7"/>
      </w:r>
      <w:r w:rsidR="00AD2D0A">
        <w:rPr>
          <w:szCs w:val="26"/>
        </w:rPr>
        <w:t xml:space="preserve"> during 2022. Vocational Rehabilitation has a clear evidence base to support people with acquired disability return to work.</w:t>
      </w:r>
    </w:p>
    <w:p w14:paraId="4BBF57A5" w14:textId="47426F13" w:rsidR="00793FF1" w:rsidRDefault="00793FF1" w:rsidP="00365C67">
      <w:pPr>
        <w:spacing w:after="0"/>
      </w:pPr>
    </w:p>
    <w:p w14:paraId="079855DA" w14:textId="4D969814" w:rsidR="00793FF1" w:rsidRDefault="00753D9A" w:rsidP="00365C67">
      <w:pPr>
        <w:spacing w:after="0"/>
      </w:pPr>
      <w:r>
        <w:t xml:space="preserve">The following sections </w:t>
      </w:r>
      <w:r w:rsidR="00AD2D0A">
        <w:t xml:space="preserve">of this paper </w:t>
      </w:r>
      <w:r>
        <w:t xml:space="preserve">describe in detail the progress and challenges </w:t>
      </w:r>
      <w:r w:rsidR="00AD2D0A">
        <w:t xml:space="preserve">for CES implementation </w:t>
      </w:r>
      <w:r>
        <w:t>during 2022.</w:t>
      </w:r>
    </w:p>
    <w:p w14:paraId="25418C9D" w14:textId="77777777" w:rsidR="00365C67" w:rsidRPr="00365C67" w:rsidRDefault="0079532C">
      <w:pPr>
        <w:spacing w:after="0"/>
        <w:rPr>
          <w:rFonts w:cs="Arial"/>
          <w:b/>
          <w:bCs/>
          <w:kern w:val="28"/>
          <w:sz w:val="36"/>
          <w:szCs w:val="32"/>
        </w:rPr>
      </w:pPr>
      <w:r>
        <w:br w:type="page"/>
      </w:r>
      <w:bookmarkStart w:id="7" w:name="_Toc130370556"/>
    </w:p>
    <w:p w14:paraId="4D328B78" w14:textId="77777777" w:rsidR="009C3BD7" w:rsidRDefault="00FA249B" w:rsidP="009C3BD7">
      <w:pPr>
        <w:pStyle w:val="Heading1"/>
      </w:pPr>
      <w:bookmarkStart w:id="8" w:name="_Toc130474352"/>
      <w:bookmarkStart w:id="9" w:name="_Toc132710522"/>
      <w:bookmarkEnd w:id="7"/>
      <w:r>
        <w:lastRenderedPageBreak/>
        <w:t>Introduction</w:t>
      </w:r>
      <w:bookmarkEnd w:id="8"/>
      <w:bookmarkEnd w:id="9"/>
    </w:p>
    <w:p w14:paraId="271D490C" w14:textId="5A4EB461" w:rsidR="0047329B" w:rsidRDefault="0047329B" w:rsidP="00D87792">
      <w:r w:rsidRPr="00137A8B">
        <w:t xml:space="preserve">This paper sets out the National Disability Authority’s (NDA) independent assessment of </w:t>
      </w:r>
      <w:r>
        <w:t>progress made regarding the Comprehensive Employment Strategy for people with disabilities 2015 to 2024 (</w:t>
      </w:r>
      <w:r w:rsidRPr="00137A8B">
        <w:t>CES</w:t>
      </w:r>
      <w:r>
        <w:t>)</w:t>
      </w:r>
      <w:r w:rsidRPr="00137A8B">
        <w:t xml:space="preserve"> in the context of</w:t>
      </w:r>
      <w:r>
        <w:t xml:space="preserve"> </w:t>
      </w:r>
      <w:r w:rsidR="00E00F83">
        <w:t>progress</w:t>
      </w:r>
      <w:r w:rsidR="00116A3B">
        <w:t xml:space="preserve"> </w:t>
      </w:r>
      <w:r>
        <w:t>during 2022</w:t>
      </w:r>
      <w:r w:rsidR="00ED55FB">
        <w:t>.</w:t>
      </w:r>
      <w:r>
        <w:t xml:space="preserve"> This is the seventh</w:t>
      </w:r>
      <w:r w:rsidRPr="00476D15">
        <w:t xml:space="preserve"> </w:t>
      </w:r>
      <w:r>
        <w:t>annual assessment conducted by the NDA.</w:t>
      </w:r>
    </w:p>
    <w:p w14:paraId="7BDE9C48" w14:textId="41909391" w:rsidR="00AA6729" w:rsidRPr="003F49FF" w:rsidRDefault="00F87818" w:rsidP="00D87792">
      <w:r>
        <w:rPr>
          <w:shd w:val="clear" w:color="auto" w:fill="FFFFFF"/>
        </w:rPr>
        <w:t xml:space="preserve">There was a lack of agreement on the final three year action plan due to run from 2022-2024. The outstanding issues are being worked on by departments under the coordination of DCEDIY’s disability unit and it is hoped an action plan will be agreed in 2023. </w:t>
      </w:r>
      <w:r>
        <w:t xml:space="preserve">A mainstream-first approach to disability employment policy requires all departments and agencies with relevant responsibilities to engage with stakeholders to reach agreement on a Phase III Action Plan. </w:t>
      </w:r>
      <w:r w:rsidR="00AA6729">
        <w:rPr>
          <w:rFonts w:eastAsiaTheme="minorEastAsia" w:cstheme="minorBidi"/>
          <w:szCs w:val="26"/>
          <w:lang w:eastAsia="en-IE"/>
        </w:rPr>
        <w:t xml:space="preserve">Unfortunately as the plan was not agreed the </w:t>
      </w:r>
      <w:r w:rsidR="00AA6729" w:rsidRPr="00D33F1D">
        <w:rPr>
          <w:rFonts w:eastAsiaTheme="minorEastAsia" w:cstheme="minorBidi"/>
          <w:szCs w:val="26"/>
          <w:lang w:eastAsia="en-IE"/>
        </w:rPr>
        <w:t xml:space="preserve">CES Implementation Group </w:t>
      </w:r>
      <w:r>
        <w:rPr>
          <w:rFonts w:eastAsiaTheme="minorEastAsia" w:cstheme="minorBidi"/>
          <w:szCs w:val="26"/>
          <w:lang w:eastAsia="en-IE"/>
        </w:rPr>
        <w:t xml:space="preserve">met once </w:t>
      </w:r>
      <w:r w:rsidR="00AA6729">
        <w:rPr>
          <w:rFonts w:eastAsiaTheme="minorEastAsia" w:cstheme="minorBidi"/>
          <w:szCs w:val="26"/>
          <w:lang w:eastAsia="en-IE"/>
        </w:rPr>
        <w:t>in</w:t>
      </w:r>
      <w:r w:rsidR="000B0A0B">
        <w:rPr>
          <w:rFonts w:eastAsiaTheme="minorEastAsia" w:cstheme="minorBidi"/>
          <w:szCs w:val="26"/>
          <w:lang w:eastAsia="en-IE"/>
        </w:rPr>
        <w:t xml:space="preserve"> early</w:t>
      </w:r>
      <w:r w:rsidR="00AA6729">
        <w:rPr>
          <w:rFonts w:eastAsiaTheme="minorEastAsia" w:cstheme="minorBidi"/>
          <w:szCs w:val="26"/>
          <w:lang w:eastAsia="en-IE"/>
        </w:rPr>
        <w:t xml:space="preserve"> 2022. This gap in monitoring </w:t>
      </w:r>
      <w:r>
        <w:rPr>
          <w:rFonts w:eastAsiaTheme="minorEastAsia" w:cstheme="minorBidi"/>
          <w:szCs w:val="26"/>
          <w:lang w:eastAsia="en-IE"/>
        </w:rPr>
        <w:t xml:space="preserve">implementation </w:t>
      </w:r>
      <w:r w:rsidR="00AA6729">
        <w:rPr>
          <w:rFonts w:eastAsiaTheme="minorEastAsia" w:cstheme="minorBidi"/>
          <w:szCs w:val="26"/>
          <w:lang w:eastAsia="en-IE"/>
        </w:rPr>
        <w:t xml:space="preserve">highlighted the challenges that </w:t>
      </w:r>
      <w:r w:rsidR="009F62AC">
        <w:rPr>
          <w:rFonts w:eastAsiaTheme="minorEastAsia" w:cstheme="minorBidi"/>
          <w:szCs w:val="26"/>
          <w:lang w:eastAsia="en-IE"/>
        </w:rPr>
        <w:t xml:space="preserve">continue </w:t>
      </w:r>
      <w:r w:rsidR="00AA6729">
        <w:rPr>
          <w:rFonts w:eastAsiaTheme="minorEastAsia" w:cstheme="minorBidi"/>
          <w:szCs w:val="26"/>
          <w:lang w:eastAsia="en-IE"/>
        </w:rPr>
        <w:t>in the Irish system</w:t>
      </w:r>
      <w:r w:rsidR="00E00F83">
        <w:rPr>
          <w:rFonts w:eastAsiaTheme="minorEastAsia" w:cstheme="minorBidi"/>
          <w:szCs w:val="26"/>
          <w:lang w:eastAsia="en-IE"/>
        </w:rPr>
        <w:t xml:space="preserve"> with regard to cross governmental working</w:t>
      </w:r>
      <w:r w:rsidR="00AA6729">
        <w:rPr>
          <w:rFonts w:eastAsiaTheme="minorEastAsia" w:cstheme="minorBidi"/>
          <w:szCs w:val="26"/>
          <w:lang w:eastAsia="en-IE"/>
        </w:rPr>
        <w:t xml:space="preserve">. </w:t>
      </w:r>
    </w:p>
    <w:p w14:paraId="4A774B9C" w14:textId="5115FBAA" w:rsidR="00D87792" w:rsidRPr="00C14265" w:rsidRDefault="0047329B" w:rsidP="00D87792">
      <w:pPr>
        <w:rPr>
          <w:shd w:val="clear" w:color="auto" w:fill="FFFFFF"/>
        </w:rPr>
      </w:pPr>
      <w:r w:rsidRPr="00DD62CF">
        <w:rPr>
          <w:szCs w:val="26"/>
        </w:rPr>
        <w:t xml:space="preserve">The assessment is based on evidence gathered during the year that relates to the </w:t>
      </w:r>
      <w:r>
        <w:rPr>
          <w:szCs w:val="26"/>
        </w:rPr>
        <w:t xml:space="preserve">current </w:t>
      </w:r>
      <w:r w:rsidRPr="00DD62CF">
        <w:rPr>
          <w:szCs w:val="26"/>
        </w:rPr>
        <w:t xml:space="preserve">employment environment of </w:t>
      </w:r>
      <w:r w:rsidR="002621A2">
        <w:rPr>
          <w:szCs w:val="26"/>
        </w:rPr>
        <w:t>disabled people</w:t>
      </w:r>
      <w:r w:rsidRPr="00DD62CF">
        <w:rPr>
          <w:szCs w:val="26"/>
        </w:rPr>
        <w:t>. This approach includes evidence gathered on the lived experience of persons with disabilities by the NDA a</w:t>
      </w:r>
      <w:r w:rsidR="00373163">
        <w:rPr>
          <w:szCs w:val="26"/>
        </w:rPr>
        <w:t>nd others, updates provided by</w:t>
      </w:r>
      <w:r w:rsidRPr="00DD62CF">
        <w:rPr>
          <w:szCs w:val="26"/>
        </w:rPr>
        <w:t xml:space="preserve"> government departments </w:t>
      </w:r>
      <w:r w:rsidR="00E626D2">
        <w:rPr>
          <w:szCs w:val="26"/>
        </w:rPr>
        <w:t xml:space="preserve">to their Disability Consultative Committees (DCC’s) </w:t>
      </w:r>
      <w:r w:rsidRPr="00DD62CF">
        <w:rPr>
          <w:szCs w:val="26"/>
        </w:rPr>
        <w:t xml:space="preserve">relating to </w:t>
      </w:r>
      <w:r>
        <w:rPr>
          <w:szCs w:val="26"/>
        </w:rPr>
        <w:t>commitments under the Strategy,</w:t>
      </w:r>
      <w:r w:rsidRPr="00DD62CF">
        <w:rPr>
          <w:szCs w:val="26"/>
        </w:rPr>
        <w:t xml:space="preserve"> and new reports with data on the employment of persons with disabilities. </w:t>
      </w:r>
      <w:r w:rsidR="00A96B81">
        <w:rPr>
          <w:szCs w:val="26"/>
        </w:rPr>
        <w:t xml:space="preserve">In </w:t>
      </w:r>
      <w:r w:rsidR="002621A2">
        <w:rPr>
          <w:szCs w:val="26"/>
        </w:rPr>
        <w:t>addition to</w:t>
      </w:r>
      <w:r w:rsidR="00A96B81">
        <w:rPr>
          <w:szCs w:val="26"/>
        </w:rPr>
        <w:t xml:space="preserve"> this assessment paper the NDA </w:t>
      </w:r>
      <w:r w:rsidR="00A96B81" w:rsidRPr="00F72BDD">
        <w:rPr>
          <w:shd w:val="clear" w:color="auto" w:fill="FFFFFF"/>
        </w:rPr>
        <w:t xml:space="preserve">produces a separate independent assessment of </w:t>
      </w:r>
      <w:r w:rsidR="002F12E2">
        <w:rPr>
          <w:shd w:val="clear" w:color="auto" w:fill="FFFFFF"/>
        </w:rPr>
        <w:t xml:space="preserve">the </w:t>
      </w:r>
      <w:r w:rsidR="00A96B81">
        <w:rPr>
          <w:shd w:val="clear" w:color="auto" w:fill="FFFFFF"/>
        </w:rPr>
        <w:t xml:space="preserve">National Disability Inclusion Strategy </w:t>
      </w:r>
      <w:r w:rsidR="00A96B81" w:rsidRPr="00F72BDD">
        <w:rPr>
          <w:shd w:val="clear" w:color="auto" w:fill="FFFFFF"/>
        </w:rPr>
        <w:t>whi</w:t>
      </w:r>
      <w:r w:rsidR="00116A3B">
        <w:rPr>
          <w:shd w:val="clear" w:color="auto" w:fill="FFFFFF"/>
        </w:rPr>
        <w:t xml:space="preserve">ch contains further </w:t>
      </w:r>
      <w:r w:rsidR="002621A2">
        <w:rPr>
          <w:shd w:val="clear" w:color="auto" w:fill="FFFFFF"/>
        </w:rPr>
        <w:t xml:space="preserve">detailed </w:t>
      </w:r>
      <w:r w:rsidR="00116A3B">
        <w:rPr>
          <w:shd w:val="clear" w:color="auto" w:fill="FFFFFF"/>
        </w:rPr>
        <w:t>information on inclusion</w:t>
      </w:r>
      <w:r w:rsidR="002621A2">
        <w:rPr>
          <w:shd w:val="clear" w:color="auto" w:fill="FFFFFF"/>
        </w:rPr>
        <w:t xml:space="preserve"> matters including employment, education and transport during 2022</w:t>
      </w:r>
      <w:r w:rsidR="00116A3B">
        <w:rPr>
          <w:shd w:val="clear" w:color="auto" w:fill="FFFFFF"/>
        </w:rPr>
        <w:t>.</w:t>
      </w:r>
    </w:p>
    <w:p w14:paraId="6333EBA5" w14:textId="62073322" w:rsidR="00116A3B" w:rsidRDefault="00116A3B" w:rsidP="00D87792">
      <w:r>
        <w:t xml:space="preserve">In this paper </w:t>
      </w:r>
      <w:r w:rsidR="008A6A05" w:rsidRPr="00865B42">
        <w:t>t</w:t>
      </w:r>
      <w:r w:rsidR="00320406" w:rsidRPr="00865B42">
        <w:t xml:space="preserve">he </w:t>
      </w:r>
      <w:r w:rsidR="0047329B" w:rsidRPr="00865B42">
        <w:t xml:space="preserve">NDA contextualises </w:t>
      </w:r>
      <w:r w:rsidR="00320406" w:rsidRPr="00865B42">
        <w:t>CES activity during 2022</w:t>
      </w:r>
      <w:r w:rsidR="0047329B" w:rsidRPr="00865B42">
        <w:t xml:space="preserve"> in the wider provision of </w:t>
      </w:r>
      <w:r w:rsidR="00DF71CD">
        <w:t xml:space="preserve">mainstream </w:t>
      </w:r>
      <w:r w:rsidR="0047329B" w:rsidRPr="00865B42">
        <w:t>employment</w:t>
      </w:r>
      <w:r w:rsidR="00C707C8">
        <w:t xml:space="preserve"> activity,</w:t>
      </w:r>
      <w:r w:rsidR="008A6A05" w:rsidRPr="00865B42">
        <w:t xml:space="preserve"> for example the launch in </w:t>
      </w:r>
      <w:r w:rsidR="001E0889">
        <w:t xml:space="preserve">August </w:t>
      </w:r>
      <w:r w:rsidR="008A6A05" w:rsidRPr="00865B42">
        <w:t xml:space="preserve"> 2022 of the National Access Plan</w:t>
      </w:r>
      <w:r w:rsidR="00865B42" w:rsidRPr="00865B42">
        <w:t xml:space="preserve"> (for equity of access, participation and success in higher education, 2022 to </w:t>
      </w:r>
      <w:r w:rsidR="00865B42" w:rsidRPr="00424196">
        <w:t>2028)</w:t>
      </w:r>
      <w:r w:rsidR="00424196">
        <w:t xml:space="preserve"> </w:t>
      </w:r>
      <w:r w:rsidR="008A6A05" w:rsidRPr="00424196">
        <w:t>with clear targets</w:t>
      </w:r>
      <w:r w:rsidR="00ED55FB">
        <w:t>,</w:t>
      </w:r>
      <w:r w:rsidR="008A6A05" w:rsidRPr="00424196">
        <w:t xml:space="preserve"> </w:t>
      </w:r>
      <w:r w:rsidR="00C707C8" w:rsidRPr="00424196">
        <w:t xml:space="preserve">including </w:t>
      </w:r>
      <w:r w:rsidR="00DF71CD">
        <w:t xml:space="preserve">ambitions for learners to </w:t>
      </w:r>
      <w:r w:rsidR="00C707C8" w:rsidRPr="00424196">
        <w:t xml:space="preserve">progress </w:t>
      </w:r>
      <w:r w:rsidR="00DF71CD">
        <w:t>through higher education</w:t>
      </w:r>
      <w:r w:rsidR="00A7420F" w:rsidRPr="00424196">
        <w:rPr>
          <w:rStyle w:val="FootnoteReference"/>
          <w:rFonts w:ascii="Gill Sans MT" w:hAnsi="Gill Sans MT"/>
          <w:sz w:val="26"/>
          <w:szCs w:val="26"/>
        </w:rPr>
        <w:footnoteReference w:id="8"/>
      </w:r>
      <w:r w:rsidR="00373163">
        <w:t>. Also</w:t>
      </w:r>
      <w:r w:rsidR="002F12E2">
        <w:t>,</w:t>
      </w:r>
      <w:r w:rsidR="00DF71CD">
        <w:t xml:space="preserve"> </w:t>
      </w:r>
      <w:r w:rsidR="008A6A05" w:rsidRPr="00424196">
        <w:t xml:space="preserve">the </w:t>
      </w:r>
      <w:r w:rsidR="00A7420F" w:rsidRPr="00424196">
        <w:t xml:space="preserve">first annual </w:t>
      </w:r>
      <w:r w:rsidR="008A6A05" w:rsidRPr="00424196">
        <w:t xml:space="preserve">progress report from the </w:t>
      </w:r>
      <w:r w:rsidR="00A7420F" w:rsidRPr="00424196">
        <w:t>Pathways to Work strategy</w:t>
      </w:r>
      <w:r w:rsidR="00A7420F" w:rsidRPr="00424196">
        <w:rPr>
          <w:rStyle w:val="FootnoteReference"/>
          <w:rFonts w:ascii="Gill Sans MT" w:hAnsi="Gill Sans MT"/>
          <w:sz w:val="26"/>
          <w:szCs w:val="26"/>
        </w:rPr>
        <w:footnoteReference w:id="9"/>
      </w:r>
      <w:r w:rsidR="00393830" w:rsidRPr="00424196">
        <w:t>, which described a systematic approach</w:t>
      </w:r>
      <w:r w:rsidR="00A17437">
        <w:t>,</w:t>
      </w:r>
      <w:r w:rsidR="00393830" w:rsidRPr="00424196">
        <w:t xml:space="preserve"> designed by the Department of Social Protection</w:t>
      </w:r>
      <w:r w:rsidR="00A17437">
        <w:t>,</w:t>
      </w:r>
      <w:r w:rsidR="00393830" w:rsidRPr="00424196">
        <w:t xml:space="preserve"> to actively engage </w:t>
      </w:r>
      <w:r w:rsidR="00424196">
        <w:t xml:space="preserve">with </w:t>
      </w:r>
      <w:r w:rsidR="00DD2EF6">
        <w:t xml:space="preserve">young </w:t>
      </w:r>
      <w:r w:rsidR="00424196">
        <w:t>disabled persons</w:t>
      </w:r>
      <w:r w:rsidR="00393830" w:rsidRPr="00424196">
        <w:t xml:space="preserve">. </w:t>
      </w:r>
    </w:p>
    <w:p w14:paraId="333EE9FD" w14:textId="77777777" w:rsidR="0047329B" w:rsidRDefault="00AD4B76" w:rsidP="00AD4B76">
      <w:pPr>
        <w:pStyle w:val="Heading1"/>
        <w:rPr>
          <w:lang w:eastAsia="en-IE"/>
        </w:rPr>
      </w:pPr>
      <w:bookmarkStart w:id="10" w:name="_Toc130474353"/>
      <w:bookmarkStart w:id="11" w:name="_Toc132710523"/>
      <w:r>
        <w:rPr>
          <w:lang w:eastAsia="en-IE"/>
        </w:rPr>
        <w:lastRenderedPageBreak/>
        <w:t>2022 in context</w:t>
      </w:r>
      <w:bookmarkEnd w:id="10"/>
      <w:bookmarkEnd w:id="11"/>
    </w:p>
    <w:p w14:paraId="2DDED7B6" w14:textId="77777777" w:rsidR="00D87792" w:rsidRPr="00D87792" w:rsidRDefault="00D87792" w:rsidP="00DC1830">
      <w:pPr>
        <w:pStyle w:val="Heading2"/>
      </w:pPr>
      <w:bookmarkStart w:id="12" w:name="_Toc130474354"/>
      <w:bookmarkStart w:id="13" w:name="_Toc132710524"/>
      <w:r w:rsidRPr="00D87792">
        <w:t>Irish figures in comparison to EU performance</w:t>
      </w:r>
      <w:bookmarkEnd w:id="12"/>
      <w:bookmarkEnd w:id="13"/>
    </w:p>
    <w:p w14:paraId="5906241A" w14:textId="77777777" w:rsidR="00D87792" w:rsidRPr="00D87792" w:rsidRDefault="00D87792" w:rsidP="00D87792">
      <w:pPr>
        <w:rPr>
          <w:rFonts w:ascii="Gill Sans" w:hAnsi="Gill Sans"/>
        </w:rPr>
      </w:pPr>
      <w:r w:rsidRPr="00D87792">
        <w:rPr>
          <w:rFonts w:ascii="Gill Sans" w:hAnsi="Gill Sans"/>
        </w:rPr>
        <w:t>ESRI research conducted in partnership with the NDA during 2021 shows that the rate of employment of disabled people in Ireland is the fourth lowest in Europe. This data is derived from the EU SILC 2018 survey. Only Bulgaria, Hungary and Greece have lower employment rates for disabled people, while Estonia, Latvia and Denmark have the highest rates. See Fig.1 for detail.</w:t>
      </w:r>
    </w:p>
    <w:p w14:paraId="5BA3E21E" w14:textId="77777777" w:rsidR="00D87792" w:rsidRPr="00D87792" w:rsidRDefault="00D87792" w:rsidP="00D87792">
      <w:pPr>
        <w:rPr>
          <w:rFonts w:ascii="Gill Sans" w:hAnsi="Gill Sans"/>
        </w:rPr>
      </w:pPr>
      <w:r w:rsidRPr="00D87792">
        <w:rPr>
          <w:rFonts w:ascii="Gill Sans" w:hAnsi="Gill Sans"/>
          <w:noProof/>
          <w:lang w:eastAsia="en-IE"/>
        </w:rPr>
        <w:drawing>
          <wp:inline distT="0" distB="0" distL="0" distR="0" wp14:anchorId="3365C941" wp14:editId="74D945D6">
            <wp:extent cx="5869305" cy="4063365"/>
            <wp:effectExtent l="0" t="0" r="0" b="0"/>
            <wp:docPr id="1" name="Chart 1" title="Figure 1: Persons at work (%) by disability status">
              <a:extLst xmlns:a="http://schemas.openxmlformats.org/drawingml/2006/main">
                <a:ext uri="{FF2B5EF4-FFF2-40B4-BE49-F238E27FC236}">
                  <a16:creationId xmlns:a16="http://schemas.microsoft.com/office/drawing/2014/main" id="{2D05DE64-9EE6-4DEB-99EA-67BDA0AEDB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268F96" w14:textId="77777777" w:rsidR="00D87792" w:rsidRPr="00D87792" w:rsidRDefault="00D87792" w:rsidP="00D87792">
      <w:pPr>
        <w:jc w:val="center"/>
        <w:rPr>
          <w:color w:val="262626" w:themeColor="text1" w:themeTint="D9"/>
          <w:sz w:val="20"/>
        </w:rPr>
      </w:pPr>
      <w:r w:rsidRPr="00D87792">
        <w:rPr>
          <w:color w:val="262626" w:themeColor="text1" w:themeTint="D9"/>
          <w:sz w:val="20"/>
        </w:rPr>
        <w:t>Source: Maître &amp; Kelly (2021)</w:t>
      </w:r>
      <w:r w:rsidRPr="00D87792">
        <w:rPr>
          <w:color w:val="262626" w:themeColor="text1" w:themeTint="D9"/>
          <w:sz w:val="20"/>
          <w:vertAlign w:val="superscript"/>
        </w:rPr>
        <w:footnoteReference w:id="10"/>
      </w:r>
    </w:p>
    <w:p w14:paraId="175F3C8B" w14:textId="3BF0781E" w:rsidR="00D87792" w:rsidRPr="00D87792" w:rsidRDefault="00D87792" w:rsidP="00D87792">
      <w:pPr>
        <w:rPr>
          <w:rFonts w:ascii="Gill Sans" w:hAnsi="Gill Sans"/>
        </w:rPr>
      </w:pPr>
      <w:r>
        <w:rPr>
          <w:rFonts w:ascii="Gill Sans" w:hAnsi="Gill Sans"/>
        </w:rPr>
        <w:t xml:space="preserve">The NDA consider </w:t>
      </w:r>
      <w:r w:rsidR="006A646B">
        <w:rPr>
          <w:rFonts w:ascii="Gill Sans" w:hAnsi="Gill Sans"/>
        </w:rPr>
        <w:t xml:space="preserve">a more helpful </w:t>
      </w:r>
      <w:r w:rsidRPr="00D87792">
        <w:rPr>
          <w:rFonts w:ascii="Gill Sans" w:hAnsi="Gill Sans"/>
        </w:rPr>
        <w:t>focus</w:t>
      </w:r>
      <w:r w:rsidR="00E85E42">
        <w:rPr>
          <w:rFonts w:ascii="Gill Sans" w:hAnsi="Gill Sans"/>
        </w:rPr>
        <w:t xml:space="preserve"> when considering potential targets,</w:t>
      </w:r>
      <w:r w:rsidRPr="00D87792">
        <w:rPr>
          <w:rFonts w:ascii="Gill Sans" w:hAnsi="Gill Sans"/>
        </w:rPr>
        <w:t xml:space="preserve"> </w:t>
      </w:r>
      <w:r w:rsidR="006A646B">
        <w:rPr>
          <w:rFonts w:ascii="Gill Sans" w:hAnsi="Gill Sans"/>
        </w:rPr>
        <w:t xml:space="preserve">is </w:t>
      </w:r>
      <w:r w:rsidRPr="00D87792">
        <w:rPr>
          <w:rFonts w:ascii="Gill Sans" w:hAnsi="Gill Sans"/>
        </w:rPr>
        <w:t xml:space="preserve">on the </w:t>
      </w:r>
      <w:r w:rsidR="006A646B">
        <w:rPr>
          <w:rFonts w:ascii="Gill Sans" w:hAnsi="Gill Sans"/>
        </w:rPr>
        <w:t>‘</w:t>
      </w:r>
      <w:r w:rsidRPr="00D87792">
        <w:rPr>
          <w:rFonts w:ascii="Gill Sans" w:hAnsi="Gill Sans"/>
        </w:rPr>
        <w:t>employment gap</w:t>
      </w:r>
      <w:r w:rsidR="006A646B">
        <w:rPr>
          <w:rFonts w:ascii="Gill Sans" w:hAnsi="Gill Sans"/>
        </w:rPr>
        <w:t>’</w:t>
      </w:r>
      <w:r w:rsidRPr="00D87792">
        <w:rPr>
          <w:rFonts w:ascii="Gill Sans" w:hAnsi="Gill Sans"/>
        </w:rPr>
        <w:t xml:space="preserve"> between disabled and non-disabled people of working age who are in employment, rather than an absolute employment rate. The key benefit of this approach is that the employment rate gap is an indicator that </w:t>
      </w:r>
      <w:r w:rsidRPr="00D87792">
        <w:rPr>
          <w:rFonts w:ascii="Gill Sans" w:hAnsi="Gill Sans"/>
        </w:rPr>
        <w:lastRenderedPageBreak/>
        <w:t xml:space="preserve">remains equally valid as a signal of progress over time, regardless of trends in the business cycle and wider labour market. </w:t>
      </w:r>
    </w:p>
    <w:p w14:paraId="3BA26C2D" w14:textId="2B731220" w:rsidR="00D87792" w:rsidRDefault="00D87792" w:rsidP="00D87792">
      <w:pPr>
        <w:rPr>
          <w:rFonts w:ascii="Gill Sans" w:hAnsi="Gill Sans"/>
        </w:rPr>
      </w:pPr>
      <w:r w:rsidRPr="00D87792">
        <w:rPr>
          <w:rFonts w:ascii="Gill Sans" w:hAnsi="Gill Sans"/>
        </w:rPr>
        <w:t>If looking at the employment gap, then Ireland has the widest gap in the EU 27, with a gap of 41.3%, with Denmark having the narrowest gap (7.9%). See Table 2 for full detail:</w:t>
      </w:r>
    </w:p>
    <w:p w14:paraId="611CBF5B" w14:textId="5D7840A4" w:rsidR="00D87792" w:rsidRPr="002F206C" w:rsidRDefault="0064731C" w:rsidP="002F206C">
      <w:pPr>
        <w:pStyle w:val="TableTitle"/>
        <w:jc w:val="left"/>
      </w:pPr>
      <w:r>
        <w:t>Table 2: Disability Employment Gap (%) – Some or Severe Activity Limitations (EU SILC)</w:t>
      </w:r>
      <w:r w:rsidRPr="0064731C">
        <w:rPr>
          <w:rFonts w:eastAsiaTheme="majorEastAsia" w:cstheme="majorBidi"/>
          <w:b w:val="0"/>
          <w:sz w:val="28"/>
          <w:szCs w:val="26"/>
          <w:vertAlign w:val="superscript"/>
        </w:rPr>
        <w:t xml:space="preserve"> </w:t>
      </w:r>
      <w:r w:rsidRPr="00D87792">
        <w:rPr>
          <w:rFonts w:eastAsiaTheme="majorEastAsia" w:cstheme="majorBidi"/>
          <w:b w:val="0"/>
          <w:sz w:val="28"/>
          <w:szCs w:val="26"/>
          <w:vertAlign w:val="superscript"/>
        </w:rPr>
        <w:footnoteReference w:id="11"/>
      </w:r>
    </w:p>
    <w:tbl>
      <w:tblPr>
        <w:tblW w:w="7540" w:type="dxa"/>
        <w:tblLook w:val="04A0" w:firstRow="1" w:lastRow="0" w:firstColumn="1" w:lastColumn="0" w:noHBand="0" w:noVBand="1"/>
      </w:tblPr>
      <w:tblGrid>
        <w:gridCol w:w="4660"/>
        <w:gridCol w:w="960"/>
        <w:gridCol w:w="960"/>
        <w:gridCol w:w="960"/>
      </w:tblGrid>
      <w:tr w:rsidR="00D87792" w:rsidRPr="00D87792" w14:paraId="3A72FD74" w14:textId="77777777" w:rsidTr="00785F52">
        <w:trPr>
          <w:trHeight w:val="345"/>
        </w:trPr>
        <w:tc>
          <w:tcPr>
            <w:tcW w:w="4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E5EB10" w14:textId="77777777" w:rsidR="00D87792" w:rsidRPr="00D87792" w:rsidRDefault="00D87792" w:rsidP="00D87792">
            <w:pPr>
              <w:spacing w:after="0"/>
              <w:jc w:val="right"/>
              <w:rPr>
                <w:rFonts w:cs="Calibri"/>
                <w:b/>
                <w:bCs/>
                <w:color w:val="FFFFFF"/>
                <w:szCs w:val="26"/>
                <w:lang w:eastAsia="en-IE"/>
              </w:rPr>
            </w:pP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5D7798F5" w14:textId="77777777" w:rsidR="00D87792" w:rsidRPr="00D87792" w:rsidRDefault="00D87792" w:rsidP="00D87792">
            <w:pPr>
              <w:spacing w:after="0"/>
              <w:jc w:val="right"/>
              <w:rPr>
                <w:rFonts w:cs="Calibri"/>
                <w:b/>
                <w:bCs/>
                <w:szCs w:val="26"/>
                <w:lang w:eastAsia="en-IE"/>
              </w:rPr>
            </w:pPr>
            <w:r w:rsidRPr="00D87792">
              <w:rPr>
                <w:rFonts w:cs="Calibri"/>
                <w:b/>
                <w:bCs/>
                <w:szCs w:val="26"/>
                <w:lang w:eastAsia="en-IE"/>
              </w:rPr>
              <w:t>2019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5033C82B" w14:textId="77777777" w:rsidR="00D87792" w:rsidRPr="00D87792" w:rsidRDefault="00D87792" w:rsidP="00D87792">
            <w:pPr>
              <w:spacing w:after="0"/>
              <w:jc w:val="right"/>
              <w:rPr>
                <w:rFonts w:cs="Calibri"/>
                <w:b/>
                <w:bCs/>
                <w:szCs w:val="26"/>
                <w:lang w:eastAsia="en-IE"/>
              </w:rPr>
            </w:pPr>
            <w:r w:rsidRPr="00D87792">
              <w:rPr>
                <w:rFonts w:cs="Calibri"/>
                <w:b/>
                <w:bCs/>
                <w:szCs w:val="26"/>
                <w:lang w:eastAsia="en-IE"/>
              </w:rPr>
              <w:t>2020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6D92F94D" w14:textId="77777777" w:rsidR="00D87792" w:rsidRPr="00D87792" w:rsidRDefault="00D87792" w:rsidP="00D87792">
            <w:pPr>
              <w:spacing w:after="0"/>
              <w:jc w:val="right"/>
              <w:rPr>
                <w:rFonts w:cs="Calibri"/>
                <w:b/>
                <w:bCs/>
                <w:szCs w:val="26"/>
                <w:lang w:eastAsia="en-IE"/>
              </w:rPr>
            </w:pPr>
            <w:r w:rsidRPr="00D87792">
              <w:rPr>
                <w:rFonts w:cs="Calibri"/>
                <w:b/>
                <w:bCs/>
                <w:szCs w:val="26"/>
                <w:lang w:eastAsia="en-IE"/>
              </w:rPr>
              <w:t>2021</w:t>
            </w:r>
          </w:p>
        </w:tc>
      </w:tr>
      <w:tr w:rsidR="00D87792" w:rsidRPr="00D87792" w14:paraId="49A01AC3" w14:textId="77777777" w:rsidTr="00785F52">
        <w:trPr>
          <w:trHeight w:val="345"/>
        </w:trPr>
        <w:tc>
          <w:tcPr>
            <w:tcW w:w="4660"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14:paraId="687215FE" w14:textId="77777777" w:rsidR="00D87792" w:rsidRPr="00D87792" w:rsidRDefault="00D87792" w:rsidP="00D87792">
            <w:pPr>
              <w:spacing w:after="0"/>
              <w:rPr>
                <w:rFonts w:cs="Calibri"/>
                <w:b/>
                <w:bCs/>
                <w:szCs w:val="26"/>
                <w:lang w:eastAsia="en-IE"/>
              </w:rPr>
            </w:pPr>
            <w:r w:rsidRPr="00D87792">
              <w:rPr>
                <w:rFonts w:cs="Calibri"/>
                <w:b/>
                <w:bCs/>
                <w:szCs w:val="26"/>
                <w:lang w:eastAsia="en-IE"/>
              </w:rPr>
              <w:t>Ireland</w:t>
            </w:r>
          </w:p>
        </w:tc>
        <w:tc>
          <w:tcPr>
            <w:tcW w:w="960" w:type="dxa"/>
            <w:tcBorders>
              <w:top w:val="nil"/>
              <w:left w:val="nil"/>
              <w:bottom w:val="single" w:sz="4" w:space="0" w:color="auto"/>
              <w:right w:val="single" w:sz="4" w:space="0" w:color="auto"/>
            </w:tcBorders>
            <w:shd w:val="clear" w:color="auto" w:fill="C5E0B3" w:themeFill="accent6" w:themeFillTint="66"/>
            <w:noWrap/>
            <w:vAlign w:val="center"/>
            <w:hideMark/>
          </w:tcPr>
          <w:p w14:paraId="7BC29CB8" w14:textId="77777777" w:rsidR="00D87792" w:rsidRPr="00D87792" w:rsidRDefault="00D87792" w:rsidP="00D87792">
            <w:pPr>
              <w:spacing w:after="0"/>
              <w:jc w:val="right"/>
              <w:rPr>
                <w:rFonts w:cs="Calibri"/>
                <w:szCs w:val="26"/>
                <w:lang w:eastAsia="en-IE"/>
              </w:rPr>
            </w:pPr>
            <w:r w:rsidRPr="00D87792">
              <w:rPr>
                <w:rFonts w:cs="Calibri"/>
                <w:szCs w:val="26"/>
                <w:lang w:eastAsia="en-IE"/>
              </w:rPr>
              <w:t>44.0</w:t>
            </w:r>
          </w:p>
        </w:tc>
        <w:tc>
          <w:tcPr>
            <w:tcW w:w="960" w:type="dxa"/>
            <w:tcBorders>
              <w:top w:val="nil"/>
              <w:left w:val="nil"/>
              <w:bottom w:val="single" w:sz="4" w:space="0" w:color="auto"/>
              <w:right w:val="single" w:sz="4" w:space="0" w:color="auto"/>
            </w:tcBorders>
            <w:shd w:val="clear" w:color="auto" w:fill="C5E0B3" w:themeFill="accent6" w:themeFillTint="66"/>
            <w:noWrap/>
            <w:vAlign w:val="center"/>
            <w:hideMark/>
          </w:tcPr>
          <w:p w14:paraId="74032AD0" w14:textId="77777777" w:rsidR="00D87792" w:rsidRPr="00D87792" w:rsidRDefault="00D87792" w:rsidP="00D87792">
            <w:pPr>
              <w:spacing w:after="0"/>
              <w:jc w:val="right"/>
              <w:rPr>
                <w:rFonts w:cs="Calibri"/>
                <w:szCs w:val="26"/>
                <w:lang w:eastAsia="en-IE"/>
              </w:rPr>
            </w:pPr>
            <w:r w:rsidRPr="00D87792">
              <w:rPr>
                <w:rFonts w:cs="Calibri"/>
                <w:szCs w:val="26"/>
                <w:lang w:eastAsia="en-IE"/>
              </w:rPr>
              <w:t>38.8</w:t>
            </w:r>
          </w:p>
        </w:tc>
        <w:tc>
          <w:tcPr>
            <w:tcW w:w="960" w:type="dxa"/>
            <w:tcBorders>
              <w:top w:val="nil"/>
              <w:left w:val="nil"/>
              <w:bottom w:val="single" w:sz="4" w:space="0" w:color="auto"/>
              <w:right w:val="single" w:sz="4" w:space="0" w:color="auto"/>
            </w:tcBorders>
            <w:shd w:val="clear" w:color="auto" w:fill="C5E0B3" w:themeFill="accent6" w:themeFillTint="66"/>
            <w:noWrap/>
            <w:vAlign w:val="center"/>
            <w:hideMark/>
          </w:tcPr>
          <w:p w14:paraId="388E6406" w14:textId="77777777" w:rsidR="00D87792" w:rsidRPr="00D87792" w:rsidRDefault="00D87792" w:rsidP="00D87792">
            <w:pPr>
              <w:spacing w:after="0"/>
              <w:jc w:val="right"/>
              <w:rPr>
                <w:rFonts w:cs="Calibri"/>
                <w:szCs w:val="26"/>
                <w:lang w:eastAsia="en-IE"/>
              </w:rPr>
            </w:pPr>
            <w:r w:rsidRPr="00D87792">
              <w:rPr>
                <w:rFonts w:cs="Calibri"/>
                <w:szCs w:val="26"/>
                <w:lang w:eastAsia="en-IE"/>
              </w:rPr>
              <w:t>41.3</w:t>
            </w:r>
          </w:p>
        </w:tc>
      </w:tr>
      <w:tr w:rsidR="00D87792" w:rsidRPr="00D87792" w14:paraId="699BAF36" w14:textId="77777777" w:rsidTr="00785F52">
        <w:trPr>
          <w:trHeight w:val="345"/>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14:paraId="1E2F89DA" w14:textId="77777777" w:rsidR="00D87792" w:rsidRPr="00D87792" w:rsidRDefault="00D87792" w:rsidP="00D87792">
            <w:pPr>
              <w:spacing w:after="0"/>
              <w:rPr>
                <w:rFonts w:cs="Calibri"/>
                <w:b/>
                <w:bCs/>
                <w:szCs w:val="26"/>
                <w:lang w:eastAsia="en-IE"/>
              </w:rPr>
            </w:pPr>
            <w:r w:rsidRPr="00D87792">
              <w:rPr>
                <w:rFonts w:cs="Calibri"/>
                <w:b/>
                <w:bCs/>
                <w:szCs w:val="26"/>
                <w:lang w:eastAsia="en-IE"/>
              </w:rPr>
              <w:t>Belgium</w:t>
            </w:r>
          </w:p>
        </w:tc>
        <w:tc>
          <w:tcPr>
            <w:tcW w:w="960" w:type="dxa"/>
            <w:tcBorders>
              <w:top w:val="nil"/>
              <w:left w:val="nil"/>
              <w:bottom w:val="single" w:sz="4" w:space="0" w:color="auto"/>
              <w:right w:val="single" w:sz="4" w:space="0" w:color="auto"/>
            </w:tcBorders>
            <w:shd w:val="clear" w:color="000000" w:fill="FFFFFF"/>
            <w:noWrap/>
            <w:vAlign w:val="center"/>
            <w:hideMark/>
          </w:tcPr>
          <w:p w14:paraId="20C82FF6" w14:textId="77777777" w:rsidR="00D87792" w:rsidRPr="00D87792" w:rsidRDefault="00D87792" w:rsidP="00D87792">
            <w:pPr>
              <w:spacing w:after="0"/>
              <w:jc w:val="right"/>
              <w:rPr>
                <w:rFonts w:cs="Calibri"/>
                <w:szCs w:val="26"/>
                <w:lang w:eastAsia="en-IE"/>
              </w:rPr>
            </w:pPr>
            <w:r w:rsidRPr="00D87792">
              <w:rPr>
                <w:rFonts w:cs="Calibri"/>
                <w:szCs w:val="26"/>
                <w:lang w:eastAsia="en-IE"/>
              </w:rPr>
              <w:t>33.1</w:t>
            </w:r>
          </w:p>
        </w:tc>
        <w:tc>
          <w:tcPr>
            <w:tcW w:w="960" w:type="dxa"/>
            <w:tcBorders>
              <w:top w:val="nil"/>
              <w:left w:val="nil"/>
              <w:bottom w:val="single" w:sz="4" w:space="0" w:color="auto"/>
              <w:right w:val="single" w:sz="4" w:space="0" w:color="auto"/>
            </w:tcBorders>
            <w:shd w:val="clear" w:color="000000" w:fill="FFFFFF"/>
            <w:noWrap/>
            <w:vAlign w:val="center"/>
            <w:hideMark/>
          </w:tcPr>
          <w:p w14:paraId="3AE4B9F3" w14:textId="77777777" w:rsidR="00D87792" w:rsidRPr="00D87792" w:rsidRDefault="00D87792" w:rsidP="00D87792">
            <w:pPr>
              <w:spacing w:after="0"/>
              <w:jc w:val="right"/>
              <w:rPr>
                <w:rFonts w:cs="Calibri"/>
                <w:szCs w:val="26"/>
                <w:lang w:eastAsia="en-IE"/>
              </w:rPr>
            </w:pPr>
            <w:r w:rsidRPr="00D87792">
              <w:rPr>
                <w:rFonts w:cs="Calibri"/>
                <w:szCs w:val="26"/>
                <w:lang w:eastAsia="en-IE"/>
              </w:rPr>
              <w:t>36.3</w:t>
            </w:r>
          </w:p>
        </w:tc>
        <w:tc>
          <w:tcPr>
            <w:tcW w:w="960" w:type="dxa"/>
            <w:tcBorders>
              <w:top w:val="nil"/>
              <w:left w:val="nil"/>
              <w:bottom w:val="single" w:sz="4" w:space="0" w:color="auto"/>
              <w:right w:val="single" w:sz="4" w:space="0" w:color="auto"/>
            </w:tcBorders>
            <w:shd w:val="clear" w:color="000000" w:fill="FFFFFF"/>
            <w:noWrap/>
            <w:vAlign w:val="center"/>
            <w:hideMark/>
          </w:tcPr>
          <w:p w14:paraId="73BE60FD" w14:textId="77777777" w:rsidR="00D87792" w:rsidRPr="00D87792" w:rsidRDefault="00D87792" w:rsidP="00D87792">
            <w:pPr>
              <w:spacing w:after="0"/>
              <w:jc w:val="right"/>
              <w:rPr>
                <w:rFonts w:cs="Calibri"/>
                <w:szCs w:val="26"/>
                <w:lang w:eastAsia="en-IE"/>
              </w:rPr>
            </w:pPr>
            <w:r w:rsidRPr="00D87792">
              <w:rPr>
                <w:rFonts w:cs="Calibri"/>
                <w:szCs w:val="26"/>
                <w:lang w:eastAsia="en-IE"/>
              </w:rPr>
              <w:t>38.0</w:t>
            </w:r>
          </w:p>
        </w:tc>
      </w:tr>
      <w:tr w:rsidR="00D87792" w:rsidRPr="00D87792" w14:paraId="40546A63" w14:textId="77777777" w:rsidTr="00785F52">
        <w:trPr>
          <w:trHeight w:val="345"/>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14:paraId="149D9AA3" w14:textId="77777777" w:rsidR="00D87792" w:rsidRPr="00D87792" w:rsidRDefault="00D87792" w:rsidP="00D87792">
            <w:pPr>
              <w:spacing w:after="0"/>
              <w:rPr>
                <w:rFonts w:cs="Calibri"/>
                <w:b/>
                <w:bCs/>
                <w:szCs w:val="26"/>
                <w:lang w:eastAsia="en-IE"/>
              </w:rPr>
            </w:pPr>
            <w:r w:rsidRPr="00D87792">
              <w:rPr>
                <w:rFonts w:cs="Calibri"/>
                <w:b/>
                <w:bCs/>
                <w:szCs w:val="26"/>
                <w:lang w:eastAsia="en-IE"/>
              </w:rPr>
              <w:t>Norway</w:t>
            </w:r>
          </w:p>
        </w:tc>
        <w:tc>
          <w:tcPr>
            <w:tcW w:w="960" w:type="dxa"/>
            <w:tcBorders>
              <w:top w:val="nil"/>
              <w:left w:val="nil"/>
              <w:bottom w:val="single" w:sz="4" w:space="0" w:color="auto"/>
              <w:right w:val="single" w:sz="4" w:space="0" w:color="auto"/>
            </w:tcBorders>
            <w:shd w:val="clear" w:color="000000" w:fill="FFFFFF"/>
            <w:noWrap/>
            <w:vAlign w:val="center"/>
            <w:hideMark/>
          </w:tcPr>
          <w:p w14:paraId="7D4227E4" w14:textId="77777777" w:rsidR="00D87792" w:rsidRPr="00D87792" w:rsidRDefault="00D87792" w:rsidP="00D87792">
            <w:pPr>
              <w:spacing w:after="0"/>
              <w:jc w:val="right"/>
              <w:rPr>
                <w:rFonts w:cs="Calibri"/>
                <w:szCs w:val="26"/>
                <w:lang w:eastAsia="en-IE"/>
              </w:rPr>
            </w:pPr>
            <w:r w:rsidRPr="00D87792">
              <w:rPr>
                <w:rFonts w:cs="Calibri"/>
                <w:szCs w:val="26"/>
                <w:lang w:eastAsia="en-IE"/>
              </w:rPr>
              <w:t>32.6</w:t>
            </w:r>
          </w:p>
        </w:tc>
        <w:tc>
          <w:tcPr>
            <w:tcW w:w="960" w:type="dxa"/>
            <w:tcBorders>
              <w:top w:val="nil"/>
              <w:left w:val="nil"/>
              <w:bottom w:val="single" w:sz="4" w:space="0" w:color="auto"/>
              <w:right w:val="single" w:sz="4" w:space="0" w:color="auto"/>
            </w:tcBorders>
            <w:shd w:val="clear" w:color="000000" w:fill="FFFFFF"/>
            <w:noWrap/>
            <w:vAlign w:val="center"/>
            <w:hideMark/>
          </w:tcPr>
          <w:p w14:paraId="6E015D5F" w14:textId="77777777" w:rsidR="00D87792" w:rsidRPr="00D87792" w:rsidRDefault="00D87792" w:rsidP="00D87792">
            <w:pPr>
              <w:spacing w:after="0"/>
              <w:jc w:val="right"/>
              <w:rPr>
                <w:rFonts w:cs="Calibri"/>
                <w:szCs w:val="26"/>
                <w:lang w:eastAsia="en-IE"/>
              </w:rPr>
            </w:pPr>
            <w:r w:rsidRPr="00D87792">
              <w:rPr>
                <w:rFonts w:cs="Calibri"/>
                <w:szCs w:val="26"/>
                <w:lang w:eastAsia="en-IE"/>
              </w:rPr>
              <w:t>34.5</w:t>
            </w:r>
          </w:p>
        </w:tc>
        <w:tc>
          <w:tcPr>
            <w:tcW w:w="960" w:type="dxa"/>
            <w:tcBorders>
              <w:top w:val="nil"/>
              <w:left w:val="nil"/>
              <w:bottom w:val="single" w:sz="4" w:space="0" w:color="auto"/>
              <w:right w:val="single" w:sz="4" w:space="0" w:color="auto"/>
            </w:tcBorders>
            <w:shd w:val="clear" w:color="000000" w:fill="FFFFFF"/>
            <w:noWrap/>
            <w:vAlign w:val="center"/>
            <w:hideMark/>
          </w:tcPr>
          <w:p w14:paraId="4567F5FB" w14:textId="77777777" w:rsidR="00D87792" w:rsidRPr="00D87792" w:rsidRDefault="00D87792" w:rsidP="00D87792">
            <w:pPr>
              <w:spacing w:after="0"/>
              <w:jc w:val="right"/>
              <w:rPr>
                <w:rFonts w:cs="Calibri"/>
                <w:szCs w:val="26"/>
                <w:lang w:eastAsia="en-IE"/>
              </w:rPr>
            </w:pPr>
          </w:p>
        </w:tc>
      </w:tr>
      <w:tr w:rsidR="00D87792" w:rsidRPr="00D87792" w14:paraId="16CE95C0" w14:textId="77777777" w:rsidTr="00785F52">
        <w:trPr>
          <w:trHeight w:val="345"/>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14:paraId="01822765" w14:textId="77777777" w:rsidR="00D87792" w:rsidRPr="00D87792" w:rsidRDefault="00D87792" w:rsidP="00D87792">
            <w:pPr>
              <w:spacing w:after="0"/>
              <w:rPr>
                <w:rFonts w:cs="Calibri"/>
                <w:b/>
                <w:bCs/>
                <w:szCs w:val="26"/>
                <w:lang w:eastAsia="en-IE"/>
              </w:rPr>
            </w:pPr>
            <w:r w:rsidRPr="00D87792">
              <w:rPr>
                <w:rFonts w:cs="Calibri"/>
                <w:b/>
                <w:bCs/>
                <w:szCs w:val="26"/>
                <w:lang w:eastAsia="en-IE"/>
              </w:rPr>
              <w:t>Poland</w:t>
            </w:r>
          </w:p>
        </w:tc>
        <w:tc>
          <w:tcPr>
            <w:tcW w:w="960" w:type="dxa"/>
            <w:tcBorders>
              <w:top w:val="nil"/>
              <w:left w:val="nil"/>
              <w:bottom w:val="single" w:sz="4" w:space="0" w:color="auto"/>
              <w:right w:val="single" w:sz="4" w:space="0" w:color="auto"/>
            </w:tcBorders>
            <w:shd w:val="clear" w:color="000000" w:fill="FFFFFF"/>
            <w:noWrap/>
            <w:vAlign w:val="center"/>
            <w:hideMark/>
          </w:tcPr>
          <w:p w14:paraId="792DEF7B" w14:textId="77777777" w:rsidR="00D87792" w:rsidRPr="00D87792" w:rsidRDefault="00D87792" w:rsidP="00D87792">
            <w:pPr>
              <w:spacing w:after="0"/>
              <w:jc w:val="right"/>
              <w:rPr>
                <w:rFonts w:cs="Calibri"/>
                <w:szCs w:val="26"/>
                <w:lang w:eastAsia="en-IE"/>
              </w:rPr>
            </w:pPr>
            <w:r w:rsidRPr="00D87792">
              <w:rPr>
                <w:rFonts w:cs="Calibri"/>
                <w:szCs w:val="26"/>
                <w:lang w:eastAsia="en-IE"/>
              </w:rPr>
              <w:t>33.4</w:t>
            </w:r>
          </w:p>
        </w:tc>
        <w:tc>
          <w:tcPr>
            <w:tcW w:w="960" w:type="dxa"/>
            <w:tcBorders>
              <w:top w:val="nil"/>
              <w:left w:val="nil"/>
              <w:bottom w:val="single" w:sz="4" w:space="0" w:color="auto"/>
              <w:right w:val="single" w:sz="4" w:space="0" w:color="auto"/>
            </w:tcBorders>
            <w:shd w:val="clear" w:color="000000" w:fill="FFFFFF"/>
            <w:noWrap/>
            <w:vAlign w:val="center"/>
            <w:hideMark/>
          </w:tcPr>
          <w:p w14:paraId="72493ED0" w14:textId="77777777" w:rsidR="00D87792" w:rsidRPr="00D87792" w:rsidRDefault="00D87792" w:rsidP="00D87792">
            <w:pPr>
              <w:spacing w:after="0"/>
              <w:jc w:val="right"/>
              <w:rPr>
                <w:rFonts w:cs="Calibri"/>
                <w:szCs w:val="26"/>
                <w:lang w:eastAsia="en-IE"/>
              </w:rPr>
            </w:pPr>
            <w:r w:rsidRPr="00D87792">
              <w:rPr>
                <w:rFonts w:cs="Calibri"/>
                <w:szCs w:val="26"/>
                <w:lang w:eastAsia="en-IE"/>
              </w:rPr>
              <w:t>31.3</w:t>
            </w:r>
          </w:p>
        </w:tc>
        <w:tc>
          <w:tcPr>
            <w:tcW w:w="960" w:type="dxa"/>
            <w:tcBorders>
              <w:top w:val="nil"/>
              <w:left w:val="nil"/>
              <w:bottom w:val="single" w:sz="4" w:space="0" w:color="auto"/>
              <w:right w:val="single" w:sz="4" w:space="0" w:color="auto"/>
            </w:tcBorders>
            <w:shd w:val="clear" w:color="000000" w:fill="FFFFFF"/>
            <w:noWrap/>
            <w:vAlign w:val="center"/>
            <w:hideMark/>
          </w:tcPr>
          <w:p w14:paraId="7EFBA3F9" w14:textId="77777777" w:rsidR="00D87792" w:rsidRPr="00D87792" w:rsidRDefault="00D87792" w:rsidP="00D87792">
            <w:pPr>
              <w:spacing w:after="0"/>
              <w:jc w:val="right"/>
              <w:rPr>
                <w:rFonts w:cs="Calibri"/>
                <w:szCs w:val="26"/>
                <w:lang w:eastAsia="en-IE"/>
              </w:rPr>
            </w:pPr>
            <w:r w:rsidRPr="00D87792">
              <w:rPr>
                <w:rFonts w:cs="Calibri"/>
                <w:szCs w:val="26"/>
                <w:lang w:eastAsia="en-IE"/>
              </w:rPr>
              <w:t>34.2</w:t>
            </w:r>
          </w:p>
        </w:tc>
      </w:tr>
      <w:tr w:rsidR="00D87792" w:rsidRPr="00D87792" w14:paraId="75C7A23D" w14:textId="77777777" w:rsidTr="00785F52">
        <w:trPr>
          <w:trHeight w:val="345"/>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14:paraId="0E5397D5" w14:textId="77777777" w:rsidR="00D87792" w:rsidRPr="00D87792" w:rsidRDefault="00D87792" w:rsidP="00D87792">
            <w:pPr>
              <w:spacing w:after="0"/>
              <w:rPr>
                <w:rFonts w:cs="Calibri"/>
                <w:b/>
                <w:bCs/>
                <w:szCs w:val="26"/>
                <w:lang w:eastAsia="en-IE"/>
              </w:rPr>
            </w:pPr>
            <w:r w:rsidRPr="00D87792">
              <w:rPr>
                <w:rFonts w:cs="Calibri"/>
                <w:b/>
                <w:bCs/>
                <w:szCs w:val="26"/>
                <w:lang w:eastAsia="en-IE"/>
              </w:rPr>
              <w:t>Romania</w:t>
            </w:r>
          </w:p>
        </w:tc>
        <w:tc>
          <w:tcPr>
            <w:tcW w:w="960" w:type="dxa"/>
            <w:tcBorders>
              <w:top w:val="nil"/>
              <w:left w:val="nil"/>
              <w:bottom w:val="single" w:sz="4" w:space="0" w:color="auto"/>
              <w:right w:val="single" w:sz="4" w:space="0" w:color="auto"/>
            </w:tcBorders>
            <w:shd w:val="clear" w:color="000000" w:fill="FFFFFF"/>
            <w:noWrap/>
            <w:vAlign w:val="center"/>
            <w:hideMark/>
          </w:tcPr>
          <w:p w14:paraId="37F478E2" w14:textId="77777777" w:rsidR="00D87792" w:rsidRPr="00D87792" w:rsidRDefault="00D87792" w:rsidP="00D87792">
            <w:pPr>
              <w:spacing w:after="0"/>
              <w:jc w:val="right"/>
              <w:rPr>
                <w:rFonts w:cs="Calibri"/>
                <w:szCs w:val="26"/>
                <w:lang w:eastAsia="en-IE"/>
              </w:rPr>
            </w:pPr>
            <w:r w:rsidRPr="00D87792">
              <w:rPr>
                <w:rFonts w:cs="Calibri"/>
                <w:szCs w:val="26"/>
                <w:lang w:eastAsia="en-IE"/>
              </w:rPr>
              <w:t>29.2</w:t>
            </w:r>
          </w:p>
        </w:tc>
        <w:tc>
          <w:tcPr>
            <w:tcW w:w="960" w:type="dxa"/>
            <w:tcBorders>
              <w:top w:val="nil"/>
              <w:left w:val="nil"/>
              <w:bottom w:val="single" w:sz="4" w:space="0" w:color="auto"/>
              <w:right w:val="single" w:sz="4" w:space="0" w:color="auto"/>
            </w:tcBorders>
            <w:shd w:val="clear" w:color="000000" w:fill="FFFFFF"/>
            <w:noWrap/>
            <w:vAlign w:val="center"/>
            <w:hideMark/>
          </w:tcPr>
          <w:p w14:paraId="38CE39EA" w14:textId="77777777" w:rsidR="00D87792" w:rsidRPr="00D87792" w:rsidRDefault="00D87792" w:rsidP="00D87792">
            <w:pPr>
              <w:spacing w:after="0"/>
              <w:jc w:val="right"/>
              <w:rPr>
                <w:rFonts w:cs="Calibri"/>
                <w:szCs w:val="26"/>
                <w:lang w:eastAsia="en-IE"/>
              </w:rPr>
            </w:pPr>
            <w:r w:rsidRPr="00D87792">
              <w:rPr>
                <w:rFonts w:cs="Calibri"/>
                <w:szCs w:val="26"/>
                <w:lang w:eastAsia="en-IE"/>
              </w:rPr>
              <w:t>30.4</w:t>
            </w:r>
          </w:p>
        </w:tc>
        <w:tc>
          <w:tcPr>
            <w:tcW w:w="960" w:type="dxa"/>
            <w:tcBorders>
              <w:top w:val="nil"/>
              <w:left w:val="nil"/>
              <w:bottom w:val="single" w:sz="4" w:space="0" w:color="auto"/>
              <w:right w:val="single" w:sz="4" w:space="0" w:color="auto"/>
            </w:tcBorders>
            <w:shd w:val="clear" w:color="000000" w:fill="FFFFFF"/>
            <w:noWrap/>
            <w:vAlign w:val="center"/>
            <w:hideMark/>
          </w:tcPr>
          <w:p w14:paraId="5A90883E" w14:textId="77777777" w:rsidR="00D87792" w:rsidRPr="00D87792" w:rsidRDefault="00D87792" w:rsidP="00D87792">
            <w:pPr>
              <w:spacing w:after="0"/>
              <w:jc w:val="right"/>
              <w:rPr>
                <w:rFonts w:cs="Calibri"/>
                <w:szCs w:val="26"/>
                <w:lang w:eastAsia="en-IE"/>
              </w:rPr>
            </w:pPr>
            <w:r w:rsidRPr="00D87792">
              <w:rPr>
                <w:rFonts w:cs="Calibri"/>
                <w:szCs w:val="26"/>
                <w:lang w:eastAsia="en-IE"/>
              </w:rPr>
              <w:t>32.6</w:t>
            </w:r>
          </w:p>
        </w:tc>
      </w:tr>
      <w:tr w:rsidR="00D87792" w:rsidRPr="00D87792" w14:paraId="11A5E3EF" w14:textId="77777777" w:rsidTr="00785F52">
        <w:trPr>
          <w:trHeight w:val="345"/>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14:paraId="06A7F7B3" w14:textId="77777777" w:rsidR="00D87792" w:rsidRPr="00D87792" w:rsidRDefault="00D87792" w:rsidP="00D87792">
            <w:pPr>
              <w:spacing w:after="0"/>
              <w:rPr>
                <w:rFonts w:cs="Calibri"/>
                <w:b/>
                <w:bCs/>
                <w:szCs w:val="26"/>
                <w:lang w:eastAsia="en-IE"/>
              </w:rPr>
            </w:pPr>
            <w:r w:rsidRPr="00D87792">
              <w:rPr>
                <w:rFonts w:cs="Calibri"/>
                <w:b/>
                <w:bCs/>
                <w:szCs w:val="26"/>
                <w:lang w:eastAsia="en-IE"/>
              </w:rPr>
              <w:t xml:space="preserve">Germany </w:t>
            </w:r>
          </w:p>
        </w:tc>
        <w:tc>
          <w:tcPr>
            <w:tcW w:w="960" w:type="dxa"/>
            <w:tcBorders>
              <w:top w:val="nil"/>
              <w:left w:val="nil"/>
              <w:bottom w:val="single" w:sz="4" w:space="0" w:color="auto"/>
              <w:right w:val="single" w:sz="4" w:space="0" w:color="auto"/>
            </w:tcBorders>
            <w:shd w:val="clear" w:color="000000" w:fill="FFFFFF"/>
            <w:noWrap/>
            <w:vAlign w:val="center"/>
            <w:hideMark/>
          </w:tcPr>
          <w:p w14:paraId="74D6331D" w14:textId="77777777" w:rsidR="00D87792" w:rsidRPr="00D87792" w:rsidRDefault="00D87792" w:rsidP="00D87792">
            <w:pPr>
              <w:spacing w:after="0"/>
              <w:jc w:val="right"/>
              <w:rPr>
                <w:rFonts w:cs="Calibri"/>
                <w:szCs w:val="26"/>
                <w:lang w:eastAsia="en-IE"/>
              </w:rPr>
            </w:pPr>
            <w:r w:rsidRPr="00D87792">
              <w:rPr>
                <w:rFonts w:cs="Calibri"/>
                <w:szCs w:val="26"/>
                <w:lang w:eastAsia="en-IE"/>
              </w:rPr>
              <w:t>26.5</w:t>
            </w:r>
          </w:p>
        </w:tc>
        <w:tc>
          <w:tcPr>
            <w:tcW w:w="960" w:type="dxa"/>
            <w:tcBorders>
              <w:top w:val="nil"/>
              <w:left w:val="nil"/>
              <w:bottom w:val="single" w:sz="4" w:space="0" w:color="auto"/>
              <w:right w:val="single" w:sz="4" w:space="0" w:color="auto"/>
            </w:tcBorders>
            <w:shd w:val="clear" w:color="000000" w:fill="FFFFFF"/>
            <w:noWrap/>
            <w:vAlign w:val="center"/>
            <w:hideMark/>
          </w:tcPr>
          <w:p w14:paraId="5873DC5D" w14:textId="77777777" w:rsidR="00D87792" w:rsidRPr="00D87792" w:rsidRDefault="00D87792" w:rsidP="00D87792">
            <w:pPr>
              <w:spacing w:after="0"/>
              <w:jc w:val="right"/>
              <w:rPr>
                <w:rFonts w:cs="Calibri"/>
                <w:szCs w:val="26"/>
                <w:lang w:eastAsia="en-IE"/>
              </w:rPr>
            </w:pPr>
            <w:r w:rsidRPr="00D87792">
              <w:rPr>
                <w:rFonts w:cs="Calibri"/>
                <w:szCs w:val="26"/>
                <w:lang w:eastAsia="en-IE"/>
              </w:rPr>
              <w:t>32.4</w:t>
            </w:r>
          </w:p>
        </w:tc>
        <w:tc>
          <w:tcPr>
            <w:tcW w:w="960" w:type="dxa"/>
            <w:tcBorders>
              <w:top w:val="nil"/>
              <w:left w:val="nil"/>
              <w:bottom w:val="single" w:sz="4" w:space="0" w:color="auto"/>
              <w:right w:val="single" w:sz="4" w:space="0" w:color="auto"/>
            </w:tcBorders>
            <w:shd w:val="clear" w:color="000000" w:fill="FFFFFF"/>
            <w:noWrap/>
            <w:vAlign w:val="center"/>
            <w:hideMark/>
          </w:tcPr>
          <w:p w14:paraId="6FD9CD4D" w14:textId="77777777" w:rsidR="00D87792" w:rsidRPr="00D87792" w:rsidRDefault="00D87792" w:rsidP="00D87792">
            <w:pPr>
              <w:spacing w:after="0"/>
              <w:jc w:val="right"/>
              <w:rPr>
                <w:rFonts w:cs="Calibri"/>
                <w:szCs w:val="26"/>
                <w:lang w:eastAsia="en-IE"/>
              </w:rPr>
            </w:pPr>
            <w:r w:rsidRPr="00D87792">
              <w:rPr>
                <w:rFonts w:cs="Calibri"/>
                <w:szCs w:val="26"/>
                <w:lang w:eastAsia="en-IE"/>
              </w:rPr>
              <w:t>30.3</w:t>
            </w:r>
          </w:p>
        </w:tc>
      </w:tr>
      <w:tr w:rsidR="00D87792" w:rsidRPr="00D87792" w14:paraId="52A6A46B" w14:textId="77777777" w:rsidTr="00785F52">
        <w:trPr>
          <w:trHeight w:val="345"/>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14:paraId="2425FD1A" w14:textId="77777777" w:rsidR="00D87792" w:rsidRPr="00D87792" w:rsidRDefault="00D87792" w:rsidP="00D87792">
            <w:pPr>
              <w:spacing w:after="0"/>
              <w:rPr>
                <w:rFonts w:cs="Calibri"/>
                <w:b/>
                <w:bCs/>
                <w:szCs w:val="26"/>
                <w:lang w:eastAsia="en-IE"/>
              </w:rPr>
            </w:pPr>
            <w:r w:rsidRPr="00D87792">
              <w:rPr>
                <w:rFonts w:cs="Calibri"/>
                <w:b/>
                <w:bCs/>
                <w:szCs w:val="26"/>
                <w:lang w:eastAsia="en-IE"/>
              </w:rPr>
              <w:t>Hungary</w:t>
            </w:r>
          </w:p>
        </w:tc>
        <w:tc>
          <w:tcPr>
            <w:tcW w:w="960" w:type="dxa"/>
            <w:tcBorders>
              <w:top w:val="nil"/>
              <w:left w:val="nil"/>
              <w:bottom w:val="single" w:sz="4" w:space="0" w:color="auto"/>
              <w:right w:val="single" w:sz="4" w:space="0" w:color="auto"/>
            </w:tcBorders>
            <w:shd w:val="clear" w:color="000000" w:fill="FFFFFF"/>
            <w:noWrap/>
            <w:vAlign w:val="center"/>
            <w:hideMark/>
          </w:tcPr>
          <w:p w14:paraId="606B878A" w14:textId="77777777" w:rsidR="00D87792" w:rsidRPr="00D87792" w:rsidRDefault="00D87792" w:rsidP="00D87792">
            <w:pPr>
              <w:spacing w:after="0"/>
              <w:jc w:val="right"/>
              <w:rPr>
                <w:rFonts w:cs="Calibri"/>
                <w:szCs w:val="26"/>
                <w:lang w:eastAsia="en-IE"/>
              </w:rPr>
            </w:pPr>
            <w:r w:rsidRPr="00D87792">
              <w:rPr>
                <w:rFonts w:cs="Calibri"/>
                <w:szCs w:val="26"/>
                <w:lang w:eastAsia="en-IE"/>
              </w:rPr>
              <w:t>28.6</w:t>
            </w:r>
          </w:p>
        </w:tc>
        <w:tc>
          <w:tcPr>
            <w:tcW w:w="960" w:type="dxa"/>
            <w:tcBorders>
              <w:top w:val="nil"/>
              <w:left w:val="nil"/>
              <w:bottom w:val="single" w:sz="4" w:space="0" w:color="auto"/>
              <w:right w:val="single" w:sz="4" w:space="0" w:color="auto"/>
            </w:tcBorders>
            <w:shd w:val="clear" w:color="000000" w:fill="FFFFFF"/>
            <w:noWrap/>
            <w:vAlign w:val="center"/>
            <w:hideMark/>
          </w:tcPr>
          <w:p w14:paraId="183BA2B6" w14:textId="77777777" w:rsidR="00D87792" w:rsidRPr="00D87792" w:rsidRDefault="00D87792" w:rsidP="00D87792">
            <w:pPr>
              <w:spacing w:after="0"/>
              <w:jc w:val="right"/>
              <w:rPr>
                <w:rFonts w:cs="Calibri"/>
                <w:szCs w:val="26"/>
                <w:lang w:eastAsia="en-IE"/>
              </w:rPr>
            </w:pPr>
            <w:r w:rsidRPr="00D87792">
              <w:rPr>
                <w:rFonts w:cs="Calibri"/>
                <w:szCs w:val="26"/>
                <w:lang w:eastAsia="en-IE"/>
              </w:rPr>
              <w:t>31.2</w:t>
            </w:r>
          </w:p>
        </w:tc>
        <w:tc>
          <w:tcPr>
            <w:tcW w:w="960" w:type="dxa"/>
            <w:tcBorders>
              <w:top w:val="nil"/>
              <w:left w:val="nil"/>
              <w:bottom w:val="single" w:sz="4" w:space="0" w:color="auto"/>
              <w:right w:val="single" w:sz="4" w:space="0" w:color="auto"/>
            </w:tcBorders>
            <w:shd w:val="clear" w:color="000000" w:fill="FFFFFF"/>
            <w:noWrap/>
            <w:vAlign w:val="center"/>
            <w:hideMark/>
          </w:tcPr>
          <w:p w14:paraId="42DDD0F8" w14:textId="77777777" w:rsidR="00D87792" w:rsidRPr="00D87792" w:rsidRDefault="00D87792" w:rsidP="00D87792">
            <w:pPr>
              <w:spacing w:after="0"/>
              <w:jc w:val="right"/>
              <w:rPr>
                <w:rFonts w:cs="Calibri"/>
                <w:szCs w:val="26"/>
                <w:lang w:eastAsia="en-IE"/>
              </w:rPr>
            </w:pPr>
            <w:r w:rsidRPr="00D87792">
              <w:rPr>
                <w:rFonts w:cs="Calibri"/>
                <w:szCs w:val="26"/>
                <w:lang w:eastAsia="en-IE"/>
              </w:rPr>
              <w:t>28.8</w:t>
            </w:r>
          </w:p>
        </w:tc>
      </w:tr>
      <w:tr w:rsidR="00D87792" w:rsidRPr="00D87792" w14:paraId="2989ECAF" w14:textId="77777777" w:rsidTr="00785F52">
        <w:trPr>
          <w:trHeight w:val="345"/>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14:paraId="5DFE6D0B" w14:textId="77777777" w:rsidR="00D87792" w:rsidRPr="00D87792" w:rsidRDefault="00D87792" w:rsidP="00D87792">
            <w:pPr>
              <w:spacing w:after="0"/>
              <w:rPr>
                <w:rFonts w:cs="Calibri"/>
                <w:b/>
                <w:bCs/>
                <w:szCs w:val="26"/>
                <w:lang w:eastAsia="en-IE"/>
              </w:rPr>
            </w:pPr>
            <w:r w:rsidRPr="00D87792">
              <w:rPr>
                <w:rFonts w:cs="Calibri"/>
                <w:b/>
                <w:bCs/>
                <w:szCs w:val="26"/>
                <w:lang w:eastAsia="en-IE"/>
              </w:rPr>
              <w:t>Croatia</w:t>
            </w:r>
          </w:p>
        </w:tc>
        <w:tc>
          <w:tcPr>
            <w:tcW w:w="960" w:type="dxa"/>
            <w:tcBorders>
              <w:top w:val="nil"/>
              <w:left w:val="nil"/>
              <w:bottom w:val="single" w:sz="4" w:space="0" w:color="auto"/>
              <w:right w:val="single" w:sz="4" w:space="0" w:color="auto"/>
            </w:tcBorders>
            <w:shd w:val="clear" w:color="000000" w:fill="FFFFFF"/>
            <w:noWrap/>
            <w:vAlign w:val="center"/>
            <w:hideMark/>
          </w:tcPr>
          <w:p w14:paraId="04AA267A" w14:textId="77777777" w:rsidR="00D87792" w:rsidRPr="00D87792" w:rsidRDefault="00D87792" w:rsidP="00D87792">
            <w:pPr>
              <w:spacing w:after="0"/>
              <w:jc w:val="right"/>
              <w:rPr>
                <w:rFonts w:cs="Calibri"/>
                <w:szCs w:val="26"/>
                <w:lang w:eastAsia="en-IE"/>
              </w:rPr>
            </w:pPr>
            <w:r w:rsidRPr="00D87792">
              <w:rPr>
                <w:rFonts w:cs="Calibri"/>
                <w:szCs w:val="26"/>
                <w:lang w:eastAsia="en-IE"/>
              </w:rPr>
              <w:t>33.5</w:t>
            </w:r>
          </w:p>
        </w:tc>
        <w:tc>
          <w:tcPr>
            <w:tcW w:w="960" w:type="dxa"/>
            <w:tcBorders>
              <w:top w:val="nil"/>
              <w:left w:val="nil"/>
              <w:bottom w:val="single" w:sz="4" w:space="0" w:color="auto"/>
              <w:right w:val="single" w:sz="4" w:space="0" w:color="auto"/>
            </w:tcBorders>
            <w:shd w:val="clear" w:color="000000" w:fill="FFFFFF"/>
            <w:noWrap/>
            <w:vAlign w:val="center"/>
            <w:hideMark/>
          </w:tcPr>
          <w:p w14:paraId="0E92C3E1" w14:textId="77777777" w:rsidR="00D87792" w:rsidRPr="00D87792" w:rsidRDefault="00D87792" w:rsidP="00D87792">
            <w:pPr>
              <w:spacing w:after="0"/>
              <w:jc w:val="right"/>
              <w:rPr>
                <w:rFonts w:cs="Calibri"/>
                <w:szCs w:val="26"/>
                <w:lang w:eastAsia="en-IE"/>
              </w:rPr>
            </w:pPr>
            <w:r w:rsidRPr="00D87792">
              <w:rPr>
                <w:rFonts w:cs="Calibri"/>
                <w:szCs w:val="26"/>
                <w:lang w:eastAsia="en-IE"/>
              </w:rPr>
              <w:t>32.9</w:t>
            </w:r>
          </w:p>
        </w:tc>
        <w:tc>
          <w:tcPr>
            <w:tcW w:w="960" w:type="dxa"/>
            <w:tcBorders>
              <w:top w:val="nil"/>
              <w:left w:val="nil"/>
              <w:bottom w:val="single" w:sz="4" w:space="0" w:color="auto"/>
              <w:right w:val="single" w:sz="4" w:space="0" w:color="auto"/>
            </w:tcBorders>
            <w:shd w:val="clear" w:color="000000" w:fill="FFFFFF"/>
            <w:noWrap/>
            <w:vAlign w:val="center"/>
            <w:hideMark/>
          </w:tcPr>
          <w:p w14:paraId="2F715300" w14:textId="77777777" w:rsidR="00D87792" w:rsidRPr="00D87792" w:rsidRDefault="00D87792" w:rsidP="00D87792">
            <w:pPr>
              <w:spacing w:after="0"/>
              <w:jc w:val="right"/>
              <w:rPr>
                <w:rFonts w:cs="Calibri"/>
                <w:szCs w:val="26"/>
                <w:lang w:eastAsia="en-IE"/>
              </w:rPr>
            </w:pPr>
            <w:r w:rsidRPr="00D87792">
              <w:rPr>
                <w:rFonts w:cs="Calibri"/>
                <w:szCs w:val="26"/>
                <w:lang w:eastAsia="en-IE"/>
              </w:rPr>
              <w:t>28.7</w:t>
            </w:r>
          </w:p>
        </w:tc>
      </w:tr>
      <w:tr w:rsidR="00D87792" w:rsidRPr="00D87792" w14:paraId="406A5237" w14:textId="77777777" w:rsidTr="00785F52">
        <w:trPr>
          <w:trHeight w:val="345"/>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14:paraId="2B49CC91" w14:textId="77777777" w:rsidR="00D87792" w:rsidRPr="00D87792" w:rsidRDefault="00D87792" w:rsidP="00D87792">
            <w:pPr>
              <w:spacing w:after="0"/>
              <w:rPr>
                <w:rFonts w:cs="Calibri"/>
                <w:b/>
                <w:bCs/>
                <w:szCs w:val="26"/>
                <w:lang w:eastAsia="en-IE"/>
              </w:rPr>
            </w:pPr>
            <w:r w:rsidRPr="00D87792">
              <w:rPr>
                <w:rFonts w:cs="Calibri"/>
                <w:b/>
                <w:bCs/>
                <w:szCs w:val="26"/>
                <w:lang w:eastAsia="en-IE"/>
              </w:rPr>
              <w:t>Cyprus</w:t>
            </w:r>
          </w:p>
        </w:tc>
        <w:tc>
          <w:tcPr>
            <w:tcW w:w="960" w:type="dxa"/>
            <w:tcBorders>
              <w:top w:val="nil"/>
              <w:left w:val="nil"/>
              <w:bottom w:val="single" w:sz="4" w:space="0" w:color="auto"/>
              <w:right w:val="single" w:sz="4" w:space="0" w:color="auto"/>
            </w:tcBorders>
            <w:shd w:val="clear" w:color="000000" w:fill="FFFFFF"/>
            <w:noWrap/>
            <w:vAlign w:val="center"/>
            <w:hideMark/>
          </w:tcPr>
          <w:p w14:paraId="4939AC18" w14:textId="77777777" w:rsidR="00D87792" w:rsidRPr="00D87792" w:rsidRDefault="00D87792" w:rsidP="00D87792">
            <w:pPr>
              <w:spacing w:after="0"/>
              <w:jc w:val="right"/>
              <w:rPr>
                <w:rFonts w:cs="Calibri"/>
                <w:szCs w:val="26"/>
                <w:lang w:eastAsia="en-IE"/>
              </w:rPr>
            </w:pPr>
            <w:r w:rsidRPr="00D87792">
              <w:rPr>
                <w:rFonts w:cs="Calibri"/>
                <w:szCs w:val="26"/>
                <w:lang w:eastAsia="en-IE"/>
              </w:rPr>
              <w:t>22.0</w:t>
            </w:r>
          </w:p>
        </w:tc>
        <w:tc>
          <w:tcPr>
            <w:tcW w:w="960" w:type="dxa"/>
            <w:tcBorders>
              <w:top w:val="nil"/>
              <w:left w:val="nil"/>
              <w:bottom w:val="single" w:sz="4" w:space="0" w:color="auto"/>
              <w:right w:val="single" w:sz="4" w:space="0" w:color="auto"/>
            </w:tcBorders>
            <w:shd w:val="clear" w:color="000000" w:fill="FFFFFF"/>
            <w:noWrap/>
            <w:vAlign w:val="center"/>
            <w:hideMark/>
          </w:tcPr>
          <w:p w14:paraId="448BF141" w14:textId="77777777" w:rsidR="00D87792" w:rsidRPr="00D87792" w:rsidRDefault="00D87792" w:rsidP="00D87792">
            <w:pPr>
              <w:spacing w:after="0"/>
              <w:jc w:val="right"/>
              <w:rPr>
                <w:rFonts w:cs="Calibri"/>
                <w:szCs w:val="26"/>
                <w:lang w:eastAsia="en-IE"/>
              </w:rPr>
            </w:pPr>
            <w:r w:rsidRPr="00D87792">
              <w:rPr>
                <w:rFonts w:cs="Calibri"/>
                <w:szCs w:val="26"/>
                <w:lang w:eastAsia="en-IE"/>
              </w:rPr>
              <w:t>23.5</w:t>
            </w:r>
          </w:p>
        </w:tc>
        <w:tc>
          <w:tcPr>
            <w:tcW w:w="960" w:type="dxa"/>
            <w:tcBorders>
              <w:top w:val="nil"/>
              <w:left w:val="nil"/>
              <w:bottom w:val="single" w:sz="4" w:space="0" w:color="auto"/>
              <w:right w:val="single" w:sz="4" w:space="0" w:color="auto"/>
            </w:tcBorders>
            <w:shd w:val="clear" w:color="000000" w:fill="FFFFFF"/>
            <w:noWrap/>
            <w:vAlign w:val="center"/>
            <w:hideMark/>
          </w:tcPr>
          <w:p w14:paraId="47B330F7" w14:textId="77777777" w:rsidR="00D87792" w:rsidRPr="00D87792" w:rsidRDefault="00D87792" w:rsidP="00D87792">
            <w:pPr>
              <w:spacing w:after="0"/>
              <w:jc w:val="right"/>
              <w:rPr>
                <w:rFonts w:cs="Calibri"/>
                <w:szCs w:val="26"/>
                <w:lang w:eastAsia="en-IE"/>
              </w:rPr>
            </w:pPr>
            <w:r w:rsidRPr="00D87792">
              <w:rPr>
                <w:rFonts w:cs="Calibri"/>
                <w:szCs w:val="26"/>
                <w:lang w:eastAsia="en-IE"/>
              </w:rPr>
              <w:t>27.0</w:t>
            </w:r>
          </w:p>
        </w:tc>
      </w:tr>
      <w:tr w:rsidR="00D87792" w:rsidRPr="00D87792" w14:paraId="64BD315E" w14:textId="77777777" w:rsidTr="00785F52">
        <w:trPr>
          <w:trHeight w:val="345"/>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14:paraId="49E0E3B1" w14:textId="77777777" w:rsidR="00D87792" w:rsidRPr="00D87792" w:rsidRDefault="00D87792" w:rsidP="00D87792">
            <w:pPr>
              <w:spacing w:after="0"/>
              <w:rPr>
                <w:rFonts w:cs="Calibri"/>
                <w:b/>
                <w:bCs/>
                <w:szCs w:val="26"/>
                <w:lang w:eastAsia="en-IE"/>
              </w:rPr>
            </w:pPr>
            <w:r w:rsidRPr="00D87792">
              <w:rPr>
                <w:rFonts w:cs="Calibri"/>
                <w:b/>
                <w:bCs/>
                <w:szCs w:val="26"/>
                <w:lang w:eastAsia="en-IE"/>
              </w:rPr>
              <w:t>Malta</w:t>
            </w:r>
          </w:p>
        </w:tc>
        <w:tc>
          <w:tcPr>
            <w:tcW w:w="960" w:type="dxa"/>
            <w:tcBorders>
              <w:top w:val="nil"/>
              <w:left w:val="nil"/>
              <w:bottom w:val="single" w:sz="4" w:space="0" w:color="auto"/>
              <w:right w:val="single" w:sz="4" w:space="0" w:color="auto"/>
            </w:tcBorders>
            <w:shd w:val="clear" w:color="000000" w:fill="FFFFFF"/>
            <w:noWrap/>
            <w:vAlign w:val="center"/>
            <w:hideMark/>
          </w:tcPr>
          <w:p w14:paraId="538BE3BA" w14:textId="77777777" w:rsidR="00D87792" w:rsidRPr="00D87792" w:rsidRDefault="00D87792" w:rsidP="00D87792">
            <w:pPr>
              <w:spacing w:after="0"/>
              <w:jc w:val="right"/>
              <w:rPr>
                <w:rFonts w:cs="Calibri"/>
                <w:szCs w:val="26"/>
                <w:lang w:eastAsia="en-IE"/>
              </w:rPr>
            </w:pPr>
            <w:r w:rsidRPr="00D87792">
              <w:rPr>
                <w:rFonts w:cs="Calibri"/>
                <w:szCs w:val="26"/>
                <w:lang w:eastAsia="en-IE"/>
              </w:rPr>
              <w:t>28.1</w:t>
            </w:r>
          </w:p>
        </w:tc>
        <w:tc>
          <w:tcPr>
            <w:tcW w:w="960" w:type="dxa"/>
            <w:tcBorders>
              <w:top w:val="nil"/>
              <w:left w:val="nil"/>
              <w:bottom w:val="single" w:sz="4" w:space="0" w:color="auto"/>
              <w:right w:val="single" w:sz="4" w:space="0" w:color="auto"/>
            </w:tcBorders>
            <w:shd w:val="clear" w:color="000000" w:fill="FFFFFF"/>
            <w:noWrap/>
            <w:vAlign w:val="center"/>
            <w:hideMark/>
          </w:tcPr>
          <w:p w14:paraId="38AC3C06" w14:textId="77777777" w:rsidR="00D87792" w:rsidRPr="00D87792" w:rsidRDefault="00D87792" w:rsidP="00D87792">
            <w:pPr>
              <w:spacing w:after="0"/>
              <w:jc w:val="right"/>
              <w:rPr>
                <w:rFonts w:cs="Calibri"/>
                <w:szCs w:val="26"/>
                <w:lang w:eastAsia="en-IE"/>
              </w:rPr>
            </w:pPr>
            <w:r w:rsidRPr="00D87792">
              <w:rPr>
                <w:rFonts w:cs="Calibri"/>
                <w:szCs w:val="26"/>
                <w:lang w:eastAsia="en-IE"/>
              </w:rPr>
              <w:t>29.4</w:t>
            </w:r>
          </w:p>
        </w:tc>
        <w:tc>
          <w:tcPr>
            <w:tcW w:w="960" w:type="dxa"/>
            <w:tcBorders>
              <w:top w:val="nil"/>
              <w:left w:val="nil"/>
              <w:bottom w:val="single" w:sz="4" w:space="0" w:color="auto"/>
              <w:right w:val="single" w:sz="4" w:space="0" w:color="auto"/>
            </w:tcBorders>
            <w:shd w:val="clear" w:color="000000" w:fill="FFFFFF"/>
            <w:noWrap/>
            <w:vAlign w:val="center"/>
            <w:hideMark/>
          </w:tcPr>
          <w:p w14:paraId="428789C5" w14:textId="77777777" w:rsidR="00D87792" w:rsidRPr="00D87792" w:rsidRDefault="00D87792" w:rsidP="00D87792">
            <w:pPr>
              <w:spacing w:after="0"/>
              <w:jc w:val="right"/>
              <w:rPr>
                <w:rFonts w:cs="Calibri"/>
                <w:szCs w:val="26"/>
                <w:lang w:eastAsia="en-IE"/>
              </w:rPr>
            </w:pPr>
            <w:r w:rsidRPr="00D87792">
              <w:rPr>
                <w:rFonts w:cs="Calibri"/>
                <w:szCs w:val="26"/>
                <w:lang w:eastAsia="en-IE"/>
              </w:rPr>
              <w:t>27.0</w:t>
            </w:r>
          </w:p>
        </w:tc>
      </w:tr>
      <w:tr w:rsidR="00D87792" w:rsidRPr="00D87792" w14:paraId="1AFE401A" w14:textId="77777777" w:rsidTr="00785F52">
        <w:trPr>
          <w:trHeight w:val="345"/>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14:paraId="491BC514" w14:textId="77777777" w:rsidR="00D87792" w:rsidRPr="00D87792" w:rsidRDefault="00D87792" w:rsidP="00D87792">
            <w:pPr>
              <w:spacing w:after="0"/>
              <w:rPr>
                <w:rFonts w:cs="Calibri"/>
                <w:b/>
                <w:bCs/>
                <w:szCs w:val="26"/>
                <w:lang w:eastAsia="en-IE"/>
              </w:rPr>
            </w:pPr>
            <w:r w:rsidRPr="00D87792">
              <w:rPr>
                <w:rFonts w:cs="Calibri"/>
                <w:b/>
                <w:bCs/>
                <w:szCs w:val="26"/>
                <w:lang w:eastAsia="en-IE"/>
              </w:rPr>
              <w:t>Czechia</w:t>
            </w:r>
          </w:p>
        </w:tc>
        <w:tc>
          <w:tcPr>
            <w:tcW w:w="960" w:type="dxa"/>
            <w:tcBorders>
              <w:top w:val="nil"/>
              <w:left w:val="nil"/>
              <w:bottom w:val="single" w:sz="4" w:space="0" w:color="auto"/>
              <w:right w:val="single" w:sz="4" w:space="0" w:color="auto"/>
            </w:tcBorders>
            <w:shd w:val="clear" w:color="000000" w:fill="FFFFFF"/>
            <w:noWrap/>
            <w:vAlign w:val="center"/>
            <w:hideMark/>
          </w:tcPr>
          <w:p w14:paraId="4964799D" w14:textId="77777777" w:rsidR="00D87792" w:rsidRPr="00D87792" w:rsidRDefault="00D87792" w:rsidP="00D87792">
            <w:pPr>
              <w:spacing w:after="0"/>
              <w:jc w:val="right"/>
              <w:rPr>
                <w:rFonts w:cs="Calibri"/>
                <w:szCs w:val="26"/>
                <w:lang w:eastAsia="en-IE"/>
              </w:rPr>
            </w:pPr>
            <w:r w:rsidRPr="00D87792">
              <w:rPr>
                <w:rFonts w:cs="Calibri"/>
                <w:szCs w:val="26"/>
                <w:lang w:eastAsia="en-IE"/>
              </w:rPr>
              <w:t>26.3</w:t>
            </w:r>
          </w:p>
        </w:tc>
        <w:tc>
          <w:tcPr>
            <w:tcW w:w="960" w:type="dxa"/>
            <w:tcBorders>
              <w:top w:val="nil"/>
              <w:left w:val="nil"/>
              <w:bottom w:val="single" w:sz="4" w:space="0" w:color="auto"/>
              <w:right w:val="single" w:sz="4" w:space="0" w:color="auto"/>
            </w:tcBorders>
            <w:shd w:val="clear" w:color="000000" w:fill="FFFFFF"/>
            <w:noWrap/>
            <w:vAlign w:val="center"/>
            <w:hideMark/>
          </w:tcPr>
          <w:p w14:paraId="2E9A64B6" w14:textId="77777777" w:rsidR="00D87792" w:rsidRPr="00D87792" w:rsidRDefault="00D87792" w:rsidP="00D87792">
            <w:pPr>
              <w:spacing w:after="0"/>
              <w:jc w:val="right"/>
              <w:rPr>
                <w:rFonts w:cs="Calibri"/>
                <w:szCs w:val="26"/>
                <w:lang w:eastAsia="en-IE"/>
              </w:rPr>
            </w:pPr>
            <w:r w:rsidRPr="00D87792">
              <w:rPr>
                <w:rFonts w:cs="Calibri"/>
                <w:szCs w:val="26"/>
                <w:lang w:eastAsia="en-IE"/>
              </w:rPr>
              <w:t>25.6</w:t>
            </w:r>
          </w:p>
        </w:tc>
        <w:tc>
          <w:tcPr>
            <w:tcW w:w="960" w:type="dxa"/>
            <w:tcBorders>
              <w:top w:val="nil"/>
              <w:left w:val="nil"/>
              <w:bottom w:val="single" w:sz="4" w:space="0" w:color="auto"/>
              <w:right w:val="single" w:sz="4" w:space="0" w:color="auto"/>
            </w:tcBorders>
            <w:shd w:val="clear" w:color="000000" w:fill="FFFFFF"/>
            <w:noWrap/>
            <w:vAlign w:val="center"/>
            <w:hideMark/>
          </w:tcPr>
          <w:p w14:paraId="74166A70" w14:textId="77777777" w:rsidR="00D87792" w:rsidRPr="00D87792" w:rsidRDefault="00D87792" w:rsidP="00D87792">
            <w:pPr>
              <w:spacing w:after="0"/>
              <w:jc w:val="right"/>
              <w:rPr>
                <w:rFonts w:cs="Calibri"/>
                <w:szCs w:val="26"/>
                <w:lang w:eastAsia="en-IE"/>
              </w:rPr>
            </w:pPr>
            <w:r w:rsidRPr="00D87792">
              <w:rPr>
                <w:rFonts w:cs="Calibri"/>
                <w:szCs w:val="26"/>
                <w:lang w:eastAsia="en-IE"/>
              </w:rPr>
              <w:t>25.9</w:t>
            </w:r>
          </w:p>
        </w:tc>
      </w:tr>
      <w:tr w:rsidR="00D87792" w:rsidRPr="00D87792" w14:paraId="31D9EEED" w14:textId="77777777" w:rsidTr="00785F52">
        <w:trPr>
          <w:trHeight w:val="345"/>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14:paraId="26EDF133" w14:textId="77777777" w:rsidR="00D87792" w:rsidRPr="00D87792" w:rsidRDefault="00D87792" w:rsidP="00D87792">
            <w:pPr>
              <w:spacing w:after="0"/>
              <w:rPr>
                <w:rFonts w:cs="Calibri"/>
                <w:b/>
                <w:bCs/>
                <w:szCs w:val="26"/>
                <w:lang w:eastAsia="en-IE"/>
              </w:rPr>
            </w:pPr>
            <w:r w:rsidRPr="00D87792">
              <w:rPr>
                <w:rFonts w:cs="Calibri"/>
                <w:b/>
                <w:bCs/>
                <w:szCs w:val="26"/>
                <w:lang w:eastAsia="en-IE"/>
              </w:rPr>
              <w:t>Netherlands</w:t>
            </w:r>
          </w:p>
        </w:tc>
        <w:tc>
          <w:tcPr>
            <w:tcW w:w="960" w:type="dxa"/>
            <w:tcBorders>
              <w:top w:val="nil"/>
              <w:left w:val="nil"/>
              <w:bottom w:val="single" w:sz="4" w:space="0" w:color="auto"/>
              <w:right w:val="single" w:sz="4" w:space="0" w:color="auto"/>
            </w:tcBorders>
            <w:shd w:val="clear" w:color="000000" w:fill="FFFFFF"/>
            <w:noWrap/>
            <w:vAlign w:val="center"/>
            <w:hideMark/>
          </w:tcPr>
          <w:p w14:paraId="114AFD82" w14:textId="77777777" w:rsidR="00D87792" w:rsidRPr="00D87792" w:rsidRDefault="00D87792" w:rsidP="00D87792">
            <w:pPr>
              <w:spacing w:after="0"/>
              <w:jc w:val="right"/>
              <w:rPr>
                <w:rFonts w:cs="Calibri"/>
                <w:szCs w:val="26"/>
                <w:lang w:eastAsia="en-IE"/>
              </w:rPr>
            </w:pPr>
            <w:r w:rsidRPr="00D87792">
              <w:rPr>
                <w:rFonts w:cs="Calibri"/>
                <w:szCs w:val="26"/>
                <w:lang w:eastAsia="en-IE"/>
              </w:rPr>
              <w:t>26.5</w:t>
            </w:r>
          </w:p>
        </w:tc>
        <w:tc>
          <w:tcPr>
            <w:tcW w:w="960" w:type="dxa"/>
            <w:tcBorders>
              <w:top w:val="nil"/>
              <w:left w:val="nil"/>
              <w:bottom w:val="single" w:sz="4" w:space="0" w:color="auto"/>
              <w:right w:val="single" w:sz="4" w:space="0" w:color="auto"/>
            </w:tcBorders>
            <w:shd w:val="clear" w:color="000000" w:fill="FFFFFF"/>
            <w:noWrap/>
            <w:vAlign w:val="center"/>
            <w:hideMark/>
          </w:tcPr>
          <w:p w14:paraId="04EC1EC0" w14:textId="77777777" w:rsidR="00D87792" w:rsidRPr="00D87792" w:rsidRDefault="00D87792" w:rsidP="00D87792">
            <w:pPr>
              <w:spacing w:after="0"/>
              <w:jc w:val="right"/>
              <w:rPr>
                <w:rFonts w:cs="Calibri"/>
                <w:szCs w:val="26"/>
                <w:lang w:eastAsia="en-IE"/>
              </w:rPr>
            </w:pPr>
            <w:r w:rsidRPr="00D87792">
              <w:rPr>
                <w:rFonts w:cs="Calibri"/>
                <w:szCs w:val="26"/>
                <w:lang w:eastAsia="en-IE"/>
              </w:rPr>
              <w:t>25.4</w:t>
            </w:r>
          </w:p>
        </w:tc>
        <w:tc>
          <w:tcPr>
            <w:tcW w:w="960" w:type="dxa"/>
            <w:tcBorders>
              <w:top w:val="nil"/>
              <w:left w:val="nil"/>
              <w:bottom w:val="single" w:sz="4" w:space="0" w:color="auto"/>
              <w:right w:val="single" w:sz="4" w:space="0" w:color="auto"/>
            </w:tcBorders>
            <w:shd w:val="clear" w:color="000000" w:fill="FFFFFF"/>
            <w:noWrap/>
            <w:vAlign w:val="center"/>
            <w:hideMark/>
          </w:tcPr>
          <w:p w14:paraId="716459E7" w14:textId="77777777" w:rsidR="00D87792" w:rsidRPr="00D87792" w:rsidRDefault="00D87792" w:rsidP="00D87792">
            <w:pPr>
              <w:spacing w:after="0"/>
              <w:jc w:val="right"/>
              <w:rPr>
                <w:rFonts w:cs="Calibri"/>
                <w:szCs w:val="26"/>
                <w:lang w:eastAsia="en-IE"/>
              </w:rPr>
            </w:pPr>
            <w:r w:rsidRPr="00D87792">
              <w:rPr>
                <w:rFonts w:cs="Calibri"/>
                <w:szCs w:val="26"/>
                <w:lang w:eastAsia="en-IE"/>
              </w:rPr>
              <w:t>25.8</w:t>
            </w:r>
          </w:p>
        </w:tc>
      </w:tr>
      <w:tr w:rsidR="00D87792" w:rsidRPr="00D87792" w14:paraId="6101014F" w14:textId="77777777" w:rsidTr="00785F52">
        <w:trPr>
          <w:trHeight w:val="345"/>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14:paraId="10AFC541" w14:textId="77777777" w:rsidR="00D87792" w:rsidRPr="00D87792" w:rsidRDefault="00D87792" w:rsidP="00D87792">
            <w:pPr>
              <w:spacing w:after="0"/>
              <w:rPr>
                <w:rFonts w:cs="Calibri"/>
                <w:b/>
                <w:bCs/>
                <w:szCs w:val="26"/>
                <w:lang w:eastAsia="en-IE"/>
              </w:rPr>
            </w:pPr>
            <w:r w:rsidRPr="00D87792">
              <w:rPr>
                <w:rFonts w:cs="Calibri"/>
                <w:b/>
                <w:bCs/>
                <w:szCs w:val="26"/>
                <w:lang w:eastAsia="en-IE"/>
              </w:rPr>
              <w:t>Slovakia</w:t>
            </w:r>
          </w:p>
        </w:tc>
        <w:tc>
          <w:tcPr>
            <w:tcW w:w="960" w:type="dxa"/>
            <w:tcBorders>
              <w:top w:val="nil"/>
              <w:left w:val="nil"/>
              <w:bottom w:val="single" w:sz="4" w:space="0" w:color="auto"/>
              <w:right w:val="single" w:sz="4" w:space="0" w:color="auto"/>
            </w:tcBorders>
            <w:shd w:val="clear" w:color="000000" w:fill="FFFFFF"/>
            <w:noWrap/>
            <w:vAlign w:val="center"/>
            <w:hideMark/>
          </w:tcPr>
          <w:p w14:paraId="422F0935" w14:textId="77777777" w:rsidR="00D87792" w:rsidRPr="00D87792" w:rsidRDefault="00D87792" w:rsidP="00D87792">
            <w:pPr>
              <w:spacing w:after="0"/>
              <w:jc w:val="right"/>
              <w:rPr>
                <w:rFonts w:cs="Calibri"/>
                <w:szCs w:val="26"/>
                <w:lang w:eastAsia="en-IE"/>
              </w:rPr>
            </w:pPr>
            <w:r w:rsidRPr="00D87792">
              <w:rPr>
                <w:rFonts w:cs="Calibri"/>
                <w:szCs w:val="26"/>
                <w:lang w:eastAsia="en-IE"/>
              </w:rPr>
              <w:t>23.1</w:t>
            </w:r>
          </w:p>
        </w:tc>
        <w:tc>
          <w:tcPr>
            <w:tcW w:w="960" w:type="dxa"/>
            <w:tcBorders>
              <w:top w:val="nil"/>
              <w:left w:val="nil"/>
              <w:bottom w:val="single" w:sz="4" w:space="0" w:color="auto"/>
              <w:right w:val="single" w:sz="4" w:space="0" w:color="auto"/>
            </w:tcBorders>
            <w:shd w:val="clear" w:color="000000" w:fill="FFFFFF"/>
            <w:noWrap/>
            <w:vAlign w:val="center"/>
            <w:hideMark/>
          </w:tcPr>
          <w:p w14:paraId="218111BE" w14:textId="77777777" w:rsidR="00D87792" w:rsidRPr="00D87792" w:rsidRDefault="00D87792" w:rsidP="00D87792">
            <w:pPr>
              <w:spacing w:after="0"/>
              <w:jc w:val="right"/>
              <w:rPr>
                <w:rFonts w:cs="Calibri"/>
                <w:szCs w:val="26"/>
                <w:lang w:eastAsia="en-IE"/>
              </w:rPr>
            </w:pPr>
            <w:r w:rsidRPr="00D87792">
              <w:rPr>
                <w:rFonts w:cs="Calibri"/>
                <w:szCs w:val="26"/>
                <w:lang w:eastAsia="en-IE"/>
              </w:rPr>
              <w:t>23.6</w:t>
            </w:r>
          </w:p>
        </w:tc>
        <w:tc>
          <w:tcPr>
            <w:tcW w:w="960" w:type="dxa"/>
            <w:tcBorders>
              <w:top w:val="nil"/>
              <w:left w:val="nil"/>
              <w:bottom w:val="single" w:sz="4" w:space="0" w:color="auto"/>
              <w:right w:val="single" w:sz="4" w:space="0" w:color="auto"/>
            </w:tcBorders>
            <w:shd w:val="clear" w:color="000000" w:fill="FFFFFF"/>
            <w:noWrap/>
            <w:vAlign w:val="center"/>
            <w:hideMark/>
          </w:tcPr>
          <w:p w14:paraId="6F92778B" w14:textId="77777777" w:rsidR="00D87792" w:rsidRPr="00D87792" w:rsidRDefault="00D87792" w:rsidP="00D87792">
            <w:pPr>
              <w:spacing w:after="0"/>
              <w:jc w:val="right"/>
              <w:rPr>
                <w:rFonts w:cs="Calibri"/>
                <w:szCs w:val="26"/>
                <w:lang w:eastAsia="en-IE"/>
              </w:rPr>
            </w:pPr>
          </w:p>
        </w:tc>
      </w:tr>
      <w:tr w:rsidR="00D87792" w:rsidRPr="00D87792" w14:paraId="28046ED6" w14:textId="77777777" w:rsidTr="00785F52">
        <w:trPr>
          <w:trHeight w:val="345"/>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14:paraId="7E9C309A" w14:textId="77777777" w:rsidR="00D87792" w:rsidRPr="00D87792" w:rsidRDefault="00D87792" w:rsidP="00D87792">
            <w:pPr>
              <w:spacing w:after="0"/>
              <w:rPr>
                <w:rFonts w:cs="Calibri"/>
                <w:b/>
                <w:bCs/>
                <w:szCs w:val="26"/>
                <w:lang w:eastAsia="en-IE"/>
              </w:rPr>
            </w:pPr>
            <w:r w:rsidRPr="00D87792">
              <w:rPr>
                <w:rFonts w:cs="Calibri"/>
                <w:b/>
                <w:bCs/>
                <w:szCs w:val="26"/>
                <w:lang w:eastAsia="en-IE"/>
              </w:rPr>
              <w:t>Austria</w:t>
            </w:r>
          </w:p>
        </w:tc>
        <w:tc>
          <w:tcPr>
            <w:tcW w:w="960" w:type="dxa"/>
            <w:tcBorders>
              <w:top w:val="nil"/>
              <w:left w:val="nil"/>
              <w:bottom w:val="single" w:sz="4" w:space="0" w:color="auto"/>
              <w:right w:val="single" w:sz="4" w:space="0" w:color="auto"/>
            </w:tcBorders>
            <w:shd w:val="clear" w:color="000000" w:fill="FFFFFF"/>
            <w:noWrap/>
            <w:vAlign w:val="center"/>
            <w:hideMark/>
          </w:tcPr>
          <w:p w14:paraId="49017C48" w14:textId="77777777" w:rsidR="00D87792" w:rsidRPr="00D87792" w:rsidRDefault="00D87792" w:rsidP="00D87792">
            <w:pPr>
              <w:spacing w:after="0"/>
              <w:jc w:val="right"/>
              <w:rPr>
                <w:rFonts w:cs="Calibri"/>
                <w:szCs w:val="26"/>
                <w:lang w:eastAsia="en-IE"/>
              </w:rPr>
            </w:pPr>
            <w:r w:rsidRPr="00D87792">
              <w:rPr>
                <w:rFonts w:cs="Calibri"/>
                <w:szCs w:val="26"/>
                <w:lang w:eastAsia="en-IE"/>
              </w:rPr>
              <w:t>21.9</w:t>
            </w:r>
          </w:p>
        </w:tc>
        <w:tc>
          <w:tcPr>
            <w:tcW w:w="960" w:type="dxa"/>
            <w:tcBorders>
              <w:top w:val="nil"/>
              <w:left w:val="nil"/>
              <w:bottom w:val="single" w:sz="4" w:space="0" w:color="auto"/>
              <w:right w:val="single" w:sz="4" w:space="0" w:color="auto"/>
            </w:tcBorders>
            <w:shd w:val="clear" w:color="000000" w:fill="FFFFFF"/>
            <w:noWrap/>
            <w:vAlign w:val="center"/>
            <w:hideMark/>
          </w:tcPr>
          <w:p w14:paraId="5909A534" w14:textId="77777777" w:rsidR="00D87792" w:rsidRPr="00D87792" w:rsidRDefault="00D87792" w:rsidP="00D87792">
            <w:pPr>
              <w:spacing w:after="0"/>
              <w:jc w:val="right"/>
              <w:rPr>
                <w:rFonts w:cs="Calibri"/>
                <w:szCs w:val="26"/>
                <w:lang w:eastAsia="en-IE"/>
              </w:rPr>
            </w:pPr>
            <w:r w:rsidRPr="00D87792">
              <w:rPr>
                <w:rFonts w:cs="Calibri"/>
                <w:szCs w:val="26"/>
                <w:lang w:eastAsia="en-IE"/>
              </w:rPr>
              <w:t>20.5</w:t>
            </w:r>
          </w:p>
        </w:tc>
        <w:tc>
          <w:tcPr>
            <w:tcW w:w="960" w:type="dxa"/>
            <w:tcBorders>
              <w:top w:val="nil"/>
              <w:left w:val="nil"/>
              <w:bottom w:val="single" w:sz="4" w:space="0" w:color="auto"/>
              <w:right w:val="single" w:sz="4" w:space="0" w:color="auto"/>
            </w:tcBorders>
            <w:shd w:val="clear" w:color="000000" w:fill="FFFFFF"/>
            <w:noWrap/>
            <w:vAlign w:val="center"/>
            <w:hideMark/>
          </w:tcPr>
          <w:p w14:paraId="6213ADEE" w14:textId="77777777" w:rsidR="00D87792" w:rsidRPr="00D87792" w:rsidRDefault="00D87792" w:rsidP="00D87792">
            <w:pPr>
              <w:spacing w:after="0"/>
              <w:jc w:val="right"/>
              <w:rPr>
                <w:rFonts w:cs="Calibri"/>
                <w:szCs w:val="26"/>
                <w:lang w:eastAsia="en-IE"/>
              </w:rPr>
            </w:pPr>
            <w:r w:rsidRPr="00D87792">
              <w:rPr>
                <w:rFonts w:cs="Calibri"/>
                <w:szCs w:val="26"/>
                <w:lang w:eastAsia="en-IE"/>
              </w:rPr>
              <w:t>25.1</w:t>
            </w:r>
          </w:p>
        </w:tc>
      </w:tr>
      <w:tr w:rsidR="00D87792" w:rsidRPr="00D87792" w14:paraId="42BA0966" w14:textId="77777777" w:rsidTr="00785F52">
        <w:trPr>
          <w:trHeight w:val="345"/>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14:paraId="4D1CC662" w14:textId="77777777" w:rsidR="00D87792" w:rsidRPr="00D87792" w:rsidRDefault="00D87792" w:rsidP="00D87792">
            <w:pPr>
              <w:spacing w:after="0"/>
              <w:rPr>
                <w:rFonts w:cs="Calibri"/>
                <w:b/>
                <w:bCs/>
                <w:szCs w:val="26"/>
                <w:lang w:eastAsia="en-IE"/>
              </w:rPr>
            </w:pPr>
            <w:r w:rsidRPr="00D87792">
              <w:rPr>
                <w:rFonts w:cs="Calibri"/>
                <w:b/>
                <w:bCs/>
                <w:szCs w:val="26"/>
                <w:lang w:eastAsia="en-IE"/>
              </w:rPr>
              <w:t>France</w:t>
            </w:r>
          </w:p>
        </w:tc>
        <w:tc>
          <w:tcPr>
            <w:tcW w:w="960" w:type="dxa"/>
            <w:tcBorders>
              <w:top w:val="nil"/>
              <w:left w:val="nil"/>
              <w:bottom w:val="single" w:sz="4" w:space="0" w:color="auto"/>
              <w:right w:val="single" w:sz="4" w:space="0" w:color="auto"/>
            </w:tcBorders>
            <w:shd w:val="clear" w:color="000000" w:fill="FFFFFF"/>
            <w:noWrap/>
            <w:vAlign w:val="center"/>
            <w:hideMark/>
          </w:tcPr>
          <w:p w14:paraId="63F371BF" w14:textId="77777777" w:rsidR="00D87792" w:rsidRPr="00D87792" w:rsidRDefault="00D87792" w:rsidP="00D87792">
            <w:pPr>
              <w:spacing w:after="0"/>
              <w:jc w:val="right"/>
              <w:rPr>
                <w:rFonts w:cs="Calibri"/>
                <w:szCs w:val="26"/>
                <w:lang w:eastAsia="en-IE"/>
              </w:rPr>
            </w:pPr>
            <w:r w:rsidRPr="00D87792">
              <w:rPr>
                <w:rFonts w:cs="Calibri"/>
                <w:szCs w:val="26"/>
                <w:lang w:eastAsia="en-IE"/>
              </w:rPr>
              <w:t>18.9</w:t>
            </w:r>
          </w:p>
        </w:tc>
        <w:tc>
          <w:tcPr>
            <w:tcW w:w="960" w:type="dxa"/>
            <w:tcBorders>
              <w:top w:val="nil"/>
              <w:left w:val="nil"/>
              <w:bottom w:val="single" w:sz="4" w:space="0" w:color="auto"/>
              <w:right w:val="single" w:sz="4" w:space="0" w:color="auto"/>
            </w:tcBorders>
            <w:shd w:val="clear" w:color="000000" w:fill="FFFFFF"/>
            <w:noWrap/>
            <w:vAlign w:val="center"/>
            <w:hideMark/>
          </w:tcPr>
          <w:p w14:paraId="0D5F858E" w14:textId="77777777" w:rsidR="00D87792" w:rsidRPr="00D87792" w:rsidRDefault="00D87792" w:rsidP="00D87792">
            <w:pPr>
              <w:spacing w:after="0"/>
              <w:jc w:val="right"/>
              <w:rPr>
                <w:rFonts w:cs="Calibri"/>
                <w:szCs w:val="26"/>
                <w:lang w:eastAsia="en-IE"/>
              </w:rPr>
            </w:pPr>
            <w:r w:rsidRPr="00D87792">
              <w:rPr>
                <w:rFonts w:cs="Calibri"/>
                <w:szCs w:val="26"/>
                <w:lang w:eastAsia="en-IE"/>
              </w:rPr>
              <w:t>23.7</w:t>
            </w:r>
          </w:p>
        </w:tc>
        <w:tc>
          <w:tcPr>
            <w:tcW w:w="960" w:type="dxa"/>
            <w:tcBorders>
              <w:top w:val="nil"/>
              <w:left w:val="nil"/>
              <w:bottom w:val="single" w:sz="4" w:space="0" w:color="auto"/>
              <w:right w:val="single" w:sz="4" w:space="0" w:color="auto"/>
            </w:tcBorders>
            <w:shd w:val="clear" w:color="000000" w:fill="FFFFFF"/>
            <w:noWrap/>
            <w:vAlign w:val="center"/>
            <w:hideMark/>
          </w:tcPr>
          <w:p w14:paraId="249351E8" w14:textId="77777777" w:rsidR="00D87792" w:rsidRPr="00D87792" w:rsidRDefault="00D87792" w:rsidP="00D87792">
            <w:pPr>
              <w:spacing w:after="0"/>
              <w:jc w:val="right"/>
              <w:rPr>
                <w:rFonts w:cs="Calibri"/>
                <w:szCs w:val="26"/>
                <w:lang w:eastAsia="en-IE"/>
              </w:rPr>
            </w:pPr>
            <w:r w:rsidRPr="00D87792">
              <w:rPr>
                <w:rFonts w:cs="Calibri"/>
                <w:szCs w:val="26"/>
                <w:lang w:eastAsia="en-IE"/>
              </w:rPr>
              <w:t>24.2</w:t>
            </w:r>
          </w:p>
        </w:tc>
      </w:tr>
      <w:tr w:rsidR="00D87792" w:rsidRPr="00D87792" w14:paraId="0D31D5A4" w14:textId="77777777" w:rsidTr="00785F52">
        <w:trPr>
          <w:trHeight w:val="345"/>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14:paraId="760758E8" w14:textId="77777777" w:rsidR="00D87792" w:rsidRPr="00D87792" w:rsidRDefault="00D87792" w:rsidP="00D87792">
            <w:pPr>
              <w:spacing w:after="0"/>
              <w:rPr>
                <w:rFonts w:cs="Calibri"/>
                <w:b/>
                <w:bCs/>
                <w:szCs w:val="26"/>
                <w:lang w:eastAsia="en-IE"/>
              </w:rPr>
            </w:pPr>
            <w:r w:rsidRPr="00D87792">
              <w:rPr>
                <w:rFonts w:cs="Calibri"/>
                <w:b/>
                <w:bCs/>
                <w:szCs w:val="26"/>
                <w:lang w:eastAsia="en-IE"/>
              </w:rPr>
              <w:t>Lithuania</w:t>
            </w:r>
          </w:p>
        </w:tc>
        <w:tc>
          <w:tcPr>
            <w:tcW w:w="960" w:type="dxa"/>
            <w:tcBorders>
              <w:top w:val="nil"/>
              <w:left w:val="nil"/>
              <w:bottom w:val="single" w:sz="4" w:space="0" w:color="auto"/>
              <w:right w:val="single" w:sz="4" w:space="0" w:color="auto"/>
            </w:tcBorders>
            <w:shd w:val="clear" w:color="000000" w:fill="FFFFFF"/>
            <w:noWrap/>
            <w:vAlign w:val="center"/>
            <w:hideMark/>
          </w:tcPr>
          <w:p w14:paraId="12EAA7BB" w14:textId="77777777" w:rsidR="00D87792" w:rsidRPr="00D87792" w:rsidRDefault="00D87792" w:rsidP="00D87792">
            <w:pPr>
              <w:spacing w:after="0"/>
              <w:jc w:val="right"/>
              <w:rPr>
                <w:rFonts w:cs="Calibri"/>
                <w:szCs w:val="26"/>
                <w:lang w:eastAsia="en-IE"/>
              </w:rPr>
            </w:pPr>
            <w:r w:rsidRPr="00D87792">
              <w:rPr>
                <w:rFonts w:cs="Calibri"/>
                <w:szCs w:val="26"/>
                <w:lang w:eastAsia="en-IE"/>
              </w:rPr>
              <w:t>26.0</w:t>
            </w:r>
          </w:p>
        </w:tc>
        <w:tc>
          <w:tcPr>
            <w:tcW w:w="960" w:type="dxa"/>
            <w:tcBorders>
              <w:top w:val="nil"/>
              <w:left w:val="nil"/>
              <w:bottom w:val="single" w:sz="4" w:space="0" w:color="auto"/>
              <w:right w:val="single" w:sz="4" w:space="0" w:color="auto"/>
            </w:tcBorders>
            <w:shd w:val="clear" w:color="000000" w:fill="FFFFFF"/>
            <w:noWrap/>
            <w:vAlign w:val="center"/>
            <w:hideMark/>
          </w:tcPr>
          <w:p w14:paraId="4F3176B1" w14:textId="77777777" w:rsidR="00D87792" w:rsidRPr="00D87792" w:rsidRDefault="00D87792" w:rsidP="00D87792">
            <w:pPr>
              <w:spacing w:after="0"/>
              <w:jc w:val="right"/>
              <w:rPr>
                <w:rFonts w:cs="Calibri"/>
                <w:szCs w:val="26"/>
                <w:lang w:eastAsia="en-IE"/>
              </w:rPr>
            </w:pPr>
            <w:r w:rsidRPr="00D87792">
              <w:rPr>
                <w:rFonts w:cs="Calibri"/>
                <w:szCs w:val="26"/>
                <w:lang w:eastAsia="en-IE"/>
              </w:rPr>
              <w:t>22.7</w:t>
            </w:r>
          </w:p>
        </w:tc>
        <w:tc>
          <w:tcPr>
            <w:tcW w:w="960" w:type="dxa"/>
            <w:tcBorders>
              <w:top w:val="nil"/>
              <w:left w:val="nil"/>
              <w:bottom w:val="single" w:sz="4" w:space="0" w:color="auto"/>
              <w:right w:val="single" w:sz="4" w:space="0" w:color="auto"/>
            </w:tcBorders>
            <w:shd w:val="clear" w:color="000000" w:fill="FFFFFF"/>
            <w:noWrap/>
            <w:vAlign w:val="center"/>
            <w:hideMark/>
          </w:tcPr>
          <w:p w14:paraId="37A34243" w14:textId="77777777" w:rsidR="00D87792" w:rsidRPr="00D87792" w:rsidRDefault="00D87792" w:rsidP="00D87792">
            <w:pPr>
              <w:spacing w:after="0"/>
              <w:jc w:val="right"/>
              <w:rPr>
                <w:rFonts w:cs="Calibri"/>
                <w:szCs w:val="26"/>
                <w:lang w:eastAsia="en-IE"/>
              </w:rPr>
            </w:pPr>
            <w:r w:rsidRPr="00D87792">
              <w:rPr>
                <w:rFonts w:cs="Calibri"/>
                <w:szCs w:val="26"/>
                <w:lang w:eastAsia="en-IE"/>
              </w:rPr>
              <w:t>23.9</w:t>
            </w:r>
          </w:p>
        </w:tc>
      </w:tr>
      <w:tr w:rsidR="00D87792" w:rsidRPr="00D87792" w14:paraId="276AA242" w14:textId="77777777" w:rsidTr="00785F52">
        <w:trPr>
          <w:trHeight w:val="345"/>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14:paraId="4BDDAB20" w14:textId="77777777" w:rsidR="00D87792" w:rsidRPr="00D87792" w:rsidRDefault="00D87792" w:rsidP="00D87792">
            <w:pPr>
              <w:spacing w:after="0"/>
              <w:rPr>
                <w:rFonts w:cs="Calibri"/>
                <w:b/>
                <w:bCs/>
                <w:szCs w:val="26"/>
                <w:lang w:eastAsia="en-IE"/>
              </w:rPr>
            </w:pPr>
            <w:r w:rsidRPr="00D87792">
              <w:rPr>
                <w:rFonts w:cs="Calibri"/>
                <w:b/>
                <w:bCs/>
                <w:szCs w:val="26"/>
                <w:lang w:eastAsia="en-IE"/>
              </w:rPr>
              <w:t>Greece</w:t>
            </w:r>
          </w:p>
        </w:tc>
        <w:tc>
          <w:tcPr>
            <w:tcW w:w="960" w:type="dxa"/>
            <w:tcBorders>
              <w:top w:val="nil"/>
              <w:left w:val="nil"/>
              <w:bottom w:val="single" w:sz="4" w:space="0" w:color="auto"/>
              <w:right w:val="single" w:sz="4" w:space="0" w:color="auto"/>
            </w:tcBorders>
            <w:shd w:val="clear" w:color="000000" w:fill="FFFFFF"/>
            <w:noWrap/>
            <w:vAlign w:val="center"/>
            <w:hideMark/>
          </w:tcPr>
          <w:p w14:paraId="11FACD75" w14:textId="77777777" w:rsidR="00D87792" w:rsidRPr="00D87792" w:rsidRDefault="00D87792" w:rsidP="00D87792">
            <w:pPr>
              <w:spacing w:after="0"/>
              <w:jc w:val="right"/>
              <w:rPr>
                <w:rFonts w:cs="Calibri"/>
                <w:szCs w:val="26"/>
                <w:lang w:eastAsia="en-IE"/>
              </w:rPr>
            </w:pPr>
            <w:r w:rsidRPr="00D87792">
              <w:rPr>
                <w:rFonts w:cs="Calibri"/>
                <w:szCs w:val="26"/>
                <w:lang w:eastAsia="en-IE"/>
              </w:rPr>
              <w:t>29.0</w:t>
            </w:r>
          </w:p>
        </w:tc>
        <w:tc>
          <w:tcPr>
            <w:tcW w:w="960" w:type="dxa"/>
            <w:tcBorders>
              <w:top w:val="nil"/>
              <w:left w:val="nil"/>
              <w:bottom w:val="single" w:sz="4" w:space="0" w:color="auto"/>
              <w:right w:val="single" w:sz="4" w:space="0" w:color="auto"/>
            </w:tcBorders>
            <w:shd w:val="clear" w:color="000000" w:fill="FFFFFF"/>
            <w:noWrap/>
            <w:vAlign w:val="center"/>
            <w:hideMark/>
          </w:tcPr>
          <w:p w14:paraId="5DA8CB62" w14:textId="77777777" w:rsidR="00D87792" w:rsidRPr="00D87792" w:rsidRDefault="00D87792" w:rsidP="00D87792">
            <w:pPr>
              <w:spacing w:after="0"/>
              <w:jc w:val="right"/>
              <w:rPr>
                <w:rFonts w:cs="Calibri"/>
                <w:szCs w:val="26"/>
                <w:lang w:eastAsia="en-IE"/>
              </w:rPr>
            </w:pPr>
            <w:r w:rsidRPr="00D87792">
              <w:rPr>
                <w:rFonts w:cs="Calibri"/>
                <w:szCs w:val="26"/>
                <w:lang w:eastAsia="en-IE"/>
              </w:rPr>
              <w:t>27.7</w:t>
            </w:r>
          </w:p>
        </w:tc>
        <w:tc>
          <w:tcPr>
            <w:tcW w:w="960" w:type="dxa"/>
            <w:tcBorders>
              <w:top w:val="nil"/>
              <w:left w:val="nil"/>
              <w:bottom w:val="single" w:sz="4" w:space="0" w:color="auto"/>
              <w:right w:val="single" w:sz="4" w:space="0" w:color="auto"/>
            </w:tcBorders>
            <w:shd w:val="clear" w:color="000000" w:fill="FFFFFF"/>
            <w:noWrap/>
            <w:vAlign w:val="center"/>
            <w:hideMark/>
          </w:tcPr>
          <w:p w14:paraId="2F8F4C30" w14:textId="77777777" w:rsidR="00D87792" w:rsidRPr="00D87792" w:rsidRDefault="00D87792" w:rsidP="00D87792">
            <w:pPr>
              <w:spacing w:after="0"/>
              <w:jc w:val="right"/>
              <w:rPr>
                <w:rFonts w:cs="Calibri"/>
                <w:szCs w:val="26"/>
                <w:lang w:eastAsia="en-IE"/>
              </w:rPr>
            </w:pPr>
            <w:r w:rsidRPr="00D87792">
              <w:rPr>
                <w:rFonts w:cs="Calibri"/>
                <w:szCs w:val="26"/>
                <w:lang w:eastAsia="en-IE"/>
              </w:rPr>
              <w:t>23.8</w:t>
            </w:r>
          </w:p>
        </w:tc>
      </w:tr>
      <w:tr w:rsidR="00D87792" w:rsidRPr="00D87792" w14:paraId="746F7300" w14:textId="77777777" w:rsidTr="00785F52">
        <w:trPr>
          <w:trHeight w:val="345"/>
        </w:trPr>
        <w:tc>
          <w:tcPr>
            <w:tcW w:w="4660" w:type="dxa"/>
            <w:tcBorders>
              <w:top w:val="nil"/>
              <w:left w:val="single" w:sz="4" w:space="0" w:color="auto"/>
              <w:bottom w:val="single" w:sz="4" w:space="0" w:color="auto"/>
              <w:right w:val="single" w:sz="4" w:space="0" w:color="auto"/>
            </w:tcBorders>
            <w:shd w:val="clear" w:color="auto" w:fill="FFFF00"/>
            <w:noWrap/>
            <w:vAlign w:val="center"/>
            <w:hideMark/>
          </w:tcPr>
          <w:p w14:paraId="40DF8921" w14:textId="77777777" w:rsidR="00D87792" w:rsidRPr="00D87792" w:rsidRDefault="00D87792" w:rsidP="00D87792">
            <w:pPr>
              <w:spacing w:after="0"/>
              <w:rPr>
                <w:rFonts w:cs="Calibri"/>
                <w:b/>
                <w:bCs/>
                <w:szCs w:val="26"/>
                <w:lang w:eastAsia="en-IE"/>
              </w:rPr>
            </w:pPr>
            <w:r w:rsidRPr="00D87792">
              <w:rPr>
                <w:rFonts w:cs="Calibri"/>
                <w:b/>
                <w:bCs/>
                <w:szCs w:val="26"/>
                <w:lang w:eastAsia="en-IE"/>
              </w:rPr>
              <w:t>EU27</w:t>
            </w:r>
          </w:p>
        </w:tc>
        <w:tc>
          <w:tcPr>
            <w:tcW w:w="960" w:type="dxa"/>
            <w:tcBorders>
              <w:top w:val="nil"/>
              <w:left w:val="nil"/>
              <w:bottom w:val="single" w:sz="4" w:space="0" w:color="auto"/>
              <w:right w:val="single" w:sz="4" w:space="0" w:color="auto"/>
            </w:tcBorders>
            <w:shd w:val="clear" w:color="auto" w:fill="FFFF00"/>
            <w:noWrap/>
            <w:vAlign w:val="center"/>
            <w:hideMark/>
          </w:tcPr>
          <w:p w14:paraId="5A9C97F2" w14:textId="77777777" w:rsidR="00D87792" w:rsidRPr="00D87792" w:rsidRDefault="00D87792" w:rsidP="00D87792">
            <w:pPr>
              <w:spacing w:after="0"/>
              <w:jc w:val="right"/>
              <w:rPr>
                <w:rFonts w:cs="Calibri"/>
                <w:szCs w:val="26"/>
                <w:lang w:eastAsia="en-IE"/>
              </w:rPr>
            </w:pPr>
            <w:r w:rsidRPr="00D87792">
              <w:rPr>
                <w:rFonts w:cs="Calibri"/>
                <w:szCs w:val="26"/>
                <w:lang w:eastAsia="en-IE"/>
              </w:rPr>
              <w:t>24.4</w:t>
            </w:r>
          </w:p>
        </w:tc>
        <w:tc>
          <w:tcPr>
            <w:tcW w:w="960" w:type="dxa"/>
            <w:tcBorders>
              <w:top w:val="nil"/>
              <w:left w:val="nil"/>
              <w:bottom w:val="single" w:sz="4" w:space="0" w:color="auto"/>
              <w:right w:val="single" w:sz="4" w:space="0" w:color="auto"/>
            </w:tcBorders>
            <w:shd w:val="clear" w:color="auto" w:fill="FFFF00"/>
            <w:noWrap/>
            <w:vAlign w:val="center"/>
            <w:hideMark/>
          </w:tcPr>
          <w:p w14:paraId="447DFA67" w14:textId="77777777" w:rsidR="00D87792" w:rsidRPr="00D87792" w:rsidRDefault="00D87792" w:rsidP="00D87792">
            <w:pPr>
              <w:spacing w:after="0"/>
              <w:jc w:val="right"/>
              <w:rPr>
                <w:rFonts w:cs="Calibri"/>
                <w:szCs w:val="26"/>
                <w:lang w:eastAsia="en-IE"/>
              </w:rPr>
            </w:pPr>
            <w:r w:rsidRPr="00D87792">
              <w:rPr>
                <w:rFonts w:cs="Calibri"/>
                <w:szCs w:val="26"/>
                <w:lang w:eastAsia="en-IE"/>
              </w:rPr>
              <w:t>24.4</w:t>
            </w:r>
          </w:p>
        </w:tc>
        <w:tc>
          <w:tcPr>
            <w:tcW w:w="960" w:type="dxa"/>
            <w:tcBorders>
              <w:top w:val="nil"/>
              <w:left w:val="nil"/>
              <w:bottom w:val="single" w:sz="4" w:space="0" w:color="auto"/>
              <w:right w:val="single" w:sz="4" w:space="0" w:color="auto"/>
            </w:tcBorders>
            <w:shd w:val="clear" w:color="auto" w:fill="FFFF00"/>
            <w:noWrap/>
            <w:vAlign w:val="center"/>
            <w:hideMark/>
          </w:tcPr>
          <w:p w14:paraId="2FFC12F1" w14:textId="77777777" w:rsidR="00D87792" w:rsidRPr="00D87792" w:rsidRDefault="00D87792" w:rsidP="00D87792">
            <w:pPr>
              <w:spacing w:after="0"/>
              <w:jc w:val="right"/>
              <w:rPr>
                <w:rFonts w:cs="Calibri"/>
                <w:szCs w:val="26"/>
                <w:lang w:eastAsia="en-IE"/>
              </w:rPr>
            </w:pPr>
            <w:r w:rsidRPr="00D87792">
              <w:rPr>
                <w:rFonts w:cs="Calibri"/>
                <w:szCs w:val="26"/>
                <w:lang w:eastAsia="en-IE"/>
              </w:rPr>
              <w:t>23.1</w:t>
            </w:r>
          </w:p>
        </w:tc>
      </w:tr>
      <w:tr w:rsidR="00D87792" w:rsidRPr="00D87792" w14:paraId="09C10AD9" w14:textId="77777777" w:rsidTr="00785F52">
        <w:trPr>
          <w:trHeight w:val="345"/>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14:paraId="729BC3D4" w14:textId="77777777" w:rsidR="00D87792" w:rsidRPr="00D87792" w:rsidRDefault="00D87792" w:rsidP="00D87792">
            <w:pPr>
              <w:spacing w:after="0"/>
              <w:rPr>
                <w:rFonts w:cs="Calibri"/>
                <w:b/>
                <w:bCs/>
                <w:szCs w:val="26"/>
                <w:lang w:eastAsia="en-IE"/>
              </w:rPr>
            </w:pPr>
            <w:r w:rsidRPr="00D87792">
              <w:rPr>
                <w:rFonts w:cs="Calibri"/>
                <w:b/>
                <w:bCs/>
                <w:szCs w:val="26"/>
                <w:lang w:eastAsia="en-IE"/>
              </w:rPr>
              <w:t>Bulgaria</w:t>
            </w:r>
          </w:p>
        </w:tc>
        <w:tc>
          <w:tcPr>
            <w:tcW w:w="960" w:type="dxa"/>
            <w:tcBorders>
              <w:top w:val="nil"/>
              <w:left w:val="nil"/>
              <w:bottom w:val="single" w:sz="4" w:space="0" w:color="auto"/>
              <w:right w:val="single" w:sz="4" w:space="0" w:color="auto"/>
            </w:tcBorders>
            <w:shd w:val="clear" w:color="000000" w:fill="FFFFFF"/>
            <w:noWrap/>
            <w:vAlign w:val="center"/>
            <w:hideMark/>
          </w:tcPr>
          <w:p w14:paraId="5CB48D88" w14:textId="77777777" w:rsidR="00D87792" w:rsidRPr="00D87792" w:rsidRDefault="00D87792" w:rsidP="00D87792">
            <w:pPr>
              <w:spacing w:after="0"/>
              <w:jc w:val="right"/>
              <w:rPr>
                <w:rFonts w:cs="Calibri"/>
                <w:szCs w:val="26"/>
                <w:lang w:eastAsia="en-IE"/>
              </w:rPr>
            </w:pPr>
            <w:r w:rsidRPr="00D87792">
              <w:rPr>
                <w:rFonts w:cs="Calibri"/>
                <w:szCs w:val="26"/>
                <w:lang w:eastAsia="en-IE"/>
              </w:rPr>
              <w:t>34.8</w:t>
            </w:r>
          </w:p>
        </w:tc>
        <w:tc>
          <w:tcPr>
            <w:tcW w:w="960" w:type="dxa"/>
            <w:tcBorders>
              <w:top w:val="nil"/>
              <w:left w:val="nil"/>
              <w:bottom w:val="single" w:sz="4" w:space="0" w:color="auto"/>
              <w:right w:val="single" w:sz="4" w:space="0" w:color="auto"/>
            </w:tcBorders>
            <w:shd w:val="clear" w:color="000000" w:fill="FFFFFF"/>
            <w:noWrap/>
            <w:vAlign w:val="center"/>
            <w:hideMark/>
          </w:tcPr>
          <w:p w14:paraId="15A67B71" w14:textId="77777777" w:rsidR="00D87792" w:rsidRPr="00D87792" w:rsidRDefault="00D87792" w:rsidP="00D87792">
            <w:pPr>
              <w:spacing w:after="0"/>
              <w:jc w:val="right"/>
              <w:rPr>
                <w:rFonts w:cs="Calibri"/>
                <w:szCs w:val="26"/>
                <w:lang w:eastAsia="en-IE"/>
              </w:rPr>
            </w:pPr>
            <w:r w:rsidRPr="00D87792">
              <w:rPr>
                <w:rFonts w:cs="Calibri"/>
                <w:szCs w:val="26"/>
                <w:lang w:eastAsia="en-IE"/>
              </w:rPr>
              <w:t>33.0</w:t>
            </w:r>
          </w:p>
        </w:tc>
        <w:tc>
          <w:tcPr>
            <w:tcW w:w="960" w:type="dxa"/>
            <w:tcBorders>
              <w:top w:val="nil"/>
              <w:left w:val="nil"/>
              <w:bottom w:val="single" w:sz="4" w:space="0" w:color="auto"/>
              <w:right w:val="single" w:sz="4" w:space="0" w:color="auto"/>
            </w:tcBorders>
            <w:shd w:val="clear" w:color="000000" w:fill="FFFFFF"/>
            <w:noWrap/>
            <w:vAlign w:val="center"/>
            <w:hideMark/>
          </w:tcPr>
          <w:p w14:paraId="2EDA5A25" w14:textId="77777777" w:rsidR="00D87792" w:rsidRPr="00D87792" w:rsidRDefault="00D87792" w:rsidP="00D87792">
            <w:pPr>
              <w:spacing w:after="0"/>
              <w:jc w:val="right"/>
              <w:rPr>
                <w:rFonts w:cs="Calibri"/>
                <w:szCs w:val="26"/>
                <w:lang w:eastAsia="en-IE"/>
              </w:rPr>
            </w:pPr>
            <w:r w:rsidRPr="00D87792">
              <w:rPr>
                <w:rFonts w:cs="Calibri"/>
                <w:szCs w:val="26"/>
                <w:lang w:eastAsia="en-IE"/>
              </w:rPr>
              <w:t>22.1</w:t>
            </w:r>
          </w:p>
        </w:tc>
      </w:tr>
      <w:tr w:rsidR="00D87792" w:rsidRPr="00D87792" w14:paraId="5AD80031" w14:textId="77777777" w:rsidTr="00785F52">
        <w:trPr>
          <w:trHeight w:val="345"/>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14:paraId="4DC9CC4C" w14:textId="77777777" w:rsidR="00D87792" w:rsidRPr="00D87792" w:rsidRDefault="00D87792" w:rsidP="00D87792">
            <w:pPr>
              <w:spacing w:after="0"/>
              <w:rPr>
                <w:rFonts w:cs="Calibri"/>
                <w:b/>
                <w:bCs/>
                <w:szCs w:val="26"/>
                <w:lang w:eastAsia="en-IE"/>
              </w:rPr>
            </w:pPr>
            <w:r w:rsidRPr="00D87792">
              <w:rPr>
                <w:rFonts w:cs="Calibri"/>
                <w:b/>
                <w:bCs/>
                <w:szCs w:val="26"/>
                <w:lang w:eastAsia="en-IE"/>
              </w:rPr>
              <w:t>Finland</w:t>
            </w:r>
          </w:p>
        </w:tc>
        <w:tc>
          <w:tcPr>
            <w:tcW w:w="960" w:type="dxa"/>
            <w:tcBorders>
              <w:top w:val="nil"/>
              <w:left w:val="nil"/>
              <w:bottom w:val="single" w:sz="4" w:space="0" w:color="auto"/>
              <w:right w:val="single" w:sz="4" w:space="0" w:color="auto"/>
            </w:tcBorders>
            <w:shd w:val="clear" w:color="000000" w:fill="FFFFFF"/>
            <w:noWrap/>
            <w:vAlign w:val="center"/>
            <w:hideMark/>
          </w:tcPr>
          <w:p w14:paraId="51AF528E" w14:textId="77777777" w:rsidR="00D87792" w:rsidRPr="00D87792" w:rsidRDefault="00D87792" w:rsidP="00D87792">
            <w:pPr>
              <w:spacing w:after="0"/>
              <w:jc w:val="right"/>
              <w:rPr>
                <w:rFonts w:cs="Calibri"/>
                <w:szCs w:val="26"/>
                <w:lang w:eastAsia="en-IE"/>
              </w:rPr>
            </w:pPr>
            <w:r w:rsidRPr="00D87792">
              <w:rPr>
                <w:rFonts w:cs="Calibri"/>
                <w:szCs w:val="26"/>
                <w:lang w:eastAsia="en-IE"/>
              </w:rPr>
              <w:t>20.6</w:t>
            </w:r>
          </w:p>
        </w:tc>
        <w:tc>
          <w:tcPr>
            <w:tcW w:w="960" w:type="dxa"/>
            <w:tcBorders>
              <w:top w:val="nil"/>
              <w:left w:val="nil"/>
              <w:bottom w:val="single" w:sz="4" w:space="0" w:color="auto"/>
              <w:right w:val="single" w:sz="4" w:space="0" w:color="auto"/>
            </w:tcBorders>
            <w:shd w:val="clear" w:color="000000" w:fill="FFFFFF"/>
            <w:noWrap/>
            <w:vAlign w:val="center"/>
            <w:hideMark/>
          </w:tcPr>
          <w:p w14:paraId="4DFEEE59" w14:textId="77777777" w:rsidR="00D87792" w:rsidRPr="00D87792" w:rsidRDefault="00D87792" w:rsidP="00D87792">
            <w:pPr>
              <w:spacing w:after="0"/>
              <w:jc w:val="right"/>
              <w:rPr>
                <w:rFonts w:cs="Calibri"/>
                <w:szCs w:val="26"/>
                <w:lang w:eastAsia="en-IE"/>
              </w:rPr>
            </w:pPr>
            <w:r w:rsidRPr="00D87792">
              <w:rPr>
                <w:rFonts w:cs="Calibri"/>
                <w:szCs w:val="26"/>
                <w:lang w:eastAsia="en-IE"/>
              </w:rPr>
              <w:t>19.9</w:t>
            </w:r>
          </w:p>
        </w:tc>
        <w:tc>
          <w:tcPr>
            <w:tcW w:w="960" w:type="dxa"/>
            <w:tcBorders>
              <w:top w:val="nil"/>
              <w:left w:val="nil"/>
              <w:bottom w:val="single" w:sz="4" w:space="0" w:color="auto"/>
              <w:right w:val="single" w:sz="4" w:space="0" w:color="auto"/>
            </w:tcBorders>
            <w:shd w:val="clear" w:color="000000" w:fill="FFFFFF"/>
            <w:noWrap/>
            <w:vAlign w:val="center"/>
            <w:hideMark/>
          </w:tcPr>
          <w:p w14:paraId="480AA13A" w14:textId="77777777" w:rsidR="00D87792" w:rsidRPr="00D87792" w:rsidRDefault="00D87792" w:rsidP="00D87792">
            <w:pPr>
              <w:spacing w:after="0"/>
              <w:jc w:val="right"/>
              <w:rPr>
                <w:rFonts w:cs="Calibri"/>
                <w:szCs w:val="26"/>
                <w:lang w:eastAsia="en-IE"/>
              </w:rPr>
            </w:pPr>
            <w:r w:rsidRPr="00D87792">
              <w:rPr>
                <w:rFonts w:cs="Calibri"/>
                <w:szCs w:val="26"/>
                <w:lang w:eastAsia="en-IE"/>
              </w:rPr>
              <w:t>22.1</w:t>
            </w:r>
          </w:p>
        </w:tc>
      </w:tr>
      <w:tr w:rsidR="00D87792" w:rsidRPr="00D87792" w14:paraId="0563785A" w14:textId="77777777" w:rsidTr="00785F52">
        <w:trPr>
          <w:trHeight w:val="345"/>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14:paraId="2B8C34A3" w14:textId="77777777" w:rsidR="00D87792" w:rsidRPr="00D87792" w:rsidRDefault="00D87792" w:rsidP="00D87792">
            <w:pPr>
              <w:spacing w:after="0"/>
              <w:rPr>
                <w:rFonts w:cs="Calibri"/>
                <w:b/>
                <w:bCs/>
                <w:szCs w:val="26"/>
                <w:lang w:eastAsia="en-IE"/>
              </w:rPr>
            </w:pPr>
            <w:r w:rsidRPr="00D87792">
              <w:rPr>
                <w:rFonts w:cs="Calibri"/>
                <w:b/>
                <w:bCs/>
                <w:szCs w:val="26"/>
                <w:lang w:eastAsia="en-IE"/>
              </w:rPr>
              <w:t>Slovenia</w:t>
            </w:r>
          </w:p>
        </w:tc>
        <w:tc>
          <w:tcPr>
            <w:tcW w:w="960" w:type="dxa"/>
            <w:tcBorders>
              <w:top w:val="nil"/>
              <w:left w:val="nil"/>
              <w:bottom w:val="single" w:sz="4" w:space="0" w:color="auto"/>
              <w:right w:val="single" w:sz="4" w:space="0" w:color="auto"/>
            </w:tcBorders>
            <w:shd w:val="clear" w:color="000000" w:fill="FFFFFF"/>
            <w:noWrap/>
            <w:vAlign w:val="center"/>
            <w:hideMark/>
          </w:tcPr>
          <w:p w14:paraId="3CCC2D14" w14:textId="77777777" w:rsidR="00D87792" w:rsidRPr="00D87792" w:rsidRDefault="00D87792" w:rsidP="00D87792">
            <w:pPr>
              <w:spacing w:after="0"/>
              <w:jc w:val="right"/>
              <w:rPr>
                <w:rFonts w:cs="Calibri"/>
                <w:szCs w:val="26"/>
                <w:lang w:eastAsia="en-IE"/>
              </w:rPr>
            </w:pPr>
            <w:r w:rsidRPr="00D87792">
              <w:rPr>
                <w:rFonts w:cs="Calibri"/>
                <w:szCs w:val="26"/>
                <w:lang w:eastAsia="en-IE"/>
              </w:rPr>
              <w:t>18.5</w:t>
            </w:r>
          </w:p>
        </w:tc>
        <w:tc>
          <w:tcPr>
            <w:tcW w:w="960" w:type="dxa"/>
            <w:tcBorders>
              <w:top w:val="nil"/>
              <w:left w:val="nil"/>
              <w:bottom w:val="single" w:sz="4" w:space="0" w:color="auto"/>
              <w:right w:val="single" w:sz="4" w:space="0" w:color="auto"/>
            </w:tcBorders>
            <w:shd w:val="clear" w:color="000000" w:fill="FFFFFF"/>
            <w:noWrap/>
            <w:vAlign w:val="center"/>
            <w:hideMark/>
          </w:tcPr>
          <w:p w14:paraId="7FEA2643" w14:textId="77777777" w:rsidR="00D87792" w:rsidRPr="00D87792" w:rsidRDefault="00D87792" w:rsidP="00D87792">
            <w:pPr>
              <w:spacing w:after="0"/>
              <w:jc w:val="right"/>
              <w:rPr>
                <w:rFonts w:cs="Calibri"/>
                <w:szCs w:val="26"/>
                <w:lang w:eastAsia="en-IE"/>
              </w:rPr>
            </w:pPr>
            <w:r w:rsidRPr="00D87792">
              <w:rPr>
                <w:rFonts w:cs="Calibri"/>
                <w:szCs w:val="26"/>
                <w:lang w:eastAsia="en-IE"/>
              </w:rPr>
              <w:t>21.7</w:t>
            </w:r>
          </w:p>
        </w:tc>
        <w:tc>
          <w:tcPr>
            <w:tcW w:w="960" w:type="dxa"/>
            <w:tcBorders>
              <w:top w:val="nil"/>
              <w:left w:val="nil"/>
              <w:bottom w:val="single" w:sz="4" w:space="0" w:color="auto"/>
              <w:right w:val="single" w:sz="4" w:space="0" w:color="auto"/>
            </w:tcBorders>
            <w:shd w:val="clear" w:color="000000" w:fill="FFFFFF"/>
            <w:noWrap/>
            <w:vAlign w:val="center"/>
            <w:hideMark/>
          </w:tcPr>
          <w:p w14:paraId="54CADBEA" w14:textId="77777777" w:rsidR="00D87792" w:rsidRPr="00D87792" w:rsidRDefault="00D87792" w:rsidP="00D87792">
            <w:pPr>
              <w:spacing w:after="0"/>
              <w:jc w:val="right"/>
              <w:rPr>
                <w:rFonts w:cs="Calibri"/>
                <w:szCs w:val="26"/>
                <w:lang w:eastAsia="en-IE"/>
              </w:rPr>
            </w:pPr>
            <w:r w:rsidRPr="00D87792">
              <w:rPr>
                <w:rFonts w:cs="Calibri"/>
                <w:szCs w:val="26"/>
                <w:lang w:eastAsia="en-IE"/>
              </w:rPr>
              <w:t>21.1</w:t>
            </w:r>
          </w:p>
        </w:tc>
      </w:tr>
      <w:tr w:rsidR="00D87792" w:rsidRPr="00D87792" w14:paraId="2A6FE4C6" w14:textId="77777777" w:rsidTr="00785F52">
        <w:trPr>
          <w:trHeight w:val="345"/>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14:paraId="540CCE17" w14:textId="77777777" w:rsidR="00D87792" w:rsidRPr="00D87792" w:rsidRDefault="00D87792" w:rsidP="00D87792">
            <w:pPr>
              <w:spacing w:after="0"/>
              <w:rPr>
                <w:rFonts w:cs="Calibri"/>
                <w:b/>
                <w:bCs/>
                <w:szCs w:val="26"/>
                <w:lang w:eastAsia="en-IE"/>
              </w:rPr>
            </w:pPr>
            <w:r w:rsidRPr="00D87792">
              <w:rPr>
                <w:rFonts w:cs="Calibri"/>
                <w:b/>
                <w:bCs/>
                <w:szCs w:val="26"/>
                <w:lang w:eastAsia="en-IE"/>
              </w:rPr>
              <w:t>Sweden</w:t>
            </w:r>
          </w:p>
        </w:tc>
        <w:tc>
          <w:tcPr>
            <w:tcW w:w="960" w:type="dxa"/>
            <w:tcBorders>
              <w:top w:val="nil"/>
              <w:left w:val="nil"/>
              <w:bottom w:val="single" w:sz="4" w:space="0" w:color="auto"/>
              <w:right w:val="single" w:sz="4" w:space="0" w:color="auto"/>
            </w:tcBorders>
            <w:shd w:val="clear" w:color="000000" w:fill="FFFFFF"/>
            <w:noWrap/>
            <w:vAlign w:val="center"/>
            <w:hideMark/>
          </w:tcPr>
          <w:p w14:paraId="0A4B2771" w14:textId="77777777" w:rsidR="00D87792" w:rsidRPr="00D87792" w:rsidRDefault="00D87792" w:rsidP="00D87792">
            <w:pPr>
              <w:spacing w:after="0"/>
              <w:jc w:val="right"/>
              <w:rPr>
                <w:rFonts w:cs="Calibri"/>
                <w:szCs w:val="26"/>
                <w:lang w:eastAsia="en-IE"/>
              </w:rPr>
            </w:pPr>
            <w:r w:rsidRPr="00D87792">
              <w:rPr>
                <w:rFonts w:cs="Calibri"/>
                <w:szCs w:val="26"/>
                <w:lang w:eastAsia="en-IE"/>
              </w:rPr>
              <w:t>24.9</w:t>
            </w:r>
          </w:p>
        </w:tc>
        <w:tc>
          <w:tcPr>
            <w:tcW w:w="960" w:type="dxa"/>
            <w:tcBorders>
              <w:top w:val="nil"/>
              <w:left w:val="nil"/>
              <w:bottom w:val="single" w:sz="4" w:space="0" w:color="auto"/>
              <w:right w:val="single" w:sz="4" w:space="0" w:color="auto"/>
            </w:tcBorders>
            <w:shd w:val="clear" w:color="000000" w:fill="FFFFFF"/>
            <w:noWrap/>
            <w:vAlign w:val="center"/>
            <w:hideMark/>
          </w:tcPr>
          <w:p w14:paraId="0034E0CA" w14:textId="77777777" w:rsidR="00D87792" w:rsidRPr="00D87792" w:rsidRDefault="00D87792" w:rsidP="00D87792">
            <w:pPr>
              <w:spacing w:after="0"/>
              <w:jc w:val="right"/>
              <w:rPr>
                <w:rFonts w:cs="Calibri"/>
                <w:szCs w:val="26"/>
                <w:lang w:eastAsia="en-IE"/>
              </w:rPr>
            </w:pPr>
            <w:r w:rsidRPr="00D87792">
              <w:rPr>
                <w:rFonts w:cs="Calibri"/>
                <w:szCs w:val="26"/>
                <w:lang w:eastAsia="en-IE"/>
              </w:rPr>
              <w:t>28.9</w:t>
            </w:r>
          </w:p>
        </w:tc>
        <w:tc>
          <w:tcPr>
            <w:tcW w:w="960" w:type="dxa"/>
            <w:tcBorders>
              <w:top w:val="nil"/>
              <w:left w:val="nil"/>
              <w:bottom w:val="single" w:sz="4" w:space="0" w:color="auto"/>
              <w:right w:val="single" w:sz="4" w:space="0" w:color="auto"/>
            </w:tcBorders>
            <w:shd w:val="clear" w:color="000000" w:fill="FFFFFF"/>
            <w:noWrap/>
            <w:vAlign w:val="center"/>
            <w:hideMark/>
          </w:tcPr>
          <w:p w14:paraId="07A0447B" w14:textId="77777777" w:rsidR="00D87792" w:rsidRPr="00D87792" w:rsidRDefault="00D87792" w:rsidP="00D87792">
            <w:pPr>
              <w:spacing w:after="0"/>
              <w:jc w:val="right"/>
              <w:rPr>
                <w:rFonts w:cs="Calibri"/>
                <w:szCs w:val="26"/>
                <w:lang w:eastAsia="en-IE"/>
              </w:rPr>
            </w:pPr>
            <w:r w:rsidRPr="00D87792">
              <w:rPr>
                <w:rFonts w:cs="Calibri"/>
                <w:szCs w:val="26"/>
                <w:lang w:eastAsia="en-IE"/>
              </w:rPr>
              <w:t>19.9</w:t>
            </w:r>
          </w:p>
        </w:tc>
      </w:tr>
      <w:tr w:rsidR="00D87792" w:rsidRPr="00D87792" w14:paraId="4F23D1BC" w14:textId="77777777" w:rsidTr="00785F52">
        <w:trPr>
          <w:trHeight w:val="345"/>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14:paraId="21A849BA" w14:textId="77777777" w:rsidR="00D87792" w:rsidRPr="00D87792" w:rsidRDefault="00D87792" w:rsidP="00D87792">
            <w:pPr>
              <w:spacing w:after="0"/>
              <w:rPr>
                <w:rFonts w:cs="Calibri"/>
                <w:b/>
                <w:bCs/>
                <w:szCs w:val="26"/>
                <w:lang w:eastAsia="en-IE"/>
              </w:rPr>
            </w:pPr>
            <w:r w:rsidRPr="00D87792">
              <w:rPr>
                <w:rFonts w:cs="Calibri"/>
                <w:b/>
                <w:bCs/>
                <w:szCs w:val="26"/>
                <w:lang w:eastAsia="en-IE"/>
              </w:rPr>
              <w:t>Estonia</w:t>
            </w:r>
          </w:p>
        </w:tc>
        <w:tc>
          <w:tcPr>
            <w:tcW w:w="960" w:type="dxa"/>
            <w:tcBorders>
              <w:top w:val="nil"/>
              <w:left w:val="nil"/>
              <w:bottom w:val="single" w:sz="4" w:space="0" w:color="auto"/>
              <w:right w:val="single" w:sz="4" w:space="0" w:color="auto"/>
            </w:tcBorders>
            <w:shd w:val="clear" w:color="000000" w:fill="FFFFFF"/>
            <w:noWrap/>
            <w:vAlign w:val="center"/>
            <w:hideMark/>
          </w:tcPr>
          <w:p w14:paraId="50212BF0" w14:textId="77777777" w:rsidR="00D87792" w:rsidRPr="00D87792" w:rsidRDefault="00D87792" w:rsidP="00D87792">
            <w:pPr>
              <w:spacing w:after="0"/>
              <w:jc w:val="right"/>
              <w:rPr>
                <w:rFonts w:cs="Calibri"/>
                <w:szCs w:val="26"/>
                <w:lang w:eastAsia="en-IE"/>
              </w:rPr>
            </w:pPr>
            <w:r w:rsidRPr="00D87792">
              <w:rPr>
                <w:rFonts w:cs="Calibri"/>
                <w:szCs w:val="26"/>
                <w:lang w:eastAsia="en-IE"/>
              </w:rPr>
              <w:t>21.2</w:t>
            </w:r>
          </w:p>
        </w:tc>
        <w:tc>
          <w:tcPr>
            <w:tcW w:w="960" w:type="dxa"/>
            <w:tcBorders>
              <w:top w:val="nil"/>
              <w:left w:val="nil"/>
              <w:bottom w:val="single" w:sz="4" w:space="0" w:color="auto"/>
              <w:right w:val="single" w:sz="4" w:space="0" w:color="auto"/>
            </w:tcBorders>
            <w:shd w:val="clear" w:color="000000" w:fill="FFFFFF"/>
            <w:noWrap/>
            <w:vAlign w:val="center"/>
            <w:hideMark/>
          </w:tcPr>
          <w:p w14:paraId="239F83B2" w14:textId="77777777" w:rsidR="00D87792" w:rsidRPr="00D87792" w:rsidRDefault="00D87792" w:rsidP="00D87792">
            <w:pPr>
              <w:spacing w:after="0"/>
              <w:jc w:val="right"/>
              <w:rPr>
                <w:rFonts w:cs="Calibri"/>
                <w:szCs w:val="26"/>
                <w:lang w:eastAsia="en-IE"/>
              </w:rPr>
            </w:pPr>
            <w:r w:rsidRPr="00D87792">
              <w:rPr>
                <w:rFonts w:cs="Calibri"/>
                <w:szCs w:val="26"/>
                <w:lang w:eastAsia="en-IE"/>
              </w:rPr>
              <w:t>20.6</w:t>
            </w:r>
          </w:p>
        </w:tc>
        <w:tc>
          <w:tcPr>
            <w:tcW w:w="960" w:type="dxa"/>
            <w:tcBorders>
              <w:top w:val="nil"/>
              <w:left w:val="nil"/>
              <w:bottom w:val="single" w:sz="4" w:space="0" w:color="auto"/>
              <w:right w:val="single" w:sz="4" w:space="0" w:color="auto"/>
            </w:tcBorders>
            <w:shd w:val="clear" w:color="000000" w:fill="FFFFFF"/>
            <w:noWrap/>
            <w:vAlign w:val="center"/>
            <w:hideMark/>
          </w:tcPr>
          <w:p w14:paraId="398C1C3B" w14:textId="77777777" w:rsidR="00D87792" w:rsidRPr="00D87792" w:rsidRDefault="00D87792" w:rsidP="00D87792">
            <w:pPr>
              <w:spacing w:after="0"/>
              <w:jc w:val="right"/>
              <w:rPr>
                <w:rFonts w:cs="Calibri"/>
                <w:szCs w:val="26"/>
                <w:lang w:eastAsia="en-IE"/>
              </w:rPr>
            </w:pPr>
            <w:r w:rsidRPr="00D87792">
              <w:rPr>
                <w:rFonts w:cs="Calibri"/>
                <w:szCs w:val="26"/>
                <w:lang w:eastAsia="en-IE"/>
              </w:rPr>
              <w:t>18.7</w:t>
            </w:r>
          </w:p>
        </w:tc>
      </w:tr>
      <w:tr w:rsidR="00D87792" w:rsidRPr="00D87792" w14:paraId="161EF738" w14:textId="77777777" w:rsidTr="00785F52">
        <w:trPr>
          <w:trHeight w:val="345"/>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14:paraId="2C31EC05" w14:textId="77777777" w:rsidR="00D87792" w:rsidRPr="00D87792" w:rsidRDefault="00D87792" w:rsidP="00D87792">
            <w:pPr>
              <w:spacing w:after="0"/>
              <w:rPr>
                <w:rFonts w:cs="Calibri"/>
                <w:b/>
                <w:bCs/>
                <w:szCs w:val="26"/>
                <w:lang w:eastAsia="en-IE"/>
              </w:rPr>
            </w:pPr>
            <w:r w:rsidRPr="00D87792">
              <w:rPr>
                <w:rFonts w:cs="Calibri"/>
                <w:b/>
                <w:bCs/>
                <w:szCs w:val="26"/>
                <w:lang w:eastAsia="en-IE"/>
              </w:rPr>
              <w:t>Latvia</w:t>
            </w:r>
          </w:p>
        </w:tc>
        <w:tc>
          <w:tcPr>
            <w:tcW w:w="960" w:type="dxa"/>
            <w:tcBorders>
              <w:top w:val="nil"/>
              <w:left w:val="nil"/>
              <w:bottom w:val="single" w:sz="4" w:space="0" w:color="auto"/>
              <w:right w:val="single" w:sz="4" w:space="0" w:color="auto"/>
            </w:tcBorders>
            <w:shd w:val="clear" w:color="000000" w:fill="FFFFFF"/>
            <w:noWrap/>
            <w:vAlign w:val="center"/>
            <w:hideMark/>
          </w:tcPr>
          <w:p w14:paraId="123843AD" w14:textId="77777777" w:rsidR="00D87792" w:rsidRPr="00D87792" w:rsidRDefault="00D87792" w:rsidP="00D87792">
            <w:pPr>
              <w:spacing w:after="0"/>
              <w:jc w:val="right"/>
              <w:rPr>
                <w:rFonts w:cs="Calibri"/>
                <w:szCs w:val="26"/>
                <w:lang w:eastAsia="en-IE"/>
              </w:rPr>
            </w:pPr>
            <w:r w:rsidRPr="00D87792">
              <w:rPr>
                <w:rFonts w:cs="Calibri"/>
                <w:szCs w:val="26"/>
                <w:lang w:eastAsia="en-IE"/>
              </w:rPr>
              <w:t>19.0</w:t>
            </w:r>
          </w:p>
        </w:tc>
        <w:tc>
          <w:tcPr>
            <w:tcW w:w="960" w:type="dxa"/>
            <w:tcBorders>
              <w:top w:val="nil"/>
              <w:left w:val="nil"/>
              <w:bottom w:val="single" w:sz="4" w:space="0" w:color="auto"/>
              <w:right w:val="single" w:sz="4" w:space="0" w:color="auto"/>
            </w:tcBorders>
            <w:shd w:val="clear" w:color="000000" w:fill="FFFFFF"/>
            <w:noWrap/>
            <w:vAlign w:val="center"/>
            <w:hideMark/>
          </w:tcPr>
          <w:p w14:paraId="1388FEBF" w14:textId="77777777" w:rsidR="00D87792" w:rsidRPr="00D87792" w:rsidRDefault="00D87792" w:rsidP="00D87792">
            <w:pPr>
              <w:spacing w:after="0"/>
              <w:jc w:val="right"/>
              <w:rPr>
                <w:rFonts w:cs="Calibri"/>
                <w:szCs w:val="26"/>
                <w:lang w:eastAsia="en-IE"/>
              </w:rPr>
            </w:pPr>
            <w:r w:rsidRPr="00D87792">
              <w:rPr>
                <w:rFonts w:cs="Calibri"/>
                <w:szCs w:val="26"/>
                <w:lang w:eastAsia="en-IE"/>
              </w:rPr>
              <w:t>16.7</w:t>
            </w:r>
          </w:p>
        </w:tc>
        <w:tc>
          <w:tcPr>
            <w:tcW w:w="960" w:type="dxa"/>
            <w:tcBorders>
              <w:top w:val="nil"/>
              <w:left w:val="nil"/>
              <w:bottom w:val="single" w:sz="4" w:space="0" w:color="auto"/>
              <w:right w:val="single" w:sz="4" w:space="0" w:color="auto"/>
            </w:tcBorders>
            <w:shd w:val="clear" w:color="000000" w:fill="FFFFFF"/>
            <w:noWrap/>
            <w:vAlign w:val="center"/>
            <w:hideMark/>
          </w:tcPr>
          <w:p w14:paraId="09A19006" w14:textId="77777777" w:rsidR="00D87792" w:rsidRPr="00D87792" w:rsidRDefault="00D87792" w:rsidP="00D87792">
            <w:pPr>
              <w:spacing w:after="0"/>
              <w:jc w:val="right"/>
              <w:rPr>
                <w:rFonts w:cs="Calibri"/>
                <w:szCs w:val="26"/>
                <w:lang w:eastAsia="en-IE"/>
              </w:rPr>
            </w:pPr>
            <w:r w:rsidRPr="00D87792">
              <w:rPr>
                <w:rFonts w:cs="Calibri"/>
                <w:szCs w:val="26"/>
                <w:lang w:eastAsia="en-IE"/>
              </w:rPr>
              <w:t>16.6</w:t>
            </w:r>
          </w:p>
        </w:tc>
      </w:tr>
      <w:tr w:rsidR="00D87792" w:rsidRPr="00D87792" w14:paraId="340EF39A" w14:textId="77777777" w:rsidTr="00785F52">
        <w:trPr>
          <w:trHeight w:val="345"/>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14:paraId="3CFEEC4C" w14:textId="77777777" w:rsidR="00D87792" w:rsidRPr="00D87792" w:rsidRDefault="00D87792" w:rsidP="00D87792">
            <w:pPr>
              <w:spacing w:after="0"/>
              <w:rPr>
                <w:rFonts w:cs="Calibri"/>
                <w:b/>
                <w:bCs/>
                <w:szCs w:val="26"/>
                <w:lang w:eastAsia="en-IE"/>
              </w:rPr>
            </w:pPr>
            <w:r w:rsidRPr="00D87792">
              <w:rPr>
                <w:rFonts w:cs="Calibri"/>
                <w:b/>
                <w:bCs/>
                <w:szCs w:val="26"/>
                <w:lang w:eastAsia="en-IE"/>
              </w:rPr>
              <w:lastRenderedPageBreak/>
              <w:t>Portugal</w:t>
            </w:r>
          </w:p>
        </w:tc>
        <w:tc>
          <w:tcPr>
            <w:tcW w:w="960" w:type="dxa"/>
            <w:tcBorders>
              <w:top w:val="nil"/>
              <w:left w:val="nil"/>
              <w:bottom w:val="single" w:sz="4" w:space="0" w:color="auto"/>
              <w:right w:val="single" w:sz="4" w:space="0" w:color="auto"/>
            </w:tcBorders>
            <w:shd w:val="clear" w:color="000000" w:fill="FFFFFF"/>
            <w:noWrap/>
            <w:vAlign w:val="center"/>
            <w:hideMark/>
          </w:tcPr>
          <w:p w14:paraId="1ABBE7FE" w14:textId="77777777" w:rsidR="00D87792" w:rsidRPr="00D87792" w:rsidRDefault="00D87792" w:rsidP="00D87792">
            <w:pPr>
              <w:spacing w:after="0"/>
              <w:jc w:val="right"/>
              <w:rPr>
                <w:rFonts w:cs="Calibri"/>
                <w:szCs w:val="26"/>
                <w:lang w:eastAsia="en-IE"/>
              </w:rPr>
            </w:pPr>
            <w:r w:rsidRPr="00D87792">
              <w:rPr>
                <w:rFonts w:cs="Calibri"/>
                <w:szCs w:val="26"/>
                <w:lang w:eastAsia="en-IE"/>
              </w:rPr>
              <w:t>19.2</w:t>
            </w:r>
          </w:p>
        </w:tc>
        <w:tc>
          <w:tcPr>
            <w:tcW w:w="960" w:type="dxa"/>
            <w:tcBorders>
              <w:top w:val="nil"/>
              <w:left w:val="nil"/>
              <w:bottom w:val="single" w:sz="4" w:space="0" w:color="auto"/>
              <w:right w:val="single" w:sz="4" w:space="0" w:color="auto"/>
            </w:tcBorders>
            <w:shd w:val="clear" w:color="000000" w:fill="FFFFFF"/>
            <w:noWrap/>
            <w:vAlign w:val="center"/>
            <w:hideMark/>
          </w:tcPr>
          <w:p w14:paraId="35BFC095" w14:textId="77777777" w:rsidR="00D87792" w:rsidRPr="00D87792" w:rsidRDefault="00D87792" w:rsidP="00D87792">
            <w:pPr>
              <w:spacing w:after="0"/>
              <w:jc w:val="right"/>
              <w:rPr>
                <w:rFonts w:cs="Calibri"/>
                <w:szCs w:val="26"/>
                <w:lang w:eastAsia="en-IE"/>
              </w:rPr>
            </w:pPr>
            <w:r w:rsidRPr="00D87792">
              <w:rPr>
                <w:rFonts w:cs="Calibri"/>
                <w:szCs w:val="26"/>
                <w:lang w:eastAsia="en-IE"/>
              </w:rPr>
              <w:t>18.2</w:t>
            </w:r>
          </w:p>
        </w:tc>
        <w:tc>
          <w:tcPr>
            <w:tcW w:w="960" w:type="dxa"/>
            <w:tcBorders>
              <w:top w:val="nil"/>
              <w:left w:val="nil"/>
              <w:bottom w:val="single" w:sz="4" w:space="0" w:color="auto"/>
              <w:right w:val="single" w:sz="4" w:space="0" w:color="auto"/>
            </w:tcBorders>
            <w:shd w:val="clear" w:color="000000" w:fill="FFFFFF"/>
            <w:noWrap/>
            <w:vAlign w:val="center"/>
            <w:hideMark/>
          </w:tcPr>
          <w:p w14:paraId="184BEEA5" w14:textId="77777777" w:rsidR="00D87792" w:rsidRPr="00D87792" w:rsidRDefault="00D87792" w:rsidP="00D87792">
            <w:pPr>
              <w:spacing w:after="0"/>
              <w:jc w:val="right"/>
              <w:rPr>
                <w:rFonts w:cs="Calibri"/>
                <w:szCs w:val="26"/>
                <w:lang w:eastAsia="en-IE"/>
              </w:rPr>
            </w:pPr>
            <w:r w:rsidRPr="00D87792">
              <w:rPr>
                <w:rFonts w:cs="Calibri"/>
                <w:szCs w:val="26"/>
                <w:lang w:eastAsia="en-IE"/>
              </w:rPr>
              <w:t>16.2</w:t>
            </w:r>
          </w:p>
        </w:tc>
      </w:tr>
      <w:tr w:rsidR="00D87792" w:rsidRPr="00D87792" w14:paraId="52299DDB" w14:textId="77777777" w:rsidTr="00785F52">
        <w:trPr>
          <w:trHeight w:val="345"/>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14:paraId="3CA4359C" w14:textId="77777777" w:rsidR="00D87792" w:rsidRPr="00D87792" w:rsidRDefault="00D87792" w:rsidP="00D87792">
            <w:pPr>
              <w:spacing w:after="0"/>
              <w:rPr>
                <w:rFonts w:cs="Calibri"/>
                <w:b/>
                <w:bCs/>
                <w:szCs w:val="26"/>
                <w:lang w:eastAsia="en-IE"/>
              </w:rPr>
            </w:pPr>
            <w:r w:rsidRPr="00D87792">
              <w:rPr>
                <w:rFonts w:cs="Calibri"/>
                <w:b/>
                <w:bCs/>
                <w:szCs w:val="26"/>
                <w:lang w:eastAsia="en-IE"/>
              </w:rPr>
              <w:t>Spain</w:t>
            </w:r>
          </w:p>
        </w:tc>
        <w:tc>
          <w:tcPr>
            <w:tcW w:w="960" w:type="dxa"/>
            <w:tcBorders>
              <w:top w:val="nil"/>
              <w:left w:val="nil"/>
              <w:bottom w:val="single" w:sz="4" w:space="0" w:color="auto"/>
              <w:right w:val="single" w:sz="4" w:space="0" w:color="auto"/>
            </w:tcBorders>
            <w:shd w:val="clear" w:color="000000" w:fill="FFFFFF"/>
            <w:noWrap/>
            <w:vAlign w:val="center"/>
            <w:hideMark/>
          </w:tcPr>
          <w:p w14:paraId="02A97346" w14:textId="77777777" w:rsidR="00D87792" w:rsidRPr="00D87792" w:rsidRDefault="00D87792" w:rsidP="00D87792">
            <w:pPr>
              <w:spacing w:after="0"/>
              <w:jc w:val="right"/>
              <w:rPr>
                <w:rFonts w:cs="Calibri"/>
                <w:szCs w:val="26"/>
                <w:lang w:eastAsia="en-IE"/>
              </w:rPr>
            </w:pPr>
            <w:r w:rsidRPr="00D87792">
              <w:rPr>
                <w:rFonts w:cs="Calibri"/>
                <w:szCs w:val="26"/>
                <w:lang w:eastAsia="en-IE"/>
              </w:rPr>
              <w:t>30.1</w:t>
            </w:r>
          </w:p>
        </w:tc>
        <w:tc>
          <w:tcPr>
            <w:tcW w:w="960" w:type="dxa"/>
            <w:tcBorders>
              <w:top w:val="nil"/>
              <w:left w:val="nil"/>
              <w:bottom w:val="single" w:sz="4" w:space="0" w:color="auto"/>
              <w:right w:val="single" w:sz="4" w:space="0" w:color="auto"/>
            </w:tcBorders>
            <w:shd w:val="clear" w:color="000000" w:fill="FFFFFF"/>
            <w:noWrap/>
            <w:vAlign w:val="center"/>
            <w:hideMark/>
          </w:tcPr>
          <w:p w14:paraId="39B7F07D" w14:textId="77777777" w:rsidR="00D87792" w:rsidRPr="00D87792" w:rsidRDefault="00D87792" w:rsidP="00D87792">
            <w:pPr>
              <w:spacing w:after="0"/>
              <w:jc w:val="right"/>
              <w:rPr>
                <w:rFonts w:cs="Calibri"/>
                <w:szCs w:val="26"/>
                <w:lang w:eastAsia="en-IE"/>
              </w:rPr>
            </w:pPr>
            <w:r w:rsidRPr="00D87792">
              <w:rPr>
                <w:rFonts w:cs="Calibri"/>
                <w:szCs w:val="26"/>
                <w:lang w:eastAsia="en-IE"/>
              </w:rPr>
              <w:t>21.6</w:t>
            </w:r>
          </w:p>
        </w:tc>
        <w:tc>
          <w:tcPr>
            <w:tcW w:w="960" w:type="dxa"/>
            <w:tcBorders>
              <w:top w:val="nil"/>
              <w:left w:val="nil"/>
              <w:bottom w:val="single" w:sz="4" w:space="0" w:color="auto"/>
              <w:right w:val="single" w:sz="4" w:space="0" w:color="auto"/>
            </w:tcBorders>
            <w:shd w:val="clear" w:color="000000" w:fill="FFFFFF"/>
            <w:noWrap/>
            <w:vAlign w:val="center"/>
            <w:hideMark/>
          </w:tcPr>
          <w:p w14:paraId="6091BDC2" w14:textId="77777777" w:rsidR="00D87792" w:rsidRPr="00D87792" w:rsidRDefault="00D87792" w:rsidP="00D87792">
            <w:pPr>
              <w:spacing w:after="0"/>
              <w:jc w:val="right"/>
              <w:rPr>
                <w:rFonts w:cs="Calibri"/>
                <w:szCs w:val="26"/>
                <w:lang w:eastAsia="en-IE"/>
              </w:rPr>
            </w:pPr>
            <w:r w:rsidRPr="00D87792">
              <w:rPr>
                <w:rFonts w:cs="Calibri"/>
                <w:szCs w:val="26"/>
                <w:lang w:eastAsia="en-IE"/>
              </w:rPr>
              <w:t>15.9</w:t>
            </w:r>
          </w:p>
        </w:tc>
      </w:tr>
      <w:tr w:rsidR="00D87792" w:rsidRPr="00D87792" w14:paraId="431A7854" w14:textId="77777777" w:rsidTr="00785F52">
        <w:trPr>
          <w:trHeight w:val="345"/>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14:paraId="2199C75B" w14:textId="77777777" w:rsidR="00D87792" w:rsidRPr="00D87792" w:rsidRDefault="00D87792" w:rsidP="00D87792">
            <w:pPr>
              <w:spacing w:after="0"/>
              <w:rPr>
                <w:rFonts w:cs="Calibri"/>
                <w:b/>
                <w:bCs/>
                <w:szCs w:val="26"/>
                <w:lang w:eastAsia="en-IE"/>
              </w:rPr>
            </w:pPr>
            <w:r w:rsidRPr="00D87792">
              <w:rPr>
                <w:rFonts w:cs="Calibri"/>
                <w:b/>
                <w:bCs/>
                <w:szCs w:val="26"/>
                <w:lang w:eastAsia="en-IE"/>
              </w:rPr>
              <w:t>Luxembourg</w:t>
            </w:r>
          </w:p>
        </w:tc>
        <w:tc>
          <w:tcPr>
            <w:tcW w:w="960" w:type="dxa"/>
            <w:tcBorders>
              <w:top w:val="nil"/>
              <w:left w:val="nil"/>
              <w:bottom w:val="single" w:sz="4" w:space="0" w:color="auto"/>
              <w:right w:val="single" w:sz="4" w:space="0" w:color="auto"/>
            </w:tcBorders>
            <w:shd w:val="clear" w:color="000000" w:fill="FFFFFF"/>
            <w:noWrap/>
            <w:vAlign w:val="center"/>
            <w:hideMark/>
          </w:tcPr>
          <w:p w14:paraId="2381BE02" w14:textId="77777777" w:rsidR="00D87792" w:rsidRPr="00D87792" w:rsidRDefault="00D87792" w:rsidP="00D87792">
            <w:pPr>
              <w:spacing w:after="0"/>
              <w:jc w:val="right"/>
              <w:rPr>
                <w:rFonts w:cs="Calibri"/>
                <w:szCs w:val="26"/>
                <w:lang w:eastAsia="en-IE"/>
              </w:rPr>
            </w:pPr>
            <w:r w:rsidRPr="00D87792">
              <w:rPr>
                <w:rFonts w:cs="Calibri"/>
                <w:szCs w:val="26"/>
                <w:lang w:eastAsia="en-IE"/>
              </w:rPr>
              <w:t>20.1</w:t>
            </w:r>
          </w:p>
        </w:tc>
        <w:tc>
          <w:tcPr>
            <w:tcW w:w="960" w:type="dxa"/>
            <w:tcBorders>
              <w:top w:val="nil"/>
              <w:left w:val="nil"/>
              <w:bottom w:val="single" w:sz="4" w:space="0" w:color="auto"/>
              <w:right w:val="single" w:sz="4" w:space="0" w:color="auto"/>
            </w:tcBorders>
            <w:shd w:val="clear" w:color="000000" w:fill="FFFFFF"/>
            <w:noWrap/>
            <w:vAlign w:val="center"/>
            <w:hideMark/>
          </w:tcPr>
          <w:p w14:paraId="4363254C" w14:textId="77777777" w:rsidR="00D87792" w:rsidRPr="00D87792" w:rsidRDefault="00D87792" w:rsidP="00D87792">
            <w:pPr>
              <w:spacing w:after="0"/>
              <w:jc w:val="right"/>
              <w:rPr>
                <w:rFonts w:cs="Calibri"/>
                <w:szCs w:val="26"/>
                <w:lang w:eastAsia="en-IE"/>
              </w:rPr>
            </w:pPr>
            <w:r w:rsidRPr="00D87792">
              <w:rPr>
                <w:rFonts w:cs="Calibri"/>
                <w:szCs w:val="26"/>
                <w:lang w:eastAsia="en-IE"/>
              </w:rPr>
              <w:t>22.1</w:t>
            </w:r>
          </w:p>
        </w:tc>
        <w:tc>
          <w:tcPr>
            <w:tcW w:w="960" w:type="dxa"/>
            <w:tcBorders>
              <w:top w:val="nil"/>
              <w:left w:val="nil"/>
              <w:bottom w:val="single" w:sz="4" w:space="0" w:color="auto"/>
              <w:right w:val="single" w:sz="4" w:space="0" w:color="auto"/>
            </w:tcBorders>
            <w:shd w:val="clear" w:color="000000" w:fill="FFFFFF"/>
            <w:noWrap/>
            <w:vAlign w:val="center"/>
            <w:hideMark/>
          </w:tcPr>
          <w:p w14:paraId="4D9AB4E4" w14:textId="77777777" w:rsidR="00D87792" w:rsidRPr="00D87792" w:rsidRDefault="00D87792" w:rsidP="00D87792">
            <w:pPr>
              <w:spacing w:after="0"/>
              <w:jc w:val="right"/>
              <w:rPr>
                <w:rFonts w:cs="Calibri"/>
                <w:szCs w:val="26"/>
                <w:lang w:eastAsia="en-IE"/>
              </w:rPr>
            </w:pPr>
            <w:r w:rsidRPr="00D87792">
              <w:rPr>
                <w:rFonts w:cs="Calibri"/>
                <w:szCs w:val="26"/>
                <w:lang w:eastAsia="en-IE"/>
              </w:rPr>
              <w:t>15.4</w:t>
            </w:r>
          </w:p>
        </w:tc>
      </w:tr>
      <w:tr w:rsidR="00D87792" w:rsidRPr="00D87792" w14:paraId="0C65EEA2" w14:textId="77777777" w:rsidTr="00785F52">
        <w:trPr>
          <w:trHeight w:val="345"/>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14:paraId="6986FEC3" w14:textId="77777777" w:rsidR="00D87792" w:rsidRPr="00D87792" w:rsidRDefault="00D87792" w:rsidP="00D87792">
            <w:pPr>
              <w:spacing w:after="0"/>
              <w:rPr>
                <w:rFonts w:cs="Calibri"/>
                <w:b/>
                <w:bCs/>
                <w:szCs w:val="26"/>
                <w:lang w:eastAsia="en-IE"/>
              </w:rPr>
            </w:pPr>
            <w:r w:rsidRPr="00D87792">
              <w:rPr>
                <w:rFonts w:cs="Calibri"/>
                <w:b/>
                <w:bCs/>
                <w:szCs w:val="26"/>
                <w:lang w:eastAsia="en-IE"/>
              </w:rPr>
              <w:t>Italy</w:t>
            </w:r>
          </w:p>
        </w:tc>
        <w:tc>
          <w:tcPr>
            <w:tcW w:w="960" w:type="dxa"/>
            <w:tcBorders>
              <w:top w:val="nil"/>
              <w:left w:val="nil"/>
              <w:bottom w:val="single" w:sz="4" w:space="0" w:color="auto"/>
              <w:right w:val="single" w:sz="4" w:space="0" w:color="auto"/>
            </w:tcBorders>
            <w:shd w:val="clear" w:color="000000" w:fill="FFFFFF"/>
            <w:noWrap/>
            <w:vAlign w:val="center"/>
            <w:hideMark/>
          </w:tcPr>
          <w:p w14:paraId="7AE86D48" w14:textId="77777777" w:rsidR="00D87792" w:rsidRPr="00D87792" w:rsidRDefault="00D87792" w:rsidP="00D87792">
            <w:pPr>
              <w:spacing w:after="0"/>
              <w:jc w:val="right"/>
              <w:rPr>
                <w:rFonts w:cs="Calibri"/>
                <w:szCs w:val="26"/>
                <w:lang w:eastAsia="en-IE"/>
              </w:rPr>
            </w:pPr>
            <w:r w:rsidRPr="00D87792">
              <w:rPr>
                <w:rFonts w:cs="Calibri"/>
                <w:szCs w:val="26"/>
                <w:lang w:eastAsia="en-IE"/>
              </w:rPr>
              <w:t>16.9</w:t>
            </w:r>
          </w:p>
        </w:tc>
        <w:tc>
          <w:tcPr>
            <w:tcW w:w="960" w:type="dxa"/>
            <w:tcBorders>
              <w:top w:val="nil"/>
              <w:left w:val="nil"/>
              <w:bottom w:val="single" w:sz="4" w:space="0" w:color="auto"/>
              <w:right w:val="single" w:sz="4" w:space="0" w:color="auto"/>
            </w:tcBorders>
            <w:shd w:val="clear" w:color="000000" w:fill="FFFFFF"/>
            <w:noWrap/>
            <w:vAlign w:val="center"/>
            <w:hideMark/>
          </w:tcPr>
          <w:p w14:paraId="41B55952" w14:textId="77777777" w:rsidR="00D87792" w:rsidRPr="00D87792" w:rsidRDefault="00D87792" w:rsidP="00D87792">
            <w:pPr>
              <w:spacing w:after="0"/>
              <w:jc w:val="right"/>
              <w:rPr>
                <w:rFonts w:cs="Calibri"/>
                <w:szCs w:val="26"/>
                <w:lang w:eastAsia="en-IE"/>
              </w:rPr>
            </w:pPr>
            <w:r w:rsidRPr="00D87792">
              <w:rPr>
                <w:rFonts w:cs="Calibri"/>
                <w:szCs w:val="26"/>
                <w:lang w:eastAsia="en-IE"/>
              </w:rPr>
              <w:t>14.9</w:t>
            </w:r>
          </w:p>
        </w:tc>
        <w:tc>
          <w:tcPr>
            <w:tcW w:w="960" w:type="dxa"/>
            <w:tcBorders>
              <w:top w:val="nil"/>
              <w:left w:val="nil"/>
              <w:bottom w:val="single" w:sz="4" w:space="0" w:color="auto"/>
              <w:right w:val="single" w:sz="4" w:space="0" w:color="auto"/>
            </w:tcBorders>
            <w:shd w:val="clear" w:color="000000" w:fill="FFFFFF"/>
            <w:noWrap/>
            <w:vAlign w:val="center"/>
            <w:hideMark/>
          </w:tcPr>
          <w:p w14:paraId="6530637F" w14:textId="77777777" w:rsidR="00D87792" w:rsidRPr="00D87792" w:rsidRDefault="00D87792" w:rsidP="00D87792">
            <w:pPr>
              <w:spacing w:after="0"/>
              <w:jc w:val="right"/>
              <w:rPr>
                <w:rFonts w:cs="Calibri"/>
                <w:szCs w:val="26"/>
                <w:lang w:eastAsia="en-IE"/>
              </w:rPr>
            </w:pPr>
            <w:r w:rsidRPr="00D87792">
              <w:rPr>
                <w:rFonts w:cs="Calibri"/>
                <w:szCs w:val="26"/>
                <w:lang w:eastAsia="en-IE"/>
              </w:rPr>
              <w:t>14.9</w:t>
            </w:r>
          </w:p>
        </w:tc>
      </w:tr>
      <w:tr w:rsidR="00D87792" w:rsidRPr="00D87792" w14:paraId="525AF469" w14:textId="77777777" w:rsidTr="00785F52">
        <w:trPr>
          <w:trHeight w:val="345"/>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14:paraId="3D807B1E" w14:textId="77777777" w:rsidR="00D87792" w:rsidRPr="00D87792" w:rsidRDefault="00D87792" w:rsidP="00D87792">
            <w:pPr>
              <w:spacing w:after="0"/>
              <w:rPr>
                <w:rFonts w:cs="Calibri"/>
                <w:b/>
                <w:bCs/>
                <w:szCs w:val="26"/>
                <w:lang w:eastAsia="en-IE"/>
              </w:rPr>
            </w:pPr>
            <w:r w:rsidRPr="00D87792">
              <w:rPr>
                <w:rFonts w:cs="Calibri"/>
                <w:b/>
                <w:bCs/>
                <w:szCs w:val="26"/>
                <w:lang w:eastAsia="en-IE"/>
              </w:rPr>
              <w:t>Switzerland</w:t>
            </w:r>
          </w:p>
        </w:tc>
        <w:tc>
          <w:tcPr>
            <w:tcW w:w="960" w:type="dxa"/>
            <w:tcBorders>
              <w:top w:val="nil"/>
              <w:left w:val="nil"/>
              <w:bottom w:val="single" w:sz="4" w:space="0" w:color="auto"/>
              <w:right w:val="single" w:sz="4" w:space="0" w:color="auto"/>
            </w:tcBorders>
            <w:shd w:val="clear" w:color="000000" w:fill="FFFFFF"/>
            <w:noWrap/>
            <w:vAlign w:val="center"/>
            <w:hideMark/>
          </w:tcPr>
          <w:p w14:paraId="05000592" w14:textId="77777777" w:rsidR="00D87792" w:rsidRPr="00D87792" w:rsidRDefault="00D87792" w:rsidP="00D87792">
            <w:pPr>
              <w:spacing w:after="0"/>
              <w:jc w:val="right"/>
              <w:rPr>
                <w:rFonts w:cs="Calibri"/>
                <w:szCs w:val="26"/>
                <w:lang w:eastAsia="en-IE"/>
              </w:rPr>
            </w:pPr>
            <w:r w:rsidRPr="00D87792">
              <w:rPr>
                <w:rFonts w:cs="Calibri"/>
                <w:szCs w:val="26"/>
                <w:lang w:eastAsia="en-IE"/>
              </w:rPr>
              <w:t>14.0</w:t>
            </w:r>
          </w:p>
        </w:tc>
        <w:tc>
          <w:tcPr>
            <w:tcW w:w="960" w:type="dxa"/>
            <w:tcBorders>
              <w:top w:val="nil"/>
              <w:left w:val="nil"/>
              <w:bottom w:val="single" w:sz="4" w:space="0" w:color="auto"/>
              <w:right w:val="single" w:sz="4" w:space="0" w:color="auto"/>
            </w:tcBorders>
            <w:shd w:val="clear" w:color="000000" w:fill="FFFFFF"/>
            <w:noWrap/>
            <w:vAlign w:val="center"/>
            <w:hideMark/>
          </w:tcPr>
          <w:p w14:paraId="6CE25314" w14:textId="77777777" w:rsidR="00D87792" w:rsidRPr="00D87792" w:rsidRDefault="00D87792" w:rsidP="00D87792">
            <w:pPr>
              <w:spacing w:after="0"/>
              <w:jc w:val="right"/>
              <w:rPr>
                <w:rFonts w:cs="Calibri"/>
                <w:szCs w:val="26"/>
                <w:lang w:eastAsia="en-IE"/>
              </w:rPr>
            </w:pPr>
            <w:r w:rsidRPr="00D87792">
              <w:rPr>
                <w:rFonts w:cs="Calibri"/>
                <w:szCs w:val="26"/>
                <w:lang w:eastAsia="en-IE"/>
              </w:rPr>
              <w:t>13.4</w:t>
            </w:r>
          </w:p>
        </w:tc>
        <w:tc>
          <w:tcPr>
            <w:tcW w:w="960" w:type="dxa"/>
            <w:tcBorders>
              <w:top w:val="nil"/>
              <w:left w:val="nil"/>
              <w:bottom w:val="single" w:sz="4" w:space="0" w:color="auto"/>
              <w:right w:val="single" w:sz="4" w:space="0" w:color="auto"/>
            </w:tcBorders>
            <w:shd w:val="clear" w:color="000000" w:fill="FFFFFF"/>
            <w:noWrap/>
            <w:vAlign w:val="center"/>
            <w:hideMark/>
          </w:tcPr>
          <w:p w14:paraId="419A2A70" w14:textId="77777777" w:rsidR="00D87792" w:rsidRPr="00D87792" w:rsidRDefault="00D87792" w:rsidP="00D87792">
            <w:pPr>
              <w:spacing w:after="0"/>
              <w:jc w:val="right"/>
              <w:rPr>
                <w:rFonts w:cs="Calibri"/>
                <w:szCs w:val="26"/>
                <w:lang w:eastAsia="en-IE"/>
              </w:rPr>
            </w:pPr>
            <w:r w:rsidRPr="00D87792">
              <w:rPr>
                <w:rFonts w:cs="Calibri"/>
                <w:szCs w:val="26"/>
                <w:lang w:eastAsia="en-IE"/>
              </w:rPr>
              <w:t>13.4</w:t>
            </w:r>
          </w:p>
        </w:tc>
      </w:tr>
      <w:tr w:rsidR="00D87792" w:rsidRPr="00D87792" w14:paraId="6AC61226" w14:textId="77777777" w:rsidTr="00785F52">
        <w:trPr>
          <w:trHeight w:val="345"/>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14:paraId="065F454D" w14:textId="77777777" w:rsidR="00D87792" w:rsidRPr="00D87792" w:rsidRDefault="00D87792" w:rsidP="00D87792">
            <w:pPr>
              <w:spacing w:after="0"/>
              <w:rPr>
                <w:rFonts w:cs="Calibri"/>
                <w:b/>
                <w:bCs/>
                <w:szCs w:val="26"/>
                <w:lang w:eastAsia="en-IE"/>
              </w:rPr>
            </w:pPr>
            <w:r w:rsidRPr="00D87792">
              <w:rPr>
                <w:rFonts w:cs="Calibri"/>
                <w:b/>
                <w:bCs/>
                <w:szCs w:val="26"/>
                <w:lang w:eastAsia="en-IE"/>
              </w:rPr>
              <w:t>Denmark</w:t>
            </w:r>
          </w:p>
        </w:tc>
        <w:tc>
          <w:tcPr>
            <w:tcW w:w="960" w:type="dxa"/>
            <w:tcBorders>
              <w:top w:val="nil"/>
              <w:left w:val="nil"/>
              <w:bottom w:val="single" w:sz="4" w:space="0" w:color="auto"/>
              <w:right w:val="single" w:sz="4" w:space="0" w:color="auto"/>
            </w:tcBorders>
            <w:shd w:val="clear" w:color="000000" w:fill="FFFFFF"/>
            <w:noWrap/>
            <w:vAlign w:val="center"/>
            <w:hideMark/>
          </w:tcPr>
          <w:p w14:paraId="0FF256B2" w14:textId="77777777" w:rsidR="00D87792" w:rsidRPr="00D87792" w:rsidRDefault="00D87792" w:rsidP="00D87792">
            <w:pPr>
              <w:spacing w:after="0"/>
              <w:jc w:val="right"/>
              <w:rPr>
                <w:rFonts w:cs="Calibri"/>
                <w:szCs w:val="26"/>
                <w:lang w:eastAsia="en-IE"/>
              </w:rPr>
            </w:pPr>
            <w:r w:rsidRPr="00D87792">
              <w:rPr>
                <w:rFonts w:cs="Calibri"/>
                <w:szCs w:val="26"/>
                <w:lang w:eastAsia="en-IE"/>
              </w:rPr>
              <w:t>16.6</w:t>
            </w:r>
          </w:p>
        </w:tc>
        <w:tc>
          <w:tcPr>
            <w:tcW w:w="960" w:type="dxa"/>
            <w:tcBorders>
              <w:top w:val="nil"/>
              <w:left w:val="nil"/>
              <w:bottom w:val="single" w:sz="4" w:space="0" w:color="auto"/>
              <w:right w:val="single" w:sz="4" w:space="0" w:color="auto"/>
            </w:tcBorders>
            <w:shd w:val="clear" w:color="000000" w:fill="FFFFFF"/>
            <w:noWrap/>
            <w:vAlign w:val="center"/>
            <w:hideMark/>
          </w:tcPr>
          <w:p w14:paraId="5EF49539" w14:textId="77777777" w:rsidR="00D87792" w:rsidRPr="00D87792" w:rsidRDefault="00D87792" w:rsidP="00D87792">
            <w:pPr>
              <w:spacing w:after="0"/>
              <w:jc w:val="right"/>
              <w:rPr>
                <w:rFonts w:cs="Calibri"/>
                <w:szCs w:val="26"/>
                <w:lang w:eastAsia="en-IE"/>
              </w:rPr>
            </w:pPr>
            <w:r w:rsidRPr="00D87792">
              <w:rPr>
                <w:rFonts w:cs="Calibri"/>
                <w:szCs w:val="26"/>
                <w:lang w:eastAsia="en-IE"/>
              </w:rPr>
              <w:t>18.1</w:t>
            </w:r>
          </w:p>
        </w:tc>
        <w:tc>
          <w:tcPr>
            <w:tcW w:w="960" w:type="dxa"/>
            <w:tcBorders>
              <w:top w:val="nil"/>
              <w:left w:val="nil"/>
              <w:bottom w:val="single" w:sz="4" w:space="0" w:color="auto"/>
              <w:right w:val="single" w:sz="4" w:space="0" w:color="auto"/>
            </w:tcBorders>
            <w:shd w:val="clear" w:color="000000" w:fill="FFFFFF"/>
            <w:noWrap/>
            <w:vAlign w:val="center"/>
            <w:hideMark/>
          </w:tcPr>
          <w:p w14:paraId="680D8C23" w14:textId="77777777" w:rsidR="00D87792" w:rsidRPr="00D87792" w:rsidRDefault="00D87792" w:rsidP="00D87792">
            <w:pPr>
              <w:spacing w:after="0"/>
              <w:jc w:val="right"/>
              <w:rPr>
                <w:rFonts w:cs="Calibri"/>
                <w:szCs w:val="26"/>
                <w:lang w:eastAsia="en-IE"/>
              </w:rPr>
            </w:pPr>
            <w:r w:rsidRPr="00D87792">
              <w:rPr>
                <w:rFonts w:cs="Calibri"/>
                <w:szCs w:val="26"/>
                <w:lang w:eastAsia="en-IE"/>
              </w:rPr>
              <w:t>7.9</w:t>
            </w:r>
          </w:p>
        </w:tc>
      </w:tr>
    </w:tbl>
    <w:p w14:paraId="4BB32A2C" w14:textId="77777777" w:rsidR="00D87792" w:rsidRPr="00D87792" w:rsidRDefault="00D87792" w:rsidP="00D87792">
      <w:pPr>
        <w:spacing w:after="120"/>
        <w:rPr>
          <w:color w:val="7F7F7F" w:themeColor="text1" w:themeTint="80"/>
          <w:sz w:val="24"/>
        </w:rPr>
      </w:pPr>
    </w:p>
    <w:p w14:paraId="6B40FCFC" w14:textId="6EB42ED3" w:rsidR="00531693" w:rsidRDefault="00531693" w:rsidP="00531693">
      <w:pPr>
        <w:spacing w:after="0"/>
      </w:pPr>
      <w:r>
        <w:t xml:space="preserve">The EU-SILC survey divides the population of persons with disabilities according to the </w:t>
      </w:r>
      <w:r w:rsidRPr="00415E15">
        <w:t xml:space="preserve">concept of </w:t>
      </w:r>
      <w:r>
        <w:t>‘</w:t>
      </w:r>
      <w:r w:rsidRPr="00415E15">
        <w:t xml:space="preserve">global </w:t>
      </w:r>
      <w:r w:rsidRPr="00F264EF">
        <w:t>activity limitation</w:t>
      </w:r>
      <w:r>
        <w:t>’</w:t>
      </w:r>
      <w:r w:rsidRPr="00415E15">
        <w:t>, which is defined as a ‘limitation in activities people usually do because of health problems for at least the past six months’.</w:t>
      </w:r>
      <w:r>
        <w:rPr>
          <w:rStyle w:val="FootnoteReference"/>
        </w:rPr>
        <w:footnoteReference w:id="12"/>
      </w:r>
      <w:r>
        <w:t xml:space="preserve"> This results in a division of the population of persons with disabilities into those with ‘some activity limitation, ‘severe activity limitation’ and those with either ‘some activity limitation or severe activity limitation’. </w:t>
      </w:r>
    </w:p>
    <w:p w14:paraId="37363706" w14:textId="77777777" w:rsidR="00531693" w:rsidRDefault="00531693" w:rsidP="00531693">
      <w:pPr>
        <w:spacing w:after="0"/>
      </w:pPr>
    </w:p>
    <w:p w14:paraId="43DA9F5C" w14:textId="30B438B6" w:rsidR="002F206C" w:rsidRDefault="007635E6" w:rsidP="002F206C">
      <w:pPr>
        <w:spacing w:after="0"/>
      </w:pPr>
      <w:r>
        <w:t>Figure 3</w:t>
      </w:r>
      <w:r w:rsidR="00531693">
        <w:t xml:space="preserve"> displays the disability employment gap for each of these groups over the 2014-2021 period. While the disability employment gap has fallen from 34.9% in 2014 to 31.4% in 2021 for persons with ‘some activity limitation’, the gap has widened considerably for persons with a severe activity limitation, rising from 50% in 2014 to 66.6% in 2021. This divergence in the disability employment gap suggests that while employment levels have improved for persons with more moderate or milder forms of disabilities, the opposite is true for individuals that have ‘severe activity limitation’. Overall, taking the two groups combined the disability gap increased from 39.8% to 41.3%.</w:t>
      </w:r>
      <w:r>
        <w:rPr>
          <w:rStyle w:val="FootnoteReference"/>
        </w:rPr>
        <w:footnoteReference w:id="13"/>
      </w:r>
      <w:r w:rsidR="002F206C">
        <w:t xml:space="preserve"> </w:t>
      </w:r>
    </w:p>
    <w:p w14:paraId="0CF06E98" w14:textId="77777777" w:rsidR="002F206C" w:rsidRDefault="002F206C">
      <w:pPr>
        <w:spacing w:after="0"/>
      </w:pPr>
      <w:r>
        <w:br w:type="page"/>
      </w:r>
    </w:p>
    <w:p w14:paraId="5F5CD41E" w14:textId="77777777" w:rsidR="00C11D2C" w:rsidRPr="00C00B36" w:rsidRDefault="00C11D2C" w:rsidP="00C11D2C">
      <w:pPr>
        <w:spacing w:after="120"/>
        <w:jc w:val="center"/>
        <w:rPr>
          <w:sz w:val="24"/>
        </w:rPr>
      </w:pPr>
      <w:r w:rsidRPr="00C00B36">
        <w:rPr>
          <w:noProof/>
          <w:sz w:val="24"/>
          <w:lang w:eastAsia="en-IE"/>
        </w:rPr>
        <w:lastRenderedPageBreak/>
        <w:drawing>
          <wp:inline distT="0" distB="0" distL="0" distR="0" wp14:anchorId="1C143300" wp14:editId="02EFD1A7">
            <wp:extent cx="5000625" cy="2743200"/>
            <wp:effectExtent l="0" t="0" r="0" b="0"/>
            <wp:docPr id="3" name="Chart 3" title="Figure 3: Ireland Disability Employment Gap by Extent of Disability for working age popul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42722C" w14:textId="77777777" w:rsidR="00C11D2C" w:rsidRPr="00C00B36" w:rsidRDefault="00C11D2C" w:rsidP="00C11D2C">
      <w:pPr>
        <w:spacing w:after="120"/>
        <w:jc w:val="center"/>
        <w:rPr>
          <w:color w:val="262626" w:themeColor="text1" w:themeTint="D9"/>
          <w:sz w:val="24"/>
        </w:rPr>
      </w:pPr>
      <w:r w:rsidRPr="0050713B">
        <w:rPr>
          <w:color w:val="262626" w:themeColor="text1" w:themeTint="D9"/>
          <w:sz w:val="20"/>
        </w:rPr>
        <w:t>Source: Eurostat (EU-SILC)</w:t>
      </w:r>
      <w:r w:rsidRPr="00382C3F">
        <w:rPr>
          <w:color w:val="262626" w:themeColor="text1" w:themeTint="D9"/>
          <w:sz w:val="24"/>
          <w:vertAlign w:val="superscript"/>
        </w:rPr>
        <w:footnoteReference w:id="14"/>
      </w:r>
    </w:p>
    <w:p w14:paraId="42AA08A3" w14:textId="7476490F" w:rsidR="00A42727" w:rsidRDefault="006F4BC3" w:rsidP="00AE0630">
      <w:pPr>
        <w:pStyle w:val="NormalAfterList"/>
      </w:pPr>
      <w:r>
        <w:rPr>
          <w:szCs w:val="26"/>
        </w:rPr>
        <w:t>T</w:t>
      </w:r>
      <w:r w:rsidR="00272A12">
        <w:rPr>
          <w:szCs w:val="26"/>
        </w:rPr>
        <w:t xml:space="preserve">o address the </w:t>
      </w:r>
      <w:r>
        <w:rPr>
          <w:szCs w:val="26"/>
        </w:rPr>
        <w:t>extent of the disability gap</w:t>
      </w:r>
      <w:r w:rsidR="00272A12">
        <w:rPr>
          <w:szCs w:val="26"/>
        </w:rPr>
        <w:t xml:space="preserve"> across Europe</w:t>
      </w:r>
      <w:r>
        <w:rPr>
          <w:szCs w:val="26"/>
        </w:rPr>
        <w:t xml:space="preserve"> an </w:t>
      </w:r>
      <w:r w:rsidR="00DF0302" w:rsidRPr="000846FC">
        <w:rPr>
          <w:szCs w:val="26"/>
        </w:rPr>
        <w:t>Employment Package</w:t>
      </w:r>
      <w:r w:rsidR="00CE027B">
        <w:rPr>
          <w:rStyle w:val="FootnoteReference"/>
          <w:szCs w:val="26"/>
        </w:rPr>
        <w:footnoteReference w:id="15"/>
      </w:r>
      <w:r w:rsidR="00DF0302" w:rsidRPr="000846FC">
        <w:rPr>
          <w:szCs w:val="26"/>
        </w:rPr>
        <w:t xml:space="preserve"> </w:t>
      </w:r>
      <w:r w:rsidR="00272A12">
        <w:rPr>
          <w:szCs w:val="26"/>
        </w:rPr>
        <w:t xml:space="preserve">was </w:t>
      </w:r>
      <w:r w:rsidR="006104A0">
        <w:rPr>
          <w:szCs w:val="26"/>
        </w:rPr>
        <w:t>announced by the EU Commission</w:t>
      </w:r>
      <w:r w:rsidR="00272A12">
        <w:rPr>
          <w:szCs w:val="26"/>
        </w:rPr>
        <w:t xml:space="preserve"> in 2022 </w:t>
      </w:r>
      <w:r w:rsidR="00DF0302" w:rsidRPr="000846FC">
        <w:rPr>
          <w:szCs w:val="26"/>
        </w:rPr>
        <w:t>to support Member States to improve labour market outcomes of persons with disabilities</w:t>
      </w:r>
      <w:r w:rsidR="002623B9">
        <w:rPr>
          <w:szCs w:val="26"/>
        </w:rPr>
        <w:t xml:space="preserve"> (see Appendix 1 for more details)</w:t>
      </w:r>
      <w:r w:rsidR="00DF0302" w:rsidRPr="000846FC">
        <w:rPr>
          <w:szCs w:val="26"/>
        </w:rPr>
        <w:t>. This employment package is one of the seven flagship initiatives announced in the Strategy for the Rights of Persons with Disabilities 2021-2030 (Disability Rights Strategy)</w:t>
      </w:r>
      <w:r w:rsidR="00E626D2" w:rsidRPr="00E626D2">
        <w:rPr>
          <w:rStyle w:val="FootnoteReference"/>
          <w:rFonts w:ascii="Gill Sans MT" w:hAnsi="Gill Sans MT"/>
          <w:sz w:val="26"/>
          <w:szCs w:val="26"/>
        </w:rPr>
        <w:t xml:space="preserve"> </w:t>
      </w:r>
      <w:r w:rsidR="00E626D2" w:rsidRPr="000846FC">
        <w:rPr>
          <w:rStyle w:val="FootnoteReference"/>
          <w:rFonts w:ascii="Gill Sans MT" w:hAnsi="Gill Sans MT"/>
          <w:sz w:val="26"/>
          <w:szCs w:val="26"/>
        </w:rPr>
        <w:footnoteReference w:id="16"/>
      </w:r>
      <w:r w:rsidR="002623B9">
        <w:rPr>
          <w:szCs w:val="26"/>
        </w:rPr>
        <w:t>.</w:t>
      </w:r>
      <w:r w:rsidR="00DF0302">
        <w:rPr>
          <w:szCs w:val="26"/>
        </w:rPr>
        <w:t xml:space="preserve"> This EU initiative saw the introduction of a new practitioner toolkit for</w:t>
      </w:r>
      <w:r w:rsidR="00DF0302" w:rsidRPr="000846FC">
        <w:rPr>
          <w:szCs w:val="26"/>
        </w:rPr>
        <w:t xml:space="preserve"> </w:t>
      </w:r>
      <w:r w:rsidR="00DF0302">
        <w:rPr>
          <w:szCs w:val="26"/>
        </w:rPr>
        <w:t xml:space="preserve">Public Employment Services </w:t>
      </w:r>
      <w:r w:rsidR="004A5169">
        <w:rPr>
          <w:szCs w:val="26"/>
        </w:rPr>
        <w:t xml:space="preserve">(PES) </w:t>
      </w:r>
      <w:r w:rsidR="00DF0302" w:rsidRPr="000846FC">
        <w:rPr>
          <w:szCs w:val="26"/>
        </w:rPr>
        <w:t>across Europe</w:t>
      </w:r>
      <w:r w:rsidR="00DF0302">
        <w:rPr>
          <w:szCs w:val="26"/>
        </w:rPr>
        <w:t xml:space="preserve">. This toolkit was designed to </w:t>
      </w:r>
      <w:r w:rsidR="00DF0302" w:rsidRPr="000846FC">
        <w:rPr>
          <w:szCs w:val="26"/>
        </w:rPr>
        <w:t>combat labour market discrimination against persons with disabilities and</w:t>
      </w:r>
      <w:r w:rsidR="00DF0302">
        <w:rPr>
          <w:szCs w:val="26"/>
        </w:rPr>
        <w:t xml:space="preserve"> to assist in </w:t>
      </w:r>
      <w:r w:rsidR="00DF0302" w:rsidRPr="000846FC">
        <w:rPr>
          <w:szCs w:val="26"/>
        </w:rPr>
        <w:t>their participation in the labour market</w:t>
      </w:r>
      <w:r w:rsidR="00DF0302">
        <w:rPr>
          <w:rStyle w:val="FootnoteReference"/>
          <w:rFonts w:cs="Arial"/>
          <w:bCs/>
          <w:szCs w:val="26"/>
        </w:rPr>
        <w:footnoteReference w:id="17"/>
      </w:r>
      <w:r w:rsidR="00DF0302" w:rsidRPr="000846FC">
        <w:t>.</w:t>
      </w:r>
      <w:r w:rsidR="00A42727">
        <w:t xml:space="preserve"> The NDA </w:t>
      </w:r>
      <w:r w:rsidR="00AD2D0A">
        <w:t xml:space="preserve">welcome </w:t>
      </w:r>
      <w:r w:rsidR="00A42727">
        <w:t xml:space="preserve">the examination </w:t>
      </w:r>
      <w:r w:rsidR="00AD2D0A">
        <w:t xml:space="preserve">and application </w:t>
      </w:r>
      <w:r w:rsidR="00DF0302">
        <w:t>of this Toolkit</w:t>
      </w:r>
      <w:r w:rsidR="00B11718">
        <w:rPr>
          <w:rStyle w:val="FootnoteReference"/>
        </w:rPr>
        <w:footnoteReference w:id="18"/>
      </w:r>
      <w:r w:rsidR="00DF0302">
        <w:t xml:space="preserve"> by Intreo, the Irish public employ</w:t>
      </w:r>
      <w:r w:rsidR="00A42727">
        <w:t>ment service</w:t>
      </w:r>
      <w:r w:rsidR="009F62AC">
        <w:t>, in an Irish context</w:t>
      </w:r>
      <w:r w:rsidR="00A42727">
        <w:t>. This toolkit outlines six action areas</w:t>
      </w:r>
      <w:r w:rsidR="004A5169">
        <w:t xml:space="preserve"> relevant to improving the labour market outcomes for disabled people, these action areas include:</w:t>
      </w:r>
    </w:p>
    <w:p w14:paraId="5E10B67E" w14:textId="239662CA" w:rsidR="00A42727" w:rsidRDefault="00A42727" w:rsidP="004D5E5C">
      <w:pPr>
        <w:pStyle w:val="ListNumber"/>
        <w:ind w:left="1080"/>
      </w:pPr>
      <w:r>
        <w:t>Internal policies aimed at workers in the PES</w:t>
      </w:r>
    </w:p>
    <w:p w14:paraId="59EC8113" w14:textId="47776B5A" w:rsidR="004D5E5C" w:rsidRDefault="004D5E5C" w:rsidP="00DC1830">
      <w:pPr>
        <w:pStyle w:val="ListNumber"/>
        <w:ind w:left="1080"/>
      </w:pPr>
      <w:r>
        <w:t>Services</w:t>
      </w:r>
    </w:p>
    <w:p w14:paraId="4B5E3037" w14:textId="4987873D" w:rsidR="004D5E5C" w:rsidRDefault="004D5E5C" w:rsidP="00DC1830">
      <w:pPr>
        <w:pStyle w:val="ListNumber"/>
        <w:ind w:left="1080"/>
      </w:pPr>
      <w:r>
        <w:t xml:space="preserve">Active labour </w:t>
      </w:r>
      <w:r w:rsidR="00C24351">
        <w:t>m</w:t>
      </w:r>
      <w:r>
        <w:t xml:space="preserve">arket </w:t>
      </w:r>
      <w:r w:rsidR="00C24351">
        <w:t>m</w:t>
      </w:r>
      <w:r>
        <w:t>easures</w:t>
      </w:r>
    </w:p>
    <w:p w14:paraId="61D2F441" w14:textId="6F5C1283" w:rsidR="004D5E5C" w:rsidRDefault="004D5E5C" w:rsidP="004D5E5C">
      <w:pPr>
        <w:pStyle w:val="ListNumber"/>
        <w:ind w:left="1080"/>
      </w:pPr>
      <w:r>
        <w:lastRenderedPageBreak/>
        <w:t xml:space="preserve">Reasonable </w:t>
      </w:r>
      <w:r w:rsidR="00C24351">
        <w:t>a</w:t>
      </w:r>
      <w:r>
        <w:t>ccommodation</w:t>
      </w:r>
      <w:r w:rsidR="00C24351">
        <w:t xml:space="preserve"> and accessibility</w:t>
      </w:r>
    </w:p>
    <w:p w14:paraId="15395EA1" w14:textId="4D5E9938" w:rsidR="004D5E5C" w:rsidRDefault="004D5E5C" w:rsidP="004D5E5C">
      <w:pPr>
        <w:pStyle w:val="ListNumber"/>
        <w:ind w:left="1080"/>
      </w:pPr>
      <w:r>
        <w:t xml:space="preserve">Outreach </w:t>
      </w:r>
      <w:r w:rsidR="00C24351">
        <w:t>programmes</w:t>
      </w:r>
    </w:p>
    <w:p w14:paraId="33EDF0BF" w14:textId="45FA2FF0" w:rsidR="004D5E5C" w:rsidRDefault="004D5E5C" w:rsidP="004D5E5C">
      <w:pPr>
        <w:pStyle w:val="ListNumber"/>
        <w:ind w:left="1080"/>
      </w:pPr>
      <w:r>
        <w:t>Partnerships</w:t>
      </w:r>
      <w:r w:rsidR="002F206C">
        <w:t xml:space="preserve"> for effective servic</w:t>
      </w:r>
      <w:r w:rsidR="00C24351">
        <w:t>es</w:t>
      </w:r>
    </w:p>
    <w:p w14:paraId="19049503" w14:textId="22107761" w:rsidR="00266359" w:rsidRDefault="00340E69" w:rsidP="00AD2D0A">
      <w:pPr>
        <w:pStyle w:val="NormalAfterList"/>
      </w:pPr>
      <w:r>
        <w:t>The</w:t>
      </w:r>
      <w:r w:rsidR="004D5E5C">
        <w:t xml:space="preserve"> </w:t>
      </w:r>
      <w:r>
        <w:t xml:space="preserve">EU </w:t>
      </w:r>
      <w:r w:rsidR="004A5169">
        <w:t xml:space="preserve">regard current </w:t>
      </w:r>
      <w:r w:rsidR="004D5E5C">
        <w:t xml:space="preserve">PES </w:t>
      </w:r>
      <w:r w:rsidR="004A5169">
        <w:t>systems</w:t>
      </w:r>
      <w:r w:rsidR="009F62AC">
        <w:t xml:space="preserve"> across Europe</w:t>
      </w:r>
      <w:r w:rsidR="004A5169">
        <w:t xml:space="preserve"> as requiring</w:t>
      </w:r>
      <w:r w:rsidR="004D5E5C">
        <w:t xml:space="preserve"> systematic change to strengthen the participation of persons with disabilities in the labour market. The first area of action contains the tools for promoting the participation of persons with disabilities within the PES itself. The second and third areas of action fall under external policies aimed at persons with disabilities and employers, namely services and active labour market measures. Stemming from external policies, the fifth area of action relates to outreach programmes which identify and contact persons with disabilities and employers to provide information on how to access jobs and training opportunities. Also under external policies follows the sixth area of action, partnerships to enable the participation of persons with disabilities. In the midpoint between external and internal action areas is the fourth area of action regarding reasonable accommodation which PES and all employers must conform to.</w:t>
      </w:r>
      <w:r w:rsidR="004A5169">
        <w:t xml:space="preserve"> </w:t>
      </w:r>
    </w:p>
    <w:p w14:paraId="21D48FBD" w14:textId="435F43E0" w:rsidR="00266359" w:rsidRDefault="00266359" w:rsidP="00266359">
      <w:pPr>
        <w:pStyle w:val="Heading1"/>
      </w:pPr>
      <w:bookmarkStart w:id="17" w:name="_Toc130474356"/>
      <w:bookmarkStart w:id="18" w:name="_Toc132710526"/>
      <w:r>
        <w:t>Key Developments in 2022</w:t>
      </w:r>
      <w:bookmarkEnd w:id="17"/>
      <w:bookmarkEnd w:id="18"/>
    </w:p>
    <w:p w14:paraId="1EFFA9EE" w14:textId="6DA6D040" w:rsidR="007A23D0" w:rsidRDefault="007A23D0" w:rsidP="00DC1830">
      <w:pPr>
        <w:pStyle w:val="Heading2"/>
      </w:pPr>
      <w:r>
        <w:t>Areas of progress during 2022</w:t>
      </w:r>
    </w:p>
    <w:p w14:paraId="611A2B91" w14:textId="77777777" w:rsidR="00221CE3" w:rsidRDefault="00266359" w:rsidP="00266359">
      <w:pPr>
        <w:rPr>
          <w:szCs w:val="26"/>
        </w:rPr>
      </w:pPr>
      <w:r w:rsidRPr="00E03230">
        <w:rPr>
          <w:szCs w:val="26"/>
        </w:rPr>
        <w:t xml:space="preserve">While the final action plan 2022 to 2024 has not been agreed, progress has continued on </w:t>
      </w:r>
      <w:r>
        <w:rPr>
          <w:szCs w:val="26"/>
        </w:rPr>
        <w:t>some</w:t>
      </w:r>
      <w:r w:rsidRPr="00E03230">
        <w:rPr>
          <w:szCs w:val="26"/>
        </w:rPr>
        <w:t xml:space="preserve"> of the strategic priority areas described in the original plan. For instance within the ‘engaging employers’ strategic priority the minimum employment target for the public sector has been increased </w:t>
      </w:r>
      <w:r>
        <w:rPr>
          <w:szCs w:val="26"/>
        </w:rPr>
        <w:t xml:space="preserve">from 3% </w:t>
      </w:r>
      <w:r w:rsidRPr="00E03230">
        <w:rPr>
          <w:szCs w:val="26"/>
        </w:rPr>
        <w:t>to 6%</w:t>
      </w:r>
      <w:r>
        <w:rPr>
          <w:szCs w:val="26"/>
        </w:rPr>
        <w:t xml:space="preserve"> through the passing in late 2022 of the Assisted Decision Making (Capacity) (Amendment) Act</w:t>
      </w:r>
      <w:r>
        <w:rPr>
          <w:rStyle w:val="FootnoteReference"/>
          <w:szCs w:val="26"/>
        </w:rPr>
        <w:footnoteReference w:id="19"/>
      </w:r>
      <w:r>
        <w:rPr>
          <w:szCs w:val="26"/>
        </w:rPr>
        <w:t>. Placing this increased target on a statutory footi</w:t>
      </w:r>
      <w:r w:rsidR="009A1C6B">
        <w:rPr>
          <w:szCs w:val="26"/>
        </w:rPr>
        <w:t>n</w:t>
      </w:r>
      <w:r>
        <w:rPr>
          <w:szCs w:val="26"/>
        </w:rPr>
        <w:t xml:space="preserve">g is welcomed, and should see the introduction of new approaches to increase the numbers of disabled people in the Irish public service. </w:t>
      </w:r>
    </w:p>
    <w:p w14:paraId="2958C69D" w14:textId="55B2B026" w:rsidR="00221CE3" w:rsidRDefault="00296FA4" w:rsidP="00266359">
      <w:pPr>
        <w:rPr>
          <w:szCs w:val="26"/>
        </w:rPr>
      </w:pPr>
      <w:r w:rsidRPr="000669B4">
        <w:rPr>
          <w:szCs w:val="26"/>
        </w:rPr>
        <w:t xml:space="preserve">In June 2022 </w:t>
      </w:r>
      <w:r w:rsidR="00E728E0" w:rsidRPr="000669B4">
        <w:rPr>
          <w:szCs w:val="26"/>
        </w:rPr>
        <w:t>t</w:t>
      </w:r>
      <w:r w:rsidRPr="000669B4">
        <w:rPr>
          <w:szCs w:val="26"/>
        </w:rPr>
        <w:t xml:space="preserve">he Department of Further and Higher Education Research Innovation and Science launched </w:t>
      </w:r>
      <w:r w:rsidR="00E728E0" w:rsidRPr="000669B4">
        <w:rPr>
          <w:szCs w:val="26"/>
        </w:rPr>
        <w:t>‘</w:t>
      </w:r>
      <w:r w:rsidR="00E728E0" w:rsidRPr="000669B4">
        <w:rPr>
          <w:rFonts w:cs="Arial"/>
          <w:color w:val="000000"/>
          <w:szCs w:val="26"/>
        </w:rPr>
        <w:t>Strengthening Universal Design for students in higher education, including those with autism, and enhancing opportunities for students with intellectual disabilities in higher education</w:t>
      </w:r>
      <w:r w:rsidR="000669B4">
        <w:rPr>
          <w:rStyle w:val="FootnoteReference"/>
          <w:rFonts w:cs="Arial"/>
          <w:color w:val="000000"/>
          <w:szCs w:val="26"/>
        </w:rPr>
        <w:footnoteReference w:id="20"/>
      </w:r>
      <w:r w:rsidR="00E728E0" w:rsidRPr="000669B4">
        <w:rPr>
          <w:rFonts w:cs="Arial"/>
          <w:color w:val="000000"/>
          <w:szCs w:val="26"/>
        </w:rPr>
        <w:t>’</w:t>
      </w:r>
      <w:r w:rsidR="00E728E0" w:rsidRPr="000669B4">
        <w:rPr>
          <w:szCs w:val="26"/>
        </w:rPr>
        <w:t xml:space="preserve"> as a new strand of t</w:t>
      </w:r>
      <w:r w:rsidRPr="000669B4">
        <w:rPr>
          <w:szCs w:val="26"/>
        </w:rPr>
        <w:t>he</w:t>
      </w:r>
      <w:r w:rsidRPr="00E728E0">
        <w:rPr>
          <w:szCs w:val="26"/>
        </w:rPr>
        <w:t xml:space="preserve"> National Access Plan (NAP) for Higher Education</w:t>
      </w:r>
      <w:r w:rsidR="00E728E0">
        <w:rPr>
          <w:szCs w:val="26"/>
        </w:rPr>
        <w:t xml:space="preserve">. </w:t>
      </w:r>
      <w:r w:rsidR="000669B4">
        <w:rPr>
          <w:szCs w:val="26"/>
        </w:rPr>
        <w:t>A</w:t>
      </w:r>
      <w:r w:rsidR="00E728E0">
        <w:rPr>
          <w:szCs w:val="26"/>
        </w:rPr>
        <w:t xml:space="preserve"> </w:t>
      </w:r>
      <w:r w:rsidRPr="00E728E0">
        <w:rPr>
          <w:color w:val="000000"/>
          <w:szCs w:val="26"/>
        </w:rPr>
        <w:t xml:space="preserve">funding </w:t>
      </w:r>
      <w:r w:rsidR="00E728E0">
        <w:rPr>
          <w:color w:val="000000"/>
          <w:szCs w:val="26"/>
        </w:rPr>
        <w:t xml:space="preserve">programme </w:t>
      </w:r>
      <w:r w:rsidR="00074D57">
        <w:rPr>
          <w:color w:val="000000"/>
          <w:szCs w:val="26"/>
        </w:rPr>
        <w:t xml:space="preserve">of €3 million a year to 2025 </w:t>
      </w:r>
      <w:r w:rsidR="000669B4">
        <w:rPr>
          <w:color w:val="000000"/>
          <w:szCs w:val="26"/>
        </w:rPr>
        <w:t xml:space="preserve">has been created </w:t>
      </w:r>
      <w:r w:rsidR="00074D57">
        <w:rPr>
          <w:color w:val="000000"/>
          <w:szCs w:val="26"/>
        </w:rPr>
        <w:t xml:space="preserve">so that </w:t>
      </w:r>
      <w:r w:rsidRPr="00E728E0">
        <w:rPr>
          <w:color w:val="000000"/>
          <w:szCs w:val="26"/>
        </w:rPr>
        <w:t xml:space="preserve">higher education institutions </w:t>
      </w:r>
      <w:r w:rsidRPr="00E728E0">
        <w:rPr>
          <w:color w:val="000000"/>
          <w:szCs w:val="26"/>
        </w:rPr>
        <w:lastRenderedPageBreak/>
        <w:t>(HEI) can implement universal design and enhance opportunities for students with intellectual disabilities and autism in higher education.</w:t>
      </w:r>
      <w:r w:rsidRPr="00E728E0">
        <w:rPr>
          <w:szCs w:val="26"/>
        </w:rPr>
        <w:t xml:space="preserve"> This innovation within the HEI sector will put in place new systems and practice that can lead to improved access and participation to this sector </w:t>
      </w:r>
      <w:r w:rsidR="00074D57">
        <w:rPr>
          <w:szCs w:val="26"/>
        </w:rPr>
        <w:t xml:space="preserve">for learners with disabilities. This measure will in time lead to </w:t>
      </w:r>
      <w:r w:rsidR="004C6E0E">
        <w:rPr>
          <w:szCs w:val="26"/>
        </w:rPr>
        <w:t>improved employment outcomes for disabled people as shown by UK research.</w:t>
      </w:r>
      <w:r w:rsidR="004C6E0E">
        <w:rPr>
          <w:rStyle w:val="FootnoteReference"/>
          <w:szCs w:val="26"/>
        </w:rPr>
        <w:footnoteReference w:id="21"/>
      </w:r>
    </w:p>
    <w:p w14:paraId="44F89475" w14:textId="5C38E6DB" w:rsidR="00533127" w:rsidRPr="004C34C9" w:rsidRDefault="00533127" w:rsidP="00533127">
      <w:pPr>
        <w:rPr>
          <w:szCs w:val="26"/>
        </w:rPr>
      </w:pPr>
      <w:r w:rsidRPr="004C34C9">
        <w:rPr>
          <w:szCs w:val="26"/>
        </w:rPr>
        <w:t>SOLAS published Sectoral Guidance for Further Education and Training (FET) practitioners on Universal Design for Leaning in FET</w:t>
      </w:r>
      <w:r w:rsidRPr="004C34C9">
        <w:rPr>
          <w:rStyle w:val="FootnoteReference"/>
          <w:rFonts w:ascii="Gill Sans MT" w:hAnsi="Gill Sans MT"/>
          <w:sz w:val="26"/>
          <w:szCs w:val="26"/>
        </w:rPr>
        <w:footnoteReference w:id="22"/>
      </w:r>
      <w:r w:rsidRPr="004C34C9">
        <w:rPr>
          <w:szCs w:val="26"/>
        </w:rPr>
        <w:t>.  This guidance is continuing to embed UDL across</w:t>
      </w:r>
      <w:r w:rsidR="004C34C9">
        <w:rPr>
          <w:szCs w:val="26"/>
        </w:rPr>
        <w:t xml:space="preserve"> this</w:t>
      </w:r>
      <w:r w:rsidRPr="004C34C9">
        <w:rPr>
          <w:szCs w:val="26"/>
        </w:rPr>
        <w:t xml:space="preserve"> sector</w:t>
      </w:r>
      <w:r w:rsidR="00577077" w:rsidRPr="004C34C9">
        <w:rPr>
          <w:szCs w:val="26"/>
        </w:rPr>
        <w:t>.</w:t>
      </w:r>
      <w:r w:rsidRPr="004C34C9">
        <w:rPr>
          <w:szCs w:val="26"/>
        </w:rPr>
        <w:t xml:space="preserve">  </w:t>
      </w:r>
      <w:r w:rsidR="00681C2E" w:rsidRPr="004C34C9">
        <w:rPr>
          <w:szCs w:val="26"/>
        </w:rPr>
        <w:t>T</w:t>
      </w:r>
      <w:r w:rsidRPr="004C34C9">
        <w:rPr>
          <w:szCs w:val="26"/>
        </w:rPr>
        <w:t>hrough the implementation of the FET Strategy 2020-2024</w:t>
      </w:r>
      <w:r w:rsidRPr="004C34C9">
        <w:rPr>
          <w:i/>
          <w:szCs w:val="26"/>
        </w:rPr>
        <w:t xml:space="preserve"> Future FET: Transforming Learning</w:t>
      </w:r>
      <w:r w:rsidR="00577077" w:rsidRPr="004C34C9">
        <w:rPr>
          <w:i/>
          <w:szCs w:val="26"/>
        </w:rPr>
        <w:t>,</w:t>
      </w:r>
      <w:r w:rsidRPr="004C34C9">
        <w:rPr>
          <w:szCs w:val="26"/>
        </w:rPr>
        <w:t xml:space="preserve"> all 16 of the SOLAS and ETB Strategic Performance Agreements 2022-2024, contain commitments to support inclusive practice and drive the achievement of the national </w:t>
      </w:r>
      <w:r w:rsidRPr="004C34C9">
        <w:rPr>
          <w:i/>
          <w:szCs w:val="26"/>
        </w:rPr>
        <w:t>‘widening participation’</w:t>
      </w:r>
      <w:r w:rsidRPr="004C34C9">
        <w:rPr>
          <w:szCs w:val="26"/>
        </w:rPr>
        <w:t xml:space="preserve"> FET target</w:t>
      </w:r>
      <w:r w:rsidRPr="004C34C9">
        <w:rPr>
          <w:rStyle w:val="FootnoteReference"/>
          <w:rFonts w:ascii="Gill Sans MT" w:hAnsi="Gill Sans MT"/>
          <w:sz w:val="26"/>
          <w:szCs w:val="26"/>
        </w:rPr>
        <w:footnoteReference w:id="23"/>
      </w:r>
      <w:r w:rsidRPr="004C34C9">
        <w:rPr>
          <w:szCs w:val="26"/>
        </w:rPr>
        <w:t xml:space="preserve">.  </w:t>
      </w:r>
    </w:p>
    <w:p w14:paraId="0F642034" w14:textId="668D8185" w:rsidR="00533127" w:rsidRPr="004C34C9" w:rsidRDefault="00533127" w:rsidP="00533127">
      <w:pPr>
        <w:rPr>
          <w:i/>
          <w:iCs/>
          <w:szCs w:val="26"/>
        </w:rPr>
      </w:pPr>
      <w:r w:rsidRPr="004C34C9">
        <w:rPr>
          <w:szCs w:val="26"/>
        </w:rPr>
        <w:t>The Strategic Performance Agreements for 2022-24 agreed between SOLAS and the 16 individual ETBs provide for the rolling out of the Fund for Students with Disabilities (FSD) across all FET provision. Previously, this Fund only applied to students on Post-Leaving Certificate Courses. All 16 agreements and the accompanying national system report a</w:t>
      </w:r>
      <w:r w:rsidR="004C34C9">
        <w:rPr>
          <w:szCs w:val="26"/>
        </w:rPr>
        <w:t>re all publicly.</w:t>
      </w:r>
      <w:r w:rsidR="000E6BB7" w:rsidRPr="004C34C9">
        <w:rPr>
          <w:rStyle w:val="FootnoteReference"/>
          <w:rFonts w:ascii="Gill Sans MT" w:hAnsi="Gill Sans MT"/>
          <w:sz w:val="26"/>
          <w:szCs w:val="26"/>
          <w:u w:val="single"/>
        </w:rPr>
        <w:footnoteReference w:id="24"/>
      </w:r>
    </w:p>
    <w:p w14:paraId="5CDFB4EF" w14:textId="1937E47A" w:rsidR="00533127" w:rsidRPr="004C34C9" w:rsidRDefault="00681C2E" w:rsidP="00533127">
      <w:pPr>
        <w:rPr>
          <w:szCs w:val="26"/>
        </w:rPr>
      </w:pPr>
      <w:r w:rsidRPr="004C34C9">
        <w:rPr>
          <w:szCs w:val="26"/>
        </w:rPr>
        <w:t xml:space="preserve">During 2022 </w:t>
      </w:r>
      <w:r w:rsidR="00533127" w:rsidRPr="004C34C9">
        <w:rPr>
          <w:szCs w:val="26"/>
        </w:rPr>
        <w:t xml:space="preserve">SOLAS </w:t>
      </w:r>
      <w:r w:rsidRPr="004C34C9">
        <w:rPr>
          <w:szCs w:val="26"/>
        </w:rPr>
        <w:t xml:space="preserve">also continued to </w:t>
      </w:r>
      <w:r w:rsidR="00533127" w:rsidRPr="004C34C9">
        <w:rPr>
          <w:szCs w:val="26"/>
        </w:rPr>
        <w:t xml:space="preserve">provide funding to Down Syndrome Ireland (DSI) to support the FET sector in several ways.  </w:t>
      </w:r>
      <w:r w:rsidRPr="004C34C9">
        <w:rPr>
          <w:szCs w:val="26"/>
        </w:rPr>
        <w:t>Including</w:t>
      </w:r>
      <w:r w:rsidR="00533127" w:rsidRPr="004C34C9">
        <w:rPr>
          <w:szCs w:val="26"/>
        </w:rPr>
        <w:t xml:space="preserve">; Linking with SOLAS and ETBI to support increased participation of learners with Down syndrome in local FET provision; Sharing knowledge and expertise from Down Syndrome Ireland’s experience of developing and delivering structured FET courses for adults with Down syndrome; Linking with teens and adults with Down syndrome and their families to ensure that their voices are heard and their needs considered and addressed in the FET system; Supporting SOLAS and the ETBI with disability awareness across the FET sector; Increasing awareness of FET opportunities and pathways among school leavers with Down syndrome. DSI </w:t>
      </w:r>
      <w:r w:rsidRPr="004C34C9">
        <w:rPr>
          <w:szCs w:val="26"/>
        </w:rPr>
        <w:t xml:space="preserve">also </w:t>
      </w:r>
      <w:r w:rsidR="00533127" w:rsidRPr="004C34C9">
        <w:rPr>
          <w:szCs w:val="26"/>
        </w:rPr>
        <w:t xml:space="preserve">deliver programmes such as </w:t>
      </w:r>
      <w:r w:rsidR="00533127" w:rsidRPr="004C34C9">
        <w:rPr>
          <w:i/>
          <w:iCs/>
          <w:szCs w:val="26"/>
        </w:rPr>
        <w:t>Latch-On</w:t>
      </w:r>
      <w:r w:rsidR="00533127" w:rsidRPr="004C34C9">
        <w:rPr>
          <w:szCs w:val="26"/>
        </w:rPr>
        <w:t xml:space="preserve">, </w:t>
      </w:r>
      <w:r w:rsidR="00533127" w:rsidRPr="004C34C9">
        <w:rPr>
          <w:i/>
          <w:iCs/>
          <w:szCs w:val="26"/>
        </w:rPr>
        <w:t>(Literacy and Technology Hands- On)</w:t>
      </w:r>
      <w:r w:rsidR="00533127" w:rsidRPr="004C34C9">
        <w:rPr>
          <w:szCs w:val="26"/>
        </w:rPr>
        <w:t xml:space="preserve"> and </w:t>
      </w:r>
      <w:r w:rsidR="00533127" w:rsidRPr="004C34C9">
        <w:rPr>
          <w:i/>
          <w:iCs/>
          <w:szCs w:val="26"/>
        </w:rPr>
        <w:lastRenderedPageBreak/>
        <w:t>MOTE (My Opinion, My Vote</w:t>
      </w:r>
      <w:r w:rsidR="00533127" w:rsidRPr="004C34C9">
        <w:rPr>
          <w:szCs w:val="26"/>
        </w:rPr>
        <w:t xml:space="preserve">) which focus on the development of skills useful for both life and work. </w:t>
      </w:r>
    </w:p>
    <w:p w14:paraId="729B0439" w14:textId="1810D165" w:rsidR="00266359" w:rsidRDefault="00266359" w:rsidP="00266359">
      <w:pPr>
        <w:rPr>
          <w:szCs w:val="26"/>
        </w:rPr>
      </w:pPr>
      <w:r>
        <w:rPr>
          <w:szCs w:val="26"/>
        </w:rPr>
        <w:t xml:space="preserve">In 2022 </w:t>
      </w:r>
      <w:r w:rsidRPr="00E03230">
        <w:rPr>
          <w:szCs w:val="26"/>
        </w:rPr>
        <w:t xml:space="preserve">‘Employers for </w:t>
      </w:r>
      <w:r>
        <w:rPr>
          <w:szCs w:val="26"/>
        </w:rPr>
        <w:t>C</w:t>
      </w:r>
      <w:r w:rsidRPr="00E03230">
        <w:rPr>
          <w:szCs w:val="26"/>
        </w:rPr>
        <w:t xml:space="preserve">hange’ </w:t>
      </w:r>
      <w:r w:rsidR="00F87818">
        <w:rPr>
          <w:szCs w:val="26"/>
        </w:rPr>
        <w:t xml:space="preserve">which is funded Department of Children Equality, Disability, Integration and Youth </w:t>
      </w:r>
      <w:r w:rsidRPr="00E03230">
        <w:rPr>
          <w:szCs w:val="26"/>
        </w:rPr>
        <w:t>produced guidance on inclusive recruitment</w:t>
      </w:r>
      <w:r>
        <w:rPr>
          <w:szCs w:val="26"/>
        </w:rPr>
        <w:t xml:space="preserve"> and the Irish Human Rights and Equality Commission (IHERC) commenced work on a Code of P</w:t>
      </w:r>
      <w:r w:rsidRPr="00E03230">
        <w:rPr>
          <w:szCs w:val="26"/>
        </w:rPr>
        <w:t>ractice relating to provision of reasonable accommodation</w:t>
      </w:r>
      <w:r>
        <w:rPr>
          <w:rStyle w:val="FootnoteReference"/>
          <w:szCs w:val="26"/>
        </w:rPr>
        <w:footnoteReference w:id="25"/>
      </w:r>
      <w:r w:rsidRPr="00E03230">
        <w:rPr>
          <w:szCs w:val="26"/>
        </w:rPr>
        <w:t xml:space="preserve">. </w:t>
      </w:r>
      <w:r>
        <w:rPr>
          <w:szCs w:val="26"/>
        </w:rPr>
        <w:t>Both measures will improve the information gaps that currently exist for both employers and employees.</w:t>
      </w:r>
    </w:p>
    <w:p w14:paraId="3FFDF23F" w14:textId="7FE5D93B" w:rsidR="00266359" w:rsidRDefault="00266359" w:rsidP="00266359">
      <w:pPr>
        <w:rPr>
          <w:szCs w:val="26"/>
        </w:rPr>
      </w:pPr>
      <w:r w:rsidRPr="00E03230">
        <w:rPr>
          <w:szCs w:val="26"/>
        </w:rPr>
        <w:t>The review of the reasonable accommodation fund</w:t>
      </w:r>
      <w:r>
        <w:rPr>
          <w:szCs w:val="26"/>
        </w:rPr>
        <w:t xml:space="preserve"> (RAF)</w:t>
      </w:r>
      <w:r w:rsidRPr="00E03230">
        <w:rPr>
          <w:szCs w:val="26"/>
        </w:rPr>
        <w:t xml:space="preserve"> </w:t>
      </w:r>
      <w:r>
        <w:rPr>
          <w:szCs w:val="26"/>
        </w:rPr>
        <w:t xml:space="preserve">conducted by the Department of Social Protection was </w:t>
      </w:r>
      <w:r w:rsidRPr="00E03230">
        <w:rPr>
          <w:szCs w:val="26"/>
        </w:rPr>
        <w:t xml:space="preserve">completed in 2022. </w:t>
      </w:r>
      <w:r>
        <w:rPr>
          <w:szCs w:val="26"/>
        </w:rPr>
        <w:t>While not published yet, it was noted that Budget 2023 allocated an additional €1 million to this fund. This increased budget will be useful if the redesigned RAF programme is made more user-friendly and relevant for both employer and employee.</w:t>
      </w:r>
    </w:p>
    <w:p w14:paraId="2FCB9FD3" w14:textId="6BF63AC2" w:rsidR="009A1C6B" w:rsidRDefault="009A1C6B" w:rsidP="00266359">
      <w:pPr>
        <w:rPr>
          <w:szCs w:val="26"/>
        </w:rPr>
      </w:pPr>
      <w:r>
        <w:rPr>
          <w:rFonts w:eastAsia="+mn-ea"/>
          <w:color w:val="000000"/>
          <w:szCs w:val="26"/>
          <w:lang w:val="en-US"/>
        </w:rPr>
        <w:t>2022 saw the e</w:t>
      </w:r>
      <w:r w:rsidRPr="00156031">
        <w:rPr>
          <w:rFonts w:eastAsia="+mn-ea"/>
          <w:color w:val="000000"/>
          <w:szCs w:val="26"/>
          <w:lang w:val="en-US"/>
        </w:rPr>
        <w:t xml:space="preserve">nactment of </w:t>
      </w:r>
      <w:r w:rsidRPr="00156031">
        <w:rPr>
          <w:rFonts w:eastAsia="+mn-ea"/>
          <w:color w:val="000000"/>
          <w:szCs w:val="26"/>
          <w:lang w:val="en-US" w:eastAsia="en-IE"/>
        </w:rPr>
        <w:t>Statutory</w:t>
      </w:r>
      <w:r>
        <w:rPr>
          <w:rFonts w:eastAsia="+mn-ea"/>
          <w:color w:val="000000"/>
          <w:szCs w:val="26"/>
          <w:lang w:val="en-US" w:eastAsia="en-IE"/>
        </w:rPr>
        <w:t xml:space="preserve"> Sick Pay – Sick Leave Act 2022</w:t>
      </w:r>
      <w:r>
        <w:rPr>
          <w:rStyle w:val="FootnoteReference"/>
          <w:rFonts w:eastAsia="+mn-ea"/>
          <w:color w:val="000000"/>
          <w:szCs w:val="26"/>
          <w:lang w:val="en-US" w:eastAsia="en-IE"/>
        </w:rPr>
        <w:footnoteReference w:id="26"/>
      </w:r>
      <w:r>
        <w:rPr>
          <w:rFonts w:eastAsia="+mn-ea"/>
          <w:color w:val="000000"/>
          <w:szCs w:val="26"/>
          <w:lang w:val="en-US" w:eastAsia="en-IE"/>
        </w:rPr>
        <w:t xml:space="preserve"> which put on a statutory basis paid sick leave. This Act will over time have an impact on people with disabilities who are exper</w:t>
      </w:r>
      <w:r w:rsidR="00270DA9">
        <w:rPr>
          <w:rFonts w:eastAsia="+mn-ea"/>
          <w:color w:val="000000"/>
          <w:szCs w:val="26"/>
          <w:lang w:val="en-US" w:eastAsia="en-IE"/>
        </w:rPr>
        <w:t>iencing onset of disability and allow people to remain connected to work.</w:t>
      </w:r>
      <w:r w:rsidR="0079221C">
        <w:rPr>
          <w:rFonts w:eastAsia="+mn-ea"/>
          <w:color w:val="000000"/>
          <w:szCs w:val="26"/>
          <w:lang w:val="en-US" w:eastAsia="en-IE"/>
        </w:rPr>
        <w:t xml:space="preserve"> </w:t>
      </w:r>
    </w:p>
    <w:p w14:paraId="09D48F0A" w14:textId="625035B7" w:rsidR="00266359" w:rsidRDefault="00266359" w:rsidP="00266359">
      <w:pPr>
        <w:rPr>
          <w:szCs w:val="26"/>
        </w:rPr>
      </w:pPr>
      <w:r w:rsidRPr="008F2DDA">
        <w:t>In 2022</w:t>
      </w:r>
      <w:r w:rsidR="007A23D0" w:rsidRPr="008F2DDA">
        <w:t>,</w:t>
      </w:r>
      <w:r w:rsidRPr="008F2DDA">
        <w:t xml:space="preserve"> a National Policy Group </w:t>
      </w:r>
      <w:r w:rsidR="00BF04B6" w:rsidRPr="008F2DDA">
        <w:t xml:space="preserve">was established to develop a strategic framework </w:t>
      </w:r>
      <w:r w:rsidRPr="008F2DDA">
        <w:t xml:space="preserve">on </w:t>
      </w:r>
      <w:r w:rsidR="00BF04B6" w:rsidRPr="008F2DDA">
        <w:t>Lifelong Guidance</w:t>
      </w:r>
      <w:r w:rsidRPr="008F2DDA">
        <w:t>.</w:t>
      </w:r>
      <w:r>
        <w:t xml:space="preserve"> This group comprises of five government departments who are the key departments required to address the gaps in the provision of guidance, support and information for all people including people with disabilities when accessing support guidance and critically career guidance. </w:t>
      </w:r>
    </w:p>
    <w:p w14:paraId="3A801FAA" w14:textId="3993DB92" w:rsidR="00266359" w:rsidRPr="000A4822" w:rsidRDefault="00266359" w:rsidP="00266359">
      <w:pPr>
        <w:rPr>
          <w:rFonts w:eastAsiaTheme="minorEastAsia"/>
          <w:szCs w:val="26"/>
          <w:lang w:eastAsia="en-IE"/>
        </w:rPr>
      </w:pPr>
      <w:r>
        <w:rPr>
          <w:szCs w:val="26"/>
        </w:rPr>
        <w:t>Within the CES strategic p</w:t>
      </w:r>
      <w:r w:rsidR="007A23D0">
        <w:rPr>
          <w:szCs w:val="26"/>
        </w:rPr>
        <w:t>riority</w:t>
      </w:r>
      <w:r w:rsidR="00B61C9A">
        <w:rPr>
          <w:szCs w:val="26"/>
        </w:rPr>
        <w:t xml:space="preserve"> </w:t>
      </w:r>
      <w:r>
        <w:rPr>
          <w:szCs w:val="26"/>
        </w:rPr>
        <w:t>of ‘building s</w:t>
      </w:r>
      <w:r w:rsidRPr="00E03230">
        <w:rPr>
          <w:szCs w:val="26"/>
        </w:rPr>
        <w:t>kills, capacity and indepe</w:t>
      </w:r>
      <w:r>
        <w:rPr>
          <w:szCs w:val="26"/>
        </w:rPr>
        <w:t>ndence’</w:t>
      </w:r>
      <w:r w:rsidR="007A23D0">
        <w:rPr>
          <w:szCs w:val="26"/>
        </w:rPr>
        <w:t>,</w:t>
      </w:r>
      <w:r>
        <w:rPr>
          <w:szCs w:val="26"/>
        </w:rPr>
        <w:t xml:space="preserve"> 2022 saw the funding of two ‘transition</w:t>
      </w:r>
      <w:r w:rsidRPr="00E03230">
        <w:rPr>
          <w:szCs w:val="26"/>
        </w:rPr>
        <w:t xml:space="preserve"> pilot</w:t>
      </w:r>
      <w:r>
        <w:rPr>
          <w:szCs w:val="26"/>
        </w:rPr>
        <w:t xml:space="preserve"> projects’</w:t>
      </w:r>
      <w:r w:rsidRPr="00E03230">
        <w:rPr>
          <w:szCs w:val="26"/>
        </w:rPr>
        <w:t xml:space="preserve"> </w:t>
      </w:r>
      <w:r>
        <w:rPr>
          <w:szCs w:val="26"/>
        </w:rPr>
        <w:t xml:space="preserve">The first project is a </w:t>
      </w:r>
      <w:r>
        <w:rPr>
          <w:rFonts w:eastAsiaTheme="minorEastAsia"/>
          <w:szCs w:val="26"/>
          <w:lang w:eastAsia="en-IE"/>
        </w:rPr>
        <w:t>c</w:t>
      </w:r>
      <w:r w:rsidRPr="00D33F1D">
        <w:rPr>
          <w:rFonts w:eastAsiaTheme="minorEastAsia"/>
          <w:szCs w:val="26"/>
          <w:lang w:eastAsia="en-IE"/>
        </w:rPr>
        <w:t xml:space="preserve">ollaborative pilot </w:t>
      </w:r>
      <w:r>
        <w:rPr>
          <w:rFonts w:eastAsiaTheme="minorEastAsia"/>
          <w:szCs w:val="26"/>
          <w:lang w:eastAsia="en-IE"/>
        </w:rPr>
        <w:t>led by the National Council of Special Education which is underway in</w:t>
      </w:r>
      <w:r w:rsidRPr="00D33F1D">
        <w:rPr>
          <w:rFonts w:eastAsiaTheme="minorEastAsia"/>
          <w:szCs w:val="26"/>
          <w:lang w:eastAsia="en-IE"/>
        </w:rPr>
        <w:t xml:space="preserve"> sites </w:t>
      </w:r>
      <w:r>
        <w:rPr>
          <w:rFonts w:eastAsiaTheme="minorEastAsia"/>
          <w:szCs w:val="26"/>
          <w:lang w:eastAsia="en-IE"/>
        </w:rPr>
        <w:t xml:space="preserve">in Galway and Dublin North. The second pilot project concerns </w:t>
      </w:r>
      <w:r w:rsidR="00270DA9">
        <w:rPr>
          <w:rFonts w:eastAsiaTheme="minorEastAsia"/>
          <w:szCs w:val="26"/>
          <w:lang w:eastAsia="en-IE"/>
        </w:rPr>
        <w:t xml:space="preserve">school </w:t>
      </w:r>
      <w:r w:rsidRPr="00D33F1D">
        <w:rPr>
          <w:rFonts w:eastAsiaTheme="minorEastAsia"/>
          <w:szCs w:val="26"/>
          <w:lang w:eastAsia="en-IE"/>
        </w:rPr>
        <w:t xml:space="preserve">leavers with complex </w:t>
      </w:r>
      <w:r>
        <w:rPr>
          <w:rFonts w:eastAsiaTheme="minorEastAsia"/>
          <w:szCs w:val="26"/>
          <w:lang w:eastAsia="en-IE"/>
        </w:rPr>
        <w:t>special education needs (</w:t>
      </w:r>
      <w:r w:rsidRPr="00D33F1D">
        <w:rPr>
          <w:rFonts w:eastAsiaTheme="minorEastAsia"/>
          <w:szCs w:val="26"/>
          <w:lang w:eastAsia="en-IE"/>
        </w:rPr>
        <w:t>SEN</w:t>
      </w:r>
      <w:r>
        <w:rPr>
          <w:rFonts w:eastAsiaTheme="minorEastAsia"/>
          <w:szCs w:val="26"/>
          <w:lang w:eastAsia="en-IE"/>
        </w:rPr>
        <w:t>) and is a collaborative project between the Department of Education and WALK.</w:t>
      </w:r>
    </w:p>
    <w:p w14:paraId="1B2914F7" w14:textId="5BD483D7" w:rsidR="00493871" w:rsidRPr="001456CF" w:rsidRDefault="007344CF" w:rsidP="00266359">
      <w:pPr>
        <w:pStyle w:val="Heading2"/>
      </w:pPr>
      <w:bookmarkStart w:id="19" w:name="_Toc132710527"/>
      <w:r>
        <w:rPr>
          <w:lang w:eastAsia="en-IE"/>
        </w:rPr>
        <w:t>Continued c</w:t>
      </w:r>
      <w:r w:rsidR="005B7569">
        <w:rPr>
          <w:lang w:eastAsia="en-IE"/>
        </w:rPr>
        <w:t xml:space="preserve">hallenges </w:t>
      </w:r>
      <w:r>
        <w:rPr>
          <w:lang w:eastAsia="en-IE"/>
        </w:rPr>
        <w:t>during 2022</w:t>
      </w:r>
      <w:bookmarkEnd w:id="19"/>
    </w:p>
    <w:p w14:paraId="12160E9E" w14:textId="356160D5" w:rsidR="00291A37" w:rsidRDefault="00B60DF2" w:rsidP="0072441C">
      <w:pPr>
        <w:kinsoku w:val="0"/>
        <w:overflowPunct w:val="0"/>
        <w:spacing w:after="0"/>
        <w:contextualSpacing/>
        <w:textAlignment w:val="baseline"/>
        <w:rPr>
          <w:rFonts w:cs="Arial"/>
          <w:color w:val="222222"/>
          <w:szCs w:val="26"/>
          <w:shd w:val="clear" w:color="auto" w:fill="FFFFFF"/>
        </w:rPr>
      </w:pPr>
      <w:r w:rsidRPr="00E06E2E">
        <w:rPr>
          <w:szCs w:val="26"/>
          <w:lang w:eastAsia="en-IE"/>
        </w:rPr>
        <w:t xml:space="preserve">Activity </w:t>
      </w:r>
      <w:r w:rsidR="00D33F1D" w:rsidRPr="00E06E2E">
        <w:rPr>
          <w:rFonts w:eastAsiaTheme="minorEastAsia" w:cstheme="minorBidi"/>
          <w:szCs w:val="26"/>
          <w:lang w:eastAsia="en-IE"/>
        </w:rPr>
        <w:t xml:space="preserve">related to </w:t>
      </w:r>
      <w:r w:rsidR="0072441C" w:rsidRPr="00E06E2E">
        <w:rPr>
          <w:rFonts w:eastAsiaTheme="minorEastAsia" w:cstheme="minorBidi"/>
          <w:szCs w:val="26"/>
          <w:lang w:eastAsia="en-IE"/>
        </w:rPr>
        <w:t xml:space="preserve">the provision </w:t>
      </w:r>
      <w:r w:rsidR="00B61C9A">
        <w:rPr>
          <w:rFonts w:eastAsiaTheme="minorEastAsia" w:cstheme="minorBidi"/>
          <w:szCs w:val="26"/>
          <w:lang w:eastAsia="en-IE"/>
        </w:rPr>
        <w:t xml:space="preserve">of </w:t>
      </w:r>
      <w:r w:rsidR="00D33F1D" w:rsidRPr="00E06E2E">
        <w:rPr>
          <w:rFonts w:eastAsiaTheme="minorEastAsia" w:cstheme="minorBidi"/>
          <w:szCs w:val="26"/>
          <w:lang w:eastAsia="en-IE"/>
        </w:rPr>
        <w:t xml:space="preserve">personal assistance </w:t>
      </w:r>
      <w:r w:rsidR="00B61C9A">
        <w:rPr>
          <w:rFonts w:eastAsiaTheme="minorEastAsia" w:cstheme="minorBidi"/>
          <w:szCs w:val="26"/>
          <w:lang w:eastAsia="en-IE"/>
        </w:rPr>
        <w:t xml:space="preserve">in an employment context </w:t>
      </w:r>
      <w:r w:rsidR="0072441C" w:rsidRPr="00E06E2E">
        <w:rPr>
          <w:rFonts w:eastAsiaTheme="minorEastAsia" w:cstheme="minorBidi"/>
          <w:szCs w:val="26"/>
          <w:lang w:eastAsia="en-IE"/>
        </w:rPr>
        <w:t xml:space="preserve">have remained stalled with limited progression. </w:t>
      </w:r>
      <w:r w:rsidR="00291A37" w:rsidRPr="00E06E2E">
        <w:rPr>
          <w:rFonts w:eastAsiaTheme="minorEastAsia" w:cstheme="minorBidi"/>
          <w:szCs w:val="26"/>
          <w:lang w:eastAsia="en-IE"/>
        </w:rPr>
        <w:t xml:space="preserve">An ESRI report on the Irish </w:t>
      </w:r>
      <w:r w:rsidR="00291A37" w:rsidRPr="00E06E2E">
        <w:rPr>
          <w:szCs w:val="26"/>
          <w:shd w:val="clear" w:color="auto" w:fill="FFFFFF"/>
        </w:rPr>
        <w:t xml:space="preserve">Personal Assistance Service commissioned by the NDA and published in 2022 </w:t>
      </w:r>
      <w:r w:rsidR="00E06E2E" w:rsidRPr="00E06E2E">
        <w:rPr>
          <w:szCs w:val="26"/>
          <w:shd w:val="clear" w:color="auto" w:fill="FFFFFF"/>
        </w:rPr>
        <w:lastRenderedPageBreak/>
        <w:t xml:space="preserve">reported </w:t>
      </w:r>
      <w:r w:rsidR="00E06E2E" w:rsidRPr="00E06E2E">
        <w:rPr>
          <w:rFonts w:cs="Arial"/>
          <w:szCs w:val="26"/>
          <w:shd w:val="clear" w:color="auto" w:fill="FFFFFF"/>
        </w:rPr>
        <w:t xml:space="preserve">satisfaction among many </w:t>
      </w:r>
      <w:r w:rsidR="00E06E2E">
        <w:rPr>
          <w:rFonts w:cs="Arial"/>
          <w:szCs w:val="26"/>
          <w:shd w:val="clear" w:color="auto" w:fill="FFFFFF"/>
        </w:rPr>
        <w:t xml:space="preserve">Personal Assistance </w:t>
      </w:r>
      <w:r w:rsidR="00E06E2E" w:rsidRPr="00E06E2E">
        <w:rPr>
          <w:rFonts w:cs="Arial"/>
          <w:szCs w:val="26"/>
          <w:shd w:val="clear" w:color="auto" w:fill="FFFFFF"/>
        </w:rPr>
        <w:t>service users</w:t>
      </w:r>
      <w:r w:rsidR="006104A0">
        <w:rPr>
          <w:rFonts w:cs="Arial"/>
          <w:szCs w:val="26"/>
          <w:shd w:val="clear" w:color="auto" w:fill="FFFFFF"/>
        </w:rPr>
        <w:t xml:space="preserve"> of some aspects of their service but many felt their hours allocated were insufficient. The findings suggest ”…</w:t>
      </w:r>
      <w:r w:rsidR="00E06E2E" w:rsidRPr="00E06E2E">
        <w:rPr>
          <w:rFonts w:cs="Arial"/>
          <w:szCs w:val="26"/>
          <w:shd w:val="clear" w:color="auto" w:fill="FFFFFF"/>
        </w:rPr>
        <w:t xml:space="preserve"> that systemic shortfalls have a clearly detrimental effect on the </w:t>
      </w:r>
      <w:r w:rsidR="006104A0" w:rsidRPr="00E06E2E">
        <w:rPr>
          <w:rFonts w:cs="Arial"/>
          <w:szCs w:val="26"/>
          <w:shd w:val="clear" w:color="auto" w:fill="FFFFFF"/>
        </w:rPr>
        <w:t>functioning</w:t>
      </w:r>
      <w:r w:rsidR="00E06E2E" w:rsidRPr="00E06E2E">
        <w:rPr>
          <w:rFonts w:cs="Arial"/>
          <w:szCs w:val="26"/>
          <w:shd w:val="clear" w:color="auto" w:fill="FFFFFF"/>
        </w:rPr>
        <w:t xml:space="preserve"> and capabilities valued by the participants in relation to their ability to participate in social and economic activities that many people take for granted’</w:t>
      </w:r>
      <w:r w:rsidR="00270DA9">
        <w:rPr>
          <w:rFonts w:cs="Arial"/>
          <w:szCs w:val="26"/>
          <w:shd w:val="clear" w:color="auto" w:fill="FFFFFF"/>
        </w:rPr>
        <w:t>.</w:t>
      </w:r>
      <w:r w:rsidR="00E06E2E" w:rsidRPr="00E06E2E">
        <w:rPr>
          <w:rStyle w:val="FootnoteReference"/>
          <w:rFonts w:ascii="Gill Sans MT" w:hAnsi="Gill Sans MT"/>
          <w:color w:val="000000"/>
          <w:sz w:val="26"/>
          <w:szCs w:val="26"/>
          <w:shd w:val="clear" w:color="auto" w:fill="FFFFFF"/>
        </w:rPr>
        <w:footnoteReference w:id="27"/>
      </w:r>
      <w:r w:rsidR="00270DA9">
        <w:rPr>
          <w:rFonts w:cs="Arial"/>
          <w:color w:val="222222"/>
          <w:szCs w:val="26"/>
          <w:shd w:val="clear" w:color="auto" w:fill="FFFFFF"/>
        </w:rPr>
        <w:t xml:space="preserve"> </w:t>
      </w:r>
      <w:r w:rsidR="005C40F3">
        <w:rPr>
          <w:rFonts w:cs="Arial"/>
          <w:color w:val="222222"/>
          <w:szCs w:val="26"/>
          <w:shd w:val="clear" w:color="auto" w:fill="FFFFFF"/>
        </w:rPr>
        <w:t>As part of a previously agreed cross-departmental policy to develop a national programme of supported employment (2018), a commitment was given to further explore provision of PA services in an employment context, and the NDA advises that this could be a key priority during the remainder of the Strategy’s lifetime.</w:t>
      </w:r>
    </w:p>
    <w:p w14:paraId="36958B4B" w14:textId="46A77680" w:rsidR="007A23D0" w:rsidRDefault="007A23D0" w:rsidP="0072441C">
      <w:pPr>
        <w:kinsoku w:val="0"/>
        <w:overflowPunct w:val="0"/>
        <w:spacing w:after="0"/>
        <w:contextualSpacing/>
        <w:textAlignment w:val="baseline"/>
        <w:rPr>
          <w:rFonts w:cs="Arial"/>
          <w:color w:val="222222"/>
          <w:szCs w:val="26"/>
          <w:shd w:val="clear" w:color="auto" w:fill="FFFFFF"/>
        </w:rPr>
      </w:pPr>
    </w:p>
    <w:p w14:paraId="733B706D" w14:textId="526FFB66" w:rsidR="00E06E2E" w:rsidRDefault="007A23D0" w:rsidP="0072441C">
      <w:pPr>
        <w:kinsoku w:val="0"/>
        <w:overflowPunct w:val="0"/>
        <w:spacing w:after="0"/>
        <w:contextualSpacing/>
        <w:textAlignment w:val="baseline"/>
        <w:rPr>
          <w:rFonts w:eastAsiaTheme="minorEastAsia" w:cstheme="minorBidi"/>
          <w:szCs w:val="26"/>
          <w:lang w:eastAsia="en-IE"/>
        </w:rPr>
      </w:pPr>
      <w:r>
        <w:rPr>
          <w:rFonts w:cs="Arial"/>
          <w:color w:val="222222"/>
          <w:szCs w:val="26"/>
          <w:shd w:val="clear" w:color="auto" w:fill="FFFFFF"/>
        </w:rPr>
        <w:t>The assistive technology (AT) working group did not meet during 2022. That group were tasked with examining provisions and improvements relating to AT in the workplace</w:t>
      </w:r>
      <w:r w:rsidR="007D67E8">
        <w:rPr>
          <w:rFonts w:cs="Arial"/>
          <w:color w:val="222222"/>
          <w:szCs w:val="26"/>
          <w:shd w:val="clear" w:color="auto" w:fill="FFFFFF"/>
        </w:rPr>
        <w:t>. The</w:t>
      </w:r>
      <w:r w:rsidR="007D67E8">
        <w:rPr>
          <w:color w:val="1F497D"/>
          <w:sz w:val="24"/>
        </w:rPr>
        <w:t xml:space="preserve"> </w:t>
      </w:r>
      <w:hyperlink r:id="rId11" w:history="1">
        <w:r w:rsidR="007D67E8">
          <w:rPr>
            <w:rStyle w:val="Hyperlink"/>
          </w:rPr>
          <w:t>Global Report on Assistive Technology (who.int)</w:t>
        </w:r>
      </w:hyperlink>
      <w:r w:rsidR="000E6BB7">
        <w:rPr>
          <w:rStyle w:val="FootnoteReference"/>
          <w:rFonts w:cs="Arial"/>
          <w:color w:val="222222"/>
          <w:szCs w:val="26"/>
          <w:shd w:val="clear" w:color="auto" w:fill="FFFFFF"/>
        </w:rPr>
        <w:footnoteReference w:id="28"/>
      </w:r>
      <w:r w:rsidR="007D67E8">
        <w:rPr>
          <w:rFonts w:cs="Arial"/>
          <w:color w:val="222222"/>
          <w:szCs w:val="26"/>
          <w:shd w:val="clear" w:color="auto" w:fill="FFFFFF"/>
        </w:rPr>
        <w:t xml:space="preserve"> is an important addition to the evidence base regarding AT and work.</w:t>
      </w:r>
      <w:r w:rsidR="00DF0EBC">
        <w:rPr>
          <w:rFonts w:cs="Arial"/>
          <w:color w:val="222222"/>
          <w:szCs w:val="26"/>
          <w:shd w:val="clear" w:color="auto" w:fill="FFFFFF"/>
        </w:rPr>
        <w:t xml:space="preserve"> This report published in 2022 stated that </w:t>
      </w:r>
      <w:r w:rsidR="00DF0EBC">
        <w:t>‘a</w:t>
      </w:r>
      <w:r w:rsidR="007D67E8">
        <w:t>ssistive products open up opportunities for persons with functional difficulties to participate in employment, raise their household income, and become entrepreneurs</w:t>
      </w:r>
      <w:r w:rsidR="00DF0EBC">
        <w:t>’. The</w:t>
      </w:r>
      <w:r w:rsidR="00DF0EBC" w:rsidRPr="00806DB2">
        <w:t xml:space="preserve"> NDA </w:t>
      </w:r>
      <w:r w:rsidR="00DF0EBC">
        <w:t>is</w:t>
      </w:r>
      <w:r w:rsidR="00DF0EBC" w:rsidRPr="00806DB2">
        <w:t xml:space="preserve"> keen to see th</w:t>
      </w:r>
      <w:r w:rsidR="00DF0EBC">
        <w:t xml:space="preserve">is working </w:t>
      </w:r>
      <w:r w:rsidR="00DF0EBC" w:rsidRPr="00806DB2">
        <w:t>group</w:t>
      </w:r>
      <w:r w:rsidR="00DF0EBC">
        <w:t xml:space="preserve"> led by DCEDIY</w:t>
      </w:r>
      <w:r w:rsidR="00DF0EBC" w:rsidRPr="00806DB2">
        <w:t xml:space="preserve"> reconvene </w:t>
      </w:r>
      <w:r w:rsidR="00DF0EBC">
        <w:t xml:space="preserve">noting the importance of AT in supporting employment. </w:t>
      </w:r>
    </w:p>
    <w:p w14:paraId="4A550C2B" w14:textId="6B3E1523" w:rsidR="00F033D2" w:rsidRPr="00E06E2E" w:rsidRDefault="007A23D0" w:rsidP="0072441C">
      <w:pPr>
        <w:kinsoku w:val="0"/>
        <w:overflowPunct w:val="0"/>
        <w:spacing w:after="0"/>
        <w:contextualSpacing/>
        <w:textAlignment w:val="baseline"/>
        <w:rPr>
          <w:rFonts w:eastAsiaTheme="minorEastAsia" w:cstheme="minorBidi"/>
          <w:szCs w:val="26"/>
          <w:lang w:eastAsia="en-IE"/>
        </w:rPr>
      </w:pPr>
      <w:r>
        <w:rPr>
          <w:rFonts w:eastAsiaTheme="minorEastAsia" w:cstheme="minorBidi"/>
          <w:szCs w:val="26"/>
          <w:lang w:eastAsia="en-IE"/>
        </w:rPr>
        <w:t>The</w:t>
      </w:r>
      <w:r w:rsidR="0072441C">
        <w:rPr>
          <w:rFonts w:eastAsiaTheme="minorEastAsia" w:cstheme="minorBidi"/>
          <w:szCs w:val="26"/>
          <w:lang w:eastAsia="en-IE"/>
        </w:rPr>
        <w:t xml:space="preserve"> Cost of Disability report </w:t>
      </w:r>
      <w:r w:rsidR="001456CF">
        <w:rPr>
          <w:rFonts w:eastAsiaTheme="minorEastAsia" w:cstheme="minorBidi"/>
          <w:szCs w:val="26"/>
          <w:lang w:eastAsia="en-IE"/>
        </w:rPr>
        <w:t xml:space="preserve">which </w:t>
      </w:r>
      <w:r w:rsidR="001456CF">
        <w:rPr>
          <w:szCs w:val="26"/>
        </w:rPr>
        <w:t>demonstrated significant additional costs faced by persons with disabilities</w:t>
      </w:r>
      <w:r w:rsidR="00FF0145">
        <w:rPr>
          <w:szCs w:val="26"/>
        </w:rPr>
        <w:t>,</w:t>
      </w:r>
      <w:r w:rsidR="001456CF" w:rsidRPr="00C6327C">
        <w:rPr>
          <w:rStyle w:val="FootnoteReference"/>
          <w:sz w:val="26"/>
          <w:szCs w:val="26"/>
        </w:rPr>
        <w:footnoteReference w:id="29"/>
      </w:r>
      <w:r w:rsidR="001456CF" w:rsidRPr="00C6327C">
        <w:rPr>
          <w:szCs w:val="26"/>
        </w:rPr>
        <w:t xml:space="preserve"> </w:t>
      </w:r>
      <w:r w:rsidR="00A15D01">
        <w:rPr>
          <w:rFonts w:eastAsiaTheme="minorEastAsia" w:cstheme="minorBidi"/>
          <w:szCs w:val="26"/>
          <w:lang w:eastAsia="en-IE"/>
        </w:rPr>
        <w:t>had</w:t>
      </w:r>
      <w:r w:rsidR="0072441C">
        <w:rPr>
          <w:rFonts w:eastAsiaTheme="minorEastAsia" w:cstheme="minorBidi"/>
          <w:szCs w:val="26"/>
          <w:lang w:eastAsia="en-IE"/>
        </w:rPr>
        <w:t xml:space="preserve"> been referred to the </w:t>
      </w:r>
      <w:r w:rsidR="00270DA9">
        <w:rPr>
          <w:rFonts w:eastAsiaTheme="minorEastAsia" w:cstheme="minorBidi"/>
          <w:szCs w:val="26"/>
          <w:lang w:eastAsia="en-IE"/>
        </w:rPr>
        <w:t>National</w:t>
      </w:r>
      <w:r w:rsidR="00FF0145">
        <w:rPr>
          <w:rFonts w:eastAsiaTheme="minorEastAsia" w:cstheme="minorBidi"/>
          <w:szCs w:val="26"/>
          <w:lang w:eastAsia="en-IE"/>
        </w:rPr>
        <w:t xml:space="preserve"> Disability Inclusion Strategy Steering Group to </w:t>
      </w:r>
      <w:r w:rsidR="00B3142A">
        <w:rPr>
          <w:rFonts w:eastAsiaTheme="minorEastAsia" w:cstheme="minorBidi"/>
          <w:szCs w:val="26"/>
          <w:lang w:eastAsia="en-IE"/>
        </w:rPr>
        <w:t>monitor</w:t>
      </w:r>
      <w:r w:rsidR="00577077">
        <w:rPr>
          <w:rFonts w:eastAsiaTheme="minorEastAsia" w:cstheme="minorBidi"/>
          <w:szCs w:val="26"/>
          <w:lang w:eastAsia="en-IE"/>
        </w:rPr>
        <w:t xml:space="preserve"> cross-Government responses to the report</w:t>
      </w:r>
      <w:r w:rsidR="001456CF">
        <w:rPr>
          <w:rFonts w:eastAsiaTheme="minorEastAsia" w:cstheme="minorBidi"/>
          <w:szCs w:val="26"/>
          <w:lang w:eastAsia="en-IE"/>
        </w:rPr>
        <w:t>,</w:t>
      </w:r>
      <w:r w:rsidR="0072441C">
        <w:rPr>
          <w:rFonts w:eastAsiaTheme="minorEastAsia" w:cstheme="minorBidi"/>
          <w:szCs w:val="26"/>
          <w:lang w:eastAsia="en-IE"/>
        </w:rPr>
        <w:t xml:space="preserve"> </w:t>
      </w:r>
      <w:r w:rsidR="00A15D01">
        <w:rPr>
          <w:rFonts w:eastAsiaTheme="minorEastAsia" w:cstheme="minorBidi"/>
          <w:szCs w:val="26"/>
          <w:lang w:eastAsia="en-IE"/>
        </w:rPr>
        <w:t xml:space="preserve">but </w:t>
      </w:r>
      <w:r w:rsidR="0072441C">
        <w:rPr>
          <w:rFonts w:eastAsiaTheme="minorEastAsia" w:cstheme="minorBidi"/>
          <w:szCs w:val="26"/>
          <w:lang w:eastAsia="en-IE"/>
        </w:rPr>
        <w:t xml:space="preserve">the precise </w:t>
      </w:r>
      <w:r w:rsidR="00D33F1D" w:rsidRPr="00D33F1D">
        <w:rPr>
          <w:rFonts w:eastAsiaTheme="minorEastAsia" w:cstheme="minorBidi"/>
          <w:szCs w:val="26"/>
          <w:lang w:eastAsia="en-IE"/>
        </w:rPr>
        <w:t xml:space="preserve">mechanism to implement recommendations </w:t>
      </w:r>
      <w:r w:rsidR="0072441C">
        <w:rPr>
          <w:rFonts w:eastAsiaTheme="minorEastAsia" w:cstheme="minorBidi"/>
          <w:szCs w:val="26"/>
          <w:lang w:eastAsia="en-IE"/>
        </w:rPr>
        <w:t>remain</w:t>
      </w:r>
      <w:r w:rsidR="00672578">
        <w:rPr>
          <w:rFonts w:eastAsiaTheme="minorEastAsia" w:cstheme="minorBidi"/>
          <w:szCs w:val="26"/>
          <w:lang w:eastAsia="en-IE"/>
        </w:rPr>
        <w:t>s</w:t>
      </w:r>
      <w:r w:rsidR="0072441C">
        <w:rPr>
          <w:rFonts w:eastAsiaTheme="minorEastAsia" w:cstheme="minorBidi"/>
          <w:szCs w:val="26"/>
          <w:lang w:eastAsia="en-IE"/>
        </w:rPr>
        <w:t xml:space="preserve"> </w:t>
      </w:r>
      <w:r w:rsidR="00B60DF2">
        <w:rPr>
          <w:rFonts w:eastAsiaTheme="minorEastAsia" w:cstheme="minorBidi"/>
          <w:szCs w:val="26"/>
          <w:lang w:eastAsia="en-IE"/>
        </w:rPr>
        <w:t>unclear.</w:t>
      </w:r>
      <w:r w:rsidR="00E06E2E">
        <w:rPr>
          <w:szCs w:val="26"/>
        </w:rPr>
        <w:t xml:space="preserve"> The</w:t>
      </w:r>
      <w:r w:rsidR="00F033D2">
        <w:rPr>
          <w:szCs w:val="26"/>
        </w:rPr>
        <w:t xml:space="preserve"> NDA </w:t>
      </w:r>
      <w:r w:rsidR="00A15D01">
        <w:rPr>
          <w:szCs w:val="26"/>
        </w:rPr>
        <w:t>advises</w:t>
      </w:r>
      <w:r w:rsidR="00F033D2">
        <w:rPr>
          <w:szCs w:val="26"/>
        </w:rPr>
        <w:t xml:space="preserve"> that departments</w:t>
      </w:r>
      <w:r w:rsidR="00F033D2" w:rsidRPr="00C6327C">
        <w:rPr>
          <w:szCs w:val="26"/>
        </w:rPr>
        <w:t xml:space="preserve"> continue to implement measures to address the cost of disability in their departments</w:t>
      </w:r>
      <w:r w:rsidR="00F033D2">
        <w:rPr>
          <w:szCs w:val="26"/>
        </w:rPr>
        <w:t xml:space="preserve"> and conside</w:t>
      </w:r>
      <w:r w:rsidR="00E06E2E">
        <w:rPr>
          <w:szCs w:val="26"/>
        </w:rPr>
        <w:t xml:space="preserve">ration be given </w:t>
      </w:r>
      <w:r w:rsidR="00497FCE">
        <w:rPr>
          <w:szCs w:val="26"/>
        </w:rPr>
        <w:t xml:space="preserve">as </w:t>
      </w:r>
      <w:r w:rsidR="00E06E2E">
        <w:rPr>
          <w:szCs w:val="26"/>
        </w:rPr>
        <w:t>to how the recomme</w:t>
      </w:r>
      <w:r w:rsidR="001E7A92">
        <w:rPr>
          <w:szCs w:val="26"/>
        </w:rPr>
        <w:t>n</w:t>
      </w:r>
      <w:r w:rsidR="00E06E2E">
        <w:rPr>
          <w:szCs w:val="26"/>
        </w:rPr>
        <w:t>dations</w:t>
      </w:r>
      <w:r w:rsidR="00F033D2">
        <w:rPr>
          <w:szCs w:val="26"/>
        </w:rPr>
        <w:t xml:space="preserve"> can be incorporated in the successor strategy</w:t>
      </w:r>
      <w:r w:rsidR="00672578">
        <w:rPr>
          <w:szCs w:val="26"/>
        </w:rPr>
        <w:t xml:space="preserve"> to the NDIS</w:t>
      </w:r>
      <w:r w:rsidR="00F033D2">
        <w:rPr>
          <w:szCs w:val="26"/>
        </w:rPr>
        <w:t>.</w:t>
      </w:r>
      <w:r>
        <w:rPr>
          <w:szCs w:val="26"/>
        </w:rPr>
        <w:t xml:space="preserve"> </w:t>
      </w:r>
      <w:r w:rsidR="00F00F01">
        <w:rPr>
          <w:szCs w:val="26"/>
        </w:rPr>
        <w:t xml:space="preserve">The NDA acknowledge the work underway in DSP to examine the restructuring of long term disability supports and welcome the consultation due in 2023 regarding a Strawman proposal on same. </w:t>
      </w:r>
    </w:p>
    <w:p w14:paraId="3BC0B027" w14:textId="77777777" w:rsidR="005B7569" w:rsidRDefault="005B7569" w:rsidP="0072441C">
      <w:pPr>
        <w:kinsoku w:val="0"/>
        <w:overflowPunct w:val="0"/>
        <w:spacing w:after="0"/>
        <w:contextualSpacing/>
        <w:textAlignment w:val="baseline"/>
        <w:rPr>
          <w:szCs w:val="26"/>
        </w:rPr>
      </w:pPr>
    </w:p>
    <w:p w14:paraId="6A329C89" w14:textId="21AD01C9" w:rsidR="005B7569" w:rsidRDefault="00F5102A" w:rsidP="0072441C">
      <w:pPr>
        <w:kinsoku w:val="0"/>
        <w:overflowPunct w:val="0"/>
        <w:spacing w:after="0"/>
        <w:contextualSpacing/>
        <w:textAlignment w:val="baseline"/>
      </w:pPr>
      <w:r>
        <w:rPr>
          <w:szCs w:val="26"/>
        </w:rPr>
        <w:t>The SOLAS</w:t>
      </w:r>
      <w:r w:rsidR="00E06E2E">
        <w:rPr>
          <w:szCs w:val="26"/>
        </w:rPr>
        <w:t xml:space="preserve"> review of Specialist Training P</w:t>
      </w:r>
      <w:r w:rsidR="005B7569">
        <w:rPr>
          <w:szCs w:val="26"/>
        </w:rPr>
        <w:t>rovision</w:t>
      </w:r>
      <w:r w:rsidR="002D355B">
        <w:rPr>
          <w:szCs w:val="26"/>
        </w:rPr>
        <w:t xml:space="preserve"> </w:t>
      </w:r>
      <w:r w:rsidR="00A15D01">
        <w:rPr>
          <w:szCs w:val="26"/>
        </w:rPr>
        <w:t xml:space="preserve">(STP) </w:t>
      </w:r>
      <w:r w:rsidR="002D355B">
        <w:rPr>
          <w:szCs w:val="26"/>
        </w:rPr>
        <w:t>which</w:t>
      </w:r>
      <w:r w:rsidR="000B745D">
        <w:rPr>
          <w:szCs w:val="26"/>
        </w:rPr>
        <w:t xml:space="preserve"> commenced in 2019 </w:t>
      </w:r>
      <w:r w:rsidR="002D355B">
        <w:rPr>
          <w:szCs w:val="26"/>
        </w:rPr>
        <w:t xml:space="preserve">has been delayed </w:t>
      </w:r>
      <w:r w:rsidR="00A15D01">
        <w:rPr>
          <w:szCs w:val="26"/>
        </w:rPr>
        <w:t xml:space="preserve">due to </w:t>
      </w:r>
      <w:r w:rsidR="0079221C">
        <w:rPr>
          <w:szCs w:val="26"/>
        </w:rPr>
        <w:t>the impact of Covid 19</w:t>
      </w:r>
      <w:r w:rsidR="000B745D">
        <w:rPr>
          <w:szCs w:val="26"/>
        </w:rPr>
        <w:t xml:space="preserve"> on </w:t>
      </w:r>
      <w:r w:rsidR="00A15D01">
        <w:rPr>
          <w:szCs w:val="26"/>
        </w:rPr>
        <w:t>consultation efforts</w:t>
      </w:r>
      <w:r w:rsidR="000B745D">
        <w:rPr>
          <w:szCs w:val="26"/>
        </w:rPr>
        <w:t xml:space="preserve">. STP </w:t>
      </w:r>
      <w:r w:rsidR="00A15D01">
        <w:rPr>
          <w:szCs w:val="26"/>
        </w:rPr>
        <w:t>remains an</w:t>
      </w:r>
      <w:r w:rsidR="002D355B">
        <w:rPr>
          <w:szCs w:val="26"/>
        </w:rPr>
        <w:t xml:space="preserve"> important</w:t>
      </w:r>
      <w:r w:rsidR="002D355B">
        <w:t xml:space="preserve"> </w:t>
      </w:r>
      <w:r w:rsidR="00A15D01">
        <w:t>part of the pathway and route</w:t>
      </w:r>
      <w:r w:rsidR="002D355B">
        <w:t xml:space="preserve"> from post school options to mainstream education options and employment for a person with a disability. </w:t>
      </w:r>
      <w:r w:rsidR="00FF0145">
        <w:t xml:space="preserve">NDA </w:t>
      </w:r>
      <w:r w:rsidR="00681C2E">
        <w:t>welcome the completion of the</w:t>
      </w:r>
      <w:r w:rsidR="00681C2E" w:rsidRPr="003A66D2">
        <w:rPr>
          <w:color w:val="FF0000"/>
          <w:szCs w:val="26"/>
        </w:rPr>
        <w:t xml:space="preserve"> </w:t>
      </w:r>
      <w:r w:rsidR="00681C2E" w:rsidRPr="00F5102A">
        <w:rPr>
          <w:szCs w:val="26"/>
        </w:rPr>
        <w:t>STP review is by end of Q4 2023</w:t>
      </w:r>
    </w:p>
    <w:p w14:paraId="32AC21D7" w14:textId="123BE424" w:rsidR="002D355B" w:rsidRDefault="002D355B" w:rsidP="0072441C">
      <w:pPr>
        <w:kinsoku w:val="0"/>
        <w:overflowPunct w:val="0"/>
        <w:spacing w:after="0"/>
        <w:contextualSpacing/>
        <w:textAlignment w:val="baseline"/>
        <w:rPr>
          <w:szCs w:val="26"/>
        </w:rPr>
      </w:pPr>
    </w:p>
    <w:p w14:paraId="109B086E" w14:textId="681D7F31" w:rsidR="00FD0318" w:rsidRDefault="002D355B" w:rsidP="002D355B">
      <w:pPr>
        <w:kinsoku w:val="0"/>
        <w:overflowPunct w:val="0"/>
        <w:spacing w:after="0"/>
        <w:contextualSpacing/>
        <w:textAlignment w:val="baseline"/>
        <w:rPr>
          <w:szCs w:val="26"/>
        </w:rPr>
      </w:pPr>
      <w:r>
        <w:rPr>
          <w:szCs w:val="26"/>
        </w:rPr>
        <w:t xml:space="preserve">During 2022 there was no reported </w:t>
      </w:r>
      <w:r w:rsidR="007344CF">
        <w:rPr>
          <w:szCs w:val="26"/>
        </w:rPr>
        <w:t xml:space="preserve">progress on </w:t>
      </w:r>
      <w:r>
        <w:rPr>
          <w:szCs w:val="26"/>
        </w:rPr>
        <w:t xml:space="preserve">the </w:t>
      </w:r>
      <w:r>
        <w:t>provision of coordinated and seamless support to people with disabilities to access employment, the CES action commonly refer</w:t>
      </w:r>
      <w:r w:rsidR="00A15D01">
        <w:t>r</w:t>
      </w:r>
      <w:r>
        <w:t xml:space="preserve">ed to as action </w:t>
      </w:r>
      <w:r w:rsidR="00A15D01">
        <w:rPr>
          <w:szCs w:val="26"/>
        </w:rPr>
        <w:t>5.1. In addition</w:t>
      </w:r>
      <w:r w:rsidR="002B18B0">
        <w:rPr>
          <w:szCs w:val="26"/>
        </w:rPr>
        <w:t>,</w:t>
      </w:r>
      <w:r w:rsidR="00A15D01">
        <w:rPr>
          <w:szCs w:val="26"/>
        </w:rPr>
        <w:t xml:space="preserve"> t</w:t>
      </w:r>
      <w:r>
        <w:rPr>
          <w:szCs w:val="26"/>
        </w:rPr>
        <w:t xml:space="preserve">here was no reported progress within the strategic area of supporting a return to work </w:t>
      </w:r>
      <w:r w:rsidR="00A15D01">
        <w:rPr>
          <w:szCs w:val="26"/>
        </w:rPr>
        <w:t>with actions to support the</w:t>
      </w:r>
      <w:r>
        <w:rPr>
          <w:szCs w:val="26"/>
        </w:rPr>
        <w:t xml:space="preserve"> delivery of a national programme of </w:t>
      </w:r>
      <w:r w:rsidR="007344CF">
        <w:rPr>
          <w:szCs w:val="26"/>
        </w:rPr>
        <w:t>vocational rehabilitation</w:t>
      </w:r>
      <w:r w:rsidR="001B6227">
        <w:rPr>
          <w:szCs w:val="26"/>
        </w:rPr>
        <w:t>, although the NDA did provide an advice paper</w:t>
      </w:r>
      <w:r w:rsidR="00A161A7">
        <w:rPr>
          <w:szCs w:val="26"/>
        </w:rPr>
        <w:t xml:space="preserve"> in 2021</w:t>
      </w:r>
      <w:r w:rsidR="001B6227">
        <w:rPr>
          <w:szCs w:val="26"/>
        </w:rPr>
        <w:t xml:space="preserve"> on the matter to relevant departments for their consideration</w:t>
      </w:r>
      <w:r>
        <w:rPr>
          <w:szCs w:val="26"/>
        </w:rPr>
        <w:t>.</w:t>
      </w:r>
    </w:p>
    <w:p w14:paraId="269F16D7" w14:textId="77777777" w:rsidR="001E7A92" w:rsidRDefault="001E7A92" w:rsidP="002D355B">
      <w:pPr>
        <w:kinsoku w:val="0"/>
        <w:overflowPunct w:val="0"/>
        <w:spacing w:after="0"/>
        <w:contextualSpacing/>
        <w:textAlignment w:val="baseline"/>
        <w:rPr>
          <w:szCs w:val="26"/>
        </w:rPr>
      </w:pPr>
    </w:p>
    <w:p w14:paraId="403BF665" w14:textId="782A990B" w:rsidR="001E7A92" w:rsidRPr="00FC010E" w:rsidRDefault="00A15D01" w:rsidP="005A0157">
      <w:pPr>
        <w:pStyle w:val="ListBullet"/>
        <w:numPr>
          <w:ilvl w:val="0"/>
          <w:numId w:val="0"/>
        </w:numPr>
      </w:pPr>
      <w:r>
        <w:rPr>
          <w:rFonts w:eastAsiaTheme="minorEastAsia"/>
        </w:rPr>
        <w:t>A</w:t>
      </w:r>
      <w:r w:rsidR="005A0157">
        <w:rPr>
          <w:rFonts w:eastAsiaTheme="minorEastAsia"/>
        </w:rPr>
        <w:t>s</w:t>
      </w:r>
      <w:r>
        <w:rPr>
          <w:rFonts w:eastAsiaTheme="minorEastAsia"/>
        </w:rPr>
        <w:t xml:space="preserve"> part of a process of engagement and meaningful </w:t>
      </w:r>
      <w:r w:rsidR="005A0157">
        <w:rPr>
          <w:rFonts w:eastAsiaTheme="minorEastAsia"/>
        </w:rPr>
        <w:t>consultation</w:t>
      </w:r>
      <w:r w:rsidR="0072781A">
        <w:rPr>
          <w:rFonts w:eastAsiaTheme="minorEastAsia"/>
        </w:rPr>
        <w:t xml:space="preserve"> it is</w:t>
      </w:r>
      <w:r w:rsidR="005A0157">
        <w:rPr>
          <w:rFonts w:eastAsiaTheme="minorEastAsia"/>
        </w:rPr>
        <w:t xml:space="preserve"> necessary to </w:t>
      </w:r>
      <w:r w:rsidR="0072781A">
        <w:rPr>
          <w:rFonts w:eastAsiaTheme="minorEastAsia"/>
        </w:rPr>
        <w:t xml:space="preserve">consistently </w:t>
      </w:r>
      <w:r w:rsidR="005A0157">
        <w:rPr>
          <w:rFonts w:eastAsiaTheme="minorEastAsia"/>
        </w:rPr>
        <w:t>c</w:t>
      </w:r>
      <w:r w:rsidR="001E7A92" w:rsidRPr="00FC010E">
        <w:rPr>
          <w:rFonts w:eastAsiaTheme="minorEastAsia"/>
        </w:rPr>
        <w:t xml:space="preserve">ommunicate </w:t>
      </w:r>
      <w:r w:rsidR="005A0157">
        <w:rPr>
          <w:rFonts w:eastAsiaTheme="minorEastAsia"/>
        </w:rPr>
        <w:t>with all stakeholder</w:t>
      </w:r>
      <w:r w:rsidR="00497FCE">
        <w:rPr>
          <w:rFonts w:eastAsiaTheme="minorEastAsia"/>
        </w:rPr>
        <w:t>s</w:t>
      </w:r>
      <w:r w:rsidR="005A0157">
        <w:rPr>
          <w:rFonts w:eastAsiaTheme="minorEastAsia"/>
        </w:rPr>
        <w:t xml:space="preserve"> the </w:t>
      </w:r>
      <w:r w:rsidR="001E7A92" w:rsidRPr="00FC010E">
        <w:rPr>
          <w:rFonts w:eastAsiaTheme="minorEastAsia"/>
        </w:rPr>
        <w:t xml:space="preserve">decision on the future of </w:t>
      </w:r>
      <w:r w:rsidR="005A0157">
        <w:rPr>
          <w:rFonts w:eastAsiaTheme="minorEastAsia"/>
        </w:rPr>
        <w:t xml:space="preserve">the </w:t>
      </w:r>
      <w:r w:rsidR="001E7A92" w:rsidRPr="00FC010E">
        <w:rPr>
          <w:rFonts w:eastAsiaTheme="minorEastAsia"/>
        </w:rPr>
        <w:t>CES</w:t>
      </w:r>
      <w:r w:rsidR="005A0157">
        <w:rPr>
          <w:rFonts w:eastAsiaTheme="minorEastAsia"/>
        </w:rPr>
        <w:t>. This communication is of most importance to disable</w:t>
      </w:r>
      <w:r w:rsidR="00486FBE">
        <w:rPr>
          <w:rFonts w:eastAsiaTheme="minorEastAsia"/>
        </w:rPr>
        <w:t>d</w:t>
      </w:r>
      <w:r w:rsidR="005A0157">
        <w:rPr>
          <w:rFonts w:eastAsiaTheme="minorEastAsia"/>
        </w:rPr>
        <w:t xml:space="preserve"> people and to disabled peoples organisations</w:t>
      </w:r>
      <w:r w:rsidR="0072781A">
        <w:rPr>
          <w:rFonts w:eastAsiaTheme="minorEastAsia"/>
        </w:rPr>
        <w:t xml:space="preserve">. To support departments and agencies in their ongoing communications the NDA produced new guidance on meaningful participation </w:t>
      </w:r>
      <w:r w:rsidR="000B745D">
        <w:rPr>
          <w:rFonts w:eastAsiaTheme="minorEastAsia"/>
        </w:rPr>
        <w:t xml:space="preserve">that describes useful approaches to communication </w:t>
      </w:r>
      <w:r w:rsidR="0072781A">
        <w:rPr>
          <w:rFonts w:eastAsiaTheme="minorEastAsia"/>
        </w:rPr>
        <w:t>in 2022</w:t>
      </w:r>
      <w:r w:rsidR="000B745D">
        <w:rPr>
          <w:rFonts w:eastAsiaTheme="minorEastAsia"/>
        </w:rPr>
        <w:t>.</w:t>
      </w:r>
      <w:r w:rsidR="0072781A">
        <w:rPr>
          <w:rStyle w:val="FootnoteReference"/>
          <w:rFonts w:eastAsiaTheme="minorEastAsia"/>
        </w:rPr>
        <w:footnoteReference w:id="30"/>
      </w:r>
      <w:r w:rsidR="0072781A">
        <w:rPr>
          <w:rFonts w:eastAsiaTheme="minorEastAsia"/>
        </w:rPr>
        <w:t xml:space="preserve"> </w:t>
      </w:r>
    </w:p>
    <w:p w14:paraId="780B4F98" w14:textId="77777777" w:rsidR="005B288A" w:rsidRDefault="005B288A" w:rsidP="005B288A">
      <w:pPr>
        <w:pStyle w:val="Heading1"/>
        <w:rPr>
          <w:shd w:val="clear" w:color="auto" w:fill="FFFFFF"/>
        </w:rPr>
      </w:pPr>
      <w:bookmarkStart w:id="20" w:name="_Toc130474357"/>
      <w:bookmarkStart w:id="21" w:name="_Toc132710528"/>
      <w:r>
        <w:rPr>
          <w:shd w:val="clear" w:color="auto" w:fill="FFFFFF"/>
        </w:rPr>
        <w:t>Strategic priority areas</w:t>
      </w:r>
      <w:bookmarkEnd w:id="20"/>
      <w:bookmarkEnd w:id="21"/>
    </w:p>
    <w:p w14:paraId="4EC6B66A" w14:textId="0B8B111C" w:rsidR="00074517" w:rsidRDefault="00B40138" w:rsidP="00203B5D">
      <w:pPr>
        <w:pStyle w:val="NormalBeforeList"/>
      </w:pPr>
      <w:bookmarkStart w:id="22" w:name="_Toc96521878"/>
      <w:r>
        <w:t xml:space="preserve">As described in previous NDA assessments </w:t>
      </w:r>
      <w:r w:rsidR="00A80318">
        <w:t xml:space="preserve">the CES is built on </w:t>
      </w:r>
      <w:r>
        <w:t xml:space="preserve">six pillars of </w:t>
      </w:r>
      <w:r w:rsidR="00A80318">
        <w:t xml:space="preserve">action. The 2015 strategy </w:t>
      </w:r>
      <w:r w:rsidR="00E1009A">
        <w:t>advocated</w:t>
      </w:r>
      <w:r w:rsidR="00A80318">
        <w:t xml:space="preserve"> </w:t>
      </w:r>
      <w:r w:rsidR="00E1009A">
        <w:t>‘</w:t>
      </w:r>
      <w:r w:rsidR="00A80318" w:rsidRPr="00552EB3">
        <w:t>a cross-government approach that brings together actions by different Departments and state agencies in a concerted effort to address the barriers and challenges that impact on employment of people with disabilities. In tandem with that, it seeks to ensure there will be joined-up services and supports at local level to support individuals on their journey into and in employment</w:t>
      </w:r>
      <w:r w:rsidR="00A80318">
        <w:t>’</w:t>
      </w:r>
      <w:r w:rsidR="00E1009A">
        <w:t>. These elements of the strategy are still relevant as the following assessment will outline.</w:t>
      </w:r>
    </w:p>
    <w:p w14:paraId="3850F180" w14:textId="77777777" w:rsidR="0083747C" w:rsidRDefault="005B288A" w:rsidP="0083747C">
      <w:pPr>
        <w:pStyle w:val="Heading2"/>
      </w:pPr>
      <w:bookmarkStart w:id="23" w:name="_Toc130474358"/>
      <w:bookmarkStart w:id="24" w:name="_Toc132710529"/>
      <w:r>
        <w:t>SP1 Build skills, capacity and independence</w:t>
      </w:r>
      <w:bookmarkEnd w:id="22"/>
      <w:bookmarkEnd w:id="23"/>
      <w:bookmarkEnd w:id="24"/>
      <w:r w:rsidR="00A94B0A">
        <w:t xml:space="preserve"> </w:t>
      </w:r>
    </w:p>
    <w:p w14:paraId="144D920C" w14:textId="6DF32E20" w:rsidR="001E7BD2" w:rsidRPr="0067217F" w:rsidRDefault="00E1009A" w:rsidP="001E7BD2">
      <w:r>
        <w:t xml:space="preserve">Actions </w:t>
      </w:r>
      <w:r w:rsidR="001E7BD2" w:rsidRPr="0067217F">
        <w:t>to improve education, raise expectations, and expose post-primary students with disabilities to work opportunities</w:t>
      </w:r>
      <w:r w:rsidR="00F83508">
        <w:t xml:space="preserve"> were progressed during 2022 </w:t>
      </w:r>
      <w:r w:rsidR="00FE13A5">
        <w:t>through</w:t>
      </w:r>
      <w:r w:rsidR="00F83508">
        <w:t xml:space="preserve"> the following</w:t>
      </w:r>
      <w:r w:rsidR="001E7BD2">
        <w:t xml:space="preserve"> </w:t>
      </w:r>
      <w:r w:rsidR="00F83508">
        <w:t>initiatives.</w:t>
      </w:r>
    </w:p>
    <w:p w14:paraId="7EE881F7" w14:textId="779AA9F9" w:rsidR="001939ED" w:rsidRDefault="00DD3466" w:rsidP="001939ED">
      <w:pPr>
        <w:rPr>
          <w:rFonts w:eastAsia="MS PGothic"/>
          <w:color w:val="000000"/>
          <w:kern w:val="24"/>
          <w:szCs w:val="26"/>
          <w:lang w:eastAsia="en-IE"/>
        </w:rPr>
      </w:pPr>
      <w:bookmarkStart w:id="25" w:name="_Toc96521882"/>
      <w:r>
        <w:rPr>
          <w:rFonts w:cs="Arial"/>
          <w:szCs w:val="26"/>
          <w:lang w:eastAsia="en-IE"/>
        </w:rPr>
        <w:t>The Department of Education announced t</w:t>
      </w:r>
      <w:r w:rsidR="0083747C">
        <w:rPr>
          <w:rFonts w:cs="Arial"/>
          <w:szCs w:val="26"/>
          <w:lang w:eastAsia="en-IE"/>
        </w:rPr>
        <w:t>wo</w:t>
      </w:r>
      <w:r w:rsidR="0083747C" w:rsidRPr="0083747C">
        <w:rPr>
          <w:rFonts w:cs="Arial"/>
          <w:szCs w:val="26"/>
          <w:lang w:eastAsia="en-IE"/>
        </w:rPr>
        <w:t xml:space="preserve"> pilo</w:t>
      </w:r>
      <w:r>
        <w:rPr>
          <w:rFonts w:cs="Arial"/>
          <w:szCs w:val="26"/>
          <w:lang w:eastAsia="en-IE"/>
        </w:rPr>
        <w:t xml:space="preserve">t projects </w:t>
      </w:r>
      <w:r w:rsidR="0083747C" w:rsidRPr="0083747C">
        <w:rPr>
          <w:rFonts w:cs="Arial"/>
          <w:szCs w:val="26"/>
          <w:lang w:eastAsia="en-IE"/>
        </w:rPr>
        <w:t>in 2022</w:t>
      </w:r>
      <w:r>
        <w:rPr>
          <w:rFonts w:cs="Arial"/>
          <w:szCs w:val="26"/>
          <w:lang w:eastAsia="en-IE"/>
        </w:rPr>
        <w:t xml:space="preserve"> that will build on work to support ‘transitions’ from school for young disabled people</w:t>
      </w:r>
      <w:r w:rsidR="0083747C" w:rsidRPr="0083747C">
        <w:rPr>
          <w:rFonts w:cs="Arial"/>
          <w:szCs w:val="26"/>
          <w:lang w:eastAsia="en-IE"/>
        </w:rPr>
        <w:t xml:space="preserve">. The first </w:t>
      </w:r>
      <w:r>
        <w:rPr>
          <w:rFonts w:eastAsia="MS PGothic"/>
          <w:kern w:val="24"/>
          <w:szCs w:val="26"/>
          <w:lang w:eastAsia="en-IE"/>
        </w:rPr>
        <w:t>pilot project will</w:t>
      </w:r>
      <w:r w:rsidR="0083747C" w:rsidRPr="0083747C">
        <w:rPr>
          <w:rFonts w:eastAsia="MS PGothic"/>
          <w:kern w:val="24"/>
          <w:szCs w:val="26"/>
          <w:lang w:eastAsia="en-IE"/>
        </w:rPr>
        <w:t xml:space="preserve"> support school leavers with disabilities,</w:t>
      </w:r>
      <w:r w:rsidR="0083747C" w:rsidRPr="0083747C">
        <w:rPr>
          <w:rFonts w:eastAsia="MS PGothic"/>
          <w:kern w:val="24"/>
          <w:szCs w:val="26"/>
          <w:vertAlign w:val="superscript"/>
          <w:lang w:eastAsia="en-IE"/>
        </w:rPr>
        <w:footnoteReference w:id="31"/>
      </w:r>
      <w:r w:rsidR="0083747C" w:rsidRPr="0083747C">
        <w:rPr>
          <w:rFonts w:eastAsia="MS PGothic"/>
          <w:kern w:val="24"/>
          <w:szCs w:val="26"/>
          <w:lang w:eastAsia="en-IE"/>
        </w:rPr>
        <w:t xml:space="preserve"> and targets pupils with Intellectual Disabilities and complex education needs in 20 post-primary and special schools in Dublin and Galway. Schools will be supported to help students </w:t>
      </w:r>
      <w:r w:rsidR="0083747C" w:rsidRPr="0083747C">
        <w:rPr>
          <w:rFonts w:eastAsia="MS PGothic"/>
          <w:kern w:val="24"/>
          <w:szCs w:val="26"/>
          <w:lang w:eastAsia="en-IE"/>
        </w:rPr>
        <w:lastRenderedPageBreak/>
        <w:t>and families complete a skills audit</w:t>
      </w:r>
      <w:r>
        <w:rPr>
          <w:rFonts w:eastAsia="MS PGothic"/>
          <w:kern w:val="24"/>
          <w:szCs w:val="26"/>
          <w:lang w:eastAsia="en-IE"/>
        </w:rPr>
        <w:t>,</w:t>
      </w:r>
      <w:r w:rsidR="0083747C" w:rsidRPr="0083747C">
        <w:rPr>
          <w:rFonts w:eastAsia="MS PGothic"/>
          <w:kern w:val="24"/>
          <w:szCs w:val="26"/>
          <w:lang w:eastAsia="en-IE"/>
        </w:rPr>
        <w:t xml:space="preserve"> identifying skill gaps and </w:t>
      </w:r>
      <w:r>
        <w:rPr>
          <w:rFonts w:eastAsia="MS PGothic"/>
          <w:kern w:val="24"/>
          <w:szCs w:val="26"/>
          <w:lang w:eastAsia="en-IE"/>
        </w:rPr>
        <w:t xml:space="preserve">describe </w:t>
      </w:r>
      <w:r w:rsidR="0083747C" w:rsidRPr="0083747C">
        <w:rPr>
          <w:rFonts w:eastAsia="MS PGothic"/>
          <w:kern w:val="24"/>
          <w:szCs w:val="26"/>
          <w:lang w:eastAsia="en-IE"/>
        </w:rPr>
        <w:t>necessary supports. Each student will develop an individual transition plan with school support on the specific skills required to ensure a posi</w:t>
      </w:r>
      <w:r>
        <w:rPr>
          <w:rFonts w:eastAsia="MS PGothic"/>
          <w:kern w:val="24"/>
          <w:szCs w:val="26"/>
          <w:lang w:eastAsia="en-IE"/>
        </w:rPr>
        <w:t>tive transition from school. This</w:t>
      </w:r>
      <w:r w:rsidR="0083747C" w:rsidRPr="0083747C">
        <w:rPr>
          <w:rFonts w:eastAsia="MS PGothic"/>
          <w:kern w:val="24"/>
          <w:szCs w:val="26"/>
          <w:lang w:eastAsia="en-IE"/>
        </w:rPr>
        <w:t xml:space="preserve"> pilot will be overseen by </w:t>
      </w:r>
      <w:r w:rsidR="0083747C" w:rsidRPr="008F2DDA">
        <w:rPr>
          <w:rFonts w:eastAsia="MS PGothic"/>
          <w:kern w:val="24"/>
          <w:szCs w:val="26"/>
          <w:lang w:eastAsia="en-IE"/>
        </w:rPr>
        <w:t xml:space="preserve">the </w:t>
      </w:r>
      <w:r w:rsidR="007556BA" w:rsidRPr="008F2DDA">
        <w:rPr>
          <w:rFonts w:eastAsia="MS PGothic"/>
          <w:kern w:val="24"/>
          <w:szCs w:val="26"/>
          <w:lang w:eastAsia="en-IE"/>
        </w:rPr>
        <w:t>Department of Education</w:t>
      </w:r>
      <w:r w:rsidR="0083747C" w:rsidRPr="0083747C">
        <w:rPr>
          <w:rFonts w:eastAsia="MS PGothic"/>
          <w:kern w:val="24"/>
          <w:szCs w:val="26"/>
          <w:lang w:eastAsia="en-IE"/>
        </w:rPr>
        <w:t xml:space="preserve"> and progress will be monitored with a view to expanding the pilot to other schools. </w:t>
      </w:r>
      <w:r w:rsidR="0083747C" w:rsidRPr="0083747C">
        <w:rPr>
          <w:szCs w:val="26"/>
        </w:rPr>
        <w:t xml:space="preserve"> </w:t>
      </w:r>
      <w:r w:rsidR="0083747C" w:rsidRPr="0083747C">
        <w:rPr>
          <w:rFonts w:eastAsia="MS PGothic"/>
          <w:color w:val="000000"/>
          <w:kern w:val="24"/>
          <w:szCs w:val="26"/>
          <w:lang w:eastAsia="en-IE"/>
        </w:rPr>
        <w:t xml:space="preserve">The second pilot </w:t>
      </w:r>
      <w:r>
        <w:rPr>
          <w:rFonts w:eastAsia="MS PGothic"/>
          <w:color w:val="000000"/>
          <w:kern w:val="24"/>
          <w:szCs w:val="26"/>
          <w:lang w:eastAsia="en-IE"/>
        </w:rPr>
        <w:t xml:space="preserve">announced in December 2022 </w:t>
      </w:r>
      <w:r w:rsidR="0083747C" w:rsidRPr="0083747C">
        <w:rPr>
          <w:rFonts w:eastAsia="MS PGothic"/>
          <w:color w:val="000000"/>
          <w:kern w:val="24"/>
          <w:szCs w:val="26"/>
          <w:lang w:eastAsia="en-IE"/>
        </w:rPr>
        <w:t xml:space="preserve">is a collaboration between the Department of Education and Walkinstown Association for People with an Intellectual Disability (WALK). This project will deliver the WALK ‘peer Ability programme’ to 170 pupils across 10 schools based in Louth, Dublin, Kerry, Cork and Kilkenny. </w:t>
      </w:r>
      <w:r>
        <w:rPr>
          <w:szCs w:val="26"/>
        </w:rPr>
        <w:t>Th</w:t>
      </w:r>
      <w:r w:rsidR="0083747C" w:rsidRPr="0083747C">
        <w:rPr>
          <w:szCs w:val="26"/>
        </w:rPr>
        <w:t xml:space="preserve">is </w:t>
      </w:r>
      <w:r w:rsidR="003F1DDE">
        <w:rPr>
          <w:szCs w:val="26"/>
        </w:rPr>
        <w:t>pro</w:t>
      </w:r>
      <w:r>
        <w:rPr>
          <w:szCs w:val="26"/>
        </w:rPr>
        <w:t xml:space="preserve">ject </w:t>
      </w:r>
      <w:r w:rsidR="003F1DDE">
        <w:rPr>
          <w:szCs w:val="26"/>
        </w:rPr>
        <w:t xml:space="preserve">builds on an </w:t>
      </w:r>
      <w:r w:rsidR="0083747C" w:rsidRPr="0083747C">
        <w:rPr>
          <w:szCs w:val="26"/>
        </w:rPr>
        <w:t>evaluation of the WALK PEER programme</w:t>
      </w:r>
      <w:r w:rsidR="0083747C" w:rsidRPr="0083747C">
        <w:rPr>
          <w:rStyle w:val="FootnoteReference"/>
          <w:rFonts w:ascii="Gill Sans MT" w:hAnsi="Gill Sans MT"/>
          <w:sz w:val="26"/>
          <w:szCs w:val="26"/>
        </w:rPr>
        <w:footnoteReference w:id="32"/>
      </w:r>
      <w:r w:rsidR="003F1DDE">
        <w:rPr>
          <w:szCs w:val="26"/>
        </w:rPr>
        <w:t xml:space="preserve">, </w:t>
      </w:r>
      <w:r w:rsidR="00FE13A5">
        <w:rPr>
          <w:szCs w:val="26"/>
        </w:rPr>
        <w:t>which found that</w:t>
      </w:r>
      <w:r w:rsidR="003F1DDE">
        <w:rPr>
          <w:szCs w:val="26"/>
        </w:rPr>
        <w:t xml:space="preserve"> learners,</w:t>
      </w:r>
      <w:r w:rsidR="0083747C" w:rsidRPr="0083747C">
        <w:rPr>
          <w:szCs w:val="26"/>
        </w:rPr>
        <w:t xml:space="preserve"> their families and others</w:t>
      </w:r>
      <w:r w:rsidR="00FE13A5">
        <w:rPr>
          <w:szCs w:val="26"/>
        </w:rPr>
        <w:t>,</w:t>
      </w:r>
      <w:r w:rsidR="0083747C" w:rsidRPr="0083747C">
        <w:rPr>
          <w:szCs w:val="26"/>
        </w:rPr>
        <w:t xml:space="preserve"> valued mentorships as a career support tool.</w:t>
      </w:r>
      <w:r w:rsidR="0083747C" w:rsidRPr="0083747C">
        <w:rPr>
          <w:rFonts w:cs="Arial"/>
          <w:szCs w:val="26"/>
          <w:lang w:eastAsia="en-IE"/>
        </w:rPr>
        <w:t xml:space="preserve"> </w:t>
      </w:r>
      <w:r w:rsidR="0083747C" w:rsidRPr="0083747C">
        <w:rPr>
          <w:rFonts w:eastAsia="MS PGothic"/>
          <w:color w:val="000000"/>
          <w:kern w:val="24"/>
          <w:szCs w:val="26"/>
          <w:lang w:eastAsia="en-IE"/>
        </w:rPr>
        <w:t>The findings from this extended delivery of the WALK PEER prog</w:t>
      </w:r>
      <w:r w:rsidR="00CF1FA8">
        <w:rPr>
          <w:rFonts w:eastAsia="MS PGothic"/>
          <w:color w:val="000000"/>
          <w:kern w:val="24"/>
          <w:szCs w:val="26"/>
          <w:lang w:eastAsia="en-IE"/>
        </w:rPr>
        <w:t>ramme will be evaluated and</w:t>
      </w:r>
      <w:r w:rsidR="0083747C" w:rsidRPr="0083747C">
        <w:rPr>
          <w:rFonts w:eastAsia="MS PGothic"/>
          <w:color w:val="000000"/>
          <w:kern w:val="24"/>
          <w:szCs w:val="26"/>
          <w:lang w:eastAsia="en-IE"/>
        </w:rPr>
        <w:t xml:space="preserve"> the evaluation will inform future policy direction.</w:t>
      </w:r>
      <w:r w:rsidR="0083747C" w:rsidRPr="0083747C">
        <w:rPr>
          <w:rFonts w:eastAsia="MS PGothic"/>
          <w:color w:val="000000"/>
          <w:kern w:val="24"/>
          <w:szCs w:val="26"/>
          <w:vertAlign w:val="superscript"/>
          <w:lang w:eastAsia="en-IE"/>
        </w:rPr>
        <w:footnoteReference w:id="33"/>
      </w:r>
      <w:r w:rsidR="002E66A0">
        <w:rPr>
          <w:rFonts w:eastAsia="MS PGothic"/>
          <w:color w:val="000000"/>
          <w:kern w:val="24"/>
          <w:szCs w:val="26"/>
          <w:lang w:eastAsia="en-IE"/>
        </w:rPr>
        <w:t xml:space="preserve"> Transitions from school for all young disabled people will remain a focus for the CES</w:t>
      </w:r>
      <w:r w:rsidR="00D5782C">
        <w:rPr>
          <w:rFonts w:eastAsia="MS PGothic"/>
          <w:color w:val="000000"/>
          <w:kern w:val="24"/>
          <w:szCs w:val="26"/>
          <w:lang w:eastAsia="en-IE"/>
        </w:rPr>
        <w:t xml:space="preserve">, planning for same has received </w:t>
      </w:r>
      <w:r w:rsidR="00021AF9">
        <w:rPr>
          <w:rFonts w:eastAsia="MS PGothic"/>
          <w:color w:val="000000"/>
          <w:kern w:val="24"/>
          <w:szCs w:val="26"/>
          <w:lang w:eastAsia="en-IE"/>
        </w:rPr>
        <w:t xml:space="preserve">ongoing consideration in both education and social policy arenas. </w:t>
      </w:r>
      <w:r w:rsidR="00270DA9">
        <w:rPr>
          <w:rFonts w:eastAsia="MS PGothic"/>
          <w:color w:val="000000"/>
          <w:kern w:val="24"/>
          <w:szCs w:val="26"/>
          <w:lang w:eastAsia="en-IE"/>
        </w:rPr>
        <w:t xml:space="preserve"> </w:t>
      </w:r>
      <w:r w:rsidR="00021AF9">
        <w:rPr>
          <w:rFonts w:eastAsia="MS PGothic"/>
          <w:color w:val="000000"/>
          <w:kern w:val="24"/>
          <w:szCs w:val="26"/>
          <w:lang w:eastAsia="en-IE"/>
        </w:rPr>
        <w:t>A</w:t>
      </w:r>
      <w:r w:rsidR="002E66A0">
        <w:t xml:space="preserve"> recently developed theoretical outcomes-based framework for ‘measuring the quality of services for people with disabilities could be accordi</w:t>
      </w:r>
      <w:r w:rsidR="00D5782C">
        <w:t>ng to Julie Beadle Brown et al</w:t>
      </w:r>
      <w:r w:rsidR="00021AF9">
        <w:rPr>
          <w:rStyle w:val="FootnoteReference"/>
        </w:rPr>
        <w:footnoteReference w:id="34"/>
      </w:r>
      <w:r w:rsidR="002E66A0">
        <w:t xml:space="preserve"> ‘useful in conceptualizing and supporting succe</w:t>
      </w:r>
      <w:r w:rsidR="00021AF9">
        <w:t>ssful transition to adulthood’ is one such new approach to managing this important aspect of post school life.</w:t>
      </w:r>
    </w:p>
    <w:p w14:paraId="38CED5FE" w14:textId="7C1B0853" w:rsidR="00900A32" w:rsidRDefault="001939ED" w:rsidP="004B15CE">
      <w:r w:rsidRPr="008F2DDA">
        <w:rPr>
          <w:rFonts w:eastAsia="MS PGothic"/>
          <w:color w:val="000000"/>
          <w:kern w:val="24"/>
          <w:szCs w:val="26"/>
          <w:lang w:eastAsia="en-IE"/>
        </w:rPr>
        <w:t>2022 saw</w:t>
      </w:r>
      <w:r>
        <w:rPr>
          <w:rFonts w:eastAsia="MS PGothic"/>
          <w:color w:val="000000"/>
          <w:kern w:val="24"/>
          <w:szCs w:val="26"/>
          <w:lang w:eastAsia="en-IE"/>
        </w:rPr>
        <w:t xml:space="preserve"> the</w:t>
      </w:r>
      <w:r>
        <w:t xml:space="preserve"> establishment of a National Policy Group on Lifelong Guidance, to develop a coherent long term strategic </w:t>
      </w:r>
      <w:r w:rsidR="00F83508">
        <w:t xml:space="preserve">guidance </w:t>
      </w:r>
      <w:r>
        <w:t>framework. The National Policy Group comprises of five government departments: The Department of Education (DoE), Department of Further and Higher Education, Research, Innovation and Science (DFHERIS), the Department of Children, Equality, Disability, Integration and Youth (DCEDIY), the Department of Social Protection (DSP) and the Department of Enterprise, Trade and Employment (DETE)</w:t>
      </w:r>
      <w:r w:rsidR="00CF1FA8">
        <w:t>. T</w:t>
      </w:r>
      <w:r>
        <w:t xml:space="preserve">hese are the key departments </w:t>
      </w:r>
      <w:r w:rsidRPr="008F2DDA">
        <w:t xml:space="preserve">required to </w:t>
      </w:r>
      <w:r w:rsidR="00BF04B6" w:rsidRPr="008F2DDA">
        <w:t xml:space="preserve">develop the framework which is intended to, inter alia </w:t>
      </w:r>
      <w:r w:rsidRPr="008F2DDA">
        <w:t xml:space="preserve">address </w:t>
      </w:r>
      <w:r w:rsidR="00BF04B6" w:rsidRPr="008F2DDA">
        <w:t xml:space="preserve">any </w:t>
      </w:r>
      <w:r w:rsidRPr="008F2DDA">
        <w:t>gaps</w:t>
      </w:r>
      <w:r>
        <w:t xml:space="preserve"> in the provision of guidance, support and information for all people</w:t>
      </w:r>
      <w:r w:rsidR="00F83508">
        <w:t>,</w:t>
      </w:r>
      <w:r>
        <w:t xml:space="preserve"> including people with disabilities when accessing support guidance and critically career guidance. </w:t>
      </w:r>
      <w:r w:rsidR="00BF04B6" w:rsidRPr="008F2DDA">
        <w:t>G</w:t>
      </w:r>
      <w:r w:rsidRPr="008F2DDA">
        <w:t>uidance</w:t>
      </w:r>
      <w:r w:rsidR="00C32139">
        <w:t xml:space="preserve"> in school for all learners with disabilities remains a gap. The </w:t>
      </w:r>
      <w:r w:rsidR="00430CE3">
        <w:t xml:space="preserve">NDA advise that a useful understanding of guidance </w:t>
      </w:r>
      <w:r w:rsidR="00C32139">
        <w:t xml:space="preserve">provision </w:t>
      </w:r>
      <w:r w:rsidR="00430CE3">
        <w:t>comes from</w:t>
      </w:r>
      <w:r w:rsidR="002B18B0">
        <w:t xml:space="preserve"> the</w:t>
      </w:r>
      <w:r w:rsidR="00430CE3">
        <w:t xml:space="preserve"> EU which describes it as</w:t>
      </w:r>
      <w:r w:rsidR="00C32139">
        <w:t xml:space="preserve"> “</w:t>
      </w:r>
      <w:r>
        <w:t xml:space="preserve">services intended to assist individuals, of any age and at any point throughout their lives, to make educational, training </w:t>
      </w:r>
      <w:r>
        <w:lastRenderedPageBreak/>
        <w:t>and occupational choices and to manage their careers</w:t>
      </w:r>
      <w:r>
        <w:rPr>
          <w:rStyle w:val="FootnoteReference"/>
        </w:rPr>
        <w:footnoteReference w:id="35"/>
      </w:r>
      <w:r>
        <w:t>”</w:t>
      </w:r>
      <w:r w:rsidR="00C32139">
        <w:t xml:space="preserve">. The establishment of this national policy group is an opportunity to address the </w:t>
      </w:r>
      <w:r w:rsidR="00C32139" w:rsidRPr="008F2DDA">
        <w:t xml:space="preserve">limitations </w:t>
      </w:r>
      <w:r w:rsidR="008F2DDA" w:rsidRPr="008F2DDA">
        <w:t>identified</w:t>
      </w:r>
      <w:r w:rsidR="00BF04B6" w:rsidRPr="008F2DDA">
        <w:t xml:space="preserve"> in</w:t>
      </w:r>
      <w:r w:rsidR="00C32139" w:rsidRPr="008F2DDA">
        <w:t xml:space="preserve"> the</w:t>
      </w:r>
      <w:r w:rsidR="00C32139">
        <w:t xml:space="preserve"> Indecon report on </w:t>
      </w:r>
      <w:r w:rsidR="00021AF9">
        <w:t xml:space="preserve">provision of </w:t>
      </w:r>
      <w:r w:rsidR="00C32139">
        <w:t>career guidance</w:t>
      </w:r>
      <w:r>
        <w:t xml:space="preserve"> in schools, </w:t>
      </w:r>
      <w:r w:rsidR="008B0A5D">
        <w:t>thus allowing</w:t>
      </w:r>
      <w:r>
        <w:t xml:space="preserve"> career guidance interventions </w:t>
      </w:r>
      <w:r w:rsidR="00B05061">
        <w:t>that</w:t>
      </w:r>
      <w:r>
        <w:t xml:space="preserve"> “are concerned not with telling people what to do but with helping them acquire knowledge, skills and attitudes that will help them make better career choices and transitions</w:t>
      </w:r>
      <w:r w:rsidR="00270DA9">
        <w:rPr>
          <w:rStyle w:val="FootnoteReference"/>
        </w:rPr>
        <w:footnoteReference w:id="36"/>
      </w:r>
      <w:r>
        <w:t>”</w:t>
      </w:r>
      <w:r w:rsidR="00B05061">
        <w:t>.</w:t>
      </w:r>
      <w:r w:rsidR="0013112B">
        <w:t xml:space="preserve"> </w:t>
      </w:r>
    </w:p>
    <w:p w14:paraId="457F175C" w14:textId="3001D587" w:rsidR="001939ED" w:rsidRPr="00974720" w:rsidRDefault="0013112B" w:rsidP="007F5212">
      <w:r>
        <w:t>The</w:t>
      </w:r>
      <w:r w:rsidR="002A112A">
        <w:t xml:space="preserve"> CES</w:t>
      </w:r>
      <w:r>
        <w:t xml:space="preserve"> </w:t>
      </w:r>
      <w:r w:rsidR="00900A32">
        <w:t>detailed</w:t>
      </w:r>
      <w:r>
        <w:t xml:space="preserve"> actions to ‘foster</w:t>
      </w:r>
      <w:r w:rsidRPr="003540A2">
        <w:t xml:space="preserve"> each student’s independence during their school-years</w:t>
      </w:r>
      <w:r>
        <w:t>’</w:t>
      </w:r>
      <w:r w:rsidR="00B05061">
        <w:t>.</w:t>
      </w:r>
      <w:r w:rsidR="00430CE3">
        <w:t xml:space="preserve"> </w:t>
      </w:r>
      <w:r w:rsidR="00B05061">
        <w:t>A</w:t>
      </w:r>
      <w:r>
        <w:t>s the CES</w:t>
      </w:r>
      <w:r w:rsidR="002A112A">
        <w:t xml:space="preserve"> continues to 2024 it will be important for the long-term strategic framework on guidance to include delivery of career guidance for all</w:t>
      </w:r>
      <w:r>
        <w:t xml:space="preserve"> commencing while at</w:t>
      </w:r>
      <w:r w:rsidR="002A112A">
        <w:t xml:space="preserve"> school</w:t>
      </w:r>
      <w:r>
        <w:rPr>
          <w:rStyle w:val="FootnoteReference"/>
        </w:rPr>
        <w:footnoteReference w:id="37"/>
      </w:r>
      <w:r w:rsidR="002A112A">
        <w:t xml:space="preserve">. </w:t>
      </w:r>
      <w:r w:rsidR="00900A32">
        <w:t>Seamless and improved coordination across departments and agencies is a necessary outcome from this national policy group. A</w:t>
      </w:r>
      <w:r w:rsidR="004B15CE">
        <w:t xml:space="preserve"> clear example of how this can be achieved is through </w:t>
      </w:r>
      <w:r w:rsidR="00900A32">
        <w:t xml:space="preserve">a statement of intent regarding </w:t>
      </w:r>
      <w:r w:rsidR="004B15CE" w:rsidRPr="008F2DDA">
        <w:t xml:space="preserve">supporting guidance </w:t>
      </w:r>
      <w:r w:rsidR="0056368A" w:rsidRPr="008F2DDA">
        <w:t>at school</w:t>
      </w:r>
      <w:r w:rsidR="007643FE">
        <w:t xml:space="preserve"> </w:t>
      </w:r>
      <w:r w:rsidR="004B15CE">
        <w:t>within the context of planning and supporting transitions</w:t>
      </w:r>
      <w:r w:rsidR="004B15CE">
        <w:rPr>
          <w:rStyle w:val="FootnoteReference"/>
        </w:rPr>
        <w:footnoteReference w:id="38"/>
      </w:r>
      <w:r w:rsidR="007643FE">
        <w:t>.</w:t>
      </w:r>
      <w:r w:rsidR="004B15CE">
        <w:t xml:space="preserve"> </w:t>
      </w:r>
      <w:r w:rsidR="007959D3">
        <w:t xml:space="preserve">The NDA are continuing work to develop policy advice regarding the delivery of career guidance while at school. The age at which career options are placed on a young </w:t>
      </w:r>
      <w:r w:rsidR="00974720">
        <w:t>person’s</w:t>
      </w:r>
      <w:r w:rsidR="007959D3">
        <w:t xml:space="preserve"> agenda remains a</w:t>
      </w:r>
      <w:r w:rsidR="00974720">
        <w:t xml:space="preserve"> pivotal action in creating their individual </w:t>
      </w:r>
      <w:r w:rsidR="007959D3">
        <w:t>journey to employment. The NDA paper will be available in early 2023</w:t>
      </w:r>
      <w:r w:rsidR="00C35E01">
        <w:t>, and will be informed by a literature review on the subject</w:t>
      </w:r>
      <w:r w:rsidR="00C35E01">
        <w:rPr>
          <w:rStyle w:val="FootnoteReference"/>
        </w:rPr>
        <w:footnoteReference w:id="39"/>
      </w:r>
      <w:r w:rsidR="00C35E01">
        <w:t xml:space="preserve"> and a consultation that with a Disabled Peoples Organisation</w:t>
      </w:r>
      <w:r w:rsidR="004D60A8">
        <w:t xml:space="preserve"> and young people who attended special education provision</w:t>
      </w:r>
      <w:r w:rsidR="00C35E01">
        <w:t xml:space="preserve">. </w:t>
      </w:r>
      <w:r w:rsidR="00974720">
        <w:t>Equally</w:t>
      </w:r>
      <w:r w:rsidR="0056368A">
        <w:t xml:space="preserve"> a statement of intent regarding p</w:t>
      </w:r>
      <w:r w:rsidR="007643FE">
        <w:t xml:space="preserve">ost school guidance for disabled people </w:t>
      </w:r>
      <w:r w:rsidR="0056368A">
        <w:t>with access through</w:t>
      </w:r>
      <w:r w:rsidR="004B15CE">
        <w:t xml:space="preserve"> Intreo Public Employment Services and </w:t>
      </w:r>
      <w:r w:rsidR="007643FE">
        <w:t xml:space="preserve">or </w:t>
      </w:r>
      <w:r w:rsidR="008B0A5D">
        <w:t xml:space="preserve">the </w:t>
      </w:r>
      <w:r w:rsidR="007643FE">
        <w:t>Education Training Board</w:t>
      </w:r>
      <w:r w:rsidR="0056368A">
        <w:t xml:space="preserve"> is necessary. Both mechanisms can clearly and appropriately</w:t>
      </w:r>
      <w:r w:rsidR="007643FE">
        <w:t xml:space="preserve"> </w:t>
      </w:r>
      <w:r w:rsidR="0056368A">
        <w:t xml:space="preserve">assist leaners to develop </w:t>
      </w:r>
      <w:r w:rsidR="004D60A8">
        <w:t>an</w:t>
      </w:r>
      <w:r w:rsidR="004B15CE">
        <w:t xml:space="preserve"> employment goals pathway</w:t>
      </w:r>
      <w:r w:rsidR="0056368A">
        <w:t>.</w:t>
      </w:r>
      <w:r w:rsidR="004B15CE">
        <w:t xml:space="preserve"> </w:t>
      </w:r>
    </w:p>
    <w:p w14:paraId="37B0048E" w14:textId="77777777" w:rsidR="005B288A" w:rsidRDefault="005B288A" w:rsidP="00203B5D">
      <w:pPr>
        <w:pStyle w:val="Heading2"/>
      </w:pPr>
      <w:bookmarkStart w:id="26" w:name="_Toc130474359"/>
      <w:bookmarkStart w:id="27" w:name="_Toc132710530"/>
      <w:r>
        <w:t>SP2 Provide bridges and supports into work</w:t>
      </w:r>
      <w:bookmarkEnd w:id="25"/>
      <w:bookmarkEnd w:id="26"/>
      <w:bookmarkEnd w:id="27"/>
      <w:r w:rsidR="00A94B0A">
        <w:t xml:space="preserve"> </w:t>
      </w:r>
    </w:p>
    <w:p w14:paraId="76AB9725" w14:textId="650356E4" w:rsidR="00D84D2F" w:rsidRDefault="003F1DDE" w:rsidP="00194C30">
      <w:pPr>
        <w:spacing w:before="240"/>
      </w:pPr>
      <w:r w:rsidRPr="00194C30">
        <w:t xml:space="preserve">Having the correct support to access employment means different things to different people. People with disabilities </w:t>
      </w:r>
      <w:r w:rsidR="00522EEC" w:rsidRPr="00194C30">
        <w:t xml:space="preserve">experience of employment </w:t>
      </w:r>
      <w:r w:rsidRPr="00194C30">
        <w:t>will</w:t>
      </w:r>
      <w:r w:rsidR="00522EEC" w:rsidRPr="00194C30">
        <w:t xml:space="preserve"> range from full employment in</w:t>
      </w:r>
      <w:r w:rsidRPr="00194C30">
        <w:t xml:space="preserve"> the open labour market</w:t>
      </w:r>
      <w:r w:rsidR="00522EEC" w:rsidRPr="00194C30">
        <w:t xml:space="preserve"> to </w:t>
      </w:r>
      <w:r w:rsidR="00DA7ABD" w:rsidRPr="00194C30">
        <w:t xml:space="preserve">those who avail of </w:t>
      </w:r>
      <w:r w:rsidR="00522EEC" w:rsidRPr="00194C30">
        <w:t xml:space="preserve">a few hours a week in a supported employment model of support. </w:t>
      </w:r>
      <w:r w:rsidRPr="00194C30">
        <w:t xml:space="preserve"> </w:t>
      </w:r>
      <w:r w:rsidR="00522EEC" w:rsidRPr="00194C30">
        <w:t xml:space="preserve">Providing support </w:t>
      </w:r>
      <w:r w:rsidR="00522EEC" w:rsidRPr="00194C30">
        <w:lastRenderedPageBreak/>
        <w:t xml:space="preserve">to remain at work can also range from </w:t>
      </w:r>
      <w:r w:rsidRPr="00194C30">
        <w:t xml:space="preserve">initial or </w:t>
      </w:r>
      <w:r w:rsidR="00522EEC" w:rsidRPr="00194C30">
        <w:t xml:space="preserve">once off support to a more </w:t>
      </w:r>
      <w:r w:rsidRPr="00194C30">
        <w:t xml:space="preserve">ongoing </w:t>
      </w:r>
      <w:r w:rsidR="00522EEC" w:rsidRPr="00194C30">
        <w:t>form of assistance.</w:t>
      </w:r>
      <w:r w:rsidR="00194C30" w:rsidRPr="00194C30">
        <w:t xml:space="preserve"> In their 2021 analysis of Ireland the </w:t>
      </w:r>
      <w:r w:rsidR="008B0A5D">
        <w:t>Organisation for Economic Cooperation and Development (</w:t>
      </w:r>
      <w:r w:rsidR="000E56FF" w:rsidRPr="00194C30">
        <w:rPr>
          <w:bCs/>
        </w:rPr>
        <w:t>OCED</w:t>
      </w:r>
      <w:r w:rsidR="008B0A5D">
        <w:rPr>
          <w:bCs/>
        </w:rPr>
        <w:t>)</w:t>
      </w:r>
      <w:r w:rsidR="000E56FF" w:rsidRPr="00194C30">
        <w:rPr>
          <w:bCs/>
        </w:rPr>
        <w:t xml:space="preserve"> </w:t>
      </w:r>
      <w:r w:rsidR="00194C30" w:rsidRPr="00194C30">
        <w:rPr>
          <w:bCs/>
        </w:rPr>
        <w:t>recommended that steps are taken to</w:t>
      </w:r>
      <w:r w:rsidR="000E56FF" w:rsidRPr="00194C30">
        <w:rPr>
          <w:bCs/>
        </w:rPr>
        <w:t xml:space="preserve"> expand </w:t>
      </w:r>
      <w:r w:rsidR="00194C30" w:rsidRPr="00194C30">
        <w:rPr>
          <w:bCs/>
        </w:rPr>
        <w:t xml:space="preserve">Intreo the </w:t>
      </w:r>
      <w:r w:rsidR="000E56FF" w:rsidRPr="00194C30">
        <w:rPr>
          <w:bCs/>
        </w:rPr>
        <w:t>Public Employment Services (PES) for persons with disabilities</w:t>
      </w:r>
      <w:r w:rsidR="00877446">
        <w:t xml:space="preserve">, suggesting </w:t>
      </w:r>
      <w:r w:rsidR="00194C30">
        <w:t>that</w:t>
      </w:r>
      <w:r w:rsidR="000E56FF" w:rsidRPr="00194C30">
        <w:t xml:space="preserve"> mainstream services by the PES </w:t>
      </w:r>
      <w:r w:rsidR="00194C30">
        <w:t xml:space="preserve">should be </w:t>
      </w:r>
      <w:r w:rsidR="000E56FF" w:rsidRPr="00194C30">
        <w:t>more accessible for persons wi</w:t>
      </w:r>
      <w:r w:rsidR="00877446">
        <w:t>th disabilities. One recommendation was ‘</w:t>
      </w:r>
      <w:r w:rsidR="000E56FF" w:rsidRPr="00194C30">
        <w:t>earmarking resources and caseworkers to non-unemployment benefit recipients to ensure consistent outreach and guidance, and targeted profiling and registration of persons with disabilities in the Irish Live Register</w:t>
      </w:r>
      <w:r w:rsidR="00877446">
        <w:t>’</w:t>
      </w:r>
      <w:r w:rsidR="000E56FF" w:rsidRPr="00194C30">
        <w:t xml:space="preserve">. </w:t>
      </w:r>
      <w:r w:rsidR="00877446">
        <w:t>However</w:t>
      </w:r>
      <w:r w:rsidR="008B0A5D">
        <w:t xml:space="preserve">, </w:t>
      </w:r>
      <w:r w:rsidR="00877446">
        <w:t>the OECD recommendation is embedded in the understanding that ‘</w:t>
      </w:r>
      <w:r w:rsidR="000E56FF" w:rsidRPr="00194C30">
        <w:t>parallel, effective supported employment programmes such as Individual Placement &amp; Support for persons with mental health conditions should be scaled up and rolled out throughout the country and the sustainability of such programmes ensured through long-term planning and funding</w:t>
      </w:r>
      <w:r w:rsidR="00194C30">
        <w:t xml:space="preserve">’.  </w:t>
      </w:r>
    </w:p>
    <w:p w14:paraId="2FD2654C" w14:textId="77777777" w:rsidR="008911F8" w:rsidRDefault="00194C30" w:rsidP="00194C30">
      <w:pPr>
        <w:spacing w:before="240"/>
      </w:pPr>
      <w:r>
        <w:t>During 2022 t</w:t>
      </w:r>
      <w:r w:rsidR="003F1DDE">
        <w:t xml:space="preserve">he Department of Social Protection </w:t>
      </w:r>
      <w:r>
        <w:t>continued to m</w:t>
      </w:r>
      <w:r w:rsidR="00325C8B">
        <w:t xml:space="preserve">ove in this direction with the </w:t>
      </w:r>
      <w:r>
        <w:t xml:space="preserve">operation of </w:t>
      </w:r>
      <w:r w:rsidR="003F1DDE">
        <w:t xml:space="preserve">a number of schemes to support people with disabilities to get a job and to stay in work. </w:t>
      </w:r>
    </w:p>
    <w:p w14:paraId="3584DC04" w14:textId="57032762" w:rsidR="00194C30" w:rsidRDefault="00C9277C" w:rsidP="00194C30">
      <w:pPr>
        <w:spacing w:before="240"/>
        <w:rPr>
          <w:rFonts w:eastAsia="Calibri"/>
          <w:color w:val="000000"/>
          <w:szCs w:val="26"/>
          <w:lang w:eastAsia="ja-JP"/>
        </w:rPr>
      </w:pPr>
      <w:r>
        <w:t>While</w:t>
      </w:r>
      <w:r w:rsidR="003F1DDE">
        <w:t xml:space="preserve"> </w:t>
      </w:r>
      <w:r w:rsidR="0005744B">
        <w:t xml:space="preserve">DSP concluded its review of </w:t>
      </w:r>
      <w:r w:rsidR="0005744B" w:rsidRPr="00D33F1D">
        <w:rPr>
          <w:rFonts w:eastAsia="Calibri"/>
          <w:color w:val="000000"/>
          <w:szCs w:val="26"/>
          <w:lang w:eastAsia="ja-JP"/>
        </w:rPr>
        <w:t>the Re</w:t>
      </w:r>
      <w:r w:rsidR="00194C30">
        <w:rPr>
          <w:rFonts w:eastAsia="Calibri"/>
          <w:color w:val="000000"/>
          <w:szCs w:val="26"/>
          <w:lang w:eastAsia="ja-JP"/>
        </w:rPr>
        <w:t xml:space="preserve">asonable Accommodation Fund and </w:t>
      </w:r>
      <w:r w:rsidR="0005744B" w:rsidRPr="00D33F1D">
        <w:rPr>
          <w:rFonts w:eastAsia="Calibri"/>
          <w:color w:val="000000"/>
          <w:szCs w:val="26"/>
          <w:lang w:eastAsia="ja-JP"/>
        </w:rPr>
        <w:t xml:space="preserve">Budget 2023 included </w:t>
      </w:r>
      <w:r w:rsidR="0005744B">
        <w:rPr>
          <w:rFonts w:eastAsia="Calibri"/>
          <w:color w:val="000000"/>
          <w:szCs w:val="26"/>
          <w:lang w:eastAsia="ja-JP"/>
        </w:rPr>
        <w:t xml:space="preserve">a new </w:t>
      </w:r>
      <w:r w:rsidR="0005744B" w:rsidRPr="00D33F1D">
        <w:rPr>
          <w:rFonts w:eastAsia="Calibri"/>
          <w:color w:val="000000"/>
          <w:szCs w:val="26"/>
          <w:lang w:eastAsia="ja-JP"/>
        </w:rPr>
        <w:t>provision of €1m to develop the fund/grants in 2023</w:t>
      </w:r>
      <w:r w:rsidR="002B18B0">
        <w:rPr>
          <w:rFonts w:eastAsia="Calibri"/>
          <w:color w:val="000000"/>
          <w:szCs w:val="26"/>
          <w:lang w:eastAsia="ja-JP"/>
        </w:rPr>
        <w:t>,</w:t>
      </w:r>
      <w:r w:rsidR="0005744B" w:rsidRPr="00D33F1D">
        <w:rPr>
          <w:rFonts w:eastAsia="Calibri"/>
          <w:color w:val="000000"/>
          <w:szCs w:val="26"/>
          <w:lang w:eastAsia="ja-JP"/>
        </w:rPr>
        <w:t xml:space="preserve"> </w:t>
      </w:r>
      <w:r w:rsidR="00D84D2F">
        <w:rPr>
          <w:rFonts w:eastAsia="Calibri"/>
          <w:color w:val="000000"/>
          <w:szCs w:val="26"/>
          <w:lang w:eastAsia="ja-JP"/>
        </w:rPr>
        <w:t xml:space="preserve">the report findings </w:t>
      </w:r>
      <w:r w:rsidR="002B18B0">
        <w:rPr>
          <w:rFonts w:eastAsia="Calibri"/>
          <w:color w:val="000000"/>
          <w:szCs w:val="26"/>
          <w:lang w:eastAsia="ja-JP"/>
        </w:rPr>
        <w:t>have not yet been published</w:t>
      </w:r>
      <w:r w:rsidR="0005744B">
        <w:rPr>
          <w:rFonts w:eastAsia="Calibri"/>
          <w:color w:val="000000"/>
          <w:szCs w:val="26"/>
          <w:lang w:eastAsia="ja-JP"/>
        </w:rPr>
        <w:t>.</w:t>
      </w:r>
      <w:r w:rsidR="002A4C1F">
        <w:rPr>
          <w:rFonts w:eastAsia="Calibri"/>
          <w:color w:val="000000"/>
          <w:szCs w:val="26"/>
          <w:lang w:eastAsia="ja-JP"/>
        </w:rPr>
        <w:t xml:space="preserve"> </w:t>
      </w:r>
      <w:r w:rsidR="00337925">
        <w:rPr>
          <w:rFonts w:eastAsia="Calibri"/>
          <w:color w:val="000000"/>
          <w:szCs w:val="26"/>
          <w:lang w:eastAsia="ja-JP"/>
        </w:rPr>
        <w:t xml:space="preserve">The NDA looks forward to seeing the findings from the review and anticipates reforms that will make the fund more relevant and user friendly. </w:t>
      </w:r>
      <w:r w:rsidR="004D60A8">
        <w:rPr>
          <w:rFonts w:eastAsia="Calibri"/>
          <w:color w:val="000000"/>
          <w:szCs w:val="26"/>
          <w:lang w:eastAsia="ja-JP"/>
        </w:rPr>
        <w:t>Including:</w:t>
      </w:r>
      <w:r w:rsidR="005F2DEA">
        <w:rPr>
          <w:rFonts w:eastAsia="Calibri"/>
          <w:color w:val="000000"/>
          <w:szCs w:val="26"/>
          <w:lang w:eastAsia="ja-JP"/>
        </w:rPr>
        <w:t xml:space="preserve">  </w:t>
      </w:r>
    </w:p>
    <w:p w14:paraId="777A15D0" w14:textId="39515B00" w:rsidR="005F2DEA" w:rsidRPr="0027039B" w:rsidRDefault="005F2DEA" w:rsidP="005F2DEA">
      <w:pPr>
        <w:pStyle w:val="ListBullet"/>
        <w:numPr>
          <w:ilvl w:val="0"/>
          <w:numId w:val="1"/>
        </w:numPr>
        <w:rPr>
          <w:szCs w:val="26"/>
        </w:rPr>
      </w:pPr>
      <w:r>
        <w:rPr>
          <w:szCs w:val="26"/>
        </w:rPr>
        <w:t>Where possible fund the</w:t>
      </w:r>
      <w:r w:rsidRPr="00D75BBF">
        <w:rPr>
          <w:szCs w:val="26"/>
        </w:rPr>
        <w:t xml:space="preserve"> individual rather than the employer</w:t>
      </w:r>
      <w:r>
        <w:rPr>
          <w:szCs w:val="26"/>
        </w:rPr>
        <w:t xml:space="preserve">, </w:t>
      </w:r>
      <w:r w:rsidRPr="00D75BBF">
        <w:rPr>
          <w:szCs w:val="26"/>
        </w:rPr>
        <w:t>thus allowing the ‘accommodation’ to travel with the per</w:t>
      </w:r>
      <w:r>
        <w:rPr>
          <w:szCs w:val="26"/>
        </w:rPr>
        <w:t xml:space="preserve">son with a disability. </w:t>
      </w:r>
    </w:p>
    <w:p w14:paraId="21A3C3DA" w14:textId="24E42C52" w:rsidR="005F2DEA" w:rsidRPr="00DE1C07" w:rsidRDefault="005F2DEA" w:rsidP="005F2DEA">
      <w:pPr>
        <w:pStyle w:val="ListBullet"/>
        <w:numPr>
          <w:ilvl w:val="0"/>
          <w:numId w:val="1"/>
        </w:numPr>
        <w:rPr>
          <w:szCs w:val="26"/>
        </w:rPr>
      </w:pPr>
      <w:r w:rsidRPr="00B90464">
        <w:rPr>
          <w:szCs w:val="26"/>
        </w:rPr>
        <w:t xml:space="preserve">By </w:t>
      </w:r>
      <w:r>
        <w:rPr>
          <w:szCs w:val="26"/>
        </w:rPr>
        <w:t>allowing the</w:t>
      </w:r>
      <w:r w:rsidRPr="00B90464">
        <w:rPr>
          <w:szCs w:val="26"/>
        </w:rPr>
        <w:t xml:space="preserve"> individual </w:t>
      </w:r>
      <w:r>
        <w:rPr>
          <w:szCs w:val="26"/>
        </w:rPr>
        <w:t xml:space="preserve">to ‘own’ the accommodation (e.g. equipment or assistive technology) </w:t>
      </w:r>
      <w:r w:rsidRPr="00B90464">
        <w:rPr>
          <w:szCs w:val="26"/>
        </w:rPr>
        <w:t xml:space="preserve">the DSP system could </w:t>
      </w:r>
      <w:r>
        <w:rPr>
          <w:szCs w:val="26"/>
        </w:rPr>
        <w:t>better link in with</w:t>
      </w:r>
      <w:r w:rsidRPr="00B90464">
        <w:rPr>
          <w:szCs w:val="26"/>
        </w:rPr>
        <w:t xml:space="preserve"> the Ibec and ICTU developed ‘reasonable accommodation passport</w:t>
      </w:r>
      <w:r w:rsidRPr="00B90464">
        <w:rPr>
          <w:rStyle w:val="FootnoteReference"/>
          <w:rFonts w:ascii="Gill Sans MT" w:hAnsi="Gill Sans MT"/>
          <w:sz w:val="26"/>
          <w:szCs w:val="26"/>
        </w:rPr>
        <w:footnoteReference w:id="40"/>
      </w:r>
      <w:r w:rsidRPr="00B90464">
        <w:rPr>
          <w:szCs w:val="26"/>
        </w:rPr>
        <w:t>’, which has a proven track record of supporting the disabled person.</w:t>
      </w:r>
      <w:r w:rsidRPr="00B90464">
        <w:rPr>
          <w:rStyle w:val="FootnoteReference"/>
          <w:rFonts w:ascii="Gill Sans MT" w:hAnsi="Gill Sans MT"/>
          <w:sz w:val="26"/>
          <w:szCs w:val="26"/>
        </w:rPr>
        <w:footnoteReference w:id="41"/>
      </w:r>
      <w:r w:rsidRPr="00B90464">
        <w:rPr>
          <w:szCs w:val="26"/>
        </w:rPr>
        <w:t xml:space="preserve"> </w:t>
      </w:r>
    </w:p>
    <w:p w14:paraId="229D3C44" w14:textId="77777777" w:rsidR="005F2DEA" w:rsidRPr="00AD1DEA" w:rsidRDefault="005F2DEA" w:rsidP="005F2DEA">
      <w:pPr>
        <w:pStyle w:val="ListBullet"/>
        <w:numPr>
          <w:ilvl w:val="0"/>
          <w:numId w:val="1"/>
        </w:numPr>
        <w:rPr>
          <w:szCs w:val="26"/>
        </w:rPr>
      </w:pPr>
      <w:r>
        <w:t>There is evidence to indicate that the process to access these grants can often be delayed. It will be important for this process to be streamlined and sped up wherever possible. This NDA suggests that a response time of between 3- 5 days for the accommodation grant to be issued would be appropriate.</w:t>
      </w:r>
    </w:p>
    <w:p w14:paraId="051DCDC8" w14:textId="37F8B786" w:rsidR="005F2DEA" w:rsidRPr="00230348" w:rsidRDefault="005F2DEA" w:rsidP="005F2DEA">
      <w:pPr>
        <w:pStyle w:val="ListBullet"/>
        <w:numPr>
          <w:ilvl w:val="0"/>
          <w:numId w:val="1"/>
        </w:numPr>
        <w:rPr>
          <w:szCs w:val="26"/>
        </w:rPr>
      </w:pPr>
      <w:r>
        <w:t xml:space="preserve">For this grant scheme to be perceived as ‘fit for purpose’, it will be important that the process is not burdensome for disabled people. </w:t>
      </w:r>
      <w:r>
        <w:rPr>
          <w:rFonts w:cs="Calibri"/>
        </w:rPr>
        <w:t xml:space="preserve">The low take-up is </w:t>
      </w:r>
      <w:r>
        <w:rPr>
          <w:rFonts w:cs="Calibri"/>
        </w:rPr>
        <w:lastRenderedPageBreak/>
        <w:t>not a reflection that grant scheme is not needed, rather it is low awareness and perceived bureaucracy with the added challenge that many are unsure what ‘accommodation’ is most beneficial</w:t>
      </w:r>
    </w:p>
    <w:p w14:paraId="0300D49F" w14:textId="18289233" w:rsidR="005F2DEA" w:rsidRPr="005F2DEA" w:rsidRDefault="005F2DEA" w:rsidP="005F2DEA">
      <w:pPr>
        <w:pStyle w:val="ListBullet"/>
        <w:numPr>
          <w:ilvl w:val="0"/>
          <w:numId w:val="1"/>
        </w:numPr>
        <w:spacing w:before="0" w:after="0"/>
        <w:rPr>
          <w:szCs w:val="26"/>
        </w:rPr>
      </w:pPr>
      <w:r>
        <w:rPr>
          <w:szCs w:val="26"/>
        </w:rPr>
        <w:t xml:space="preserve">The NDA </w:t>
      </w:r>
      <w:r w:rsidR="004D60A8">
        <w:rPr>
          <w:szCs w:val="26"/>
        </w:rPr>
        <w:t xml:space="preserve">also </w:t>
      </w:r>
      <w:r>
        <w:rPr>
          <w:szCs w:val="26"/>
        </w:rPr>
        <w:t xml:space="preserve">advises that any revised system should incorporate accommodations in relation to provision of </w:t>
      </w:r>
      <w:r>
        <w:t>personal assistance at work, provision of Irish Sign Language at work and an extensive array of Assistive Technologies that can make it possible for people with a disability to be productive employees. It may also be worth considering how a scheme could be configured to be responsive to new technologies that may emerge over time.</w:t>
      </w:r>
    </w:p>
    <w:p w14:paraId="44F96343" w14:textId="5F27AF45" w:rsidR="003F1DDE" w:rsidRPr="00194C30" w:rsidRDefault="002A4C1F" w:rsidP="00194C30">
      <w:pPr>
        <w:spacing w:before="240"/>
      </w:pPr>
      <w:r>
        <w:rPr>
          <w:rFonts w:eastAsia="Calibri"/>
          <w:color w:val="000000"/>
          <w:szCs w:val="26"/>
          <w:lang w:eastAsia="ja-JP"/>
        </w:rPr>
        <w:t xml:space="preserve">With regard to the Wage Subsidy Scheme a review </w:t>
      </w:r>
      <w:r w:rsidR="00B21580">
        <w:rPr>
          <w:rFonts w:eastAsia="Calibri"/>
          <w:color w:val="000000"/>
          <w:szCs w:val="26"/>
          <w:lang w:eastAsia="ja-JP"/>
        </w:rPr>
        <w:t xml:space="preserve">was </w:t>
      </w:r>
      <w:r>
        <w:rPr>
          <w:rFonts w:eastAsia="Calibri"/>
          <w:color w:val="000000"/>
          <w:szCs w:val="26"/>
          <w:lang w:eastAsia="ja-JP"/>
        </w:rPr>
        <w:t>commenced in 2022 and should be completed with a public consultation during 2023.</w:t>
      </w:r>
    </w:p>
    <w:p w14:paraId="7D83A9F6" w14:textId="279BD187" w:rsidR="00325C8B" w:rsidRPr="001C3DBE" w:rsidRDefault="002A4C1F" w:rsidP="00BA4383">
      <w:r>
        <w:t xml:space="preserve">To </w:t>
      </w:r>
      <w:r w:rsidR="007F5212">
        <w:t xml:space="preserve">assist </w:t>
      </w:r>
      <w:r>
        <w:t xml:space="preserve">graduates with disabilities </w:t>
      </w:r>
      <w:r w:rsidR="007F5212">
        <w:t>access the labour market</w:t>
      </w:r>
      <w:r w:rsidR="00337925">
        <w:t>,</w:t>
      </w:r>
      <w:r w:rsidR="007F5212">
        <w:t xml:space="preserve"> </w:t>
      </w:r>
      <w:r w:rsidR="00325C8B">
        <w:t xml:space="preserve">DSP </w:t>
      </w:r>
      <w:r>
        <w:t>continue</w:t>
      </w:r>
      <w:r w:rsidR="00325C8B">
        <w:t>d</w:t>
      </w:r>
      <w:r>
        <w:t xml:space="preserve"> to support the </w:t>
      </w:r>
      <w:r w:rsidRPr="002749A8">
        <w:t>Willing Able Mentoring (WAM) programme</w:t>
      </w:r>
      <w:r w:rsidR="00B21580">
        <w:t>.</w:t>
      </w:r>
      <w:r w:rsidR="007F5212">
        <w:t xml:space="preserve"> This model of support allows graduates with disabilities to develop workplace skills in a </w:t>
      </w:r>
      <w:r w:rsidR="007F5212" w:rsidRPr="002749A8">
        <w:t>work experience programme</w:t>
      </w:r>
      <w:r w:rsidR="005F2DEA">
        <w:t xml:space="preserve"> as described by </w:t>
      </w:r>
      <w:r w:rsidR="00325C8B">
        <w:t xml:space="preserve">WAM graduate </w:t>
      </w:r>
      <w:r w:rsidR="004C4E3A">
        <w:t xml:space="preserve">Emma Barrett Wren at </w:t>
      </w:r>
      <w:r w:rsidR="00325C8B">
        <w:t>the NDA annual conference</w:t>
      </w:r>
      <w:r w:rsidR="00CA618B">
        <w:rPr>
          <w:rStyle w:val="FootnoteReference"/>
        </w:rPr>
        <w:footnoteReference w:id="42"/>
      </w:r>
      <w:r w:rsidR="004C4E3A">
        <w:t>. U</w:t>
      </w:r>
      <w:r w:rsidR="00CA618B">
        <w:t>nder the theme of accessible employment</w:t>
      </w:r>
      <w:r w:rsidR="004C4E3A">
        <w:t xml:space="preserve"> Emma described her journey from ‘intern to employee’ </w:t>
      </w:r>
      <w:r w:rsidR="001206B8">
        <w:rPr>
          <w:szCs w:val="26"/>
        </w:rPr>
        <w:t>which involved</w:t>
      </w:r>
      <w:r w:rsidR="004C4E3A" w:rsidRPr="004C4E3A">
        <w:rPr>
          <w:szCs w:val="26"/>
          <w:shd w:val="clear" w:color="auto" w:fill="FFFFFF"/>
        </w:rPr>
        <w:t xml:space="preserve"> a 6 month, paid</w:t>
      </w:r>
      <w:r w:rsidR="001206B8">
        <w:rPr>
          <w:szCs w:val="26"/>
          <w:shd w:val="clear" w:color="auto" w:fill="FFFFFF"/>
        </w:rPr>
        <w:t xml:space="preserve">, mentored work placements with </w:t>
      </w:r>
      <w:r w:rsidR="004C4E3A" w:rsidRPr="004C4E3A">
        <w:rPr>
          <w:szCs w:val="26"/>
          <w:shd w:val="clear" w:color="auto" w:fill="FFFFFF"/>
        </w:rPr>
        <w:t>high profile Irish employers.</w:t>
      </w:r>
      <w:r w:rsidR="001206B8">
        <w:rPr>
          <w:szCs w:val="26"/>
          <w:shd w:val="clear" w:color="auto" w:fill="FFFFFF"/>
        </w:rPr>
        <w:t xml:space="preserve"> This programme supports both the employee and the employer.</w:t>
      </w:r>
    </w:p>
    <w:p w14:paraId="3F1C4AD0" w14:textId="6A76DECC" w:rsidR="00CA618B" w:rsidRDefault="00CA618B" w:rsidP="00BA4383">
      <w:pPr>
        <w:rPr>
          <w:szCs w:val="26"/>
        </w:rPr>
      </w:pPr>
      <w:r>
        <w:rPr>
          <w:szCs w:val="26"/>
        </w:rPr>
        <w:t>DSP</w:t>
      </w:r>
      <w:r w:rsidR="00257F20">
        <w:rPr>
          <w:szCs w:val="26"/>
        </w:rPr>
        <w:t xml:space="preserve"> through its engagement with their</w:t>
      </w:r>
      <w:r>
        <w:rPr>
          <w:szCs w:val="26"/>
        </w:rPr>
        <w:t xml:space="preserve"> Disabil</w:t>
      </w:r>
      <w:r w:rsidR="00257F20">
        <w:rPr>
          <w:szCs w:val="26"/>
        </w:rPr>
        <w:t xml:space="preserve">ity Consultative Committee </w:t>
      </w:r>
      <w:r>
        <w:rPr>
          <w:szCs w:val="26"/>
        </w:rPr>
        <w:t>described</w:t>
      </w:r>
      <w:r w:rsidR="00257F20">
        <w:rPr>
          <w:szCs w:val="26"/>
        </w:rPr>
        <w:t xml:space="preserve"> an update</w:t>
      </w:r>
      <w:r w:rsidR="008E72D0">
        <w:rPr>
          <w:szCs w:val="26"/>
        </w:rPr>
        <w:t xml:space="preserve"> with regard </w:t>
      </w:r>
      <w:r w:rsidR="00187D04">
        <w:rPr>
          <w:szCs w:val="26"/>
        </w:rPr>
        <w:t>to the</w:t>
      </w:r>
      <w:r w:rsidR="008E72D0">
        <w:rPr>
          <w:szCs w:val="26"/>
        </w:rPr>
        <w:t xml:space="preserve"> newly established</w:t>
      </w:r>
      <w:r w:rsidR="00187D04">
        <w:rPr>
          <w:szCs w:val="26"/>
        </w:rPr>
        <w:t xml:space="preserve"> Work Placement Experience Programme</w:t>
      </w:r>
      <w:r>
        <w:rPr>
          <w:szCs w:val="26"/>
        </w:rPr>
        <w:t>:</w:t>
      </w:r>
      <w:r w:rsidR="00187D04" w:rsidRPr="00187D04">
        <w:rPr>
          <w:rStyle w:val="FootnoteReference"/>
        </w:rPr>
        <w:t xml:space="preserve"> </w:t>
      </w:r>
      <w:r w:rsidR="00187D04">
        <w:rPr>
          <w:rStyle w:val="FootnoteReference"/>
        </w:rPr>
        <w:footnoteReference w:id="43"/>
      </w:r>
    </w:p>
    <w:p w14:paraId="4E3A2EE3" w14:textId="486175F1" w:rsidR="00257F20" w:rsidRDefault="001361CF" w:rsidP="00CA618B">
      <w:pPr>
        <w:pStyle w:val="ListBullet"/>
      </w:pPr>
      <w:bookmarkStart w:id="28" w:name="_Hlk120015062"/>
      <w:r>
        <w:t xml:space="preserve">In their </w:t>
      </w:r>
      <w:r w:rsidR="00362B8E" w:rsidRPr="00362B8E">
        <w:t>December 2022</w:t>
      </w:r>
      <w:r>
        <w:t xml:space="preserve"> </w:t>
      </w:r>
      <w:r w:rsidR="009B45E9">
        <w:t>u</w:t>
      </w:r>
      <w:r>
        <w:t>pdate DSP announced that</w:t>
      </w:r>
      <w:r w:rsidR="00362B8E" w:rsidRPr="00362B8E">
        <w:rPr>
          <w:b/>
        </w:rPr>
        <w:t xml:space="preserve"> </w:t>
      </w:r>
      <w:r w:rsidR="00362B8E" w:rsidRPr="001361CF">
        <w:t>51 clients</w:t>
      </w:r>
      <w:r w:rsidR="00362B8E" w:rsidRPr="00362B8E">
        <w:t xml:space="preserve"> who were on the Disability Allowance payment have been approved for the Work Placement Experience Programme, 14 in 2021 and</w:t>
      </w:r>
      <w:r>
        <w:t xml:space="preserve"> 37 in 2022. This figure equated</w:t>
      </w:r>
      <w:r w:rsidR="00362B8E" w:rsidRPr="00362B8E">
        <w:t xml:space="preserve"> to 9.7% of all approved for the Work </w:t>
      </w:r>
      <w:r w:rsidR="007F5212">
        <w:t>Placement Experience Programme</w:t>
      </w:r>
      <w:r>
        <w:t>,</w:t>
      </w:r>
      <w:r w:rsidR="007F5212">
        <w:t xml:space="preserve"> </w:t>
      </w:r>
      <w:r w:rsidR="00362B8E" w:rsidRPr="00362B8E">
        <w:t xml:space="preserve">which </w:t>
      </w:r>
      <w:r>
        <w:t xml:space="preserve">DSP stated was </w:t>
      </w:r>
      <w:r w:rsidR="00362B8E" w:rsidRPr="00362B8E">
        <w:t xml:space="preserve">more than twice the expected rate anticipated for the programme. </w:t>
      </w:r>
      <w:r w:rsidR="00337925">
        <w:t>Fifteen</w:t>
      </w:r>
      <w:r w:rsidR="00337925" w:rsidRPr="00362B8E">
        <w:t xml:space="preserve"> </w:t>
      </w:r>
      <w:r w:rsidR="00362B8E" w:rsidRPr="00362B8E">
        <w:t>are currently active</w:t>
      </w:r>
      <w:r w:rsidR="00257F20">
        <w:t xml:space="preserve"> in the scheme</w:t>
      </w:r>
      <w:r w:rsidR="00362B8E" w:rsidRPr="00362B8E">
        <w:t xml:space="preserve">. </w:t>
      </w:r>
    </w:p>
    <w:p w14:paraId="352378A6" w14:textId="4A78C8E8" w:rsidR="00E015E7" w:rsidRDefault="00187D04" w:rsidP="00CA618B">
      <w:pPr>
        <w:pStyle w:val="ListBullet"/>
      </w:pPr>
      <w:r>
        <w:lastRenderedPageBreak/>
        <w:t xml:space="preserve">Thirty six </w:t>
      </w:r>
      <w:r w:rsidR="00362B8E" w:rsidRPr="00362B8E">
        <w:t xml:space="preserve">clients </w:t>
      </w:r>
      <w:r w:rsidR="008E72D0">
        <w:t>with a disability</w:t>
      </w:r>
      <w:r w:rsidR="00362B8E" w:rsidRPr="00362B8E">
        <w:t xml:space="preserve"> have ended the Work Placement Experience Programme</w:t>
      </w:r>
      <w:r>
        <w:t>. Of these</w:t>
      </w:r>
      <w:r w:rsidR="008E72D0">
        <w:t xml:space="preserve"> </w:t>
      </w:r>
      <w:r w:rsidR="00362B8E" w:rsidRPr="00362B8E">
        <w:t xml:space="preserve">27 have completed the programme and nine ended the programme early. Of the 27 who completed the course seven were employed by their host company and two were employed by another company. Of the nine who finished early, one entered employment with another company. </w:t>
      </w:r>
    </w:p>
    <w:p w14:paraId="2CD840B0" w14:textId="77777777" w:rsidR="00362B8E" w:rsidRPr="00362B8E" w:rsidRDefault="00362B8E" w:rsidP="00CA618B">
      <w:pPr>
        <w:pStyle w:val="ListBullet"/>
      </w:pPr>
      <w:r w:rsidRPr="00362B8E">
        <w:t>This means 20% of those who have completed the Work Placement Experience Programme have entered employment.</w:t>
      </w:r>
      <w:bookmarkEnd w:id="28"/>
    </w:p>
    <w:p w14:paraId="7F36653E" w14:textId="55E7E5DD" w:rsidR="00FE00C3" w:rsidRPr="006D474B" w:rsidRDefault="00257F20" w:rsidP="00BA4383">
      <w:pPr>
        <w:rPr>
          <w:szCs w:val="26"/>
        </w:rPr>
      </w:pPr>
      <w:r>
        <w:rPr>
          <w:szCs w:val="26"/>
        </w:rPr>
        <w:t xml:space="preserve">NDA advise that WPEP </w:t>
      </w:r>
      <w:r w:rsidR="008E72D0" w:rsidRPr="006D474B">
        <w:rPr>
          <w:szCs w:val="26"/>
        </w:rPr>
        <w:t xml:space="preserve">is an essential </w:t>
      </w:r>
      <w:r>
        <w:rPr>
          <w:szCs w:val="26"/>
        </w:rPr>
        <w:t>scheme</w:t>
      </w:r>
      <w:r w:rsidR="008E72D0" w:rsidRPr="006D474B">
        <w:rPr>
          <w:szCs w:val="26"/>
        </w:rPr>
        <w:t xml:space="preserve"> to assist people with disabilities access </w:t>
      </w:r>
      <w:r w:rsidR="009776DE">
        <w:rPr>
          <w:szCs w:val="26"/>
        </w:rPr>
        <w:t>employment</w:t>
      </w:r>
      <w:r w:rsidR="005D58A5">
        <w:rPr>
          <w:szCs w:val="26"/>
        </w:rPr>
        <w:t>, as work placements continue to provide young disabled people with the environment to learn about work and the individual supports that they might need to succeed at work</w:t>
      </w:r>
      <w:r w:rsidR="005D58A5">
        <w:rPr>
          <w:rStyle w:val="FootnoteReference"/>
          <w:szCs w:val="26"/>
        </w:rPr>
        <w:footnoteReference w:id="44"/>
      </w:r>
      <w:r w:rsidR="009776DE">
        <w:rPr>
          <w:szCs w:val="26"/>
        </w:rPr>
        <w:t xml:space="preserve">. </w:t>
      </w:r>
    </w:p>
    <w:p w14:paraId="64D6FC66" w14:textId="77777777" w:rsidR="00FE00C3" w:rsidRDefault="00C85E6D" w:rsidP="00203B5D">
      <w:pPr>
        <w:pStyle w:val="Heading3"/>
        <w:rPr>
          <w:rFonts w:eastAsiaTheme="minorHAnsi"/>
        </w:rPr>
      </w:pPr>
      <w:bookmarkStart w:id="29" w:name="_Toc130474360"/>
      <w:bookmarkStart w:id="30" w:name="_Toc132710531"/>
      <w:r>
        <w:rPr>
          <w:lang w:val="en-US"/>
        </w:rPr>
        <w:t>National Transport Authority (</w:t>
      </w:r>
      <w:r w:rsidR="00FE00C3">
        <w:rPr>
          <w:rFonts w:eastAsiaTheme="minorHAnsi"/>
        </w:rPr>
        <w:t>NTA</w:t>
      </w:r>
      <w:r>
        <w:rPr>
          <w:rFonts w:eastAsiaTheme="minorHAnsi"/>
        </w:rPr>
        <w:t>)</w:t>
      </w:r>
      <w:bookmarkEnd w:id="29"/>
      <w:bookmarkEnd w:id="30"/>
    </w:p>
    <w:p w14:paraId="6AFEAE17" w14:textId="223817D1" w:rsidR="003956D9" w:rsidRPr="002D0AB2" w:rsidRDefault="00902805" w:rsidP="003956D9">
      <w:pPr>
        <w:rPr>
          <w:rFonts w:eastAsiaTheme="minorHAnsi" w:cstheme="minorHAnsi"/>
          <w:szCs w:val="26"/>
        </w:rPr>
      </w:pPr>
      <w:r>
        <w:t xml:space="preserve">Accessible transport increases access to education, training and employment. </w:t>
      </w:r>
      <w:r>
        <w:rPr>
          <w:rFonts w:eastAsiaTheme="minorHAnsi" w:cstheme="minorHAnsi"/>
          <w:szCs w:val="26"/>
        </w:rPr>
        <w:t xml:space="preserve">Transport continues to </w:t>
      </w:r>
      <w:r w:rsidR="00D846BC">
        <w:rPr>
          <w:rFonts w:eastAsiaTheme="minorHAnsi" w:cstheme="minorHAnsi"/>
          <w:szCs w:val="26"/>
        </w:rPr>
        <w:t xml:space="preserve">present </w:t>
      </w:r>
      <w:r>
        <w:rPr>
          <w:rFonts w:eastAsiaTheme="minorHAnsi" w:cstheme="minorHAnsi"/>
          <w:szCs w:val="26"/>
        </w:rPr>
        <w:t>challenge</w:t>
      </w:r>
      <w:r w:rsidR="00D846BC">
        <w:rPr>
          <w:rFonts w:eastAsiaTheme="minorHAnsi" w:cstheme="minorHAnsi"/>
          <w:szCs w:val="26"/>
        </w:rPr>
        <w:t>s to</w:t>
      </w:r>
      <w:r>
        <w:rPr>
          <w:rFonts w:eastAsiaTheme="minorHAnsi" w:cstheme="minorHAnsi"/>
          <w:szCs w:val="26"/>
        </w:rPr>
        <w:t xml:space="preserve"> access and participation for </w:t>
      </w:r>
      <w:r w:rsidR="00D846BC">
        <w:rPr>
          <w:rFonts w:eastAsiaTheme="minorHAnsi" w:cstheme="minorHAnsi"/>
          <w:szCs w:val="26"/>
        </w:rPr>
        <w:t>disabled people</w:t>
      </w:r>
      <w:r w:rsidR="005D58A5">
        <w:rPr>
          <w:rFonts w:eastAsiaTheme="minorHAnsi" w:cstheme="minorHAnsi"/>
          <w:szCs w:val="26"/>
        </w:rPr>
        <w:t xml:space="preserve"> </w:t>
      </w:r>
      <w:r w:rsidR="003956D9">
        <w:rPr>
          <w:rFonts w:eastAsiaTheme="minorHAnsi" w:cstheme="minorHAnsi"/>
          <w:szCs w:val="26"/>
        </w:rPr>
        <w:t>as evidenced in</w:t>
      </w:r>
      <w:r w:rsidR="00E97C9D">
        <w:rPr>
          <w:rFonts w:eastAsiaTheme="minorHAnsi" w:cstheme="minorHAnsi"/>
          <w:szCs w:val="26"/>
        </w:rPr>
        <w:t xml:space="preserve"> recent consultation</w:t>
      </w:r>
      <w:r w:rsidR="003956D9">
        <w:rPr>
          <w:rFonts w:eastAsiaTheme="minorHAnsi" w:cstheme="minorHAnsi"/>
          <w:szCs w:val="26"/>
        </w:rPr>
        <w:t>s</w:t>
      </w:r>
      <w:r w:rsidR="00E97C9D">
        <w:rPr>
          <w:rFonts w:eastAsiaTheme="minorHAnsi" w:cstheme="minorHAnsi"/>
          <w:szCs w:val="26"/>
        </w:rPr>
        <w:t xml:space="preserve"> by the NDA</w:t>
      </w:r>
      <w:r w:rsidR="006B659D">
        <w:rPr>
          <w:rFonts w:eastAsiaTheme="minorHAnsi" w:cstheme="minorHAnsi"/>
          <w:szCs w:val="26"/>
        </w:rPr>
        <w:t>,</w:t>
      </w:r>
      <w:r w:rsidR="001206B8">
        <w:rPr>
          <w:rFonts w:eastAsiaTheme="minorHAnsi" w:cstheme="minorHAnsi"/>
          <w:szCs w:val="26"/>
        </w:rPr>
        <w:t xml:space="preserve"> </w:t>
      </w:r>
      <w:r w:rsidR="006B659D">
        <w:rPr>
          <w:rFonts w:eastAsiaTheme="minorHAnsi" w:cstheme="minorHAnsi"/>
          <w:szCs w:val="26"/>
        </w:rPr>
        <w:t>i</w:t>
      </w:r>
      <w:r w:rsidR="007D7D5C">
        <w:rPr>
          <w:rFonts w:eastAsiaTheme="minorHAnsi" w:cstheme="minorHAnsi"/>
          <w:szCs w:val="26"/>
        </w:rPr>
        <w:t xml:space="preserve">ncluding the NDA’s </w:t>
      </w:r>
      <w:r w:rsidR="002D0AB2">
        <w:t>Wellbeing and Social Inclusion Survey of 2022</w:t>
      </w:r>
      <w:r w:rsidR="007D7D5C">
        <w:t>, which</w:t>
      </w:r>
      <w:r w:rsidR="002D0AB2">
        <w:t xml:space="preserve"> revealed that transport concerns remain for a number of people with disabilities. In the survey </w:t>
      </w:r>
      <w:r w:rsidR="002D0AB2">
        <w:rPr>
          <w:rFonts w:eastAsiaTheme="minorHAnsi" w:cstheme="minorHAnsi"/>
          <w:szCs w:val="26"/>
        </w:rPr>
        <w:t>r</w:t>
      </w:r>
      <w:r w:rsidR="002D0AB2">
        <w:t xml:space="preserve">espondents were </w:t>
      </w:r>
      <w:r w:rsidR="003956D9">
        <w:t>asked if they have any difficulty carrying out certain tasks or getting involved</w:t>
      </w:r>
      <w:r w:rsidR="002D0AB2">
        <w:t xml:space="preserve"> in various activities. ‘</w:t>
      </w:r>
      <w:r w:rsidR="003956D9">
        <w:t>Working at a job or business or attending school or college causes a lot of difficulty for 14% and a little difficulty for another 14% of respondents. Similarly, participating in other activities such as leisure activities or using transport presents a lot of difficulty for 13% and some difficulty for a further 18% of respondents</w:t>
      </w:r>
      <w:r w:rsidR="002D0AB2">
        <w:t>’</w:t>
      </w:r>
      <w:r w:rsidR="003956D9">
        <w:t>.</w:t>
      </w:r>
    </w:p>
    <w:p w14:paraId="0CB83CEF" w14:textId="64B509BE" w:rsidR="00D846BC" w:rsidRPr="00B31928" w:rsidRDefault="00C85E6D" w:rsidP="00B31928">
      <w:pPr>
        <w:pStyle w:val="NormalBeforeList"/>
      </w:pPr>
      <w:r>
        <w:rPr>
          <w:rFonts w:eastAsiaTheme="minorHAnsi" w:cstheme="minorHAnsi"/>
          <w:szCs w:val="26"/>
        </w:rPr>
        <w:t>In parallel with this independent assessment</w:t>
      </w:r>
      <w:r w:rsidR="007D7D5C">
        <w:rPr>
          <w:rFonts w:eastAsiaTheme="minorHAnsi" w:cstheme="minorHAnsi"/>
          <w:szCs w:val="26"/>
        </w:rPr>
        <w:t xml:space="preserve"> of CES activity</w:t>
      </w:r>
      <w:r w:rsidR="00382FE2">
        <w:rPr>
          <w:rFonts w:eastAsiaTheme="minorHAnsi" w:cstheme="minorHAnsi"/>
          <w:szCs w:val="26"/>
        </w:rPr>
        <w:t xml:space="preserve"> for 2022</w:t>
      </w:r>
      <w:r>
        <w:rPr>
          <w:rFonts w:eastAsiaTheme="minorHAnsi" w:cstheme="minorHAnsi"/>
          <w:szCs w:val="26"/>
        </w:rPr>
        <w:t xml:space="preserve">, the NDA </w:t>
      </w:r>
      <w:r w:rsidR="007D7D5C">
        <w:rPr>
          <w:rFonts w:eastAsiaTheme="minorHAnsi" w:cstheme="minorHAnsi"/>
          <w:szCs w:val="26"/>
        </w:rPr>
        <w:t xml:space="preserve">have also </w:t>
      </w:r>
      <w:r>
        <w:rPr>
          <w:rFonts w:eastAsiaTheme="minorHAnsi" w:cstheme="minorHAnsi"/>
          <w:szCs w:val="26"/>
        </w:rPr>
        <w:t>produce</w:t>
      </w:r>
      <w:r w:rsidR="00B21580">
        <w:rPr>
          <w:rFonts w:eastAsiaTheme="minorHAnsi" w:cstheme="minorHAnsi"/>
          <w:szCs w:val="26"/>
        </w:rPr>
        <w:t>d</w:t>
      </w:r>
      <w:r w:rsidR="007D7D5C">
        <w:rPr>
          <w:rFonts w:eastAsiaTheme="minorHAnsi" w:cstheme="minorHAnsi"/>
          <w:szCs w:val="26"/>
        </w:rPr>
        <w:t xml:space="preserve"> a detailed analysis on a </w:t>
      </w:r>
      <w:r w:rsidR="007D7D5C">
        <w:t xml:space="preserve">set of </w:t>
      </w:r>
      <w:r w:rsidR="009B45E9">
        <w:t>58</w:t>
      </w:r>
      <w:r w:rsidR="007D7D5C">
        <w:t xml:space="preserve"> indicators across 8 themes which were developed to monitor the National Disability Inclusion Strategy</w:t>
      </w:r>
      <w:r w:rsidR="005C1D97">
        <w:rPr>
          <w:rStyle w:val="FootnoteReference"/>
        </w:rPr>
        <w:footnoteReference w:id="45"/>
      </w:r>
      <w:r w:rsidR="007D7D5C">
        <w:t xml:space="preserve"> The</w:t>
      </w:r>
      <w:r w:rsidR="00B31928">
        <w:t xml:space="preserve">me 8 of the Indicators </w:t>
      </w:r>
      <w:r w:rsidR="005C1D97">
        <w:t>paper focuses on c</w:t>
      </w:r>
      <w:r w:rsidR="005C1D97" w:rsidRPr="00503AA9">
        <w:t>ommitments under the Transport and Accessible Places theme</w:t>
      </w:r>
      <w:r w:rsidR="005C1D97">
        <w:t xml:space="preserve"> and</w:t>
      </w:r>
      <w:r w:rsidR="005C1D97" w:rsidRPr="00503AA9">
        <w:t xml:space="preserve"> </w:t>
      </w:r>
      <w:r w:rsidR="00B31928">
        <w:t>describe</w:t>
      </w:r>
      <w:r w:rsidR="005C1D97" w:rsidRPr="00503AA9">
        <w:t xml:space="preserve"> progress </w:t>
      </w:r>
      <w:r w:rsidR="00B31928">
        <w:t xml:space="preserve">on </w:t>
      </w:r>
      <w:r w:rsidR="005C1D97" w:rsidRPr="00503AA9">
        <w:t>the availability</w:t>
      </w:r>
      <w:r w:rsidR="00B31928">
        <w:t xml:space="preserve"> of accessible public transport.</w:t>
      </w:r>
    </w:p>
    <w:p w14:paraId="7743F25B" w14:textId="01BDED83" w:rsidR="00FE00C3" w:rsidRPr="00B21580" w:rsidRDefault="00975E53" w:rsidP="00B21580">
      <w:r>
        <w:t>From the NDIS report the following observations were made when the</w:t>
      </w:r>
      <w:r w:rsidR="00D846BC">
        <w:t xml:space="preserve"> NTA reported that ‘all Dublin Bus, Bus Eireann and Go Ahead fleets are 100% wheelchair accessible. Bus Eireann’s coach fleet is now also 100% wheelchair </w:t>
      </w:r>
      <w:r w:rsidR="00D846BC">
        <w:lastRenderedPageBreak/>
        <w:t>accessible with the wheelchair lift. However, they need to have a wheelchair accessible bus stop also’. The NTA is currently trying to phase in requirements in the conditions of the licenses for the commercial buses to become wheelchair accessible. The NTA report was shared with the Department of Transport but was put on hold due to COVID-19. The NTA report that action is ongoing and will continually be implemented. In addition, the NTA reports that a</w:t>
      </w:r>
      <w:r w:rsidR="00D846BC" w:rsidRPr="00C74C83">
        <w:t>ll new coach</w:t>
      </w:r>
      <w:r w:rsidR="00D846BC">
        <w:t>es</w:t>
      </w:r>
      <w:r w:rsidR="00D846BC" w:rsidRPr="00C74C83">
        <w:t xml:space="preserve"> purchased or funded by the NTA for </w:t>
      </w:r>
      <w:r w:rsidR="00D846BC">
        <w:t>public services</w:t>
      </w:r>
      <w:r w:rsidR="00D846BC" w:rsidRPr="00C74C83">
        <w:t xml:space="preserve"> provide for wheelchair accessibility plus visual and audio announcements and information. The </w:t>
      </w:r>
      <w:r w:rsidR="00D846BC">
        <w:t>Department of Transport</w:t>
      </w:r>
      <w:r w:rsidR="00D846BC" w:rsidRPr="00C74C83">
        <w:t xml:space="preserve"> and NTA are proposing that this part of the Action, the commercial sector accessibility, be brought forward to the UNCRPD Plan as a priority action</w:t>
      </w:r>
      <w:r>
        <w:t>’</w:t>
      </w:r>
      <w:r w:rsidR="00D846BC" w:rsidRPr="00C74C83">
        <w:t>.</w:t>
      </w:r>
      <w:r w:rsidR="00B21580">
        <w:t xml:space="preserve"> </w:t>
      </w:r>
      <w:r w:rsidR="00B21580">
        <w:rPr>
          <w:rFonts w:cstheme="minorHAnsi"/>
          <w:szCs w:val="26"/>
        </w:rPr>
        <w:t xml:space="preserve">In addition to this activity </w:t>
      </w:r>
      <w:r>
        <w:rPr>
          <w:rFonts w:cstheme="minorHAnsi"/>
          <w:szCs w:val="26"/>
        </w:rPr>
        <w:t>NTA also reported that</w:t>
      </w:r>
      <w:r w:rsidR="00E97C9D">
        <w:rPr>
          <w:rFonts w:cstheme="minorHAnsi"/>
          <w:szCs w:val="26"/>
        </w:rPr>
        <w:t xml:space="preserve"> in relation to</w:t>
      </w:r>
      <w:r>
        <w:rPr>
          <w:rFonts w:cstheme="minorHAnsi"/>
          <w:szCs w:val="26"/>
        </w:rPr>
        <w:t xml:space="preserve"> </w:t>
      </w:r>
      <w:r w:rsidR="00FE00C3" w:rsidRPr="00FE00C3">
        <w:rPr>
          <w:rFonts w:cstheme="minorHAnsi"/>
          <w:szCs w:val="26"/>
        </w:rPr>
        <w:t>Small Public Service Vehicles (Taxi’s):</w:t>
      </w:r>
    </w:p>
    <w:p w14:paraId="04B57EE1" w14:textId="61FB0179" w:rsidR="00FE00C3" w:rsidRPr="00FE00C3" w:rsidRDefault="00FE00C3" w:rsidP="00FE00C3">
      <w:pPr>
        <w:numPr>
          <w:ilvl w:val="0"/>
          <w:numId w:val="32"/>
        </w:numPr>
        <w:spacing w:after="200" w:line="276" w:lineRule="auto"/>
        <w:contextualSpacing/>
        <w:jc w:val="both"/>
        <w:rPr>
          <w:rFonts w:eastAsiaTheme="minorHAnsi" w:cstheme="minorBidi"/>
          <w:szCs w:val="26"/>
          <w:lang w:val="en-US"/>
        </w:rPr>
      </w:pPr>
      <w:r w:rsidRPr="00FE00C3">
        <w:rPr>
          <w:rFonts w:eastAsiaTheme="minorHAnsi" w:cstheme="minorBidi"/>
          <w:szCs w:val="26"/>
          <w:lang w:val="en-US"/>
        </w:rPr>
        <w:t xml:space="preserve">The number of </w:t>
      </w:r>
      <w:r w:rsidR="00975E53" w:rsidRPr="00FE00C3">
        <w:rPr>
          <w:rFonts w:eastAsiaTheme="minorHAnsi" w:cstheme="minorBidi"/>
          <w:szCs w:val="26"/>
          <w:lang w:val="en-US"/>
        </w:rPr>
        <w:t xml:space="preserve">wheelchair accessible vehicles </w:t>
      </w:r>
      <w:r w:rsidR="00975E53">
        <w:rPr>
          <w:rFonts w:eastAsiaTheme="minorHAnsi" w:cstheme="minorBidi"/>
          <w:szCs w:val="26"/>
          <w:lang w:val="en-US"/>
        </w:rPr>
        <w:t>(</w:t>
      </w:r>
      <w:r w:rsidRPr="00FE00C3">
        <w:rPr>
          <w:rFonts w:eastAsiaTheme="minorHAnsi" w:cstheme="minorBidi"/>
          <w:szCs w:val="26"/>
          <w:lang w:val="en-US"/>
        </w:rPr>
        <w:t>WAVs</w:t>
      </w:r>
      <w:r w:rsidR="00975E53">
        <w:rPr>
          <w:rFonts w:eastAsiaTheme="minorHAnsi" w:cstheme="minorBidi"/>
          <w:szCs w:val="26"/>
          <w:lang w:val="en-US"/>
        </w:rPr>
        <w:t>)</w:t>
      </w:r>
      <w:r w:rsidRPr="00FE00C3">
        <w:rPr>
          <w:rFonts w:eastAsiaTheme="minorHAnsi" w:cstheme="minorBidi"/>
          <w:szCs w:val="26"/>
          <w:lang w:val="en-US"/>
        </w:rPr>
        <w:t xml:space="preserve"> in the fleet increased from its lowest point of 850 (c.4% of the fleet) in June 2014 to 3,314 (17.3% of the SPSV fleet) October 2022. </w:t>
      </w:r>
      <w:r w:rsidR="001206B8">
        <w:rPr>
          <w:rFonts w:eastAsiaTheme="minorHAnsi" w:cstheme="minorBidi"/>
          <w:szCs w:val="26"/>
          <w:lang w:val="en-US"/>
        </w:rPr>
        <w:t>While this increase in numbers is to be welcomed the NDA are aware from our work with disabled people and their organisations of ongoing difficulties in booking and accessing an accessible taxi.</w:t>
      </w:r>
    </w:p>
    <w:p w14:paraId="41D12DEB" w14:textId="61919545" w:rsidR="00FE00C3" w:rsidRPr="00FE00C3" w:rsidRDefault="00FE00C3" w:rsidP="00FE00C3">
      <w:pPr>
        <w:numPr>
          <w:ilvl w:val="0"/>
          <w:numId w:val="32"/>
        </w:numPr>
        <w:spacing w:after="200" w:line="276" w:lineRule="auto"/>
        <w:contextualSpacing/>
        <w:jc w:val="both"/>
        <w:rPr>
          <w:rFonts w:eastAsiaTheme="minorHAnsi" w:cstheme="minorBidi"/>
          <w:szCs w:val="26"/>
          <w:lang w:val="en-US"/>
        </w:rPr>
      </w:pPr>
      <w:r w:rsidRPr="00FE00C3">
        <w:rPr>
          <w:rFonts w:eastAsiaTheme="minorHAnsi" w:cstheme="minorBidi"/>
          <w:szCs w:val="26"/>
          <w:lang w:val="en-US"/>
        </w:rPr>
        <w:t xml:space="preserve">The 2022 </w:t>
      </w:r>
      <w:r w:rsidR="00E97C9D">
        <w:rPr>
          <w:rFonts w:eastAsiaTheme="minorHAnsi" w:cstheme="minorBidi"/>
          <w:szCs w:val="26"/>
          <w:lang w:val="en-US"/>
        </w:rPr>
        <w:t>WAV</w:t>
      </w:r>
      <w:r w:rsidRPr="00FE00C3">
        <w:rPr>
          <w:rFonts w:eastAsiaTheme="minorHAnsi" w:cstheme="minorBidi"/>
          <w:szCs w:val="26"/>
          <w:lang w:val="en-US"/>
        </w:rPr>
        <w:t xml:space="preserve"> grant scheme had 128 applications up until October 2022.</w:t>
      </w:r>
    </w:p>
    <w:p w14:paraId="10DB6259" w14:textId="77777777" w:rsidR="00FE00C3" w:rsidRPr="00FE00C3" w:rsidRDefault="00FE00C3" w:rsidP="00FE00C3">
      <w:pPr>
        <w:numPr>
          <w:ilvl w:val="0"/>
          <w:numId w:val="32"/>
        </w:numPr>
        <w:spacing w:after="200" w:line="276" w:lineRule="auto"/>
        <w:contextualSpacing/>
        <w:jc w:val="both"/>
        <w:rPr>
          <w:rFonts w:eastAsiaTheme="minorHAnsi" w:cstheme="minorBidi"/>
          <w:szCs w:val="26"/>
          <w:lang w:val="en-US"/>
        </w:rPr>
      </w:pPr>
      <w:r w:rsidRPr="00FE00C3">
        <w:rPr>
          <w:rFonts w:eastAsiaTheme="minorHAnsi" w:cstheme="minorBidi"/>
          <w:szCs w:val="26"/>
          <w:lang w:val="en-US"/>
        </w:rPr>
        <w:t xml:space="preserve">A condition attaching to the grant scheme is that all successful applicants must complete a disability awareness training programme with the Irish Wheelchair Association which is funded by NTA. </w:t>
      </w:r>
    </w:p>
    <w:p w14:paraId="627F654E" w14:textId="25B9F611" w:rsidR="002874A1" w:rsidRDefault="002874A1" w:rsidP="00B31928">
      <w:r>
        <w:t>Additional details on DoT and NTA accessibility commitments and action plans for 2022 are available here.</w:t>
      </w:r>
      <w:r>
        <w:rPr>
          <w:rStyle w:val="FootnoteReference"/>
        </w:rPr>
        <w:footnoteReference w:id="46"/>
      </w:r>
    </w:p>
    <w:p w14:paraId="0619501D" w14:textId="6A69ECAD" w:rsidR="00B31928" w:rsidRDefault="00B31928" w:rsidP="00B31928">
      <w:r>
        <w:t>The NDA advises that any essential travel schemes for disabled people should be underpinned by rights-based principles and have due regard for the additional barriers faced by disabled people. For example, barriers to employment for disabled people in receipt of disability allowance and the additional costs related to having a disability, as outlined in the Indecon Cost of Disability report need to be considered.</w:t>
      </w:r>
    </w:p>
    <w:p w14:paraId="4DA5995D" w14:textId="1D056C39" w:rsidR="005B288A" w:rsidRDefault="005B288A" w:rsidP="00975E53">
      <w:pPr>
        <w:pStyle w:val="Heading2"/>
      </w:pPr>
      <w:bookmarkStart w:id="31" w:name="_Toc96521888"/>
      <w:bookmarkStart w:id="32" w:name="_Toc130474361"/>
      <w:bookmarkStart w:id="33" w:name="_Toc132710532"/>
      <w:r>
        <w:t>SP3 Make work pay</w:t>
      </w:r>
      <w:bookmarkEnd w:id="31"/>
      <w:bookmarkEnd w:id="32"/>
      <w:bookmarkEnd w:id="33"/>
    </w:p>
    <w:p w14:paraId="1D824E77" w14:textId="2A1B2E03" w:rsidR="00B31928" w:rsidRDefault="00B31928" w:rsidP="00B31928">
      <w:bookmarkStart w:id="34" w:name="_Toc96521890"/>
      <w:r>
        <w:t>T</w:t>
      </w:r>
      <w:r w:rsidRPr="00554F9C">
        <w:t>he Make Work Pay Report 2017</w:t>
      </w:r>
      <w:r>
        <w:rPr>
          <w:rStyle w:val="FootnoteReference"/>
        </w:rPr>
        <w:footnoteReference w:id="47"/>
      </w:r>
      <w:r>
        <w:t xml:space="preserve"> found that:</w:t>
      </w:r>
    </w:p>
    <w:p w14:paraId="2B08E779" w14:textId="77777777" w:rsidR="00B31928" w:rsidRDefault="00B31928" w:rsidP="00B31928">
      <w:pPr>
        <w:pStyle w:val="BlockQuote"/>
      </w:pPr>
      <w:r>
        <w:lastRenderedPageBreak/>
        <w:t>“W</w:t>
      </w:r>
      <w:r w:rsidRPr="00554F9C">
        <w:t>hile there are several transport supports available for persons with disabilities, responsibility for administering these supports is spread across a number of Government Departments and Agencies with differing qualification criteria. Some people who have significant transport needs, could, if they were to work, fall between different schemes of supports. Others may find their entitlement difficult to understand or navigate.”</w:t>
      </w:r>
    </w:p>
    <w:p w14:paraId="0FA4E84C" w14:textId="5E911BDE" w:rsidR="00B31928" w:rsidRPr="00554F9C" w:rsidRDefault="00B31928" w:rsidP="00B31928">
      <w:r w:rsidRPr="00554F9C">
        <w:t>To address the issues detailed in the Make Work Pa</w:t>
      </w:r>
      <w:r>
        <w:t>y Report a</w:t>
      </w:r>
      <w:r w:rsidRPr="00554F9C">
        <w:t xml:space="preserve"> working group was </w:t>
      </w:r>
      <w:r w:rsidR="00FA3787" w:rsidRPr="00554F9C">
        <w:t>convened</w:t>
      </w:r>
      <w:r w:rsidR="00FA3787">
        <w:t xml:space="preserve"> the</w:t>
      </w:r>
      <w:r w:rsidR="001A53C5">
        <w:t xml:space="preserve"> </w:t>
      </w:r>
      <w:r w:rsidR="00FA3787">
        <w:t>National Disability Inclusion Strategy Stakeholder Group (NDISSG) to advance Action 104 of the NDIS</w:t>
      </w:r>
      <w:r w:rsidR="00FA3787" w:rsidRPr="00554F9C">
        <w:t xml:space="preserve"> </w:t>
      </w:r>
      <w:r w:rsidRPr="00554F9C">
        <w:t xml:space="preserve">in 2020. The meetings of the working group were paused due to the Covid-19 pandemic. The working group was reconvened in January 2022 at which time the Minister of State with responsibility for Disability, Anne Rabbitte, assumed </w:t>
      </w:r>
      <w:r>
        <w:t>the role of chair</w:t>
      </w:r>
      <w:r w:rsidRPr="00554F9C">
        <w:t xml:space="preserve"> of the </w:t>
      </w:r>
      <w:r>
        <w:t>g</w:t>
      </w:r>
      <w:r w:rsidRPr="00554F9C">
        <w:t>roup. This working group discussed several key mobility and transport schemes including the Disabled Drivers and Disabled Passengers Scheme, this discussion was followed by a stocktaking exercise of all state funded mobility and transport schemes as well as a comparison of similar support schemes across the OECD. Following on from the stocktaking exercise, discussion and comparative analysis</w:t>
      </w:r>
      <w:r>
        <w:rPr>
          <w:sz w:val="24"/>
        </w:rPr>
        <w:t xml:space="preserve"> </w:t>
      </w:r>
      <w:r w:rsidRPr="00554F9C">
        <w:t xml:space="preserve">a report was drafted detailing key recommendations for changes to the current provision and governance of transport and mobility schemes. </w:t>
      </w:r>
    </w:p>
    <w:p w14:paraId="65EA1F4A" w14:textId="6FC0F36B" w:rsidR="00B31928" w:rsidRPr="00B31928" w:rsidRDefault="00B31928" w:rsidP="00B31928">
      <w:r>
        <w:t>A</w:t>
      </w:r>
      <w:r w:rsidRPr="00554F9C">
        <w:t xml:space="preserve"> key recommendation in the report emphasises the need for a comprehensive and coordinated cross-Government and mainstream process which ensures that the focus of policy, planning and transport provision is on the customer’s end to end journey and advances a joined up and door-to-door approach to transport and mobility supports for people with disabilities which will likely involve the convening of a new working group.</w:t>
      </w:r>
      <w:r>
        <w:rPr>
          <w:rStyle w:val="FootnoteReference"/>
        </w:rPr>
        <w:footnoteReference w:id="48"/>
      </w:r>
      <w:r w:rsidRPr="00554F9C">
        <w:t xml:space="preserve"> </w:t>
      </w:r>
      <w:r w:rsidR="009B45E9">
        <w:t xml:space="preserve">NDA advises that it will be important that work in this area is advanced. </w:t>
      </w:r>
    </w:p>
    <w:p w14:paraId="0005D599" w14:textId="7ABA76A3" w:rsidR="004C55F0" w:rsidRPr="001874D5" w:rsidRDefault="005724A2" w:rsidP="00491745">
      <w:pPr>
        <w:pStyle w:val="Default"/>
      </w:pPr>
      <w:r w:rsidRPr="005A0157">
        <w:rPr>
          <w:rFonts w:ascii="Gill Sans MT" w:eastAsia="Gill Sans MT" w:hAnsi="Gill Sans MT" w:cs="Gill Sans MT"/>
          <w:sz w:val="26"/>
          <w:szCs w:val="26"/>
        </w:rPr>
        <w:t>Since the publication of the Make Work Pay report in 2017 change has occurred to support people with disabilities who want to work. Some people have exited the Disability Allowance payment scheme to take up work</w:t>
      </w:r>
      <w:r w:rsidRPr="005A0157">
        <w:rPr>
          <w:rFonts w:ascii="Gill Sans MT" w:eastAsia="Gill Sans MT" w:hAnsi="Gill Sans MT" w:cs="Gill Sans MT"/>
          <w:sz w:val="26"/>
          <w:szCs w:val="26"/>
          <w:vertAlign w:val="superscript"/>
        </w:rPr>
        <w:footnoteReference w:id="49"/>
      </w:r>
      <w:r w:rsidRPr="005A0157">
        <w:rPr>
          <w:rFonts w:ascii="Gill Sans MT" w:eastAsia="Gill Sans MT" w:hAnsi="Gill Sans MT" w:cs="Gill Sans MT"/>
          <w:sz w:val="26"/>
          <w:szCs w:val="26"/>
        </w:rPr>
        <w:t>.</w:t>
      </w:r>
      <w:r w:rsidR="00657AA3">
        <w:rPr>
          <w:rFonts w:ascii="Gill Sans MT" w:eastAsia="Gill Sans MT" w:hAnsi="Gill Sans MT" w:cs="Gill Sans MT"/>
          <w:sz w:val="26"/>
          <w:szCs w:val="26"/>
        </w:rPr>
        <w:t xml:space="preserve"> O</w:t>
      </w:r>
      <w:r w:rsidR="0060211A" w:rsidRPr="005A0157">
        <w:rPr>
          <w:rFonts w:ascii="Gill Sans MT" w:eastAsia="Gill Sans MT" w:hAnsi="Gill Sans MT" w:cs="Gill Sans MT"/>
          <w:sz w:val="26"/>
          <w:szCs w:val="26"/>
        </w:rPr>
        <w:t>thers are now exploring work and training options through an early engagement process</w:t>
      </w:r>
      <w:r w:rsidR="0060211A" w:rsidRPr="005A0157">
        <w:rPr>
          <w:rFonts w:ascii="Gill Sans MT" w:hAnsi="Gill Sans MT"/>
          <w:sz w:val="26"/>
          <w:szCs w:val="26"/>
        </w:rPr>
        <w:t xml:space="preserve">, the Department </w:t>
      </w:r>
      <w:r w:rsidR="0060211A" w:rsidRPr="005A0157">
        <w:rPr>
          <w:rFonts w:ascii="Gill Sans MT" w:eastAsia="Gill Sans MT" w:hAnsi="Gill Sans MT" w:cs="Gill Sans MT"/>
          <w:sz w:val="26"/>
          <w:szCs w:val="26"/>
        </w:rPr>
        <w:t xml:space="preserve">of Social </w:t>
      </w:r>
      <w:r w:rsidR="0060211A" w:rsidRPr="005A0157">
        <w:rPr>
          <w:rFonts w:ascii="Gill Sans MT" w:eastAsia="Times New Roman" w:hAnsi="Gill Sans MT"/>
          <w:color w:val="auto"/>
          <w:sz w:val="26"/>
          <w:szCs w:val="26"/>
          <w:lang w:eastAsia="en-US"/>
        </w:rPr>
        <w:t xml:space="preserve">Protection’s </w:t>
      </w:r>
      <w:r w:rsidR="00291224" w:rsidRPr="005A0157">
        <w:rPr>
          <w:rFonts w:ascii="Gill Sans MT" w:eastAsia="Times New Roman" w:hAnsi="Gill Sans MT"/>
          <w:color w:val="auto"/>
          <w:sz w:val="26"/>
          <w:szCs w:val="26"/>
          <w:lang w:eastAsia="en-US"/>
        </w:rPr>
        <w:t xml:space="preserve">Intreo service commenced </w:t>
      </w:r>
      <w:r w:rsidR="00821F33" w:rsidRPr="005A0157">
        <w:rPr>
          <w:rFonts w:ascii="Gill Sans MT" w:eastAsia="Times New Roman" w:hAnsi="Gill Sans MT"/>
          <w:color w:val="auto"/>
          <w:sz w:val="26"/>
          <w:szCs w:val="26"/>
          <w:lang w:eastAsia="en-US"/>
        </w:rPr>
        <w:t>a</w:t>
      </w:r>
      <w:r w:rsidR="0060211A" w:rsidRPr="005A0157">
        <w:rPr>
          <w:rFonts w:ascii="Gill Sans MT" w:eastAsia="Times New Roman" w:hAnsi="Gill Sans MT"/>
          <w:color w:val="auto"/>
          <w:sz w:val="26"/>
          <w:szCs w:val="26"/>
          <w:lang w:eastAsia="en-US"/>
        </w:rPr>
        <w:t xml:space="preserve"> systematic approach to actively engage with disabled persons</w:t>
      </w:r>
      <w:r w:rsidR="00657AA3">
        <w:rPr>
          <w:rFonts w:ascii="Gill Sans MT" w:eastAsia="Times New Roman" w:hAnsi="Gill Sans MT"/>
          <w:color w:val="auto"/>
          <w:sz w:val="26"/>
          <w:szCs w:val="26"/>
          <w:lang w:eastAsia="en-US"/>
        </w:rPr>
        <w:t>.</w:t>
      </w:r>
      <w:r w:rsidR="00B31928">
        <w:rPr>
          <w:rFonts w:ascii="Gill Sans MT" w:eastAsia="Times New Roman" w:hAnsi="Gill Sans MT"/>
          <w:color w:val="auto"/>
          <w:sz w:val="26"/>
          <w:szCs w:val="26"/>
          <w:lang w:eastAsia="en-US"/>
        </w:rPr>
        <w:t xml:space="preserve"> </w:t>
      </w:r>
      <w:r w:rsidR="00657AA3">
        <w:rPr>
          <w:rFonts w:ascii="Gill Sans MT" w:eastAsia="Times New Roman" w:hAnsi="Gill Sans MT"/>
          <w:color w:val="auto"/>
          <w:sz w:val="26"/>
          <w:szCs w:val="26"/>
          <w:lang w:eastAsia="en-US"/>
        </w:rPr>
        <w:t>T</w:t>
      </w:r>
      <w:r w:rsidR="00821F33" w:rsidRPr="005A0157">
        <w:rPr>
          <w:rFonts w:ascii="Gill Sans MT" w:eastAsia="Times New Roman" w:hAnsi="Gill Sans MT"/>
          <w:color w:val="auto"/>
          <w:sz w:val="26"/>
          <w:szCs w:val="26"/>
          <w:lang w:eastAsia="en-US"/>
        </w:rPr>
        <w:t>his</w:t>
      </w:r>
      <w:r w:rsidR="00B31928">
        <w:rPr>
          <w:rFonts w:ascii="Gill Sans MT" w:eastAsia="Times New Roman" w:hAnsi="Gill Sans MT"/>
          <w:color w:val="auto"/>
          <w:sz w:val="26"/>
          <w:szCs w:val="26"/>
          <w:lang w:eastAsia="en-US"/>
        </w:rPr>
        <w:t xml:space="preserve"> initiative</w:t>
      </w:r>
      <w:r w:rsidR="00821F33" w:rsidRPr="005A0157">
        <w:rPr>
          <w:rFonts w:ascii="Gill Sans MT" w:eastAsia="Times New Roman" w:hAnsi="Gill Sans MT"/>
          <w:color w:val="auto"/>
          <w:sz w:val="26"/>
          <w:szCs w:val="26"/>
          <w:lang w:eastAsia="en-US"/>
        </w:rPr>
        <w:t xml:space="preserve"> is </w:t>
      </w:r>
      <w:r w:rsidR="00291224" w:rsidRPr="005A0157">
        <w:rPr>
          <w:rFonts w:ascii="Gill Sans MT" w:eastAsia="Times New Roman" w:hAnsi="Gill Sans MT"/>
          <w:color w:val="auto"/>
          <w:sz w:val="26"/>
          <w:szCs w:val="26"/>
          <w:lang w:eastAsia="en-US"/>
        </w:rPr>
        <w:t xml:space="preserve">based on learning from </w:t>
      </w:r>
      <w:r w:rsidR="00D23075">
        <w:rPr>
          <w:rFonts w:ascii="Gill Sans MT" w:eastAsia="Times New Roman" w:hAnsi="Gill Sans MT"/>
          <w:color w:val="auto"/>
          <w:sz w:val="26"/>
          <w:szCs w:val="26"/>
          <w:lang w:eastAsia="en-US"/>
        </w:rPr>
        <w:t xml:space="preserve">a </w:t>
      </w:r>
      <w:r w:rsidR="00291224" w:rsidRPr="005A0157">
        <w:rPr>
          <w:rFonts w:ascii="Gill Sans MT" w:eastAsia="Times New Roman" w:hAnsi="Gill Sans MT"/>
          <w:color w:val="auto"/>
          <w:sz w:val="26"/>
          <w:szCs w:val="26"/>
          <w:lang w:eastAsia="en-US"/>
        </w:rPr>
        <w:t>2019</w:t>
      </w:r>
      <w:r w:rsidR="0060211A" w:rsidRPr="005A0157">
        <w:rPr>
          <w:rFonts w:ascii="Gill Sans MT" w:eastAsia="Times New Roman" w:hAnsi="Gill Sans MT"/>
          <w:color w:val="auto"/>
          <w:sz w:val="26"/>
          <w:szCs w:val="26"/>
          <w:lang w:eastAsia="en-US"/>
        </w:rPr>
        <w:t xml:space="preserve"> public</w:t>
      </w:r>
      <w:r w:rsidR="0060211A" w:rsidRPr="00E76AC0">
        <w:rPr>
          <w:rFonts w:ascii="Gill Sans MT" w:eastAsia="Times New Roman" w:hAnsi="Gill Sans MT"/>
          <w:color w:val="auto"/>
          <w:sz w:val="26"/>
          <w:lang w:eastAsia="en-US"/>
        </w:rPr>
        <w:t xml:space="preserve"> consultation</w:t>
      </w:r>
      <w:r w:rsidR="00291224" w:rsidRPr="00E76AC0">
        <w:rPr>
          <w:rFonts w:ascii="Gill Sans MT" w:eastAsia="Times New Roman" w:hAnsi="Gill Sans MT"/>
          <w:color w:val="auto"/>
          <w:sz w:val="26"/>
          <w:lang w:eastAsia="en-US"/>
        </w:rPr>
        <w:t>. The process</w:t>
      </w:r>
      <w:r w:rsidR="0060211A" w:rsidRPr="00E76AC0">
        <w:rPr>
          <w:rFonts w:ascii="Gill Sans MT" w:eastAsia="Times New Roman" w:hAnsi="Gill Sans MT"/>
          <w:color w:val="auto"/>
          <w:sz w:val="26"/>
          <w:lang w:eastAsia="en-US"/>
        </w:rPr>
        <w:t xml:space="preserve"> invites people on Disability Allowance aged 18-22 </w:t>
      </w:r>
      <w:r w:rsidR="00291224" w:rsidRPr="00E76AC0">
        <w:rPr>
          <w:rFonts w:ascii="Gill Sans MT" w:eastAsia="Times New Roman" w:hAnsi="Gill Sans MT"/>
          <w:color w:val="auto"/>
          <w:sz w:val="26"/>
          <w:lang w:eastAsia="en-US"/>
        </w:rPr>
        <w:t xml:space="preserve">to engage via </w:t>
      </w:r>
      <w:r w:rsidR="0060211A" w:rsidRPr="00E76AC0">
        <w:rPr>
          <w:rFonts w:ascii="Gill Sans MT" w:eastAsia="Times New Roman" w:hAnsi="Gill Sans MT"/>
          <w:color w:val="auto"/>
          <w:sz w:val="26"/>
          <w:lang w:eastAsia="en-US"/>
        </w:rPr>
        <w:t>a call from an Employment Personal Advisor</w:t>
      </w:r>
      <w:r w:rsidR="00291224" w:rsidRPr="00E76AC0">
        <w:rPr>
          <w:rFonts w:ascii="Gill Sans MT" w:eastAsia="Times New Roman" w:hAnsi="Gill Sans MT"/>
          <w:color w:val="auto"/>
          <w:sz w:val="26"/>
          <w:lang w:eastAsia="en-US"/>
        </w:rPr>
        <w:t xml:space="preserve">. </w:t>
      </w:r>
      <w:r w:rsidR="00291224" w:rsidRPr="00E27D8B">
        <w:rPr>
          <w:rFonts w:ascii="Gill Sans MT" w:eastAsia="Times New Roman" w:hAnsi="Gill Sans MT"/>
          <w:color w:val="auto"/>
          <w:sz w:val="26"/>
          <w:szCs w:val="26"/>
          <w:lang w:eastAsia="en-US"/>
        </w:rPr>
        <w:lastRenderedPageBreak/>
        <w:t>The young person is then</w:t>
      </w:r>
      <w:r w:rsidR="0060211A" w:rsidRPr="00E27D8B">
        <w:rPr>
          <w:rFonts w:ascii="Gill Sans MT" w:eastAsia="Times New Roman" w:hAnsi="Gill Sans MT"/>
          <w:color w:val="auto"/>
          <w:sz w:val="26"/>
          <w:szCs w:val="26"/>
          <w:lang w:eastAsia="en-US"/>
        </w:rPr>
        <w:t xml:space="preserve"> provided with advice and ap</w:t>
      </w:r>
      <w:r w:rsidR="00291224" w:rsidRPr="00E27D8B">
        <w:rPr>
          <w:rFonts w:ascii="Gill Sans MT" w:eastAsia="Times New Roman" w:hAnsi="Gill Sans MT"/>
          <w:color w:val="auto"/>
          <w:sz w:val="26"/>
          <w:szCs w:val="26"/>
          <w:lang w:eastAsia="en-US"/>
        </w:rPr>
        <w:t>pointments</w:t>
      </w:r>
      <w:r w:rsidR="0060211A" w:rsidRPr="00E27D8B">
        <w:rPr>
          <w:rFonts w:ascii="Gill Sans MT" w:eastAsia="Times New Roman" w:hAnsi="Gill Sans MT"/>
          <w:color w:val="auto"/>
          <w:sz w:val="26"/>
          <w:szCs w:val="26"/>
          <w:lang w:eastAsia="en-US"/>
        </w:rPr>
        <w:t xml:space="preserve"> made as desired / appropriate.</w:t>
      </w:r>
      <w:r w:rsidR="001376C4" w:rsidRPr="00E27D8B">
        <w:rPr>
          <w:rFonts w:ascii="Gill Sans MT" w:eastAsia="Times New Roman" w:hAnsi="Gill Sans MT"/>
          <w:color w:val="auto"/>
          <w:sz w:val="26"/>
          <w:szCs w:val="26"/>
          <w:lang w:eastAsia="en-US"/>
        </w:rPr>
        <w:t xml:space="preserve"> It is welcomed that the</w:t>
      </w:r>
      <w:r w:rsidR="001376C4" w:rsidRPr="00E27D8B">
        <w:rPr>
          <w:rFonts w:ascii="Gill Sans MT" w:eastAsia="Times New Roman" w:hAnsi="Gill Sans MT" w:cstheme="minorHAnsi"/>
          <w:sz w:val="26"/>
          <w:szCs w:val="26"/>
        </w:rPr>
        <w:t xml:space="preserve"> </w:t>
      </w:r>
      <w:r w:rsidR="004C55F0" w:rsidRPr="00E27D8B">
        <w:rPr>
          <w:rFonts w:ascii="Gill Sans MT" w:eastAsia="Times New Roman" w:hAnsi="Gill Sans MT" w:cstheme="minorHAnsi"/>
          <w:sz w:val="26"/>
          <w:szCs w:val="26"/>
        </w:rPr>
        <w:t>Early Engagement</w:t>
      </w:r>
      <w:r w:rsidR="001A53C5" w:rsidRPr="00E27D8B">
        <w:rPr>
          <w:rFonts w:ascii="Gill Sans MT" w:eastAsia="Times New Roman" w:hAnsi="Gill Sans MT" w:cstheme="minorHAnsi"/>
          <w:sz w:val="26"/>
          <w:szCs w:val="26"/>
        </w:rPr>
        <w:t xml:space="preserve"> project</w:t>
      </w:r>
      <w:r w:rsidR="004C55F0" w:rsidRPr="00E27D8B">
        <w:rPr>
          <w:rFonts w:ascii="Gill Sans MT" w:eastAsia="Times New Roman" w:hAnsi="Gill Sans MT" w:cstheme="minorHAnsi"/>
          <w:sz w:val="26"/>
          <w:szCs w:val="26"/>
        </w:rPr>
        <w:t xml:space="preserve"> is continuing for 18–22-year-olds on Disability Allowance and engagement with 22-25 year-olds commenced in March</w:t>
      </w:r>
      <w:r w:rsidR="001376C4" w:rsidRPr="00E27D8B">
        <w:rPr>
          <w:rFonts w:ascii="Gill Sans MT" w:eastAsia="Times New Roman" w:hAnsi="Gill Sans MT" w:cstheme="minorHAnsi"/>
          <w:sz w:val="26"/>
          <w:szCs w:val="26"/>
        </w:rPr>
        <w:t xml:space="preserve"> 2022.</w:t>
      </w:r>
    </w:p>
    <w:p w14:paraId="05263BB0" w14:textId="7C1DD1B2" w:rsidR="004C55F0" w:rsidRDefault="004C55F0" w:rsidP="00F671FB">
      <w:pPr>
        <w:pStyle w:val="Default"/>
        <w:rPr>
          <w:rFonts w:ascii="Gill Sans MT" w:eastAsia="Times New Roman" w:hAnsi="Gill Sans MT"/>
          <w:color w:val="auto"/>
          <w:sz w:val="26"/>
          <w:lang w:eastAsia="en-US"/>
        </w:rPr>
      </w:pPr>
    </w:p>
    <w:p w14:paraId="58235E18" w14:textId="308AF28E" w:rsidR="00657AA3" w:rsidRDefault="00A279CF" w:rsidP="00F671FB">
      <w:pPr>
        <w:pStyle w:val="Default"/>
        <w:rPr>
          <w:rFonts w:ascii="Gill Sans MT" w:eastAsia="Times New Roman" w:hAnsi="Gill Sans MT"/>
          <w:color w:val="auto"/>
          <w:sz w:val="26"/>
          <w:lang w:eastAsia="en-US"/>
        </w:rPr>
      </w:pPr>
      <w:r>
        <w:rPr>
          <w:rFonts w:ascii="Gill Sans MT" w:eastAsia="Times New Roman" w:hAnsi="Gill Sans MT"/>
          <w:color w:val="auto"/>
          <w:sz w:val="26"/>
          <w:lang w:eastAsia="en-US"/>
        </w:rPr>
        <w:t>The NDA understand that involvement by young people with this early engagement process have been low and that further consideration is given to how young people are being informed about their options and choices. In particular there is learning from the DSP funded Ability programmes that can enhance the current early engagement offering.</w:t>
      </w:r>
      <w:r w:rsidR="00525D9F">
        <w:rPr>
          <w:rFonts w:ascii="Gill Sans MT" w:eastAsia="Times New Roman" w:hAnsi="Gill Sans MT"/>
          <w:color w:val="auto"/>
          <w:sz w:val="26"/>
          <w:lang w:eastAsia="en-US"/>
        </w:rPr>
        <w:t xml:space="preserve"> </w:t>
      </w:r>
    </w:p>
    <w:p w14:paraId="3B8F9298" w14:textId="77777777" w:rsidR="00525D9F" w:rsidRDefault="00E76AC0" w:rsidP="00F671FB">
      <w:pPr>
        <w:pStyle w:val="Default"/>
        <w:rPr>
          <w:rFonts w:ascii="Gill Sans MT" w:hAnsi="Gill Sans MT" w:cs="Arial"/>
          <w:sz w:val="26"/>
          <w:szCs w:val="26"/>
        </w:rPr>
      </w:pPr>
      <w:r w:rsidRPr="00E76AC0">
        <w:rPr>
          <w:rFonts w:ascii="Gill Sans MT" w:eastAsia="Times New Roman" w:hAnsi="Gill Sans MT"/>
          <w:color w:val="auto"/>
          <w:sz w:val="26"/>
          <w:lang w:eastAsia="en-US"/>
        </w:rPr>
        <w:t xml:space="preserve">Key findings from </w:t>
      </w:r>
      <w:r w:rsidR="00D23075">
        <w:rPr>
          <w:rFonts w:ascii="Gill Sans MT" w:eastAsia="Times New Roman" w:hAnsi="Gill Sans MT"/>
          <w:color w:val="auto"/>
          <w:sz w:val="26"/>
          <w:lang w:eastAsia="en-US"/>
        </w:rPr>
        <w:t>the</w:t>
      </w:r>
      <w:r w:rsidR="00657AA3">
        <w:rPr>
          <w:rFonts w:ascii="Gill Sans MT" w:eastAsia="Times New Roman" w:hAnsi="Gill Sans MT"/>
          <w:color w:val="auto"/>
          <w:sz w:val="26"/>
          <w:lang w:eastAsia="en-US"/>
        </w:rPr>
        <w:t xml:space="preserve"> evaluation of the Ability</w:t>
      </w:r>
      <w:r w:rsidR="00657AA3" w:rsidRPr="00E76AC0">
        <w:rPr>
          <w:rFonts w:ascii="Gill Sans MT" w:eastAsia="Times New Roman" w:hAnsi="Gill Sans MT"/>
          <w:color w:val="auto"/>
          <w:sz w:val="26"/>
          <w:lang w:eastAsia="en-US"/>
        </w:rPr>
        <w:t xml:space="preserve"> </w:t>
      </w:r>
      <w:r w:rsidRPr="00E76AC0">
        <w:rPr>
          <w:rFonts w:ascii="Gill Sans MT" w:eastAsia="Times New Roman" w:hAnsi="Gill Sans MT"/>
          <w:color w:val="auto"/>
          <w:sz w:val="26"/>
          <w:lang w:eastAsia="en-US"/>
        </w:rPr>
        <w:t>programme is that it supported a total of 2,195 young people with disabilities – 83% of the programme target (2,662 participants)</w:t>
      </w:r>
      <w:r w:rsidR="00F671FB">
        <w:rPr>
          <w:rFonts w:ascii="Gill Sans MT" w:eastAsia="Times New Roman" w:hAnsi="Gill Sans MT"/>
          <w:color w:val="auto"/>
          <w:sz w:val="26"/>
          <w:lang w:eastAsia="en-US"/>
        </w:rPr>
        <w:t>, o</w:t>
      </w:r>
      <w:r w:rsidRPr="00E76AC0">
        <w:rPr>
          <w:rFonts w:ascii="Gill Sans MT" w:eastAsia="Times New Roman" w:hAnsi="Gill Sans MT"/>
          <w:color w:val="auto"/>
          <w:sz w:val="26"/>
          <w:lang w:eastAsia="en-US"/>
        </w:rPr>
        <w:t>f which 1,755 young people with disabilities were supported to either find employment (373), enter into education and/or training (778) or become better placed to look for employment (604)</w:t>
      </w:r>
      <w:r w:rsidR="00A279CF">
        <w:rPr>
          <w:rStyle w:val="FootnoteReference"/>
          <w:rFonts w:eastAsia="Times New Roman"/>
          <w:color w:val="auto"/>
          <w:lang w:eastAsia="en-US"/>
        </w:rPr>
        <w:footnoteReference w:id="50"/>
      </w:r>
      <w:r w:rsidRPr="00E76AC0">
        <w:rPr>
          <w:rFonts w:ascii="Gill Sans MT" w:eastAsia="Times New Roman" w:hAnsi="Gill Sans MT"/>
          <w:color w:val="auto"/>
          <w:sz w:val="26"/>
          <w:lang w:eastAsia="en-US"/>
        </w:rPr>
        <w:t>. Importantly while on the Ability programme 861 participants gained a qualification. Finally as report</w:t>
      </w:r>
      <w:r w:rsidR="000F4D6C">
        <w:rPr>
          <w:rFonts w:ascii="Gill Sans MT" w:eastAsia="Times New Roman" w:hAnsi="Gill Sans MT"/>
          <w:color w:val="auto"/>
          <w:sz w:val="26"/>
          <w:lang w:eastAsia="en-US"/>
        </w:rPr>
        <w:t>ed</w:t>
      </w:r>
      <w:r w:rsidRPr="00E76AC0">
        <w:rPr>
          <w:rFonts w:ascii="Gill Sans MT" w:eastAsia="Times New Roman" w:hAnsi="Gill Sans MT"/>
          <w:color w:val="auto"/>
          <w:sz w:val="26"/>
          <w:lang w:eastAsia="en-US"/>
        </w:rPr>
        <w:t xml:space="preserve"> by Pobal a third of participants who were unemployed when they started Ability found employment after they exited, and a further 44% were actively seeking employment</w:t>
      </w:r>
      <w:r w:rsidR="00F671FB" w:rsidRPr="00F671FB">
        <w:rPr>
          <w:rFonts w:ascii="Gill Sans MT" w:hAnsi="Gill Sans MT" w:cs="Arial"/>
          <w:sz w:val="26"/>
          <w:szCs w:val="26"/>
        </w:rPr>
        <w:t xml:space="preserve">. </w:t>
      </w:r>
    </w:p>
    <w:p w14:paraId="644A40AD" w14:textId="77777777" w:rsidR="00525D9F" w:rsidRDefault="00525D9F" w:rsidP="00F671FB">
      <w:pPr>
        <w:pStyle w:val="Default"/>
        <w:rPr>
          <w:rFonts w:ascii="Gill Sans MT" w:hAnsi="Gill Sans MT" w:cs="Arial"/>
          <w:sz w:val="26"/>
          <w:szCs w:val="26"/>
        </w:rPr>
      </w:pPr>
    </w:p>
    <w:p w14:paraId="4F3F7FD2" w14:textId="49768E9F" w:rsidR="0060211A" w:rsidRDefault="000F4D6C" w:rsidP="00F671FB">
      <w:pPr>
        <w:pStyle w:val="Default"/>
        <w:rPr>
          <w:rFonts w:ascii="Gill Sans MT" w:hAnsi="Gill Sans MT"/>
          <w:sz w:val="26"/>
          <w:szCs w:val="26"/>
        </w:rPr>
      </w:pPr>
      <w:r>
        <w:rPr>
          <w:rFonts w:ascii="Gill Sans MT" w:hAnsi="Gill Sans MT" w:cs="Arial"/>
          <w:sz w:val="26"/>
          <w:szCs w:val="26"/>
        </w:rPr>
        <w:t xml:space="preserve">It is welcomed that </w:t>
      </w:r>
      <w:r w:rsidR="00E76AC0" w:rsidRPr="00F671FB">
        <w:rPr>
          <w:rFonts w:ascii="Gill Sans MT" w:hAnsi="Gill Sans MT"/>
          <w:sz w:val="26"/>
          <w:szCs w:val="26"/>
        </w:rPr>
        <w:t>DSP as part of its early engagement</w:t>
      </w:r>
      <w:r w:rsidR="0060211A" w:rsidRPr="00F671FB">
        <w:rPr>
          <w:rFonts w:ascii="Gill Sans MT" w:hAnsi="Gill Sans MT"/>
          <w:sz w:val="26"/>
          <w:szCs w:val="26"/>
        </w:rPr>
        <w:t xml:space="preserve"> work </w:t>
      </w:r>
      <w:r w:rsidR="00E76AC0" w:rsidRPr="00F671FB">
        <w:rPr>
          <w:rFonts w:ascii="Gill Sans MT" w:hAnsi="Gill Sans MT"/>
          <w:sz w:val="26"/>
          <w:szCs w:val="26"/>
        </w:rPr>
        <w:t xml:space="preserve">provided the </w:t>
      </w:r>
      <w:r w:rsidR="0060211A" w:rsidRPr="00F671FB">
        <w:rPr>
          <w:rFonts w:ascii="Gill Sans MT" w:hAnsi="Gill Sans MT"/>
          <w:sz w:val="26"/>
          <w:szCs w:val="26"/>
        </w:rPr>
        <w:t xml:space="preserve">contact details of </w:t>
      </w:r>
      <w:r w:rsidR="00E76AC0" w:rsidRPr="00F671FB">
        <w:rPr>
          <w:rFonts w:ascii="Gill Sans MT" w:hAnsi="Gill Sans MT"/>
          <w:sz w:val="26"/>
          <w:szCs w:val="26"/>
        </w:rPr>
        <w:t xml:space="preserve">relevant </w:t>
      </w:r>
      <w:r w:rsidR="00821F33" w:rsidRPr="00F671FB">
        <w:rPr>
          <w:rFonts w:ascii="Gill Sans MT" w:hAnsi="Gill Sans MT"/>
          <w:sz w:val="26"/>
          <w:szCs w:val="26"/>
        </w:rPr>
        <w:t xml:space="preserve">DSP </w:t>
      </w:r>
      <w:r w:rsidR="00E76AC0" w:rsidRPr="00F671FB">
        <w:rPr>
          <w:rFonts w:ascii="Gill Sans MT" w:hAnsi="Gill Sans MT"/>
          <w:sz w:val="26"/>
          <w:szCs w:val="26"/>
        </w:rPr>
        <w:t>staff</w:t>
      </w:r>
      <w:r w:rsidR="0060211A" w:rsidRPr="00F671FB">
        <w:rPr>
          <w:rFonts w:ascii="Gill Sans MT" w:hAnsi="Gill Sans MT"/>
          <w:sz w:val="26"/>
          <w:szCs w:val="26"/>
        </w:rPr>
        <w:t xml:space="preserve"> on </w:t>
      </w:r>
      <w:r w:rsidR="0062698D" w:rsidRPr="00F671FB">
        <w:rPr>
          <w:rFonts w:ascii="Gill Sans MT" w:hAnsi="Gill Sans MT"/>
          <w:sz w:val="26"/>
          <w:szCs w:val="26"/>
        </w:rPr>
        <w:t>gov.ie</w:t>
      </w:r>
      <w:r w:rsidR="00291224" w:rsidRPr="00F671FB">
        <w:rPr>
          <w:rStyle w:val="FootnoteReference"/>
          <w:rFonts w:ascii="Gill Sans MT" w:hAnsi="Gill Sans MT"/>
          <w:sz w:val="26"/>
          <w:szCs w:val="26"/>
        </w:rPr>
        <w:footnoteReference w:id="51"/>
      </w:r>
      <w:r>
        <w:rPr>
          <w:rFonts w:ascii="Gill Sans MT" w:hAnsi="Gill Sans MT"/>
          <w:sz w:val="26"/>
          <w:szCs w:val="26"/>
        </w:rPr>
        <w:t>. This information allows disabled people to directly engage with case officers in their region.</w:t>
      </w:r>
    </w:p>
    <w:p w14:paraId="61DF4280" w14:textId="77777777" w:rsidR="009B45E9" w:rsidRPr="00F671FB" w:rsidRDefault="009B45E9" w:rsidP="00F671FB">
      <w:pPr>
        <w:pStyle w:val="Default"/>
        <w:rPr>
          <w:rFonts w:ascii="Arial" w:hAnsi="Arial" w:cs="Arial"/>
        </w:rPr>
      </w:pPr>
    </w:p>
    <w:p w14:paraId="6948A0E8" w14:textId="77777777" w:rsidR="005B288A" w:rsidRPr="00362B8E" w:rsidRDefault="005B288A" w:rsidP="00362B8E">
      <w:pPr>
        <w:pStyle w:val="Heading2"/>
      </w:pPr>
      <w:bookmarkStart w:id="35" w:name="_Toc130474362"/>
      <w:bookmarkStart w:id="36" w:name="_Toc132710533"/>
      <w:r w:rsidRPr="00362B8E">
        <w:t>SP4 Promote job retention and re-entry to work</w:t>
      </w:r>
      <w:bookmarkEnd w:id="34"/>
      <w:bookmarkEnd w:id="35"/>
      <w:bookmarkEnd w:id="36"/>
      <w:r w:rsidRPr="00362B8E">
        <w:t xml:space="preserve"> </w:t>
      </w:r>
    </w:p>
    <w:p w14:paraId="2251DF9E" w14:textId="2D5225D0" w:rsidR="00CD55C5" w:rsidRDefault="00CD55C5" w:rsidP="00CD55C5">
      <w:pPr>
        <w:spacing w:after="0"/>
        <w:rPr>
          <w:rFonts w:eastAsia="Calibri"/>
          <w:szCs w:val="26"/>
          <w:lang w:val="en-GB"/>
        </w:rPr>
      </w:pPr>
      <w:r w:rsidRPr="00CD55C5">
        <w:rPr>
          <w:rFonts w:eastAsia="Calibri"/>
          <w:szCs w:val="26"/>
          <w:lang w:val="en-GB"/>
        </w:rPr>
        <w:t xml:space="preserve">The CES has emphasised the importance of action to reduce the outflow from employment after </w:t>
      </w:r>
      <w:r w:rsidR="00F671FB">
        <w:rPr>
          <w:rFonts w:eastAsia="Calibri"/>
          <w:szCs w:val="26"/>
          <w:lang w:val="en-GB"/>
        </w:rPr>
        <w:t xml:space="preserve">the </w:t>
      </w:r>
      <w:r w:rsidRPr="00CD55C5">
        <w:rPr>
          <w:rFonts w:eastAsia="Calibri"/>
          <w:szCs w:val="26"/>
          <w:lang w:val="en-GB"/>
        </w:rPr>
        <w:t>onset of a disability and to encourage re-entry of those who have already left the workforce. It is, however, recognised that age, education, and degree of illness or incapacity means that some of those who experience onset of a disability will leave the workforce permanently</w:t>
      </w:r>
      <w:r w:rsidR="00D23075">
        <w:rPr>
          <w:rFonts w:eastAsia="Calibri"/>
          <w:szCs w:val="26"/>
          <w:lang w:val="en-GB"/>
        </w:rPr>
        <w:t>.</w:t>
      </w:r>
      <w:r w:rsidR="00F80B14">
        <w:rPr>
          <w:rStyle w:val="FootnoteReference"/>
          <w:rFonts w:eastAsia="Calibri"/>
          <w:szCs w:val="26"/>
          <w:lang w:val="en-GB"/>
        </w:rPr>
        <w:footnoteReference w:id="52"/>
      </w:r>
      <w:r w:rsidRPr="00CD55C5">
        <w:rPr>
          <w:rFonts w:eastAsia="Calibri"/>
          <w:szCs w:val="26"/>
          <w:lang w:val="en-GB"/>
        </w:rPr>
        <w:t xml:space="preserve"> </w:t>
      </w:r>
    </w:p>
    <w:p w14:paraId="4381744E" w14:textId="19120CB3" w:rsidR="00156031" w:rsidRDefault="00156031" w:rsidP="00CD55C5">
      <w:pPr>
        <w:spacing w:after="0"/>
        <w:rPr>
          <w:rFonts w:eastAsia="Calibri"/>
          <w:szCs w:val="26"/>
          <w:lang w:val="en-GB"/>
        </w:rPr>
      </w:pPr>
    </w:p>
    <w:p w14:paraId="16F5E2FD" w14:textId="45BC57DB" w:rsidR="00156031" w:rsidRPr="00156031" w:rsidRDefault="00156031" w:rsidP="00156031">
      <w:pPr>
        <w:kinsoku w:val="0"/>
        <w:overflowPunct w:val="0"/>
        <w:spacing w:after="0"/>
        <w:textAlignment w:val="baseline"/>
        <w:rPr>
          <w:szCs w:val="26"/>
          <w:lang w:eastAsia="en-IE"/>
        </w:rPr>
      </w:pPr>
      <w:r>
        <w:rPr>
          <w:rFonts w:eastAsia="+mn-ea"/>
          <w:color w:val="000000"/>
          <w:szCs w:val="26"/>
          <w:lang w:val="en-US"/>
        </w:rPr>
        <w:t>The e</w:t>
      </w:r>
      <w:r w:rsidRPr="00156031">
        <w:rPr>
          <w:rFonts w:eastAsia="+mn-ea"/>
          <w:color w:val="000000"/>
          <w:szCs w:val="26"/>
          <w:lang w:val="en-US"/>
        </w:rPr>
        <w:t xml:space="preserve">nactment of </w:t>
      </w:r>
      <w:r w:rsidRPr="00156031">
        <w:rPr>
          <w:rFonts w:eastAsia="+mn-ea"/>
          <w:color w:val="000000"/>
          <w:szCs w:val="26"/>
          <w:lang w:val="en-US" w:eastAsia="en-IE"/>
        </w:rPr>
        <w:t>Statutory</w:t>
      </w:r>
      <w:r>
        <w:rPr>
          <w:rFonts w:eastAsia="+mn-ea"/>
          <w:color w:val="000000"/>
          <w:szCs w:val="26"/>
          <w:lang w:val="en-US" w:eastAsia="en-IE"/>
        </w:rPr>
        <w:t xml:space="preserve"> Sick Pay – Sick Leave Act 2022</w:t>
      </w:r>
      <w:r>
        <w:rPr>
          <w:rStyle w:val="FootnoteReference"/>
          <w:rFonts w:eastAsia="+mn-ea"/>
          <w:color w:val="000000"/>
          <w:szCs w:val="26"/>
          <w:lang w:val="en-US" w:eastAsia="en-IE"/>
        </w:rPr>
        <w:footnoteReference w:id="53"/>
      </w:r>
      <w:r>
        <w:rPr>
          <w:rFonts w:eastAsia="+mn-ea"/>
          <w:color w:val="000000"/>
          <w:szCs w:val="26"/>
          <w:lang w:val="en-US" w:eastAsia="en-IE"/>
        </w:rPr>
        <w:t xml:space="preserve"> is </w:t>
      </w:r>
      <w:r w:rsidR="00663BF3">
        <w:rPr>
          <w:rFonts w:eastAsia="+mn-ea"/>
          <w:color w:val="000000"/>
          <w:szCs w:val="26"/>
          <w:lang w:val="en-US" w:eastAsia="en-IE"/>
        </w:rPr>
        <w:t xml:space="preserve">to be </w:t>
      </w:r>
      <w:r>
        <w:rPr>
          <w:rFonts w:eastAsia="+mn-ea"/>
          <w:color w:val="000000"/>
          <w:szCs w:val="26"/>
          <w:lang w:val="en-US" w:eastAsia="en-IE"/>
        </w:rPr>
        <w:t>welcome</w:t>
      </w:r>
      <w:r w:rsidR="00663BF3">
        <w:rPr>
          <w:rFonts w:eastAsia="+mn-ea"/>
          <w:color w:val="000000"/>
          <w:szCs w:val="26"/>
          <w:lang w:val="en-US" w:eastAsia="en-IE"/>
        </w:rPr>
        <w:t>d</w:t>
      </w:r>
      <w:r w:rsidR="0062698D">
        <w:rPr>
          <w:rFonts w:eastAsia="+mn-ea"/>
          <w:color w:val="000000"/>
          <w:szCs w:val="26"/>
          <w:lang w:val="en-US" w:eastAsia="en-IE"/>
        </w:rPr>
        <w:t xml:space="preserve">. </w:t>
      </w:r>
      <w:r>
        <w:rPr>
          <w:rFonts w:eastAsia="+mn-ea"/>
          <w:color w:val="000000"/>
          <w:szCs w:val="26"/>
          <w:lang w:val="en-US" w:eastAsia="en-IE"/>
        </w:rPr>
        <w:t xml:space="preserve">This </w:t>
      </w:r>
      <w:r>
        <w:rPr>
          <w:rFonts w:eastAsia="+mn-ea"/>
          <w:color w:val="000000"/>
          <w:szCs w:val="26"/>
          <w:lang w:val="en-US"/>
        </w:rPr>
        <w:t xml:space="preserve">entitlement </w:t>
      </w:r>
      <w:r w:rsidRPr="00156031">
        <w:rPr>
          <w:rFonts w:eastAsia="+mn-ea"/>
          <w:color w:val="000000"/>
          <w:szCs w:val="26"/>
          <w:lang w:val="en-US"/>
        </w:rPr>
        <w:t>to statutory</w:t>
      </w:r>
      <w:r>
        <w:rPr>
          <w:rFonts w:eastAsia="+mn-ea"/>
          <w:color w:val="000000"/>
          <w:szCs w:val="26"/>
          <w:lang w:val="en-US"/>
        </w:rPr>
        <w:t xml:space="preserve"> sick pay will be</w:t>
      </w:r>
      <w:r w:rsidRPr="00156031">
        <w:rPr>
          <w:rFonts w:eastAsia="+mn-ea"/>
          <w:color w:val="000000"/>
          <w:szCs w:val="26"/>
          <w:lang w:val="en-US"/>
        </w:rPr>
        <w:t xml:space="preserve"> calculated at 70% of an </w:t>
      </w:r>
      <w:r w:rsidR="00663BF3" w:rsidRPr="00156031">
        <w:rPr>
          <w:rFonts w:eastAsia="+mn-ea"/>
          <w:color w:val="000000"/>
          <w:szCs w:val="26"/>
          <w:lang w:val="en-US"/>
        </w:rPr>
        <w:t xml:space="preserve">employee’s </w:t>
      </w:r>
      <w:r w:rsidR="00663BF3" w:rsidRPr="00525D9F">
        <w:rPr>
          <w:rFonts w:eastAsia="+mn-ea"/>
          <w:color w:val="000000"/>
          <w:szCs w:val="26"/>
          <w:lang w:val="en-US"/>
        </w:rPr>
        <w:lastRenderedPageBreak/>
        <w:t>normal</w:t>
      </w:r>
      <w:r w:rsidRPr="00525D9F">
        <w:rPr>
          <w:rFonts w:eastAsia="+mn-ea"/>
          <w:color w:val="000000"/>
          <w:szCs w:val="26"/>
          <w:lang w:val="en-US"/>
        </w:rPr>
        <w:t xml:space="preserve"> pay up to a maximum sum of €110 a day</w:t>
      </w:r>
      <w:r w:rsidR="00663BF3" w:rsidRPr="00525D9F">
        <w:rPr>
          <w:rStyle w:val="FootnoteReference"/>
          <w:rFonts w:ascii="Gill Sans MT" w:eastAsia="+mn-ea" w:hAnsi="Gill Sans MT"/>
          <w:color w:val="000000"/>
          <w:sz w:val="26"/>
          <w:szCs w:val="26"/>
          <w:lang w:val="en-US"/>
        </w:rPr>
        <w:footnoteReference w:id="54"/>
      </w:r>
      <w:r w:rsidRPr="00525D9F">
        <w:rPr>
          <w:rFonts w:eastAsia="+mn-ea"/>
          <w:color w:val="000000"/>
          <w:szCs w:val="26"/>
          <w:lang w:val="en-US"/>
        </w:rPr>
        <w:t xml:space="preserve">. </w:t>
      </w:r>
      <w:r w:rsidR="00663BF3" w:rsidRPr="00525D9F">
        <w:rPr>
          <w:rFonts w:eastAsia="+mn-ea"/>
          <w:color w:val="000000"/>
          <w:szCs w:val="26"/>
          <w:lang w:val="en-US"/>
        </w:rPr>
        <w:t>As a statutory requirement employers will begin to develop practices and procedures</w:t>
      </w:r>
      <w:r w:rsidR="0062698D" w:rsidRPr="00525D9F">
        <w:rPr>
          <w:rFonts w:eastAsia="+mn-ea"/>
          <w:color w:val="000000"/>
          <w:szCs w:val="26"/>
          <w:lang w:val="en-US"/>
        </w:rPr>
        <w:t xml:space="preserve"> such as the NDA guidance ‘retaining staff who acquire a disability guide fo</w:t>
      </w:r>
      <w:r w:rsidR="0037177D" w:rsidRPr="00525D9F">
        <w:rPr>
          <w:rFonts w:eastAsia="+mn-ea"/>
          <w:color w:val="000000"/>
          <w:szCs w:val="26"/>
          <w:lang w:val="en-US"/>
        </w:rPr>
        <w:t>r</w:t>
      </w:r>
      <w:r w:rsidR="0062698D" w:rsidRPr="00525D9F">
        <w:rPr>
          <w:rFonts w:eastAsia="+mn-ea"/>
          <w:color w:val="000000"/>
          <w:szCs w:val="26"/>
          <w:lang w:val="en-US"/>
        </w:rPr>
        <w:t xml:space="preserve"> employers’</w:t>
      </w:r>
      <w:r w:rsidR="0062698D" w:rsidRPr="00525D9F">
        <w:rPr>
          <w:rStyle w:val="FootnoteReference"/>
          <w:rFonts w:ascii="Gill Sans MT" w:eastAsia="+mn-ea" w:hAnsi="Gill Sans MT"/>
          <w:color w:val="000000"/>
          <w:sz w:val="26"/>
          <w:szCs w:val="26"/>
          <w:lang w:val="en-US"/>
        </w:rPr>
        <w:footnoteReference w:id="55"/>
      </w:r>
      <w:r w:rsidR="0062698D" w:rsidRPr="00525D9F">
        <w:rPr>
          <w:rFonts w:eastAsia="+mn-ea"/>
          <w:color w:val="000000"/>
          <w:szCs w:val="26"/>
          <w:lang w:val="en-US"/>
        </w:rPr>
        <w:t xml:space="preserve">, </w:t>
      </w:r>
      <w:r w:rsidR="0062698D" w:rsidRPr="00525D9F">
        <w:rPr>
          <w:rFonts w:eastAsia="+mn-ea"/>
          <w:color w:val="000000"/>
          <w:szCs w:val="26"/>
          <w:lang w:val="en-US" w:eastAsia="en-IE"/>
        </w:rPr>
        <w:t>these procedures are key to supporting people with acquired disability to remain connected to work.</w:t>
      </w:r>
    </w:p>
    <w:p w14:paraId="647DDDA1" w14:textId="77777777" w:rsidR="00156031" w:rsidRPr="00CD55C5" w:rsidRDefault="00156031" w:rsidP="00CD55C5">
      <w:pPr>
        <w:spacing w:after="0"/>
        <w:rPr>
          <w:rFonts w:eastAsia="Calibri"/>
          <w:szCs w:val="26"/>
          <w:lang w:val="en-GB"/>
        </w:rPr>
      </w:pPr>
    </w:p>
    <w:p w14:paraId="39FC6320" w14:textId="65834BF1" w:rsidR="000E56FF" w:rsidRPr="00630E66" w:rsidRDefault="00CD55C5" w:rsidP="00CD55C5">
      <w:r w:rsidRPr="00E61418">
        <w:rPr>
          <w:rFonts w:eastAsia="Calibri"/>
          <w:color w:val="000000"/>
          <w:szCs w:val="26"/>
          <w:lang w:eastAsia="ja-JP"/>
        </w:rPr>
        <w:t xml:space="preserve">The </w:t>
      </w:r>
      <w:r w:rsidR="000E56FF" w:rsidRPr="00E61418">
        <w:rPr>
          <w:rFonts w:eastAsia="Calibri"/>
          <w:color w:val="000000"/>
          <w:szCs w:val="26"/>
          <w:lang w:eastAsia="ja-JP"/>
        </w:rPr>
        <w:t>OECD</w:t>
      </w:r>
      <w:r w:rsidR="000E56FF" w:rsidRPr="00E61418">
        <w:rPr>
          <w:bCs/>
        </w:rPr>
        <w:t xml:space="preserve"> </w:t>
      </w:r>
      <w:r w:rsidRPr="00E61418">
        <w:rPr>
          <w:bCs/>
        </w:rPr>
        <w:t>in its 2021 report on Ireland recommended that incentive</w:t>
      </w:r>
      <w:r w:rsidR="00E61418">
        <w:rPr>
          <w:bCs/>
        </w:rPr>
        <w:t>s</w:t>
      </w:r>
      <w:r w:rsidRPr="00E61418">
        <w:rPr>
          <w:bCs/>
        </w:rPr>
        <w:t xml:space="preserve"> to assist employers in the</w:t>
      </w:r>
      <w:r w:rsidR="000E56FF" w:rsidRPr="00E61418">
        <w:rPr>
          <w:bCs/>
        </w:rPr>
        <w:t xml:space="preserve"> prevent</w:t>
      </w:r>
      <w:r w:rsidRPr="00E61418">
        <w:rPr>
          <w:bCs/>
        </w:rPr>
        <w:t xml:space="preserve">ion </w:t>
      </w:r>
      <w:r w:rsidR="00E61418">
        <w:rPr>
          <w:bCs/>
        </w:rPr>
        <w:t>of</w:t>
      </w:r>
      <w:r w:rsidR="000E56FF" w:rsidRPr="00E61418">
        <w:rPr>
          <w:bCs/>
        </w:rPr>
        <w:t xml:space="preserve"> sickness and disability and </w:t>
      </w:r>
      <w:r w:rsidRPr="00E61418">
        <w:rPr>
          <w:bCs/>
        </w:rPr>
        <w:t xml:space="preserve">to </w:t>
      </w:r>
      <w:r w:rsidR="000E56FF" w:rsidRPr="00E61418">
        <w:rPr>
          <w:bCs/>
        </w:rPr>
        <w:t>promote return-to-work</w:t>
      </w:r>
      <w:r w:rsidRPr="00E61418">
        <w:rPr>
          <w:bCs/>
        </w:rPr>
        <w:t xml:space="preserve"> are necessary.</w:t>
      </w:r>
      <w:r w:rsidR="00E61418" w:rsidRPr="00E61418">
        <w:t xml:space="preserve"> Therefore</w:t>
      </w:r>
      <w:r w:rsidR="0037177D">
        <w:t>,</w:t>
      </w:r>
      <w:r w:rsidR="00E61418" w:rsidRPr="00E61418">
        <w:t xml:space="preserve"> while </w:t>
      </w:r>
      <w:r w:rsidR="000E56FF" w:rsidRPr="00E61418">
        <w:t>the introduction o</w:t>
      </w:r>
      <w:r w:rsidRPr="00E61418">
        <w:t>f statutory sick pay</w:t>
      </w:r>
      <w:r w:rsidR="00E61418" w:rsidRPr="00E61418">
        <w:t xml:space="preserve"> is to be welcomed</w:t>
      </w:r>
      <w:r w:rsidRPr="00E61418">
        <w:t xml:space="preserve">, the </w:t>
      </w:r>
      <w:r w:rsidR="00F671FB">
        <w:t>NDA advis</w:t>
      </w:r>
      <w:r w:rsidR="00E61418" w:rsidRPr="00E61418">
        <w:t xml:space="preserve">e the further exploration of the OCED recommendation that the </w:t>
      </w:r>
      <w:r w:rsidRPr="00E61418">
        <w:t xml:space="preserve">Irish </w:t>
      </w:r>
      <w:r w:rsidR="000E56FF" w:rsidRPr="00E61418">
        <w:t>Government should aim for an</w:t>
      </w:r>
      <w:r w:rsidR="000E56FF" w:rsidRPr="00630E66">
        <w:t xml:space="preserve"> encompassing system that covers all health conditions and all types of employment, </w:t>
      </w:r>
      <w:r w:rsidR="00E61418">
        <w:t>‘</w:t>
      </w:r>
      <w:r w:rsidR="000E56FF" w:rsidRPr="00630E66">
        <w:t>to realise the largest gains for workers and the Irish population at large</w:t>
      </w:r>
      <w:r w:rsidR="00E61418">
        <w:t>’</w:t>
      </w:r>
      <w:r w:rsidR="000E56FF" w:rsidRPr="00630E66">
        <w:t xml:space="preserve">. </w:t>
      </w:r>
      <w:r w:rsidR="00E61418">
        <w:t>In keeping with this</w:t>
      </w:r>
      <w:r w:rsidR="00F80B14">
        <w:t xml:space="preserve"> O</w:t>
      </w:r>
      <w:r w:rsidR="00E61418">
        <w:t>E</w:t>
      </w:r>
      <w:r w:rsidR="00F80B14">
        <w:t>C</w:t>
      </w:r>
      <w:r w:rsidR="00E61418">
        <w:t xml:space="preserve">D recommendation and </w:t>
      </w:r>
      <w:r w:rsidR="00F80B14">
        <w:t xml:space="preserve">policy </w:t>
      </w:r>
      <w:r w:rsidR="00E61418">
        <w:t>advice prepared by the NDA in 202</w:t>
      </w:r>
      <w:r w:rsidR="0037177D">
        <w:t xml:space="preserve">1, </w:t>
      </w:r>
      <w:r w:rsidR="00F80B14">
        <w:t>it is important that the implementation</w:t>
      </w:r>
      <w:r w:rsidR="00F671FB">
        <w:t xml:space="preserve"> of</w:t>
      </w:r>
      <w:r w:rsidR="000E56FF" w:rsidRPr="00630E66">
        <w:t xml:space="preserve"> a vocational rehabilitation pathway</w:t>
      </w:r>
      <w:r w:rsidR="00E61418">
        <w:rPr>
          <w:rStyle w:val="FootnoteReference"/>
        </w:rPr>
        <w:footnoteReference w:id="56"/>
      </w:r>
      <w:r w:rsidR="000E56FF" w:rsidRPr="00630E66">
        <w:t xml:space="preserve">, with shared responsibilities </w:t>
      </w:r>
      <w:r w:rsidR="00F80B14">
        <w:t>for</w:t>
      </w:r>
      <w:r w:rsidR="000E56FF" w:rsidRPr="00630E66">
        <w:t xml:space="preserve"> employers</w:t>
      </w:r>
      <w:r w:rsidR="00F80B14">
        <w:t>, social welfare system and occupational case management is agreed</w:t>
      </w:r>
      <w:r w:rsidR="000E56FF" w:rsidRPr="00630E66">
        <w:t>.</w:t>
      </w:r>
    </w:p>
    <w:p w14:paraId="22739B58" w14:textId="77777777" w:rsidR="005B288A" w:rsidRDefault="005B288A" w:rsidP="00362B8E">
      <w:pPr>
        <w:pStyle w:val="Heading2"/>
        <w:rPr>
          <w:lang w:eastAsia="en-IE"/>
        </w:rPr>
      </w:pPr>
      <w:bookmarkStart w:id="37" w:name="_Toc96521891"/>
      <w:bookmarkStart w:id="38" w:name="_Toc130474363"/>
      <w:bookmarkStart w:id="39" w:name="_Toc132710534"/>
      <w:r>
        <w:rPr>
          <w:lang w:eastAsia="en-IE"/>
        </w:rPr>
        <w:t>SP5 Provide co-ordinated and seamless support</w:t>
      </w:r>
      <w:bookmarkEnd w:id="37"/>
      <w:bookmarkEnd w:id="38"/>
      <w:bookmarkEnd w:id="39"/>
    </w:p>
    <w:p w14:paraId="481B34D8" w14:textId="7DC5AEEB" w:rsidR="00486FBE" w:rsidRDefault="005A0157" w:rsidP="005A0157">
      <w:pPr>
        <w:spacing w:before="120" w:after="0"/>
        <w:rPr>
          <w:rFonts w:eastAsia="Calibri" w:cs="Calibri"/>
          <w:szCs w:val="22"/>
        </w:rPr>
      </w:pPr>
      <w:r w:rsidRPr="005A0157">
        <w:rPr>
          <w:rFonts w:eastAsia="Calibri" w:cs="Calibri"/>
          <w:szCs w:val="22"/>
        </w:rPr>
        <w:t xml:space="preserve">Implementation of the agreed cross-departmental policy in relation to a coordinated programme of supported employment (Action 5.1) was not progressed significantly. </w:t>
      </w:r>
      <w:r w:rsidR="00486FBE">
        <w:rPr>
          <w:rFonts w:eastAsia="Calibri" w:cs="Calibri"/>
          <w:szCs w:val="22"/>
        </w:rPr>
        <w:t>There was no reported progress</w:t>
      </w:r>
      <w:r w:rsidR="0037177D">
        <w:rPr>
          <w:rFonts w:eastAsia="Calibri" w:cs="Calibri"/>
          <w:szCs w:val="22"/>
        </w:rPr>
        <w:t xml:space="preserve"> on this action</w:t>
      </w:r>
      <w:r w:rsidR="00486FBE">
        <w:rPr>
          <w:rFonts w:eastAsia="Calibri" w:cs="Calibri"/>
          <w:szCs w:val="22"/>
        </w:rPr>
        <w:t xml:space="preserve"> during 2021 or 2022.</w:t>
      </w:r>
      <w:r w:rsidR="0037177D">
        <w:rPr>
          <w:rFonts w:eastAsia="Calibri" w:cs="Calibri"/>
          <w:szCs w:val="22"/>
        </w:rPr>
        <w:t xml:space="preserve"> NDA advise that in order to address the disability employment gap action needs to be taken to provide a </w:t>
      </w:r>
      <w:r w:rsidR="0004160F">
        <w:rPr>
          <w:rFonts w:eastAsia="Calibri" w:cs="Calibri"/>
          <w:szCs w:val="22"/>
        </w:rPr>
        <w:t xml:space="preserve">national and coordinated </w:t>
      </w:r>
      <w:r w:rsidR="0037177D">
        <w:rPr>
          <w:rFonts w:eastAsia="Calibri" w:cs="Calibri"/>
          <w:szCs w:val="22"/>
        </w:rPr>
        <w:t>programme of supported employment particularly for people with high support needs.</w:t>
      </w:r>
    </w:p>
    <w:p w14:paraId="28A7FC44" w14:textId="77777777" w:rsidR="00266359" w:rsidRDefault="00266359" w:rsidP="00DC1830">
      <w:pPr>
        <w:rPr>
          <w:lang w:eastAsia="en-IE"/>
        </w:rPr>
      </w:pPr>
      <w:bookmarkStart w:id="40" w:name="_Toc96521892"/>
      <w:bookmarkStart w:id="41" w:name="_Toc130474364"/>
    </w:p>
    <w:p w14:paraId="712F67B4" w14:textId="77777777" w:rsidR="00525D9F" w:rsidRDefault="00525D9F" w:rsidP="00E0187C">
      <w:pPr>
        <w:pStyle w:val="Heading2"/>
        <w:rPr>
          <w:lang w:eastAsia="en-IE"/>
        </w:rPr>
      </w:pPr>
      <w:bookmarkStart w:id="42" w:name="_Toc132710535"/>
    </w:p>
    <w:p w14:paraId="52948A60" w14:textId="6DEE7C9C" w:rsidR="00272FAF" w:rsidRPr="00272FAF" w:rsidRDefault="005B288A" w:rsidP="00E0187C">
      <w:pPr>
        <w:pStyle w:val="Heading2"/>
        <w:rPr>
          <w:lang w:eastAsia="en-IE"/>
        </w:rPr>
      </w:pPr>
      <w:r>
        <w:rPr>
          <w:lang w:eastAsia="en-IE"/>
        </w:rPr>
        <w:t>SP6 Engage Employers</w:t>
      </w:r>
      <w:bookmarkEnd w:id="40"/>
      <w:bookmarkEnd w:id="41"/>
      <w:bookmarkEnd w:id="42"/>
      <w:r>
        <w:rPr>
          <w:lang w:eastAsia="en-IE"/>
        </w:rPr>
        <w:t xml:space="preserve"> </w:t>
      </w:r>
    </w:p>
    <w:p w14:paraId="41DC4CA5" w14:textId="39227597" w:rsidR="00A134EE" w:rsidRPr="00525D9F" w:rsidRDefault="005C6F06" w:rsidP="00A134EE">
      <w:pPr>
        <w:spacing w:after="0"/>
        <w:rPr>
          <w:rFonts w:cstheme="minorHAnsi"/>
          <w:szCs w:val="26"/>
        </w:rPr>
      </w:pPr>
      <w:r w:rsidRPr="006F7CF9">
        <w:rPr>
          <w:bCs/>
        </w:rPr>
        <w:t>The original CES advocated quite clearly for a strong employer engagement structure within the Irish system</w:t>
      </w:r>
      <w:r>
        <w:rPr>
          <w:bCs/>
        </w:rPr>
        <w:t xml:space="preserve">. The strategy outlined actions from </w:t>
      </w:r>
      <w:r>
        <w:t>dissemination of</w:t>
      </w:r>
      <w:r w:rsidRPr="006F7CF9">
        <w:t xml:space="preserve"> </w:t>
      </w:r>
      <w:r>
        <w:t>‘</w:t>
      </w:r>
      <w:r w:rsidRPr="006F7CF9">
        <w:t>information to employers on the supports that are available to facilitate the employment or retention of people with disabilities</w:t>
      </w:r>
      <w:r>
        <w:t xml:space="preserve">, to hosting peer </w:t>
      </w:r>
      <w:r>
        <w:lastRenderedPageBreak/>
        <w:t>networking actions</w:t>
      </w:r>
      <w:r w:rsidR="00F671FB">
        <w:t>’</w:t>
      </w:r>
      <w:r w:rsidRPr="006F7CF9">
        <w:rPr>
          <w:rStyle w:val="FootnoteReference"/>
        </w:rPr>
        <w:footnoteReference w:id="57"/>
      </w:r>
      <w:r>
        <w:rPr>
          <w:bCs/>
        </w:rPr>
        <w:t xml:space="preserve"> T</w:t>
      </w:r>
      <w:r>
        <w:rPr>
          <w:lang w:eastAsia="en-IE"/>
        </w:rPr>
        <w:t xml:space="preserve">he OECD report </w:t>
      </w:r>
      <w:r w:rsidRPr="005C6F06">
        <w:rPr>
          <w:lang w:eastAsia="en-IE"/>
        </w:rPr>
        <w:t xml:space="preserve">Disability, Work and Inclusion in Ireland: </w:t>
      </w:r>
      <w:r w:rsidRPr="00525D9F">
        <w:rPr>
          <w:szCs w:val="26"/>
          <w:lang w:eastAsia="en-IE"/>
        </w:rPr>
        <w:t>Engaging and Supporting Employers</w:t>
      </w:r>
      <w:r w:rsidRPr="00525D9F">
        <w:rPr>
          <w:rStyle w:val="FootnoteReference"/>
          <w:rFonts w:ascii="Gill Sans MT" w:hAnsi="Gill Sans MT"/>
          <w:sz w:val="26"/>
          <w:szCs w:val="26"/>
          <w:lang w:eastAsia="en-IE"/>
        </w:rPr>
        <w:footnoteReference w:id="58"/>
      </w:r>
      <w:r w:rsidRPr="00525D9F">
        <w:rPr>
          <w:szCs w:val="26"/>
          <w:lang w:eastAsia="en-IE"/>
        </w:rPr>
        <w:t xml:space="preserve">, stated that many employers have misconceptions about employing people with disabilities that can be a barrier to their employment. This report stated that </w:t>
      </w:r>
      <w:r w:rsidRPr="00525D9F">
        <w:rPr>
          <w:szCs w:val="26"/>
          <w:shd w:val="clear" w:color="auto" w:fill="FFFFFF"/>
        </w:rPr>
        <w:t>‘employer engagement and support for employers are critically important for the improvement of the labour market situation for persons with disabilities in Ireland. Effective strategies for employer engagement are critical, to overcome disability-related misperceptions and discrimination and to raise awareness about available support programmes and subsidies. Yet, Ireland has an underdeveloped employer engagement structure with respect to information and support for the employment of persons with disabilities</w:t>
      </w:r>
      <w:r w:rsidR="009F00AD" w:rsidRPr="00525D9F">
        <w:rPr>
          <w:szCs w:val="26"/>
          <w:shd w:val="clear" w:color="auto" w:fill="FFFFFF"/>
        </w:rPr>
        <w:t>’</w:t>
      </w:r>
      <w:r w:rsidRPr="00525D9F">
        <w:rPr>
          <w:szCs w:val="26"/>
          <w:shd w:val="clear" w:color="auto" w:fill="FFFFFF"/>
        </w:rPr>
        <w:t xml:space="preserve">.  </w:t>
      </w:r>
      <w:r w:rsidR="00A134EE" w:rsidRPr="00525D9F">
        <w:rPr>
          <w:szCs w:val="26"/>
          <w:shd w:val="clear" w:color="auto" w:fill="FFFFFF"/>
        </w:rPr>
        <w:t xml:space="preserve">However progress within mainstream employer engagement continued with the DSP Employer Relations Division </w:t>
      </w:r>
      <w:r w:rsidR="00A134EE" w:rsidRPr="00525D9F">
        <w:rPr>
          <w:rFonts w:cstheme="minorHAnsi"/>
          <w:szCs w:val="26"/>
        </w:rPr>
        <w:t xml:space="preserve">conducting 668 events with the participation of 4,393 employers during 2022. These events included employer roadshows, careers fairs, information sessions as well as other recruitment events. Attending employers receive information on all DSP schemes including those for people with disabilities. </w:t>
      </w:r>
    </w:p>
    <w:p w14:paraId="539E4E50" w14:textId="5C82B72F" w:rsidR="006F7CF9" w:rsidRPr="00941EF0" w:rsidRDefault="006F7CF9" w:rsidP="00B14618">
      <w:pPr>
        <w:rPr>
          <w:szCs w:val="26"/>
          <w:lang w:eastAsia="en-IE"/>
        </w:rPr>
      </w:pPr>
    </w:p>
    <w:p w14:paraId="7B2F4793" w14:textId="310467E9" w:rsidR="00BF1204" w:rsidRPr="00975816" w:rsidRDefault="00486B73" w:rsidP="00BF1204">
      <w:pPr>
        <w:rPr>
          <w:szCs w:val="26"/>
          <w:lang w:val="en-US" w:eastAsia="en-IE"/>
        </w:rPr>
      </w:pPr>
      <w:r w:rsidRPr="00491745">
        <w:rPr>
          <w:rFonts w:cstheme="minorHAnsi"/>
          <w:szCs w:val="26"/>
        </w:rPr>
        <w:t xml:space="preserve">It is specific questions on disability matters including recruitment, onboarding and supports that employers have </w:t>
      </w:r>
      <w:r w:rsidR="00941EF0">
        <w:rPr>
          <w:rFonts w:cstheme="minorHAnsi"/>
          <w:szCs w:val="26"/>
        </w:rPr>
        <w:t xml:space="preserve">which </w:t>
      </w:r>
      <w:r w:rsidRPr="00491745">
        <w:rPr>
          <w:rFonts w:cstheme="minorHAnsi"/>
          <w:szCs w:val="26"/>
        </w:rPr>
        <w:t>are addressed by the Employers for Change service</w:t>
      </w:r>
      <w:r>
        <w:rPr>
          <w:rFonts w:asciiTheme="minorHAnsi" w:hAnsiTheme="minorHAnsi" w:cstheme="minorHAnsi"/>
        </w:rPr>
        <w:t xml:space="preserve">. </w:t>
      </w:r>
      <w:r w:rsidR="004636BD">
        <w:rPr>
          <w:szCs w:val="26"/>
        </w:rPr>
        <w:t xml:space="preserve">During 2022 </w:t>
      </w:r>
      <w:r w:rsidR="00941EF0">
        <w:rPr>
          <w:szCs w:val="26"/>
        </w:rPr>
        <w:t>this project</w:t>
      </w:r>
      <w:r>
        <w:rPr>
          <w:szCs w:val="26"/>
        </w:rPr>
        <w:t xml:space="preserve"> was</w:t>
      </w:r>
      <w:r w:rsidR="009F00AD">
        <w:rPr>
          <w:szCs w:val="26"/>
        </w:rPr>
        <w:t xml:space="preserve"> continued to</w:t>
      </w:r>
      <w:r w:rsidR="004636BD">
        <w:rPr>
          <w:szCs w:val="26"/>
        </w:rPr>
        <w:t xml:space="preserve"> support employer engagement </w:t>
      </w:r>
      <w:r w:rsidR="00E331FB">
        <w:rPr>
          <w:szCs w:val="26"/>
        </w:rPr>
        <w:t>through the</w:t>
      </w:r>
      <w:r w:rsidR="006A6676" w:rsidRPr="00BF1204">
        <w:rPr>
          <w:szCs w:val="26"/>
        </w:rPr>
        <w:t xml:space="preserve"> Department of Children</w:t>
      </w:r>
      <w:r w:rsidR="0004160F">
        <w:rPr>
          <w:szCs w:val="26"/>
        </w:rPr>
        <w:t>,</w:t>
      </w:r>
      <w:r w:rsidR="006A6676" w:rsidRPr="00BF1204">
        <w:rPr>
          <w:szCs w:val="26"/>
        </w:rPr>
        <w:t xml:space="preserve"> Equality</w:t>
      </w:r>
      <w:r w:rsidR="0004160F">
        <w:rPr>
          <w:szCs w:val="26"/>
        </w:rPr>
        <w:t>,</w:t>
      </w:r>
      <w:r w:rsidR="00BF1204" w:rsidRPr="00BF1204">
        <w:rPr>
          <w:szCs w:val="26"/>
        </w:rPr>
        <w:t xml:space="preserve"> Disability</w:t>
      </w:r>
      <w:r w:rsidR="0004160F">
        <w:rPr>
          <w:szCs w:val="26"/>
        </w:rPr>
        <w:t>,</w:t>
      </w:r>
      <w:r w:rsidR="006A6676" w:rsidRPr="00BF1204">
        <w:rPr>
          <w:szCs w:val="26"/>
        </w:rPr>
        <w:t xml:space="preserve"> </w:t>
      </w:r>
      <w:r w:rsidR="0004160F">
        <w:rPr>
          <w:szCs w:val="26"/>
        </w:rPr>
        <w:t xml:space="preserve">Integration and </w:t>
      </w:r>
      <w:r w:rsidR="006A6676" w:rsidRPr="00BF1204">
        <w:rPr>
          <w:szCs w:val="26"/>
        </w:rPr>
        <w:t xml:space="preserve">Youth </w:t>
      </w:r>
      <w:r w:rsidR="0004160F">
        <w:rPr>
          <w:szCs w:val="26"/>
        </w:rPr>
        <w:t xml:space="preserve">allocation </w:t>
      </w:r>
      <w:r w:rsidR="00E331FB">
        <w:rPr>
          <w:szCs w:val="26"/>
        </w:rPr>
        <w:t>to</w:t>
      </w:r>
      <w:r w:rsidR="006A6676" w:rsidRPr="00BF1204">
        <w:rPr>
          <w:szCs w:val="26"/>
        </w:rPr>
        <w:t xml:space="preserve"> the Open Doors Initiative </w:t>
      </w:r>
      <w:r w:rsidR="00BF1204" w:rsidRPr="00BF1204">
        <w:rPr>
          <w:szCs w:val="26"/>
        </w:rPr>
        <w:t xml:space="preserve">(ODI) </w:t>
      </w:r>
      <w:r w:rsidR="006A6676" w:rsidRPr="00BF1204">
        <w:rPr>
          <w:szCs w:val="26"/>
        </w:rPr>
        <w:t>to operate the ‘Employers for Change’ service</w:t>
      </w:r>
      <w:r w:rsidR="009F00AD">
        <w:rPr>
          <w:szCs w:val="26"/>
        </w:rPr>
        <w:t>. This service is addressing the gap in information and support and in doing so</w:t>
      </w:r>
      <w:r w:rsidR="006A6676" w:rsidRPr="00BF1204">
        <w:rPr>
          <w:szCs w:val="26"/>
        </w:rPr>
        <w:t xml:space="preserve"> works </w:t>
      </w:r>
      <w:r w:rsidR="009F00AD">
        <w:rPr>
          <w:szCs w:val="26"/>
        </w:rPr>
        <w:t>‘</w:t>
      </w:r>
      <w:r w:rsidR="006A6676" w:rsidRPr="00BF1204">
        <w:rPr>
          <w:szCs w:val="26"/>
        </w:rPr>
        <w:t xml:space="preserve">to </w:t>
      </w:r>
      <w:r w:rsidR="00BF1204" w:rsidRPr="00BF1204">
        <w:rPr>
          <w:szCs w:val="26"/>
        </w:rPr>
        <w:t>enable</w:t>
      </w:r>
      <w:r w:rsidR="006A6676" w:rsidRPr="00BF1204">
        <w:rPr>
          <w:szCs w:val="26"/>
        </w:rPr>
        <w:t xml:space="preserve"> employers with all the information and advice needed to hire, employ, manage and retain staff with disabilities</w:t>
      </w:r>
      <w:r w:rsidR="009F00AD">
        <w:rPr>
          <w:rStyle w:val="FootnoteReference"/>
          <w:szCs w:val="26"/>
        </w:rPr>
        <w:footnoteReference w:id="59"/>
      </w:r>
      <w:r w:rsidR="009F00AD">
        <w:rPr>
          <w:szCs w:val="26"/>
        </w:rPr>
        <w:t>’</w:t>
      </w:r>
      <w:r w:rsidR="006A6676" w:rsidRPr="00BF1204">
        <w:rPr>
          <w:szCs w:val="26"/>
        </w:rPr>
        <w:t>.</w:t>
      </w:r>
      <w:r w:rsidR="001D7C32" w:rsidRPr="00BF1204">
        <w:rPr>
          <w:szCs w:val="26"/>
        </w:rPr>
        <w:t xml:space="preserve"> </w:t>
      </w:r>
      <w:r w:rsidR="004636BD">
        <w:rPr>
          <w:szCs w:val="26"/>
        </w:rPr>
        <w:t>In 2022</w:t>
      </w:r>
      <w:r w:rsidR="0037177D">
        <w:rPr>
          <w:szCs w:val="26"/>
        </w:rPr>
        <w:t>,</w:t>
      </w:r>
      <w:r w:rsidR="004636BD">
        <w:rPr>
          <w:szCs w:val="26"/>
        </w:rPr>
        <w:t xml:space="preserve"> E</w:t>
      </w:r>
      <w:r w:rsidR="001D7C32" w:rsidRPr="00BF1204">
        <w:rPr>
          <w:szCs w:val="26"/>
        </w:rPr>
        <w:t xml:space="preserve">mployers for </w:t>
      </w:r>
      <w:r w:rsidR="004636BD">
        <w:rPr>
          <w:szCs w:val="26"/>
        </w:rPr>
        <w:t>C</w:t>
      </w:r>
      <w:r w:rsidR="001D7C32" w:rsidRPr="00BF1204">
        <w:rPr>
          <w:szCs w:val="26"/>
        </w:rPr>
        <w:t xml:space="preserve">hange worked with 95 employers through 185 interactions. </w:t>
      </w:r>
      <w:r w:rsidR="004636BD">
        <w:rPr>
          <w:szCs w:val="26"/>
        </w:rPr>
        <w:t>Emplo</w:t>
      </w:r>
      <w:r w:rsidR="001D7C32" w:rsidRPr="00BF1204">
        <w:rPr>
          <w:szCs w:val="26"/>
        </w:rPr>
        <w:t xml:space="preserve">yers </w:t>
      </w:r>
      <w:r w:rsidR="004636BD">
        <w:rPr>
          <w:szCs w:val="26"/>
        </w:rPr>
        <w:t xml:space="preserve">they worked with </w:t>
      </w:r>
      <w:r w:rsidR="001D7C32" w:rsidRPr="00BF1204">
        <w:rPr>
          <w:szCs w:val="26"/>
        </w:rPr>
        <w:t>include</w:t>
      </w:r>
      <w:r w:rsidR="004636BD">
        <w:rPr>
          <w:szCs w:val="26"/>
        </w:rPr>
        <w:t>d</w:t>
      </w:r>
      <w:r w:rsidR="001D7C32" w:rsidRPr="00BF1204">
        <w:rPr>
          <w:szCs w:val="26"/>
        </w:rPr>
        <w:t xml:space="preserve"> </w:t>
      </w:r>
      <w:r w:rsidR="001D7C32" w:rsidRPr="00BF1204">
        <w:rPr>
          <w:rStyle w:val="normaltextrun"/>
          <w:rFonts w:cs="Arial"/>
          <w:color w:val="000000"/>
          <w:szCs w:val="26"/>
          <w:lang w:val="en-US"/>
        </w:rPr>
        <w:t>Brown Thomas / Arnotts</w:t>
      </w:r>
      <w:r w:rsidR="001D7C32" w:rsidRPr="00BF1204">
        <w:rPr>
          <w:szCs w:val="26"/>
          <w:lang w:val="en-US" w:eastAsia="en-IE"/>
        </w:rPr>
        <w:t xml:space="preserve">, </w:t>
      </w:r>
      <w:r w:rsidR="001D7C32" w:rsidRPr="00BF1204">
        <w:rPr>
          <w:rStyle w:val="spellingerror"/>
          <w:rFonts w:cs="Arial"/>
          <w:color w:val="000000"/>
          <w:szCs w:val="26"/>
          <w:lang w:val="en-US"/>
        </w:rPr>
        <w:t>Coi</w:t>
      </w:r>
      <w:r w:rsidR="0004160F">
        <w:rPr>
          <w:rStyle w:val="spellingerror"/>
          <w:rFonts w:cs="Arial"/>
          <w:color w:val="000000"/>
          <w:szCs w:val="26"/>
          <w:lang w:val="en-US"/>
        </w:rPr>
        <w:t>l</w:t>
      </w:r>
      <w:r w:rsidR="001D7C32" w:rsidRPr="00BF1204">
        <w:rPr>
          <w:rStyle w:val="spellingerror"/>
          <w:rFonts w:cs="Arial"/>
          <w:color w:val="000000"/>
          <w:szCs w:val="26"/>
          <w:lang w:val="en-US"/>
        </w:rPr>
        <w:t xml:space="preserve">lte </w:t>
      </w:r>
      <w:r w:rsidR="001D7C32" w:rsidRPr="00BF1204">
        <w:rPr>
          <w:rStyle w:val="normaltextrun"/>
          <w:rFonts w:cs="Arial"/>
          <w:color w:val="000000"/>
          <w:szCs w:val="26"/>
          <w:lang w:val="en-US"/>
        </w:rPr>
        <w:t>Ireland, Dell</w:t>
      </w:r>
      <w:r w:rsidR="001D7C32" w:rsidRPr="00BF1204">
        <w:rPr>
          <w:rStyle w:val="eop"/>
          <w:rFonts w:cs="Arial"/>
          <w:szCs w:val="26"/>
          <w:lang w:val="en-US"/>
        </w:rPr>
        <w:t xml:space="preserve">, </w:t>
      </w:r>
      <w:r w:rsidR="001D7C32" w:rsidRPr="00BF1204">
        <w:rPr>
          <w:rStyle w:val="normaltextrun"/>
          <w:rFonts w:cs="Arial"/>
          <w:color w:val="000000"/>
          <w:szCs w:val="26"/>
          <w:lang w:val="en-US"/>
        </w:rPr>
        <w:t>EY and Salesforce</w:t>
      </w:r>
      <w:r w:rsidR="00975816">
        <w:rPr>
          <w:rStyle w:val="normaltextrun"/>
          <w:rFonts w:cs="Arial"/>
          <w:color w:val="000000"/>
          <w:szCs w:val="26"/>
          <w:lang w:val="en-US"/>
        </w:rPr>
        <w:t>. The service also published an employer’s toolkit</w:t>
      </w:r>
      <w:r w:rsidR="00975816">
        <w:rPr>
          <w:rStyle w:val="FootnoteReference"/>
          <w:rFonts w:cs="Arial"/>
          <w:color w:val="000000"/>
          <w:szCs w:val="26"/>
          <w:lang w:val="en-US"/>
        </w:rPr>
        <w:footnoteReference w:id="60"/>
      </w:r>
      <w:r w:rsidR="00975816">
        <w:rPr>
          <w:szCs w:val="26"/>
          <w:lang w:val="en-US" w:eastAsia="en-IE"/>
        </w:rPr>
        <w:t xml:space="preserve">, </w:t>
      </w:r>
      <w:r w:rsidR="00975816" w:rsidRPr="00BF1204">
        <w:rPr>
          <w:szCs w:val="26"/>
        </w:rPr>
        <w:t>research findings</w:t>
      </w:r>
      <w:r w:rsidR="00975816">
        <w:rPr>
          <w:szCs w:val="26"/>
        </w:rPr>
        <w:t xml:space="preserve"> on inclusive recruitment </w:t>
      </w:r>
      <w:r w:rsidR="00975816">
        <w:rPr>
          <w:szCs w:val="26"/>
          <w:lang w:val="en-US" w:eastAsia="en-IE"/>
        </w:rPr>
        <w:t xml:space="preserve">and </w:t>
      </w:r>
      <w:r w:rsidR="00BF1204" w:rsidRPr="00BF1204">
        <w:rPr>
          <w:szCs w:val="26"/>
        </w:rPr>
        <w:t xml:space="preserve">prepared advice on </w:t>
      </w:r>
      <w:r w:rsidR="00E331FB">
        <w:rPr>
          <w:szCs w:val="26"/>
        </w:rPr>
        <w:t>six</w:t>
      </w:r>
      <w:r w:rsidR="00BF1204" w:rsidRPr="00BF1204">
        <w:rPr>
          <w:szCs w:val="26"/>
        </w:rPr>
        <w:t xml:space="preserve"> key themes</w:t>
      </w:r>
      <w:r w:rsidR="00975816">
        <w:rPr>
          <w:szCs w:val="26"/>
        </w:rPr>
        <w:t xml:space="preserve">. </w:t>
      </w:r>
      <w:r w:rsidR="00F671FB">
        <w:rPr>
          <w:szCs w:val="26"/>
        </w:rPr>
        <w:t>These include:</w:t>
      </w:r>
    </w:p>
    <w:p w14:paraId="5FD9BD8C" w14:textId="77777777" w:rsidR="00BF1204" w:rsidRPr="00BF1204" w:rsidRDefault="00BF1204" w:rsidP="00BF1204">
      <w:pPr>
        <w:pStyle w:val="ListParagraph"/>
        <w:numPr>
          <w:ilvl w:val="0"/>
          <w:numId w:val="30"/>
        </w:numPr>
        <w:rPr>
          <w:szCs w:val="26"/>
          <w:lang w:val="en-US" w:eastAsia="en-IE"/>
        </w:rPr>
      </w:pPr>
      <w:r w:rsidRPr="00BF1204">
        <w:rPr>
          <w:rStyle w:val="normaltextrun"/>
          <w:rFonts w:ascii="Gill Sans MT" w:hAnsi="Gill Sans MT" w:cs="Arial"/>
          <w:color w:val="000000"/>
          <w:position w:val="-1"/>
          <w:sz w:val="26"/>
          <w:szCs w:val="26"/>
          <w:lang w:val="en-US"/>
        </w:rPr>
        <w:t>Reasonable Accommodation Passport</w:t>
      </w:r>
    </w:p>
    <w:p w14:paraId="3F499A79" w14:textId="77777777" w:rsidR="00BF1204" w:rsidRPr="00BF1204" w:rsidRDefault="00BF1204" w:rsidP="00BF1204">
      <w:pPr>
        <w:pStyle w:val="ListParagraph"/>
        <w:numPr>
          <w:ilvl w:val="0"/>
          <w:numId w:val="30"/>
        </w:numPr>
        <w:rPr>
          <w:szCs w:val="26"/>
          <w:lang w:val="en-US"/>
        </w:rPr>
      </w:pPr>
      <w:r w:rsidRPr="00BF1204">
        <w:rPr>
          <w:rStyle w:val="normaltextrun"/>
          <w:rFonts w:ascii="Gill Sans MT" w:hAnsi="Gill Sans MT" w:cs="Arial"/>
          <w:color w:val="000000"/>
          <w:position w:val="-1"/>
          <w:sz w:val="26"/>
          <w:szCs w:val="26"/>
          <w:lang w:val="en-US"/>
        </w:rPr>
        <w:t>Inclusive and Accessible Communication</w:t>
      </w:r>
    </w:p>
    <w:p w14:paraId="05B7DC0B" w14:textId="77777777" w:rsidR="00BF1204" w:rsidRPr="00BF1204" w:rsidRDefault="00BF1204" w:rsidP="00BF1204">
      <w:pPr>
        <w:pStyle w:val="ListParagraph"/>
        <w:numPr>
          <w:ilvl w:val="0"/>
          <w:numId w:val="30"/>
        </w:numPr>
        <w:rPr>
          <w:szCs w:val="26"/>
          <w:lang w:val="en-US"/>
        </w:rPr>
      </w:pPr>
      <w:r w:rsidRPr="00BF1204">
        <w:rPr>
          <w:rStyle w:val="normaltextrun"/>
          <w:rFonts w:ascii="Gill Sans MT" w:hAnsi="Gill Sans MT" w:cs="Arial"/>
          <w:color w:val="000000"/>
          <w:position w:val="-1"/>
          <w:sz w:val="26"/>
          <w:szCs w:val="26"/>
        </w:rPr>
        <w:t>How to Write an Inclusive Job Description</w:t>
      </w:r>
    </w:p>
    <w:p w14:paraId="79813B6E" w14:textId="77777777" w:rsidR="00BF1204" w:rsidRPr="00BF1204" w:rsidRDefault="00BF1204" w:rsidP="00BF1204">
      <w:pPr>
        <w:pStyle w:val="ListParagraph"/>
        <w:numPr>
          <w:ilvl w:val="0"/>
          <w:numId w:val="30"/>
        </w:numPr>
        <w:rPr>
          <w:szCs w:val="26"/>
          <w:lang w:val="en-US"/>
        </w:rPr>
      </w:pPr>
      <w:r w:rsidRPr="00BF1204">
        <w:rPr>
          <w:rStyle w:val="normaltextrun"/>
          <w:rFonts w:ascii="Gill Sans MT" w:hAnsi="Gill Sans MT" w:cs="Arial"/>
          <w:color w:val="000000"/>
          <w:position w:val="-1"/>
          <w:sz w:val="26"/>
          <w:szCs w:val="26"/>
        </w:rPr>
        <w:lastRenderedPageBreak/>
        <w:t>How to Run an Accessible Online Event</w:t>
      </w:r>
    </w:p>
    <w:p w14:paraId="6DD1D5F5" w14:textId="77777777" w:rsidR="00BF1204" w:rsidRPr="00BF1204" w:rsidRDefault="00BF1204" w:rsidP="00BF1204">
      <w:pPr>
        <w:pStyle w:val="ListParagraph"/>
        <w:numPr>
          <w:ilvl w:val="0"/>
          <w:numId w:val="30"/>
        </w:numPr>
        <w:rPr>
          <w:szCs w:val="26"/>
          <w:lang w:val="en-US"/>
        </w:rPr>
      </w:pPr>
      <w:r w:rsidRPr="00BF1204">
        <w:rPr>
          <w:rStyle w:val="normaltextrun"/>
          <w:rFonts w:ascii="Gill Sans MT" w:hAnsi="Gill Sans MT" w:cs="Arial"/>
          <w:color w:val="000000"/>
          <w:position w:val="-1"/>
          <w:sz w:val="26"/>
          <w:szCs w:val="26"/>
        </w:rPr>
        <w:t>The Guiding Principles of Disclosure</w:t>
      </w:r>
    </w:p>
    <w:p w14:paraId="260A0088" w14:textId="77777777" w:rsidR="00BF1204" w:rsidRPr="00BF1204" w:rsidRDefault="00BF1204" w:rsidP="00BF1204">
      <w:pPr>
        <w:pStyle w:val="ListParagraph"/>
        <w:numPr>
          <w:ilvl w:val="0"/>
          <w:numId w:val="30"/>
        </w:numPr>
        <w:rPr>
          <w:szCs w:val="26"/>
          <w:lang w:val="en-US"/>
        </w:rPr>
      </w:pPr>
      <w:r w:rsidRPr="00BF1204">
        <w:rPr>
          <w:rStyle w:val="normaltextrun"/>
          <w:rFonts w:ascii="Gill Sans MT" w:hAnsi="Gill Sans MT" w:cs="Arial"/>
          <w:color w:val="000000"/>
          <w:position w:val="-1"/>
          <w:sz w:val="26"/>
          <w:szCs w:val="26"/>
        </w:rPr>
        <w:t>Next Steps (Post Training)</w:t>
      </w:r>
    </w:p>
    <w:p w14:paraId="6101AC44" w14:textId="73DBA677" w:rsidR="00941EF0" w:rsidRDefault="00941EF0" w:rsidP="005C6F06">
      <w:pPr>
        <w:shd w:val="clear" w:color="auto" w:fill="FFFFFF"/>
        <w:spacing w:after="48"/>
        <w:rPr>
          <w:szCs w:val="26"/>
        </w:rPr>
      </w:pPr>
    </w:p>
    <w:p w14:paraId="1829EAA3" w14:textId="116BEB8F" w:rsidR="00941EF0" w:rsidRDefault="00941EF0" w:rsidP="00491745">
      <w:r>
        <w:t>In 2022 Enterprise Ireland (EI) signed a partnership agreement with Open Doors</w:t>
      </w:r>
      <w:r w:rsidR="002F0902">
        <w:rPr>
          <w:rStyle w:val="FootnoteReference"/>
        </w:rPr>
        <w:footnoteReference w:id="61"/>
      </w:r>
      <w:r>
        <w:t xml:space="preserve"> to further develop awareness campaigns and programmes that will utilise success stories of self-employed and entrepreneur role models with a variety of disabilities. </w:t>
      </w:r>
    </w:p>
    <w:p w14:paraId="2143D9E9" w14:textId="6DAE122E" w:rsidR="00EA17B9" w:rsidRDefault="00975816" w:rsidP="00491745">
      <w:r w:rsidRPr="00EA17B9">
        <w:rPr>
          <w:szCs w:val="26"/>
        </w:rPr>
        <w:t>Th</w:t>
      </w:r>
      <w:r w:rsidR="00941EF0">
        <w:rPr>
          <w:szCs w:val="26"/>
        </w:rPr>
        <w:t xml:space="preserve">e Employers for Change </w:t>
      </w:r>
      <w:r w:rsidRPr="00EA17B9">
        <w:rPr>
          <w:szCs w:val="26"/>
        </w:rPr>
        <w:t xml:space="preserve">service </w:t>
      </w:r>
      <w:r w:rsidR="00941EF0">
        <w:rPr>
          <w:szCs w:val="26"/>
        </w:rPr>
        <w:t>also</w:t>
      </w:r>
      <w:r w:rsidRPr="00EA17B9">
        <w:rPr>
          <w:szCs w:val="26"/>
        </w:rPr>
        <w:t xml:space="preserve"> worked with the employer liaison unit in DSP and with job coaches in the EmployAbility Service. The NDA advi</w:t>
      </w:r>
      <w:r w:rsidR="00E331FB">
        <w:rPr>
          <w:szCs w:val="26"/>
        </w:rPr>
        <w:t>s</w:t>
      </w:r>
      <w:r w:rsidRPr="00EA17B9">
        <w:rPr>
          <w:szCs w:val="26"/>
        </w:rPr>
        <w:t xml:space="preserve">e that </w:t>
      </w:r>
      <w:r w:rsidR="00EA17B9" w:rsidRPr="00EA17B9">
        <w:rPr>
          <w:szCs w:val="26"/>
        </w:rPr>
        <w:t xml:space="preserve">in future delivery of the CES and of measures to improve employer awareness that </w:t>
      </w:r>
      <w:r w:rsidRPr="00EA17B9">
        <w:rPr>
          <w:szCs w:val="26"/>
        </w:rPr>
        <w:t>this service or a similar remains available to Irish employers</w:t>
      </w:r>
      <w:r w:rsidR="002F206C">
        <w:rPr>
          <w:szCs w:val="26"/>
        </w:rPr>
        <w:t xml:space="preserve">. </w:t>
      </w:r>
      <w:r w:rsidR="0037177D">
        <w:rPr>
          <w:szCs w:val="26"/>
        </w:rPr>
        <w:t>The</w:t>
      </w:r>
      <w:r w:rsidR="00EA17B9" w:rsidRPr="00EA17B9">
        <w:rPr>
          <w:szCs w:val="26"/>
        </w:rPr>
        <w:t xml:space="preserve"> </w:t>
      </w:r>
      <w:r w:rsidRPr="00EA17B9">
        <w:rPr>
          <w:bCs/>
        </w:rPr>
        <w:t>OCED</w:t>
      </w:r>
      <w:r w:rsidR="00B5305C" w:rsidRPr="00EA17B9">
        <w:rPr>
          <w:bCs/>
        </w:rPr>
        <w:t xml:space="preserve"> </w:t>
      </w:r>
      <w:r w:rsidR="00EA17B9" w:rsidRPr="00EA17B9">
        <w:rPr>
          <w:bCs/>
        </w:rPr>
        <w:t>work on</w:t>
      </w:r>
      <w:r w:rsidRPr="00EA17B9">
        <w:rPr>
          <w:bCs/>
        </w:rPr>
        <w:t xml:space="preserve"> </w:t>
      </w:r>
      <w:r w:rsidR="00B5305C" w:rsidRPr="00EA17B9">
        <w:rPr>
          <w:bCs/>
        </w:rPr>
        <w:t>e</w:t>
      </w:r>
      <w:r w:rsidR="00EA17B9" w:rsidRPr="00EA17B9">
        <w:rPr>
          <w:bCs/>
        </w:rPr>
        <w:t>ngaging</w:t>
      </w:r>
      <w:r w:rsidR="00EA17B9">
        <w:rPr>
          <w:bCs/>
        </w:rPr>
        <w:t xml:space="preserve"> employers</w:t>
      </w:r>
      <w:r w:rsidR="00FE5D1E">
        <w:rPr>
          <w:bCs/>
        </w:rPr>
        <w:t xml:space="preserve"> in Ireland </w:t>
      </w:r>
      <w:r w:rsidR="00EA17B9" w:rsidRPr="00EA17B9">
        <w:rPr>
          <w:bCs/>
        </w:rPr>
        <w:t xml:space="preserve">states that </w:t>
      </w:r>
      <w:r w:rsidR="00B5305C" w:rsidRPr="00EA17B9">
        <w:rPr>
          <w:bCs/>
        </w:rPr>
        <w:t>‘</w:t>
      </w:r>
      <w:r w:rsidR="00B5305C" w:rsidRPr="00EA17B9">
        <w:t>i</w:t>
      </w:r>
      <w:r w:rsidRPr="00EA17B9">
        <w:t xml:space="preserve">nformation and guidance should be made available to employers on how to put reasonable accommodation into practice for workers with disabilities, with </w:t>
      </w:r>
      <w:r w:rsidR="00E331FB">
        <w:t xml:space="preserve">a </w:t>
      </w:r>
      <w:r w:rsidRPr="00EA17B9">
        <w:t>focus on different and customised types of accommodation which are often not very costly, including the provision of assistive technology, the adaptation of job requirements, and if needed the provision of personal assistance. Promotion of disability awareness training can help for more inclusive corporate</w:t>
      </w:r>
      <w:r w:rsidR="00B5305C" w:rsidRPr="00EA17B9">
        <w:t xml:space="preserve"> cultures’. </w:t>
      </w:r>
    </w:p>
    <w:p w14:paraId="25DF9E32" w14:textId="18ACE025" w:rsidR="00272FAF" w:rsidRDefault="00941EF0" w:rsidP="005C6F06">
      <w:pPr>
        <w:shd w:val="clear" w:color="auto" w:fill="FFFFFF"/>
        <w:spacing w:after="48"/>
      </w:pPr>
      <w:r>
        <w:t>Also during 2022 the Department of Enterprise Trade and Employment reported that IDA Ireland have worked in partnership with Generation Ireland to launch a Pilot Programme designed to widen the talent pool and attract people from diverse backgrounds to avail of employment opportunities. This initiative has led to individual discussions to progress this offer with IDA client companies. IDA aims to have a significant number of companies engaged with Generation Ireland and accessing the wider talent pool in place by 2025. This is a welcome addition to the employment landscape.</w:t>
      </w:r>
    </w:p>
    <w:p w14:paraId="19948A87" w14:textId="77777777" w:rsidR="00206F24" w:rsidRDefault="00206F24" w:rsidP="00272FAF"/>
    <w:p w14:paraId="65454145" w14:textId="286DDBC3" w:rsidR="00272FAF" w:rsidRDefault="00272FAF" w:rsidP="00272FAF">
      <w:r>
        <w:t xml:space="preserve">As mentioned </w:t>
      </w:r>
      <w:r w:rsidRPr="004C3D5B">
        <w:t>the Government</w:t>
      </w:r>
      <w:r w:rsidR="009E4633">
        <w:t xml:space="preserve"> </w:t>
      </w:r>
      <w:r w:rsidR="00F90CFF">
        <w:t>commitment</w:t>
      </w:r>
      <w:r w:rsidRPr="004C3D5B">
        <w:t xml:space="preserve"> to increasing t</w:t>
      </w:r>
      <w:r w:rsidR="009E4633">
        <w:t xml:space="preserve">he statutory employment target to </w:t>
      </w:r>
      <w:r w:rsidR="00914409">
        <w:t xml:space="preserve">a </w:t>
      </w:r>
      <w:r w:rsidRPr="004C3D5B">
        <w:t>minimum of 6% of employe</w:t>
      </w:r>
      <w:r w:rsidR="00914409">
        <w:t xml:space="preserve">es in the public sector was </w:t>
      </w:r>
      <w:r w:rsidRPr="00BD1227">
        <w:t xml:space="preserve">enacted </w:t>
      </w:r>
      <w:r w:rsidR="0004160F">
        <w:t xml:space="preserve">through the </w:t>
      </w:r>
      <w:r w:rsidRPr="00BD1227">
        <w:t>Assisted Decision</w:t>
      </w:r>
      <w:r>
        <w:t>-</w:t>
      </w:r>
      <w:r w:rsidRPr="00BD1227">
        <w:t>Making (Capacity) (Amendment) Act 2022</w:t>
      </w:r>
      <w:r w:rsidR="00914409">
        <w:t>. This legislation</w:t>
      </w:r>
      <w:r>
        <w:t xml:space="preserve"> outlined that the</w:t>
      </w:r>
      <w:r w:rsidRPr="00F90CFF">
        <w:t xml:space="preserve"> statutory employment target will be increasing to 6% by 2025</w:t>
      </w:r>
      <w:r>
        <w:rPr>
          <w:b/>
        </w:rPr>
        <w:t xml:space="preserve">. </w:t>
      </w:r>
      <w:r>
        <w:t xml:space="preserve">In the Part 5 report for 2021, the </w:t>
      </w:r>
      <w:r w:rsidR="00914409">
        <w:t>NDA</w:t>
      </w:r>
      <w:r>
        <w:t xml:space="preserve"> note</w:t>
      </w:r>
      <w:r w:rsidR="00914409">
        <w:t>d</w:t>
      </w:r>
      <w:r>
        <w:t xml:space="preserve"> that,</w:t>
      </w:r>
      <w:r w:rsidRPr="004C3D5B">
        <w:t xml:space="preserve"> 78 (36.5%) public bodies reported that </w:t>
      </w:r>
      <w:r w:rsidR="00043BDA">
        <w:t>at least</w:t>
      </w:r>
      <w:r w:rsidRPr="004C3D5B">
        <w:t xml:space="preserve"> 6% of their employees were per</w:t>
      </w:r>
      <w:r w:rsidR="00914409">
        <w:t xml:space="preserve">sons </w:t>
      </w:r>
      <w:r w:rsidR="00914409">
        <w:lastRenderedPageBreak/>
        <w:t>with disabilities. This was</w:t>
      </w:r>
      <w:r w:rsidRPr="004C3D5B">
        <w:t xml:space="preserve"> an increase from 2020, when 61 (28.4%) public bodies reported that </w:t>
      </w:r>
      <w:r w:rsidR="00043BDA">
        <w:t>at least</w:t>
      </w:r>
      <w:r w:rsidRPr="004C3D5B">
        <w:t xml:space="preserve"> 6% of their employees reported a disability.</w:t>
      </w:r>
    </w:p>
    <w:p w14:paraId="671E2B4E" w14:textId="0F55C5D0" w:rsidR="00272FAF" w:rsidRPr="00EA17B9" w:rsidRDefault="008D6434" w:rsidP="005C6F06">
      <w:pPr>
        <w:shd w:val="clear" w:color="auto" w:fill="FFFFFF"/>
        <w:spacing w:after="48"/>
      </w:pPr>
      <w:r>
        <w:t xml:space="preserve">The increase in the public sector employment target </w:t>
      </w:r>
      <w:r w:rsidR="00043BDA">
        <w:t>to</w:t>
      </w:r>
      <w:r>
        <w:t xml:space="preserve"> a </w:t>
      </w:r>
      <w:r w:rsidR="00914409">
        <w:t xml:space="preserve">minimum </w:t>
      </w:r>
      <w:r>
        <w:t xml:space="preserve">of 6% will </w:t>
      </w:r>
      <w:r w:rsidR="0004160F">
        <w:t>require inclusive</w:t>
      </w:r>
      <w:r>
        <w:t xml:space="preserve"> recruitment practices and alternative routes into the public service</w:t>
      </w:r>
      <w:r w:rsidR="0004160F">
        <w:t>, as estimates indicate approximately 2,000 additional disabled people will need to be working in the public sector per annum to 2025 if this target is to be reached</w:t>
      </w:r>
      <w:r w:rsidR="009A75A5">
        <w:rPr>
          <w:rStyle w:val="FootnoteReference"/>
        </w:rPr>
        <w:footnoteReference w:id="62"/>
      </w:r>
      <w:r w:rsidR="0004160F">
        <w:t>.</w:t>
      </w:r>
      <w:r>
        <w:t xml:space="preserve"> </w:t>
      </w:r>
    </w:p>
    <w:p w14:paraId="39148082" w14:textId="77777777" w:rsidR="004D60A8" w:rsidRDefault="004D60A8" w:rsidP="00486FBE">
      <w:pPr>
        <w:pStyle w:val="Heading3"/>
      </w:pPr>
      <w:bookmarkStart w:id="43" w:name="_Toc130370568"/>
      <w:bookmarkStart w:id="44" w:name="_Toc130474365"/>
      <w:bookmarkStart w:id="45" w:name="_Toc132710536"/>
      <w:bookmarkStart w:id="46" w:name="_Toc101857207"/>
    </w:p>
    <w:p w14:paraId="430B8674" w14:textId="0EA05CCB" w:rsidR="005C6F06" w:rsidRPr="00486FBE" w:rsidRDefault="005C6F06" w:rsidP="00486FBE">
      <w:pPr>
        <w:pStyle w:val="Heading3"/>
      </w:pPr>
      <w:r w:rsidRPr="00486FBE">
        <w:t>Alternative recruitment strategies</w:t>
      </w:r>
      <w:bookmarkEnd w:id="43"/>
      <w:bookmarkEnd w:id="44"/>
      <w:bookmarkEnd w:id="45"/>
    </w:p>
    <w:bookmarkEnd w:id="46"/>
    <w:p w14:paraId="2C31DC92" w14:textId="1A5C7BA4" w:rsidR="005C6F06" w:rsidRDefault="005C6F06" w:rsidP="005C6F06">
      <w:pPr>
        <w:spacing w:after="160" w:line="252" w:lineRule="auto"/>
        <w:contextualSpacing/>
        <w:rPr>
          <w:rFonts w:ascii="Calibri" w:hAnsi="Calibri"/>
          <w:color w:val="000000"/>
          <w:sz w:val="22"/>
          <w:szCs w:val="22"/>
          <w:lang w:eastAsia="en-IE"/>
        </w:rPr>
      </w:pPr>
      <w:r>
        <w:t>The Department of Public Expenditure and Reform approve</w:t>
      </w:r>
      <w:r w:rsidR="00FE5D1E">
        <w:t>d</w:t>
      </w:r>
      <w:r>
        <w:rPr>
          <w:color w:val="000000"/>
          <w:lang w:eastAsia="en-IE"/>
        </w:rPr>
        <w:t xml:space="preserve"> </w:t>
      </w:r>
      <w:r w:rsidR="00206F24">
        <w:rPr>
          <w:color w:val="000000"/>
          <w:lang w:eastAsia="en-IE"/>
        </w:rPr>
        <w:t xml:space="preserve">two </w:t>
      </w:r>
      <w:r>
        <w:rPr>
          <w:color w:val="000000"/>
          <w:lang w:eastAsia="en-IE"/>
        </w:rPr>
        <w:t>paid Disability Internship Schemes</w:t>
      </w:r>
      <w:r w:rsidR="008D6434">
        <w:rPr>
          <w:color w:val="000000"/>
          <w:lang w:eastAsia="en-IE"/>
        </w:rPr>
        <w:t xml:space="preserve"> </w:t>
      </w:r>
      <w:r w:rsidR="00206F24">
        <w:rPr>
          <w:color w:val="000000"/>
          <w:lang w:eastAsia="en-IE"/>
        </w:rPr>
        <w:t xml:space="preserve">that </w:t>
      </w:r>
      <w:r>
        <w:rPr>
          <w:color w:val="000000"/>
          <w:lang w:eastAsia="en-IE"/>
        </w:rPr>
        <w:t>continue to enable people with a disability to gain paid and mentored work experience with civil service employers. During 2022 the following developments took place:</w:t>
      </w:r>
    </w:p>
    <w:p w14:paraId="0FE78B02" w14:textId="77777777" w:rsidR="005C6F06" w:rsidRDefault="005C6F06" w:rsidP="005C6F06">
      <w:pPr>
        <w:spacing w:after="160" w:line="252" w:lineRule="auto"/>
        <w:contextualSpacing/>
        <w:rPr>
          <w:color w:val="000000"/>
          <w:lang w:eastAsia="en-IE"/>
        </w:rPr>
      </w:pPr>
    </w:p>
    <w:p w14:paraId="40CC8785" w14:textId="4DD384B9" w:rsidR="005C6F06" w:rsidRDefault="005C6F06" w:rsidP="005C6F06">
      <w:pPr>
        <w:numPr>
          <w:ilvl w:val="0"/>
          <w:numId w:val="17"/>
        </w:numPr>
        <w:spacing w:before="120" w:after="0" w:line="252" w:lineRule="auto"/>
        <w:contextualSpacing/>
        <w:rPr>
          <w:color w:val="000000"/>
          <w:lang w:eastAsia="en-IE"/>
        </w:rPr>
      </w:pPr>
      <w:r>
        <w:rPr>
          <w:b/>
          <w:bCs/>
          <w:color w:val="000000"/>
          <w:lang w:eastAsia="en-IE"/>
        </w:rPr>
        <w:t xml:space="preserve">OWL Programme </w:t>
      </w:r>
      <w:r>
        <w:rPr>
          <w:color w:val="000000"/>
          <w:lang w:eastAsia="en-IE"/>
        </w:rPr>
        <w:t xml:space="preserve">– A panel was formed following the confined competitions held in December 2021. </w:t>
      </w:r>
      <w:r w:rsidR="00A81BF9">
        <w:rPr>
          <w:color w:val="000000"/>
          <w:lang w:eastAsia="en-IE"/>
        </w:rPr>
        <w:t>Six</w:t>
      </w:r>
      <w:r>
        <w:rPr>
          <w:color w:val="000000"/>
          <w:lang w:eastAsia="en-IE"/>
        </w:rPr>
        <w:t xml:space="preserve"> graduates from the 2019-2021 programme were supported to take up new permanent part-time positions in civil service departments and offices. A new training programme with 10 new trainees commenced in the Houses of the Oireachtas Ser</w:t>
      </w:r>
      <w:r w:rsidR="00FE5D1E">
        <w:rPr>
          <w:color w:val="000000"/>
          <w:lang w:eastAsia="en-IE"/>
        </w:rPr>
        <w:t>vice in September 2022. These st</w:t>
      </w:r>
      <w:r>
        <w:rPr>
          <w:color w:val="000000"/>
          <w:lang w:eastAsia="en-IE"/>
        </w:rPr>
        <w:t>udents will graduate in June 2023 and will be eligible to participate in a confined competition to be facilitated by PAS on completion of the training programme.</w:t>
      </w:r>
    </w:p>
    <w:p w14:paraId="0177D136" w14:textId="4B7BBCDD" w:rsidR="005C6F06" w:rsidRDefault="005C6F06" w:rsidP="005C6F06">
      <w:pPr>
        <w:numPr>
          <w:ilvl w:val="0"/>
          <w:numId w:val="17"/>
        </w:numPr>
        <w:spacing w:before="120" w:after="160" w:line="252" w:lineRule="auto"/>
        <w:contextualSpacing/>
        <w:rPr>
          <w:color w:val="000000"/>
          <w:lang w:eastAsia="en-IE"/>
        </w:rPr>
      </w:pPr>
      <w:r>
        <w:rPr>
          <w:color w:val="000000"/>
          <w:lang w:eastAsia="en-IE"/>
        </w:rPr>
        <w:t>DSP funded</w:t>
      </w:r>
      <w:r>
        <w:rPr>
          <w:b/>
          <w:bCs/>
          <w:color w:val="000000"/>
          <w:lang w:eastAsia="en-IE"/>
        </w:rPr>
        <w:t xml:space="preserve"> WAM Programme</w:t>
      </w:r>
      <w:r>
        <w:rPr>
          <w:color w:val="000000"/>
          <w:lang w:eastAsia="en-IE"/>
        </w:rPr>
        <w:t xml:space="preserve"> – 2022 saw a total of 23 paid full-time placements for third level graduates commencing during the year with the assistance of AHEAD. DPER has successfully worked with AHEAD and other stakeholders to develop a pilot civil service recruitment competition for permanency undertaken by PAS, which is confined to graduates that successfully complete their WAM placement in January 2023. </w:t>
      </w:r>
      <w:r w:rsidR="0044530D" w:rsidRPr="00377BE7">
        <w:rPr>
          <w:color w:val="000000"/>
          <w:lang w:eastAsia="en-IE"/>
        </w:rPr>
        <w:t>The pilot concluded in 2022 with a confined competition and a panel was formed with 19 successful candidates.  It is expected that a significant proportion of the placed candidates will secure permanent roles within the civil service, a landmark new development</w:t>
      </w:r>
    </w:p>
    <w:p w14:paraId="37257242" w14:textId="738CD240" w:rsidR="0044530D" w:rsidRDefault="0044530D" w:rsidP="00491745">
      <w:pPr>
        <w:spacing w:before="120" w:after="160" w:line="252" w:lineRule="auto"/>
        <w:contextualSpacing/>
        <w:rPr>
          <w:color w:val="000000"/>
          <w:lang w:eastAsia="en-IE"/>
        </w:rPr>
      </w:pPr>
    </w:p>
    <w:p w14:paraId="7C6AC606" w14:textId="77777777" w:rsidR="0044530D" w:rsidRDefault="0044530D" w:rsidP="00491745">
      <w:pPr>
        <w:spacing w:before="120" w:after="160" w:line="252" w:lineRule="auto"/>
        <w:contextualSpacing/>
        <w:rPr>
          <w:color w:val="000000"/>
          <w:lang w:eastAsia="en-IE"/>
        </w:rPr>
      </w:pPr>
    </w:p>
    <w:p w14:paraId="6CA1BA90" w14:textId="77777777" w:rsidR="005C6F06" w:rsidRDefault="005C6F06" w:rsidP="005C6F06">
      <w:pPr>
        <w:spacing w:after="160" w:line="252" w:lineRule="auto"/>
        <w:contextualSpacing/>
        <w:rPr>
          <w:color w:val="000000"/>
          <w:lang w:eastAsia="en-IE"/>
        </w:rPr>
      </w:pPr>
    </w:p>
    <w:p w14:paraId="23F46B8C" w14:textId="1BEA9B77" w:rsidR="00A46BB7" w:rsidRDefault="00EA17B9" w:rsidP="00DC1830">
      <w:pPr>
        <w:spacing w:after="160" w:line="252" w:lineRule="auto"/>
        <w:contextualSpacing/>
        <w:rPr>
          <w:color w:val="000000"/>
          <w:lang w:eastAsia="en-IE"/>
        </w:rPr>
      </w:pPr>
      <w:r>
        <w:rPr>
          <w:color w:val="000000"/>
          <w:lang w:eastAsia="en-IE"/>
        </w:rPr>
        <w:lastRenderedPageBreak/>
        <w:t>As the public sector e</w:t>
      </w:r>
      <w:r w:rsidR="008D6434">
        <w:rPr>
          <w:color w:val="000000"/>
          <w:lang w:eastAsia="en-IE"/>
        </w:rPr>
        <w:t xml:space="preserve">mployment target has increased </w:t>
      </w:r>
      <w:r>
        <w:rPr>
          <w:color w:val="000000"/>
          <w:lang w:eastAsia="en-IE"/>
        </w:rPr>
        <w:t>t</w:t>
      </w:r>
      <w:r w:rsidR="005C6F06">
        <w:rPr>
          <w:color w:val="000000"/>
          <w:lang w:eastAsia="en-IE"/>
        </w:rPr>
        <w:t>he NDA view these internships as important pathways to civil service employment</w:t>
      </w:r>
      <w:r>
        <w:rPr>
          <w:color w:val="000000"/>
          <w:lang w:eastAsia="en-IE"/>
        </w:rPr>
        <w:t xml:space="preserve"> for disabled workers. The NDA also advise that to</w:t>
      </w:r>
      <w:r w:rsidR="005C6F06">
        <w:rPr>
          <w:color w:val="000000"/>
          <w:lang w:eastAsia="en-IE"/>
        </w:rPr>
        <w:t xml:space="preserve"> ensure that these internships </w:t>
      </w:r>
      <w:r w:rsidR="00FE5D1E">
        <w:rPr>
          <w:color w:val="000000"/>
          <w:lang w:eastAsia="en-IE"/>
        </w:rPr>
        <w:t xml:space="preserve">and the posts that they lead to </w:t>
      </w:r>
      <w:r w:rsidR="005C6F06">
        <w:rPr>
          <w:color w:val="000000"/>
          <w:lang w:eastAsia="en-IE"/>
        </w:rPr>
        <w:t>are successful for the employer and employee ‘on-boarding’ arrangements include smooth access to reasonable accommodations</w:t>
      </w:r>
      <w:r w:rsidR="00FE5D1E">
        <w:rPr>
          <w:color w:val="000000"/>
          <w:lang w:eastAsia="en-IE"/>
        </w:rPr>
        <w:t xml:space="preserve">. Successful experiences for </w:t>
      </w:r>
      <w:r w:rsidR="00A46BB7">
        <w:rPr>
          <w:color w:val="000000"/>
          <w:lang w:eastAsia="en-IE"/>
        </w:rPr>
        <w:t xml:space="preserve">both </w:t>
      </w:r>
      <w:r w:rsidR="00FE5D1E">
        <w:rPr>
          <w:color w:val="000000"/>
          <w:lang w:eastAsia="en-IE"/>
        </w:rPr>
        <w:t xml:space="preserve">employer and employees will necessitate </w:t>
      </w:r>
      <w:r w:rsidR="005C6F06">
        <w:rPr>
          <w:color w:val="000000"/>
          <w:lang w:eastAsia="en-IE"/>
        </w:rPr>
        <w:t xml:space="preserve">that these </w:t>
      </w:r>
      <w:r w:rsidR="00A46BB7">
        <w:rPr>
          <w:color w:val="000000"/>
          <w:lang w:eastAsia="en-IE"/>
        </w:rPr>
        <w:t xml:space="preserve">reasonable accommodation </w:t>
      </w:r>
      <w:r w:rsidR="005C6F06">
        <w:rPr>
          <w:color w:val="000000"/>
          <w:lang w:eastAsia="en-IE"/>
        </w:rPr>
        <w:t>arrangements are in place prior to commencement of post.</w:t>
      </w:r>
    </w:p>
    <w:p w14:paraId="125AE5A5" w14:textId="77777777" w:rsidR="00FC51AA" w:rsidRDefault="00FC51AA" w:rsidP="00DC1830">
      <w:pPr>
        <w:spacing w:after="160" w:line="252" w:lineRule="auto"/>
        <w:contextualSpacing/>
      </w:pPr>
    </w:p>
    <w:p w14:paraId="4FCB2285" w14:textId="375F1846" w:rsidR="001A4F95" w:rsidRDefault="00A46BB7" w:rsidP="001A4F95">
      <w:r>
        <w:t xml:space="preserve">During </w:t>
      </w:r>
      <w:r w:rsidR="001A4F95">
        <w:t>2</w:t>
      </w:r>
      <w:r>
        <w:t xml:space="preserve">022, new evidence and guidance </w:t>
      </w:r>
      <w:r w:rsidR="001A4F95">
        <w:t>was published by Employers for Change and others</w:t>
      </w:r>
      <w:r w:rsidR="00043BDA">
        <w:t>. T</w:t>
      </w:r>
      <w:r w:rsidR="001A4F95">
        <w:t xml:space="preserve">his body of work highlights the opportunities that exist to include more people with disabilities at work while acknowledging that challenges continue to exist. </w:t>
      </w:r>
      <w:r w:rsidR="00B5150B">
        <w:t>One such example was discussed at the NDA annual conference by Professor Kim Hoque in his presentation entitled</w:t>
      </w:r>
      <w:r w:rsidR="00B5150B" w:rsidRPr="00004F82">
        <w:t xml:space="preserve"> </w:t>
      </w:r>
      <w:r w:rsidR="00B5150B">
        <w:t>‘</w:t>
      </w:r>
      <w:r w:rsidR="00272FAF" w:rsidRPr="00911DD8">
        <w:rPr>
          <w:lang w:val="en-GB"/>
        </w:rPr>
        <w:t>addressing</w:t>
      </w:r>
      <w:r w:rsidR="00B5150B" w:rsidRPr="00911DD8">
        <w:rPr>
          <w:lang w:val="en-GB"/>
        </w:rPr>
        <w:t xml:space="preserve"> disability employment disadvantage: the Disability Employment Charter</w:t>
      </w:r>
      <w:r w:rsidR="00B5150B">
        <w:rPr>
          <w:lang w:val="en-GB"/>
        </w:rPr>
        <w:t>’</w:t>
      </w:r>
      <w:r w:rsidR="00B5150B">
        <w:rPr>
          <w:rStyle w:val="FootnoteReference"/>
          <w:lang w:val="en-GB"/>
        </w:rPr>
        <w:footnoteReference w:id="63"/>
      </w:r>
      <w:r w:rsidR="00B5150B">
        <w:rPr>
          <w:lang w:val="en-GB"/>
        </w:rPr>
        <w:t xml:space="preserve">. The </w:t>
      </w:r>
      <w:r w:rsidR="00A81BF9">
        <w:rPr>
          <w:lang w:val="en-GB"/>
        </w:rPr>
        <w:t>nine</w:t>
      </w:r>
      <w:r w:rsidR="00B5150B">
        <w:rPr>
          <w:lang w:val="en-GB"/>
        </w:rPr>
        <w:t xml:space="preserve"> elements of this Charter are described in</w:t>
      </w:r>
      <w:r>
        <w:rPr>
          <w:lang w:val="en-GB"/>
        </w:rPr>
        <w:t xml:space="preserve"> </w:t>
      </w:r>
      <w:r w:rsidR="002623B9">
        <w:rPr>
          <w:lang w:val="en-GB"/>
        </w:rPr>
        <w:t>A</w:t>
      </w:r>
      <w:r w:rsidR="00B5150B">
        <w:rPr>
          <w:lang w:val="en-GB"/>
        </w:rPr>
        <w:t>ppendix</w:t>
      </w:r>
      <w:r w:rsidR="002623B9">
        <w:rPr>
          <w:lang w:val="en-GB"/>
        </w:rPr>
        <w:t xml:space="preserve"> 2</w:t>
      </w:r>
      <w:r w:rsidR="00B5150B">
        <w:rPr>
          <w:lang w:val="en-GB"/>
        </w:rPr>
        <w:t xml:space="preserve">. </w:t>
      </w:r>
    </w:p>
    <w:p w14:paraId="3EF83291" w14:textId="57FB1F15" w:rsidR="005C6F06" w:rsidRDefault="00B5150B" w:rsidP="00B14618">
      <w:r>
        <w:rPr>
          <w:bdr w:val="none" w:sz="0" w:space="0" w:color="auto" w:frame="1"/>
        </w:rPr>
        <w:t xml:space="preserve">A key recommendation from this UK example is described in </w:t>
      </w:r>
      <w:r w:rsidR="00B1292E">
        <w:rPr>
          <w:bdr w:val="none" w:sz="0" w:space="0" w:color="auto" w:frame="1"/>
        </w:rPr>
        <w:t xml:space="preserve">action </w:t>
      </w:r>
      <w:r w:rsidR="00A81BF9">
        <w:rPr>
          <w:bdr w:val="none" w:sz="0" w:space="0" w:color="auto" w:frame="1"/>
        </w:rPr>
        <w:t>nine</w:t>
      </w:r>
      <w:r w:rsidR="00B1292E">
        <w:rPr>
          <w:bdr w:val="none" w:sz="0" w:space="0" w:color="auto" w:frame="1"/>
        </w:rPr>
        <w:t xml:space="preserve"> </w:t>
      </w:r>
      <w:r w:rsidR="00043BDA">
        <w:rPr>
          <w:bdr w:val="none" w:sz="0" w:space="0" w:color="auto" w:frame="1"/>
        </w:rPr>
        <w:t xml:space="preserve">of </w:t>
      </w:r>
      <w:r w:rsidR="00B1292E">
        <w:rPr>
          <w:bdr w:val="none" w:sz="0" w:space="0" w:color="auto" w:frame="1"/>
        </w:rPr>
        <w:t>the Charter stating that the UK</w:t>
      </w:r>
      <w:r w:rsidRPr="00E73207">
        <w:rPr>
          <w:bdr w:val="none" w:sz="0" w:space="0" w:color="auto" w:frame="1"/>
        </w:rPr>
        <w:t xml:space="preserve"> government </w:t>
      </w:r>
      <w:r w:rsidR="00B1292E">
        <w:rPr>
          <w:bdr w:val="none" w:sz="0" w:space="0" w:color="auto" w:frame="1"/>
        </w:rPr>
        <w:t>‘</w:t>
      </w:r>
      <w:r w:rsidRPr="00E73207">
        <w:rPr>
          <w:bdr w:val="none" w:sz="0" w:space="0" w:color="auto" w:frame="1"/>
        </w:rPr>
        <w:t>should take into account increasing disabil</w:t>
      </w:r>
      <w:r>
        <w:rPr>
          <w:bdr w:val="none" w:sz="0" w:space="0" w:color="auto" w:frame="1"/>
        </w:rPr>
        <w:t>ity prevalence in calculating th</w:t>
      </w:r>
      <w:r w:rsidRPr="00E73207">
        <w:rPr>
          <w:bdr w:val="none" w:sz="0" w:space="0" w:color="auto" w:frame="1"/>
        </w:rPr>
        <w:t>e disability employment gap, and use the ‘prevalence corrected’ employment gap measure in monitoring national progress on disability employment</w:t>
      </w:r>
      <w:r w:rsidR="00B1292E">
        <w:rPr>
          <w:bdr w:val="none" w:sz="0" w:space="0" w:color="auto" w:frame="1"/>
        </w:rPr>
        <w:t xml:space="preserve">’. The NDA advise that </w:t>
      </w:r>
      <w:r w:rsidR="00FC51AA">
        <w:rPr>
          <w:bdr w:val="none" w:sz="0" w:space="0" w:color="auto" w:frame="1"/>
        </w:rPr>
        <w:t xml:space="preserve">this might be </w:t>
      </w:r>
      <w:r w:rsidR="00B1292E">
        <w:rPr>
          <w:bdr w:val="none" w:sz="0" w:space="0" w:color="auto" w:frame="1"/>
        </w:rPr>
        <w:t>a useful mechanism for monitoring the change in employment circumstance for disabled people in Ireland.</w:t>
      </w:r>
    </w:p>
    <w:p w14:paraId="52B8ADE1" w14:textId="77777777" w:rsidR="00953582" w:rsidRDefault="00953582" w:rsidP="00953582">
      <w:pPr>
        <w:pStyle w:val="Heading1"/>
      </w:pPr>
      <w:bookmarkStart w:id="47" w:name="_Toc130474366"/>
      <w:bookmarkStart w:id="48" w:name="_Toc132710537"/>
      <w:r>
        <w:t>Conclusion</w:t>
      </w:r>
      <w:bookmarkEnd w:id="47"/>
      <w:bookmarkEnd w:id="48"/>
    </w:p>
    <w:p w14:paraId="11F37C57" w14:textId="57E44A7C" w:rsidR="008C5777" w:rsidRPr="002D39A2" w:rsidRDefault="0051758C" w:rsidP="008C5777">
      <w:r>
        <w:t xml:space="preserve">An agreed action plan for the final phase of CES activity </w:t>
      </w:r>
      <w:r w:rsidR="001A4F95">
        <w:t xml:space="preserve">is </w:t>
      </w:r>
      <w:r w:rsidR="00A142F0">
        <w:t>essential</w:t>
      </w:r>
      <w:r w:rsidR="00B1292E">
        <w:t>. T</w:t>
      </w:r>
      <w:r>
        <w:t xml:space="preserve">his plan requires an outline of </w:t>
      </w:r>
      <w:r w:rsidR="00A142F0">
        <w:t xml:space="preserve">implementation and monitoring </w:t>
      </w:r>
      <w:r>
        <w:t>mechanisms to ensure that CES impact is measured.</w:t>
      </w:r>
      <w:r w:rsidR="00A142F0">
        <w:t xml:space="preserve"> </w:t>
      </w:r>
      <w:r w:rsidR="00B27FA0">
        <w:t>An announcement gover</w:t>
      </w:r>
      <w:r w:rsidR="008C5777">
        <w:t xml:space="preserve">ning the final action plan would benefit from a statement regarding the </w:t>
      </w:r>
      <w:r w:rsidR="00B27FA0">
        <w:t xml:space="preserve">post CES </w:t>
      </w:r>
      <w:r w:rsidR="008C5777">
        <w:t xml:space="preserve">environment to improve the disability employment gap for people with disabilities. While specifics may emerge over this final phase, mainstream and targeted delivery of employment supports and services is necessary. </w:t>
      </w:r>
      <w:r w:rsidR="002621A2">
        <w:t xml:space="preserve">As the </w:t>
      </w:r>
      <w:r w:rsidR="008C5777">
        <w:t>CES completes its 10 years</w:t>
      </w:r>
      <w:r w:rsidR="00A81BF9">
        <w:t xml:space="preserve"> in 2024</w:t>
      </w:r>
      <w:r w:rsidR="008C5777">
        <w:t xml:space="preserve"> </w:t>
      </w:r>
      <w:r w:rsidR="00B1292E">
        <w:t>the NDA advis</w:t>
      </w:r>
      <w:r w:rsidR="008C5777">
        <w:t xml:space="preserve">e that a clear vision of mainstream and coordinated approaches </w:t>
      </w:r>
      <w:r w:rsidR="00FC51AA">
        <w:t xml:space="preserve">to improving employment outcomes for disabled people </w:t>
      </w:r>
      <w:r w:rsidR="008C5777">
        <w:t xml:space="preserve">are </w:t>
      </w:r>
      <w:r w:rsidR="00FC51AA">
        <w:t xml:space="preserve">also incorporated </w:t>
      </w:r>
      <w:r w:rsidR="008C5777">
        <w:t xml:space="preserve">into </w:t>
      </w:r>
      <w:r w:rsidR="00043BDA">
        <w:t xml:space="preserve">a </w:t>
      </w:r>
      <w:r w:rsidR="008C5777">
        <w:t xml:space="preserve">new UNCPRD </w:t>
      </w:r>
      <w:r w:rsidR="00043BDA">
        <w:t>implementation strategy</w:t>
      </w:r>
      <w:r w:rsidR="008C5777">
        <w:t xml:space="preserve">. </w:t>
      </w:r>
    </w:p>
    <w:p w14:paraId="30D4308C" w14:textId="555CE164" w:rsidR="00F90B85" w:rsidRDefault="00F90B85">
      <w:pPr>
        <w:spacing w:after="0"/>
      </w:pPr>
      <w:r>
        <w:br w:type="page"/>
      </w:r>
    </w:p>
    <w:p w14:paraId="57573FFA" w14:textId="361090CB" w:rsidR="0083747C" w:rsidRPr="00785F52" w:rsidRDefault="00785F52" w:rsidP="00B14618">
      <w:pPr>
        <w:rPr>
          <w:b/>
          <w:sz w:val="36"/>
          <w:szCs w:val="36"/>
        </w:rPr>
      </w:pPr>
      <w:r w:rsidRPr="00785F52">
        <w:rPr>
          <w:b/>
          <w:sz w:val="36"/>
          <w:szCs w:val="36"/>
        </w:rPr>
        <w:lastRenderedPageBreak/>
        <w:t>Appendixes</w:t>
      </w:r>
    </w:p>
    <w:p w14:paraId="493E40D9" w14:textId="1CCD24A3" w:rsidR="00F90B85" w:rsidRDefault="002623B9" w:rsidP="00B5150B">
      <w:pPr>
        <w:pStyle w:val="Heading1"/>
      </w:pPr>
      <w:bookmarkStart w:id="49" w:name="_Toc130474367"/>
      <w:bookmarkStart w:id="50" w:name="_Toc132710538"/>
      <w:r>
        <w:t xml:space="preserve">Appendix 1: </w:t>
      </w:r>
      <w:r w:rsidR="00486FBE">
        <w:t>EU Disability Employment Package launched in 2022</w:t>
      </w:r>
      <w:bookmarkEnd w:id="49"/>
      <w:bookmarkEnd w:id="50"/>
    </w:p>
    <w:p w14:paraId="744A954D" w14:textId="77777777" w:rsidR="00F90B85" w:rsidRPr="0001562E" w:rsidRDefault="00F90B85" w:rsidP="0001562E">
      <w:pPr>
        <w:rPr>
          <w:rFonts w:cs="Arial"/>
          <w:spacing w:val="3"/>
          <w:lang w:eastAsia="en-IE"/>
        </w:rPr>
      </w:pPr>
      <w:r w:rsidRPr="0001562E">
        <w:rPr>
          <w:rFonts w:cs="Arial"/>
          <w:spacing w:val="3"/>
          <w:lang w:eastAsia="en-IE"/>
        </w:rPr>
        <w:t>The Package is focused around six action areas, of which their deliverables will serve as practical tools and guidelines to implement the pre-existin</w:t>
      </w:r>
      <w:r w:rsidR="0001562E" w:rsidRPr="0001562E">
        <w:rPr>
          <w:rFonts w:cs="Arial"/>
          <w:spacing w:val="3"/>
          <w:lang w:eastAsia="en-IE"/>
        </w:rPr>
        <w:t xml:space="preserve">g legislation on employment and will be published during the </w:t>
      </w:r>
      <w:r w:rsidRPr="0001562E">
        <w:rPr>
          <w:rFonts w:cs="Arial"/>
          <w:spacing w:val="3"/>
          <w:lang w:eastAsia="en-IE"/>
        </w:rPr>
        <w:t>n</w:t>
      </w:r>
      <w:r w:rsidR="0001562E" w:rsidRPr="0001562E">
        <w:rPr>
          <w:rFonts w:cs="Arial"/>
          <w:spacing w:val="3"/>
          <w:lang w:eastAsia="en-IE"/>
        </w:rPr>
        <w:t xml:space="preserve">ext two years. </w:t>
      </w:r>
      <w:r w:rsidRPr="0001562E">
        <w:rPr>
          <w:rFonts w:cs="Arial"/>
          <w:spacing w:val="3"/>
          <w:lang w:eastAsia="en-IE"/>
        </w:rPr>
        <w:t>These include:</w:t>
      </w:r>
    </w:p>
    <w:p w14:paraId="6C4EAE52" w14:textId="77777777" w:rsidR="00F90B85" w:rsidRPr="00074517" w:rsidRDefault="00F90B85" w:rsidP="0001562E">
      <w:pPr>
        <w:rPr>
          <w:lang w:eastAsia="en-IE"/>
        </w:rPr>
      </w:pPr>
      <w:r w:rsidRPr="00074517">
        <w:rPr>
          <w:b/>
          <w:bCs/>
          <w:lang w:eastAsia="en-IE"/>
        </w:rPr>
        <w:t>Strengthening the capacities of empl</w:t>
      </w:r>
      <w:r w:rsidR="00A872CA">
        <w:rPr>
          <w:b/>
          <w:bCs/>
          <w:lang w:eastAsia="en-IE"/>
        </w:rPr>
        <w:t xml:space="preserve">oyment and integration services </w:t>
      </w:r>
      <w:r w:rsidRPr="00074517">
        <w:rPr>
          <w:b/>
          <w:bCs/>
          <w:lang w:eastAsia="en-IE"/>
        </w:rPr>
        <w:t>–</w:t>
      </w:r>
      <w:r w:rsidR="00A872CA">
        <w:rPr>
          <w:lang w:eastAsia="en-IE"/>
        </w:rPr>
        <w:t xml:space="preserve">through the publication of </w:t>
      </w:r>
      <w:hyperlink r:id="rId12" w:history="1">
        <w:r w:rsidRPr="00074517">
          <w:rPr>
            <w:b/>
            <w:bCs/>
            <w:color w:val="0000FF"/>
            <w:u w:val="single"/>
            <w:lang w:eastAsia="en-IE"/>
          </w:rPr>
          <w:t>guidance</w:t>
        </w:r>
      </w:hyperlink>
      <w:r w:rsidR="00A872CA">
        <w:rPr>
          <w:lang w:eastAsia="en-IE"/>
        </w:rPr>
        <w:t xml:space="preserve"> </w:t>
      </w:r>
      <w:r w:rsidRPr="00074517">
        <w:rPr>
          <w:lang w:eastAsia="en-IE"/>
        </w:rPr>
        <w:t>for Member States to improve the accessibility and inclusiveness of employment services which was published on 25th September 2022.</w:t>
      </w:r>
    </w:p>
    <w:p w14:paraId="218269AA" w14:textId="77777777" w:rsidR="00F90B85" w:rsidRPr="00074517" w:rsidRDefault="00F90B85" w:rsidP="0001562E">
      <w:pPr>
        <w:rPr>
          <w:lang w:eastAsia="en-IE"/>
        </w:rPr>
      </w:pPr>
      <w:r w:rsidRPr="00074517">
        <w:rPr>
          <w:b/>
          <w:bCs/>
          <w:lang w:eastAsia="en-IE"/>
        </w:rPr>
        <w:t>Promoting hiring perspectives through affirmative action and combating stereotypes</w:t>
      </w:r>
      <w:r w:rsidR="00A872CA">
        <w:rPr>
          <w:lang w:eastAsia="en-IE"/>
        </w:rPr>
        <w:t xml:space="preserve"> </w:t>
      </w:r>
      <w:r w:rsidRPr="00074517">
        <w:rPr>
          <w:lang w:eastAsia="en-IE"/>
        </w:rPr>
        <w:t>-through a catalogue of positive actions to facilitate hiring of persons with disabilities involving employers (planned for Q1 2023).</w:t>
      </w:r>
    </w:p>
    <w:p w14:paraId="231C6B90" w14:textId="77777777" w:rsidR="00F90B85" w:rsidRPr="00074517" w:rsidRDefault="00F90B85" w:rsidP="0001562E">
      <w:pPr>
        <w:rPr>
          <w:lang w:eastAsia="en-IE"/>
        </w:rPr>
      </w:pPr>
      <w:r w:rsidRPr="00074517">
        <w:rPr>
          <w:b/>
          <w:bCs/>
          <w:lang w:eastAsia="en-IE"/>
        </w:rPr>
        <w:t>Ensuring r</w:t>
      </w:r>
      <w:r w:rsidR="00A872CA">
        <w:rPr>
          <w:b/>
          <w:bCs/>
          <w:lang w:eastAsia="en-IE"/>
        </w:rPr>
        <w:t>easonable accommodation at work</w:t>
      </w:r>
      <w:r w:rsidR="00A872CA">
        <w:rPr>
          <w:lang w:eastAsia="en-IE"/>
        </w:rPr>
        <w:t xml:space="preserve">– </w:t>
      </w:r>
      <w:r w:rsidRPr="00074517">
        <w:rPr>
          <w:lang w:eastAsia="en-IE"/>
        </w:rPr>
        <w:t>by prep</w:t>
      </w:r>
      <w:r w:rsidR="00A872CA">
        <w:rPr>
          <w:lang w:eastAsia="en-IE"/>
        </w:rPr>
        <w:t>aring guidelines for employers,</w:t>
      </w:r>
      <w:r w:rsidRPr="00074517">
        <w:rPr>
          <w:lang w:eastAsia="en-IE"/>
        </w:rPr>
        <w:t>– of which one deliverable is to prepare guidelines for reasonable accommodation at work addressing employers (planned for Q3 2023).</w:t>
      </w:r>
    </w:p>
    <w:p w14:paraId="14572DC2" w14:textId="77777777" w:rsidR="00F90B85" w:rsidRPr="00074517" w:rsidRDefault="00F90B85" w:rsidP="0001562E">
      <w:pPr>
        <w:rPr>
          <w:lang w:eastAsia="en-IE"/>
        </w:rPr>
      </w:pPr>
      <w:r w:rsidRPr="00074517">
        <w:rPr>
          <w:b/>
          <w:bCs/>
          <w:lang w:eastAsia="en-IE"/>
        </w:rPr>
        <w:t>Preventing disabilities ass</w:t>
      </w:r>
      <w:r w:rsidR="00A872CA">
        <w:rPr>
          <w:b/>
          <w:bCs/>
          <w:lang w:eastAsia="en-IE"/>
        </w:rPr>
        <w:t>ociated with chronic diseases –</w:t>
      </w:r>
      <w:r w:rsidRPr="00074517">
        <w:rPr>
          <w:lang w:eastAsia="en-IE"/>
        </w:rPr>
        <w:t>by issuing a manual for managing chronic diseases and preventing the risk of acquiring disabilities through the publication of a manual issued by the European Agency for Health and Safety at Work (planned for Q4 2023).</w:t>
      </w:r>
    </w:p>
    <w:p w14:paraId="6F833906" w14:textId="77777777" w:rsidR="00F90B85" w:rsidRPr="00074517" w:rsidRDefault="00F90B85" w:rsidP="0001562E">
      <w:pPr>
        <w:rPr>
          <w:lang w:eastAsia="en-IE"/>
        </w:rPr>
      </w:pPr>
      <w:r w:rsidRPr="00074517">
        <w:rPr>
          <w:b/>
          <w:bCs/>
          <w:lang w:eastAsia="en-IE"/>
        </w:rPr>
        <w:t>Securing vocational rehabilitation schemes in case of sickness or accidents- </w:t>
      </w:r>
      <w:r w:rsidRPr="00074517">
        <w:rPr>
          <w:rFonts w:ascii="Arial" w:hAnsi="Arial"/>
          <w:lang w:eastAsia="en-IE"/>
        </w:rPr>
        <w:t> </w:t>
      </w:r>
      <w:r w:rsidRPr="00074517">
        <w:rPr>
          <w:lang w:eastAsia="en-IE"/>
        </w:rPr>
        <w:t>by issuing guidelines</w:t>
      </w:r>
      <w:r w:rsidRPr="00074517">
        <w:rPr>
          <w:rFonts w:cs="Gill Sans MT"/>
          <w:lang w:eastAsia="en-IE"/>
        </w:rPr>
        <w:t> </w:t>
      </w:r>
      <w:r w:rsidRPr="00074517">
        <w:rPr>
          <w:lang w:eastAsia="en-IE"/>
        </w:rPr>
        <w:t>for effective vocational rehabilitation schemes covering frequent diseases and types of accidents</w:t>
      </w:r>
      <w:r w:rsidRPr="00074517">
        <w:rPr>
          <w:rFonts w:cs="Gill Sans MT"/>
          <w:lang w:eastAsia="en-IE"/>
        </w:rPr>
        <w:t> </w:t>
      </w:r>
      <w:r w:rsidRPr="00074517">
        <w:rPr>
          <w:lang w:eastAsia="en-IE"/>
        </w:rPr>
        <w:t>(planned for Q1 2024).</w:t>
      </w:r>
    </w:p>
    <w:p w14:paraId="182F9B4F" w14:textId="77777777" w:rsidR="00F90B85" w:rsidRPr="00074517" w:rsidRDefault="00F90B85" w:rsidP="0001562E">
      <w:pPr>
        <w:rPr>
          <w:lang w:eastAsia="en-IE"/>
        </w:rPr>
      </w:pPr>
      <w:r w:rsidRPr="00074517">
        <w:rPr>
          <w:b/>
          <w:bCs/>
          <w:lang w:eastAsia="en-IE"/>
        </w:rPr>
        <w:t>Exploring quality jobs in sheltered employment and pathways to the open labour market – </w:t>
      </w:r>
      <w:r w:rsidRPr="00074517">
        <w:rPr>
          <w:lang w:eastAsia="en-IE"/>
        </w:rPr>
        <w:t>through the launch of a study on improving the employment for persons with disabilities through alternative employment models, including recommendations for fair working conditions and career development in alternative forms of employment and pathways to the open labour market that comply with the UNCRPD (planned for Q1 2024).</w:t>
      </w:r>
    </w:p>
    <w:p w14:paraId="7565F08D" w14:textId="77777777" w:rsidR="00F90B85" w:rsidRDefault="00F90B85" w:rsidP="00B14618"/>
    <w:p w14:paraId="62CA3CAB" w14:textId="77777777" w:rsidR="00C43972" w:rsidRDefault="00C43972">
      <w:pPr>
        <w:spacing w:after="0"/>
      </w:pPr>
      <w:r>
        <w:br w:type="page"/>
      </w:r>
    </w:p>
    <w:p w14:paraId="53F4207C" w14:textId="2CEDBFEE" w:rsidR="00C43972" w:rsidRDefault="002623B9" w:rsidP="00C43972">
      <w:pPr>
        <w:pStyle w:val="Heading1"/>
        <w:rPr>
          <w:rFonts w:eastAsia="Calibri"/>
        </w:rPr>
      </w:pPr>
      <w:bookmarkStart w:id="51" w:name="_Toc130474368"/>
      <w:bookmarkStart w:id="52" w:name="_Toc132710539"/>
      <w:r>
        <w:rPr>
          <w:rFonts w:eastAsia="Calibri"/>
        </w:rPr>
        <w:lastRenderedPageBreak/>
        <w:t xml:space="preserve">Appendix 2: </w:t>
      </w:r>
      <w:r w:rsidR="005478E7">
        <w:rPr>
          <w:rFonts w:eastAsia="Calibri"/>
        </w:rPr>
        <w:t>Disability Employment Charter UK</w:t>
      </w:r>
      <w:bookmarkEnd w:id="51"/>
      <w:bookmarkEnd w:id="52"/>
      <w:r w:rsidR="005478E7">
        <w:rPr>
          <w:rFonts w:eastAsia="Calibri"/>
        </w:rPr>
        <w:t xml:space="preserve"> </w:t>
      </w:r>
    </w:p>
    <w:p w14:paraId="096A4B9E" w14:textId="77777777" w:rsidR="005478E7" w:rsidRDefault="005478E7" w:rsidP="005478E7">
      <w:pPr>
        <w:pStyle w:val="Heading2"/>
        <w:rPr>
          <w:rFonts w:eastAsia="Calibri"/>
        </w:rPr>
      </w:pPr>
      <w:bookmarkStart w:id="53" w:name="_Toc130474369"/>
      <w:bookmarkStart w:id="54" w:name="_Toc132710540"/>
      <w:r>
        <w:rPr>
          <w:rFonts w:eastAsia="Calibri"/>
        </w:rPr>
        <w:t>Accessible Employment theme at NDA annual conference 2022</w:t>
      </w:r>
      <w:bookmarkEnd w:id="53"/>
      <w:bookmarkEnd w:id="54"/>
    </w:p>
    <w:p w14:paraId="3461C8F6" w14:textId="6770F41A" w:rsidR="005478E7" w:rsidRDefault="00FD0318" w:rsidP="00203B5D">
      <w:pPr>
        <w:tabs>
          <w:tab w:val="left" w:pos="2127"/>
        </w:tabs>
        <w:spacing w:before="120" w:after="120"/>
      </w:pPr>
      <w:r w:rsidRPr="005478E7">
        <w:rPr>
          <w:color w:val="000000"/>
        </w:rPr>
        <w:t>Kim Hoque, Professor of HR Management King’s Business School, London ‘</w:t>
      </w:r>
      <w:r w:rsidRPr="005478E7">
        <w:rPr>
          <w:bCs/>
          <w:color w:val="000000"/>
          <w:kern w:val="24"/>
          <w:szCs w:val="26"/>
          <w:lang w:val="en-GB"/>
        </w:rPr>
        <w:t>Addressing disability employment disadvantage: the Disability Employment Charter’</w:t>
      </w:r>
    </w:p>
    <w:p w14:paraId="0ACAE15D" w14:textId="373CD91C" w:rsidR="005478E7" w:rsidRPr="00E73207" w:rsidRDefault="005478E7" w:rsidP="005478E7">
      <w:r w:rsidRPr="00E73207">
        <w:rPr>
          <w:rStyle w:val="color14"/>
          <w:color w:val="000000"/>
          <w:bdr w:val="none" w:sz="0" w:space="0" w:color="auto" w:frame="1"/>
        </w:rPr>
        <w:t>The labour market disadvantage disabled people encounter is demonstrated by a large and enduring disability employment gap, and disability gaps in pay, job satisfaction, and work-related well-being.</w:t>
      </w:r>
    </w:p>
    <w:p w14:paraId="2E2B8825" w14:textId="288925AF" w:rsidR="005478E7" w:rsidRPr="00E73207" w:rsidRDefault="005478E7" w:rsidP="005478E7">
      <w:r w:rsidRPr="00E73207">
        <w:rPr>
          <w:rStyle w:val="color14"/>
          <w:color w:val="000000"/>
          <w:bdr w:val="none" w:sz="0" w:space="0" w:color="auto" w:frame="1"/>
        </w:rPr>
        <w:t>This charter outlines the action the government needs to take to address the disadvantage disabled people encounter in their working lives.</w:t>
      </w:r>
    </w:p>
    <w:p w14:paraId="5712BA9F" w14:textId="77777777" w:rsidR="005478E7" w:rsidRPr="00E73207" w:rsidRDefault="005478E7" w:rsidP="005478E7">
      <w:r w:rsidRPr="00E73207">
        <w:rPr>
          <w:rStyle w:val="color25"/>
          <w:b/>
          <w:bCs/>
          <w:color w:val="000000"/>
          <w:bdr w:val="none" w:sz="0" w:space="0" w:color="auto" w:frame="1"/>
        </w:rPr>
        <w:t>1. Employment and pay gap reporting.</w:t>
      </w:r>
      <w:r w:rsidRPr="00E73207">
        <w:rPr>
          <w:rStyle w:val="color25"/>
          <w:color w:val="000000"/>
          <w:bdr w:val="none" w:sz="0" w:space="0" w:color="auto" w:frame="1"/>
        </w:rPr>
        <w:t> </w:t>
      </w:r>
    </w:p>
    <w:p w14:paraId="6360E3A1" w14:textId="5A7DD065" w:rsidR="005478E7" w:rsidRPr="00E73207" w:rsidRDefault="005478E7" w:rsidP="005478E7">
      <w:r w:rsidRPr="00E73207">
        <w:rPr>
          <w:bdr w:val="none" w:sz="0" w:space="0" w:color="auto" w:frame="1"/>
        </w:rPr>
        <w:t>The government should require all employers with 250+ employees to publish data annually on: the number of disabled people they employ as a proportion of their workforce; their disability pay gap; and the percentage of disabled employees within each pay quartile.</w:t>
      </w:r>
    </w:p>
    <w:p w14:paraId="17097B85" w14:textId="77777777" w:rsidR="005478E7" w:rsidRPr="00E73207" w:rsidRDefault="005478E7" w:rsidP="005478E7">
      <w:r w:rsidRPr="00E73207">
        <w:rPr>
          <w:rStyle w:val="color25"/>
          <w:b/>
          <w:bCs/>
          <w:color w:val="000000"/>
          <w:bdr w:val="none" w:sz="0" w:space="0" w:color="auto" w:frame="1"/>
        </w:rPr>
        <w:t>2. Supporting disabled people into employment.</w:t>
      </w:r>
      <w:r w:rsidRPr="00E73207">
        <w:rPr>
          <w:bdr w:val="none" w:sz="0" w:space="0" w:color="auto" w:frame="1"/>
        </w:rPr>
        <w:t> </w:t>
      </w:r>
    </w:p>
    <w:p w14:paraId="2BFDCCF5" w14:textId="449CB58B" w:rsidR="005478E7" w:rsidRPr="00E73207" w:rsidRDefault="005478E7" w:rsidP="005478E7">
      <w:r w:rsidRPr="00E73207">
        <w:rPr>
          <w:bdr w:val="none" w:sz="0" w:space="0" w:color="auto" w:frame="1"/>
        </w:rPr>
        <w:t>The government should: increase disabled people’s access to employment programmes and apprenticeships; increase the scale, quality and awareness of supported employment programmes and supported internships; and increase the provision of tailored careers advice to disabled people.</w:t>
      </w:r>
    </w:p>
    <w:p w14:paraId="42ACADD1" w14:textId="77777777" w:rsidR="005478E7" w:rsidRPr="00E73207" w:rsidRDefault="005478E7" w:rsidP="005478E7">
      <w:r w:rsidRPr="00E73207">
        <w:rPr>
          <w:rStyle w:val="color25"/>
          <w:b/>
          <w:bCs/>
          <w:color w:val="000000"/>
          <w:bdr w:val="none" w:sz="0" w:space="0" w:color="auto" w:frame="1"/>
        </w:rPr>
        <w:t>3. Reform of Access to Work (AtW).</w:t>
      </w:r>
      <w:r w:rsidRPr="00E73207">
        <w:rPr>
          <w:bdr w:val="none" w:sz="0" w:space="0" w:color="auto" w:frame="1"/>
        </w:rPr>
        <w:t> </w:t>
      </w:r>
    </w:p>
    <w:p w14:paraId="71BF1B0B" w14:textId="512C52E3" w:rsidR="005478E7" w:rsidRPr="00E73207" w:rsidRDefault="005478E7" w:rsidP="005478E7">
      <w:r w:rsidRPr="00E73207">
        <w:rPr>
          <w:bdr w:val="none" w:sz="0" w:space="0" w:color="auto" w:frame="1"/>
        </w:rPr>
        <w:t>The government should: remove the AtW support cap; ensure application/renewal processes are efficient, personalised, and flexible; entitle disabled job-seekers to ‘in principle’ indicative awards; facilitate passporting of awards between organisations and from Disabled Student’s Allowance to AtW; and increase awareness of AtW support.</w:t>
      </w:r>
    </w:p>
    <w:p w14:paraId="4B7D6E9B" w14:textId="77777777" w:rsidR="005478E7" w:rsidRPr="00E73207" w:rsidRDefault="005478E7" w:rsidP="005478E7">
      <w:r w:rsidRPr="00E73207">
        <w:rPr>
          <w:rStyle w:val="color25"/>
          <w:b/>
          <w:bCs/>
          <w:color w:val="000000"/>
          <w:bdr w:val="none" w:sz="0" w:space="0" w:color="auto" w:frame="1"/>
        </w:rPr>
        <w:t>4. Reform of Disability Confident.</w:t>
      </w:r>
      <w:r w:rsidRPr="00E73207">
        <w:rPr>
          <w:rStyle w:val="color25"/>
          <w:color w:val="000000"/>
          <w:bdr w:val="none" w:sz="0" w:space="0" w:color="auto" w:frame="1"/>
        </w:rPr>
        <w:t> </w:t>
      </w:r>
    </w:p>
    <w:p w14:paraId="42B7B269" w14:textId="58213032" w:rsidR="005478E7" w:rsidRPr="00E73207" w:rsidRDefault="005478E7" w:rsidP="005478E7">
      <w:r w:rsidRPr="00E73207">
        <w:rPr>
          <w:bdr w:val="none" w:sz="0" w:space="0" w:color="auto" w:frame="1"/>
        </w:rPr>
        <w:t>The government should: require all employers at Disability Confident Levels 2 and 3 to meet minimum thresholds regarding the percentage of disabled people in their workforce; and remove accreditation from employers that do not move up within 3 years from Level 1 to Levels 2 or 3.</w:t>
      </w:r>
    </w:p>
    <w:p w14:paraId="1C4435A5" w14:textId="77777777" w:rsidR="005478E7" w:rsidRPr="00E73207" w:rsidRDefault="005478E7" w:rsidP="005478E7">
      <w:r w:rsidRPr="00E73207">
        <w:rPr>
          <w:rStyle w:val="color25"/>
          <w:b/>
          <w:bCs/>
          <w:color w:val="000000"/>
          <w:bdr w:val="none" w:sz="0" w:space="0" w:color="auto" w:frame="1"/>
        </w:rPr>
        <w:t>5. Leveraging government procurement.</w:t>
      </w:r>
      <w:r w:rsidRPr="00E73207">
        <w:rPr>
          <w:bdr w:val="none" w:sz="0" w:space="0" w:color="auto" w:frame="1"/>
        </w:rPr>
        <w:t> </w:t>
      </w:r>
    </w:p>
    <w:p w14:paraId="7FCACA10" w14:textId="77777777" w:rsidR="005478E7" w:rsidRPr="00E73207" w:rsidRDefault="005478E7" w:rsidP="005478E7">
      <w:r w:rsidRPr="00E73207">
        <w:rPr>
          <w:bdr w:val="none" w:sz="0" w:space="0" w:color="auto" w:frame="1"/>
        </w:rPr>
        <w:lastRenderedPageBreak/>
        <w:t>The government should: ensure award decisions for all public sector contracts take into account the percentage of disabled people in the workforce of tendering organisations; require government contractors to work towards a minimum threshold regarding the percentage of disabled people in their workforce; and take failure to achieve this threshold into account in future contract award decisions.</w:t>
      </w:r>
    </w:p>
    <w:p w14:paraId="7B101F9D" w14:textId="2C7C60B1" w:rsidR="005478E7" w:rsidRPr="00E73207" w:rsidRDefault="005478E7" w:rsidP="005478E7">
      <w:r w:rsidRPr="00E73207">
        <w:rPr>
          <w:rStyle w:val="color25"/>
          <w:b/>
          <w:bCs/>
          <w:color w:val="000000"/>
          <w:bdr w:val="none" w:sz="0" w:space="0" w:color="auto" w:frame="1"/>
        </w:rPr>
        <w:t>6. Workplace adjustments.</w:t>
      </w:r>
      <w:r w:rsidRPr="00E73207">
        <w:rPr>
          <w:bdr w:val="none" w:sz="0" w:space="0" w:color="auto" w:frame="1"/>
        </w:rPr>
        <w:t> </w:t>
      </w:r>
    </w:p>
    <w:p w14:paraId="07F69A42" w14:textId="41A56B2B" w:rsidR="005478E7" w:rsidRPr="00E73207" w:rsidRDefault="005478E7" w:rsidP="005478E7">
      <w:r w:rsidRPr="00E73207">
        <w:rPr>
          <w:bdr w:val="none" w:sz="0" w:space="0" w:color="auto" w:frame="1"/>
        </w:rPr>
        <w:t>The government should: require employers to notify employees on decisions regarding reasonable adjustment requests within two weeks; make the option to work flexibly from day one the legal default for all jobs; introduce stronger rights to paid disability leave for assessment, rehabilitation and training; and fund an increase in Statutory Sick Pay to the European average.</w:t>
      </w:r>
    </w:p>
    <w:p w14:paraId="1A88827D" w14:textId="77777777" w:rsidR="005478E7" w:rsidRPr="00E73207" w:rsidRDefault="005478E7" w:rsidP="005478E7">
      <w:r w:rsidRPr="00E73207">
        <w:rPr>
          <w:rStyle w:val="color25"/>
          <w:b/>
          <w:bCs/>
          <w:color w:val="000000"/>
          <w:bdr w:val="none" w:sz="0" w:space="0" w:color="auto" w:frame="1"/>
        </w:rPr>
        <w:t>7. Working with disabled people and their representatives. </w:t>
      </w:r>
    </w:p>
    <w:p w14:paraId="3A7AA51F" w14:textId="2D7197AF" w:rsidR="005478E7" w:rsidRPr="00E73207" w:rsidRDefault="005478E7" w:rsidP="005478E7">
      <w:r w:rsidRPr="00E73207">
        <w:rPr>
          <w:bdr w:val="none" w:sz="0" w:space="0" w:color="auto" w:frame="1"/>
        </w:rPr>
        <w:t>The government should: require employers to consult and negotiate</w:t>
      </w:r>
      <w:r w:rsidRPr="00E73207">
        <w:rPr>
          <w:bdr w:val="none" w:sz="0" w:space="0" w:color="auto" w:frame="1"/>
        </w:rPr>
        <w:br/>
        <w:t>with disabled people and their representatives on disability equality matters; and provide trade union equality representatives and disability champions with statutory rights to time off to perform their role.</w:t>
      </w:r>
    </w:p>
    <w:p w14:paraId="0E1D6804" w14:textId="77777777" w:rsidR="005478E7" w:rsidRPr="00E73207" w:rsidRDefault="005478E7" w:rsidP="005478E7">
      <w:r w:rsidRPr="00E73207">
        <w:rPr>
          <w:rStyle w:val="color25"/>
          <w:b/>
          <w:bCs/>
          <w:color w:val="000000"/>
          <w:bdr w:val="none" w:sz="0" w:space="0" w:color="auto" w:frame="1"/>
        </w:rPr>
        <w:t>8. Advice and support.</w:t>
      </w:r>
      <w:r w:rsidRPr="00E73207">
        <w:rPr>
          <w:bdr w:val="none" w:sz="0" w:space="0" w:color="auto" w:frame="1"/>
        </w:rPr>
        <w:t> </w:t>
      </w:r>
    </w:p>
    <w:p w14:paraId="49D88F65" w14:textId="19164A17" w:rsidR="005478E7" w:rsidRPr="00E73207" w:rsidRDefault="005478E7" w:rsidP="005478E7">
      <w:r w:rsidRPr="00E73207">
        <w:rPr>
          <w:bdr w:val="none" w:sz="0" w:space="0" w:color="auto" w:frame="1"/>
        </w:rPr>
        <w:t>The government should create a ‘one stop shop’ portal to provide information, advice and guidance to employers on recruiting and retaining disabled people, and to disabled people on their employment rights.</w:t>
      </w:r>
    </w:p>
    <w:p w14:paraId="1401E2A5" w14:textId="77777777" w:rsidR="005478E7" w:rsidRPr="00E73207" w:rsidRDefault="005478E7" w:rsidP="005478E7">
      <w:r w:rsidRPr="00E73207">
        <w:rPr>
          <w:rStyle w:val="color25"/>
          <w:b/>
          <w:bCs/>
          <w:color w:val="000000"/>
          <w:bdr w:val="none" w:sz="0" w:space="0" w:color="auto" w:frame="1"/>
        </w:rPr>
        <w:t>9. National progress on disability employment.</w:t>
      </w:r>
      <w:r w:rsidRPr="00E73207">
        <w:rPr>
          <w:bdr w:val="none" w:sz="0" w:space="0" w:color="auto" w:frame="1"/>
        </w:rPr>
        <w:t> </w:t>
      </w:r>
    </w:p>
    <w:p w14:paraId="4C20C45C" w14:textId="3197FC39" w:rsidR="0083747C" w:rsidRPr="009C3BD7" w:rsidRDefault="005478E7" w:rsidP="00B14618">
      <w:r w:rsidRPr="00E73207">
        <w:rPr>
          <w:bdr w:val="none" w:sz="0" w:space="0" w:color="auto" w:frame="1"/>
        </w:rPr>
        <w:t>The government should take into account increasing disability prevalence in calculating the disability employment gap, and use the ‘prevalence corrected’ employment gap measure in monitoring national progress on disability employment.</w:t>
      </w:r>
    </w:p>
    <w:sectPr w:rsidR="0083747C" w:rsidRPr="009C3BD7">
      <w:headerReference w:type="default"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3390D" w14:textId="77777777" w:rsidR="00E47A75" w:rsidRDefault="00E47A75">
      <w:r>
        <w:separator/>
      </w:r>
    </w:p>
  </w:endnote>
  <w:endnote w:type="continuationSeparator" w:id="0">
    <w:p w14:paraId="41A18792" w14:textId="77777777" w:rsidR="00E47A75" w:rsidRDefault="00E4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3979B" w14:textId="356656C2" w:rsidR="00E47A75" w:rsidRDefault="00E47A75">
    <w:pPr>
      <w:pStyle w:val="Footer"/>
    </w:pPr>
    <w:r>
      <w:tab/>
    </w:r>
    <w:r>
      <w:tab/>
    </w:r>
    <w:r>
      <w:fldChar w:fldCharType="begin"/>
    </w:r>
    <w:r>
      <w:instrText xml:space="preserve"> PAGE  \* Arabic  \* MERGEFORMAT </w:instrText>
    </w:r>
    <w:r>
      <w:fldChar w:fldCharType="separate"/>
    </w:r>
    <w:r w:rsidR="002305B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67759" w14:textId="77777777" w:rsidR="00E47A75" w:rsidRDefault="00E47A75">
      <w:r>
        <w:separator/>
      </w:r>
    </w:p>
  </w:footnote>
  <w:footnote w:type="continuationSeparator" w:id="0">
    <w:p w14:paraId="4893B450" w14:textId="77777777" w:rsidR="00E47A75" w:rsidRDefault="00E47A75">
      <w:r>
        <w:continuationSeparator/>
      </w:r>
    </w:p>
  </w:footnote>
  <w:footnote w:id="1">
    <w:p w14:paraId="05432810" w14:textId="77777777" w:rsidR="00E47A75" w:rsidRDefault="00E47A75" w:rsidP="00753D9A">
      <w:pPr>
        <w:pStyle w:val="FootnoteText"/>
      </w:pPr>
      <w:r>
        <w:rPr>
          <w:rStyle w:val="FootnoteReference"/>
        </w:rPr>
        <w:footnoteRef/>
      </w:r>
      <w:r>
        <w:t xml:space="preserve"> </w:t>
      </w:r>
      <w:r w:rsidRPr="000B745D">
        <w:t>https://www.oireachtas.ie/en/bills/bill/2022/59/</w:t>
      </w:r>
    </w:p>
  </w:footnote>
  <w:footnote w:id="2">
    <w:p w14:paraId="7C649AD7" w14:textId="77777777" w:rsidR="00E47A75" w:rsidRDefault="00E47A75" w:rsidP="00753D9A">
      <w:pPr>
        <w:pStyle w:val="FootnoteText"/>
      </w:pPr>
      <w:r>
        <w:rPr>
          <w:rStyle w:val="FootnoteReference"/>
        </w:rPr>
        <w:footnoteRef/>
      </w:r>
      <w:r>
        <w:t xml:space="preserve"> </w:t>
      </w:r>
      <w:r w:rsidRPr="00D411AE">
        <w:t>https://employersforchange.ie/Inclusive-Recruitment</w:t>
      </w:r>
    </w:p>
  </w:footnote>
  <w:footnote w:id="3">
    <w:p w14:paraId="3A9530AD" w14:textId="77777777" w:rsidR="00E47A75" w:rsidRDefault="00E47A75" w:rsidP="00753D9A">
      <w:pPr>
        <w:pStyle w:val="FootnoteText"/>
      </w:pPr>
      <w:r>
        <w:rPr>
          <w:rStyle w:val="FootnoteReference"/>
        </w:rPr>
        <w:footnoteRef/>
      </w:r>
      <w:r>
        <w:t xml:space="preserve"> </w:t>
      </w:r>
      <w:r w:rsidRPr="00F80324">
        <w:t>https://www.ihrec.ie/guides-and-tools/human-rights-and-equality-for-employers/what-does-the-law-say/disability-and-reasonable-accommodation/</w:t>
      </w:r>
    </w:p>
  </w:footnote>
  <w:footnote w:id="4">
    <w:p w14:paraId="08793F62" w14:textId="77777777" w:rsidR="00E47A75" w:rsidRDefault="00E47A75" w:rsidP="00753D9A">
      <w:pPr>
        <w:pStyle w:val="FootnoteText"/>
      </w:pPr>
      <w:r>
        <w:rPr>
          <w:rStyle w:val="FootnoteReference"/>
        </w:rPr>
        <w:footnoteRef/>
      </w:r>
      <w:r>
        <w:t xml:space="preserve"> </w:t>
      </w:r>
      <w:r w:rsidRPr="00D411AE">
        <w:t>https://www.gov.ie/en/publication/fd2e9-reasonable-accommodation-fund-consultation-easy-to-read/</w:t>
      </w:r>
    </w:p>
  </w:footnote>
  <w:footnote w:id="5">
    <w:p w14:paraId="2E81409C" w14:textId="77777777" w:rsidR="00E47A75" w:rsidRDefault="00E47A75" w:rsidP="00753D9A">
      <w:pPr>
        <w:pStyle w:val="FootnoteText"/>
      </w:pPr>
      <w:r>
        <w:rPr>
          <w:rStyle w:val="FootnoteReference"/>
        </w:rPr>
        <w:footnoteRef/>
      </w:r>
      <w:r>
        <w:t xml:space="preserve"> </w:t>
      </w:r>
      <w:r w:rsidRPr="00D411AE">
        <w:t>https://hea.ie/assets/uploads/2022/07/PATH-4-Phase-1-Implementation-Guidelines.pdf</w:t>
      </w:r>
    </w:p>
  </w:footnote>
  <w:footnote w:id="6">
    <w:p w14:paraId="2F986861" w14:textId="77777777" w:rsidR="00E47A75" w:rsidRPr="003030FD" w:rsidRDefault="00E47A75" w:rsidP="00753D9A">
      <w:pPr>
        <w:pStyle w:val="FootnoteText"/>
        <w:spacing w:after="0"/>
        <w:rPr>
          <w:sz w:val="20"/>
        </w:rPr>
      </w:pPr>
      <w:r w:rsidRPr="00D31565">
        <w:rPr>
          <w:rStyle w:val="FootnoteReference"/>
          <w:rFonts w:ascii="Gill Sans MT" w:hAnsi="Gill Sans MT" w:cstheme="minorHAnsi"/>
          <w:szCs w:val="22"/>
        </w:rPr>
        <w:footnoteRef/>
      </w:r>
      <w:r w:rsidRPr="00D31565">
        <w:rPr>
          <w:rFonts w:cstheme="minorHAnsi"/>
          <w:szCs w:val="22"/>
        </w:rPr>
        <w:t xml:space="preserve"> </w:t>
      </w:r>
      <w:hyperlink r:id="rId1" w:history="1">
        <w:r w:rsidRPr="00D31565">
          <w:rPr>
            <w:rStyle w:val="Hyperlink"/>
            <w:rFonts w:cstheme="minorHAnsi"/>
            <w:color w:val="auto"/>
            <w:szCs w:val="22"/>
          </w:rPr>
          <w:t>The Cost of Disability in Ireland – Research Report (www.gov.ie)</w:t>
        </w:r>
      </w:hyperlink>
    </w:p>
  </w:footnote>
  <w:footnote w:id="7">
    <w:p w14:paraId="04E92490" w14:textId="77777777" w:rsidR="00E47A75" w:rsidRDefault="00E47A75" w:rsidP="00753D9A">
      <w:pPr>
        <w:pStyle w:val="FootnoteText"/>
      </w:pPr>
      <w:r>
        <w:rPr>
          <w:rStyle w:val="FootnoteReference"/>
        </w:rPr>
        <w:footnoteRef/>
      </w:r>
      <w:r>
        <w:t xml:space="preserve"> </w:t>
      </w:r>
      <w:r w:rsidRPr="00427575">
        <w:t>https://nda.ie/employment/vocational-rehabilitation</w:t>
      </w:r>
    </w:p>
  </w:footnote>
  <w:footnote w:id="8">
    <w:p w14:paraId="16E81CC2" w14:textId="77777777" w:rsidR="00E47A75" w:rsidRPr="000846FC" w:rsidRDefault="00E47A75" w:rsidP="000846FC">
      <w:pPr>
        <w:pStyle w:val="FootnoteText"/>
        <w:spacing w:after="0"/>
        <w:rPr>
          <w:szCs w:val="22"/>
        </w:rPr>
      </w:pPr>
      <w:r>
        <w:rPr>
          <w:rStyle w:val="FootnoteReference"/>
        </w:rPr>
        <w:footnoteRef/>
      </w:r>
      <w:r>
        <w:t xml:space="preserve"> </w:t>
      </w:r>
      <w:r w:rsidRPr="000846FC">
        <w:rPr>
          <w:szCs w:val="22"/>
        </w:rPr>
        <w:t>file:///H:/Downloads/232979_61217619-ccca-4336-84b8-e6038ce57f09%20(2).pdf</w:t>
      </w:r>
    </w:p>
  </w:footnote>
  <w:footnote w:id="9">
    <w:p w14:paraId="61A4085B" w14:textId="77777777" w:rsidR="00E47A75" w:rsidRPr="000846FC" w:rsidRDefault="00E47A75" w:rsidP="000846FC">
      <w:pPr>
        <w:pStyle w:val="FootnoteText"/>
        <w:spacing w:after="0"/>
        <w:rPr>
          <w:szCs w:val="22"/>
        </w:rPr>
      </w:pPr>
      <w:r w:rsidRPr="000846FC">
        <w:rPr>
          <w:rStyle w:val="FootnoteReference"/>
          <w:rFonts w:ascii="Gill Sans MT" w:hAnsi="Gill Sans MT"/>
          <w:szCs w:val="22"/>
        </w:rPr>
        <w:footnoteRef/>
      </w:r>
      <w:r w:rsidRPr="000846FC">
        <w:rPr>
          <w:szCs w:val="22"/>
        </w:rPr>
        <w:t xml:space="preserve"> </w:t>
      </w:r>
      <w:hyperlink r:id="rId2" w:anchor="page=8" w:history="1">
        <w:r w:rsidRPr="000846FC">
          <w:rPr>
            <w:szCs w:val="22"/>
            <w:u w:val="single"/>
          </w:rPr>
          <w:t>090ec83f-7e86-4419-a63c-d3ee92bbce4a.pdf (www.gov.ie)</w:t>
        </w:r>
      </w:hyperlink>
      <w:r w:rsidRPr="000846FC">
        <w:rPr>
          <w:szCs w:val="22"/>
        </w:rPr>
        <w:t xml:space="preserve"> </w:t>
      </w:r>
    </w:p>
  </w:footnote>
  <w:footnote w:id="10">
    <w:p w14:paraId="4288D146" w14:textId="77777777" w:rsidR="00E47A75" w:rsidRPr="00D75572" w:rsidRDefault="00E47A75" w:rsidP="00D87792">
      <w:pPr>
        <w:pStyle w:val="FootnoteText"/>
      </w:pPr>
      <w:r w:rsidRPr="00D75572">
        <w:rPr>
          <w:rStyle w:val="FootnoteReference"/>
        </w:rPr>
        <w:footnoteRef/>
      </w:r>
      <w:r w:rsidRPr="00D75572">
        <w:t xml:space="preserve"> See: </w:t>
      </w:r>
      <w:hyperlink r:id="rId3" w:history="1">
        <w:r w:rsidRPr="00D75572">
          <w:rPr>
            <w:rStyle w:val="Hyperlink"/>
          </w:rPr>
          <w:t>https://www.esri.ie/publications/identification-of-skills-gaps-among-persons-with-disabilities-and-their-employment</w:t>
        </w:r>
      </w:hyperlink>
      <w:r w:rsidRPr="00D75572">
        <w:t xml:space="preserve"> pg.74</w:t>
      </w:r>
    </w:p>
  </w:footnote>
  <w:footnote w:id="11">
    <w:p w14:paraId="1BCF50B2" w14:textId="77777777" w:rsidR="00E47A75" w:rsidRPr="00AE0630" w:rsidRDefault="00E47A75" w:rsidP="0064731C">
      <w:pPr>
        <w:pStyle w:val="FootnoteText"/>
        <w:rPr>
          <w:sz w:val="20"/>
        </w:rPr>
      </w:pPr>
      <w:r w:rsidRPr="00D75572">
        <w:rPr>
          <w:rStyle w:val="FootnoteReference"/>
        </w:rPr>
        <w:footnoteRef/>
      </w:r>
      <w:r w:rsidRPr="00D75572">
        <w:t xml:space="preserve"> </w:t>
      </w:r>
      <w:r w:rsidRPr="00AE0630">
        <w:rPr>
          <w:sz w:val="20"/>
        </w:rPr>
        <w:t xml:space="preserve">Includes EU27 as well as Norway, Switzerland and Luxembourg. Most recent UK data is from 2018. </w:t>
      </w:r>
    </w:p>
    <w:p w14:paraId="7B578976" w14:textId="77777777" w:rsidR="00E47A75" w:rsidRPr="00D75572" w:rsidRDefault="00E47A75" w:rsidP="0064731C">
      <w:pPr>
        <w:pStyle w:val="FootnoteText"/>
      </w:pPr>
      <w:r w:rsidRPr="00AE0630">
        <w:rPr>
          <w:sz w:val="20"/>
        </w:rPr>
        <w:t xml:space="preserve">Available: </w:t>
      </w:r>
      <w:hyperlink r:id="rId4" w:history="1">
        <w:r w:rsidRPr="00AE0630">
          <w:rPr>
            <w:rStyle w:val="Hyperlink"/>
            <w:sz w:val="20"/>
          </w:rPr>
          <w:t>https://ec.europa.eu/eurostat/databrowser/view/HLTH_DLM200/default/table?lang=en</w:t>
        </w:r>
      </w:hyperlink>
      <w:r w:rsidRPr="00D75572">
        <w:t xml:space="preserve"> </w:t>
      </w:r>
    </w:p>
  </w:footnote>
  <w:footnote w:id="12">
    <w:p w14:paraId="11753F94" w14:textId="77777777" w:rsidR="00E47A75" w:rsidRPr="003F3E2E" w:rsidRDefault="00E47A75" w:rsidP="00531693">
      <w:pPr>
        <w:pStyle w:val="FootnoteText"/>
      </w:pPr>
      <w:r w:rsidRPr="003F3E2E">
        <w:rPr>
          <w:rStyle w:val="FootnoteReference"/>
        </w:rPr>
        <w:footnoteRef/>
      </w:r>
      <w:r w:rsidRPr="003F3E2E">
        <w:t xml:space="preserve"> See: Eurostat (2022) ‘Disability statistics - Poverty and income inequalities’ </w:t>
      </w:r>
    </w:p>
    <w:p w14:paraId="5A14CC08" w14:textId="77777777" w:rsidR="00E47A75" w:rsidRPr="003F3E2E" w:rsidRDefault="00E47A75" w:rsidP="00531693">
      <w:pPr>
        <w:pStyle w:val="FootnoteText"/>
      </w:pPr>
      <w:r w:rsidRPr="003F3E2E">
        <w:t xml:space="preserve">Available: </w:t>
      </w:r>
      <w:hyperlink r:id="rId5" w:history="1">
        <w:r w:rsidRPr="003F3E2E">
          <w:rPr>
            <w:rStyle w:val="Hyperlink"/>
            <w:color w:val="auto"/>
          </w:rPr>
          <w:t>https://ec.europa.eu/eurostat/statistics-explained/index.php?title=Disability_statistics_-_poverty_and_income_inequalities&amp;oldid=561947</w:t>
        </w:r>
      </w:hyperlink>
      <w:r w:rsidRPr="003F3E2E">
        <w:t xml:space="preserve"> </w:t>
      </w:r>
    </w:p>
  </w:footnote>
  <w:footnote w:id="13">
    <w:p w14:paraId="43DF4E22" w14:textId="6616E47F" w:rsidR="00E47A75" w:rsidRDefault="00E47A75">
      <w:pPr>
        <w:pStyle w:val="FootnoteText"/>
      </w:pPr>
      <w:r>
        <w:rPr>
          <w:rStyle w:val="FootnoteReference"/>
        </w:rPr>
        <w:footnoteRef/>
      </w:r>
      <w:r>
        <w:t xml:space="preserve"> NDA </w:t>
      </w:r>
      <w:bookmarkStart w:id="14" w:name="_Toc129620653"/>
      <w:bookmarkStart w:id="15" w:name="_Toc129620780"/>
      <w:bookmarkStart w:id="16" w:name="_Toc131001414"/>
      <w:r>
        <w:t xml:space="preserve">(2023) </w:t>
      </w:r>
      <w:r w:rsidRPr="00123C6E">
        <w:t xml:space="preserve">Final Review of Progress </w:t>
      </w:r>
      <w:r>
        <w:t>on Indicators of the</w:t>
      </w:r>
      <w:bookmarkEnd w:id="14"/>
      <w:bookmarkEnd w:id="15"/>
      <w:r>
        <w:t xml:space="preserve"> N</w:t>
      </w:r>
      <w:r>
        <w:rPr>
          <w:szCs w:val="36"/>
        </w:rPr>
        <w:t xml:space="preserve">ational </w:t>
      </w:r>
      <w:r w:rsidRPr="00624AC8">
        <w:rPr>
          <w:szCs w:val="36"/>
        </w:rPr>
        <w:t>D</w:t>
      </w:r>
      <w:r>
        <w:rPr>
          <w:szCs w:val="36"/>
        </w:rPr>
        <w:t xml:space="preserve">isability </w:t>
      </w:r>
      <w:r w:rsidRPr="00624AC8">
        <w:rPr>
          <w:szCs w:val="36"/>
        </w:rPr>
        <w:t>I</w:t>
      </w:r>
      <w:r>
        <w:rPr>
          <w:szCs w:val="36"/>
        </w:rPr>
        <w:t xml:space="preserve">nclusion </w:t>
      </w:r>
      <w:r w:rsidRPr="00624AC8">
        <w:rPr>
          <w:szCs w:val="36"/>
        </w:rPr>
        <w:t>S</w:t>
      </w:r>
      <w:r>
        <w:rPr>
          <w:szCs w:val="36"/>
        </w:rPr>
        <w:t>trategy</w:t>
      </w:r>
      <w:bookmarkEnd w:id="16"/>
      <w:r>
        <w:rPr>
          <w:szCs w:val="36"/>
        </w:rPr>
        <w:t xml:space="preserve"> - forthcoming</w:t>
      </w:r>
    </w:p>
  </w:footnote>
  <w:footnote w:id="14">
    <w:p w14:paraId="399B5B38" w14:textId="29B80627" w:rsidR="00E47A75" w:rsidRPr="000669B4" w:rsidRDefault="00E47A75" w:rsidP="000669B4">
      <w:pPr>
        <w:pStyle w:val="FootnoteText"/>
        <w:spacing w:after="0"/>
        <w:rPr>
          <w:sz w:val="21"/>
          <w:szCs w:val="21"/>
        </w:rPr>
      </w:pPr>
      <w:r w:rsidRPr="00D75572">
        <w:rPr>
          <w:rStyle w:val="FootnoteReference"/>
          <w:sz w:val="21"/>
          <w:szCs w:val="21"/>
        </w:rPr>
        <w:footnoteRef/>
      </w:r>
      <w:r w:rsidRPr="00D75572">
        <w:rPr>
          <w:sz w:val="21"/>
          <w:szCs w:val="21"/>
        </w:rPr>
        <w:t xml:space="preserve"> </w:t>
      </w:r>
      <w:r w:rsidRPr="000669B4">
        <w:rPr>
          <w:sz w:val="21"/>
          <w:szCs w:val="21"/>
        </w:rPr>
        <w:t xml:space="preserve">See: Eurostat (2023) </w:t>
      </w:r>
      <w:hyperlink r:id="rId6" w:history="1">
        <w:r w:rsidRPr="000669B4">
          <w:rPr>
            <w:rStyle w:val="Hyperlink"/>
            <w:color w:val="auto"/>
            <w:sz w:val="21"/>
            <w:szCs w:val="21"/>
          </w:rPr>
          <w:t>Disability employment gap by level of activity limitation and sex (source EU-SILC)</w:t>
        </w:r>
      </w:hyperlink>
      <w:r w:rsidRPr="000669B4">
        <w:rPr>
          <w:sz w:val="21"/>
          <w:szCs w:val="21"/>
        </w:rPr>
        <w:t xml:space="preserve"> </w:t>
      </w:r>
    </w:p>
  </w:footnote>
  <w:footnote w:id="15">
    <w:p w14:paraId="22FD43C2" w14:textId="0E363741" w:rsidR="00E47A75" w:rsidRPr="000669B4" w:rsidRDefault="00E47A75" w:rsidP="000669B4">
      <w:pPr>
        <w:pStyle w:val="FootnoteText"/>
        <w:spacing w:after="0"/>
      </w:pPr>
      <w:r w:rsidRPr="000669B4">
        <w:rPr>
          <w:rStyle w:val="FootnoteReference"/>
        </w:rPr>
        <w:footnoteRef/>
      </w:r>
      <w:r w:rsidRPr="000669B4">
        <w:t xml:space="preserve"> https://www.eud.eu/eu-commission-announces-its-new-disability-employment-package-to-improve-labour-market-outcomes-for-persons-with-disabilities/</w:t>
      </w:r>
    </w:p>
  </w:footnote>
  <w:footnote w:id="16">
    <w:p w14:paraId="185F871B" w14:textId="77777777" w:rsidR="00E47A75" w:rsidRPr="000669B4" w:rsidRDefault="00E47A75" w:rsidP="000669B4">
      <w:pPr>
        <w:pStyle w:val="Default"/>
        <w:rPr>
          <w:color w:val="auto"/>
        </w:rPr>
      </w:pPr>
      <w:r w:rsidRPr="000669B4">
        <w:rPr>
          <w:rStyle w:val="FootnoteReference"/>
          <w:rFonts w:ascii="Gill Sans MT" w:hAnsi="Gill Sans MT"/>
          <w:color w:val="auto"/>
          <w:szCs w:val="22"/>
        </w:rPr>
        <w:footnoteRef/>
      </w:r>
      <w:r w:rsidRPr="000669B4">
        <w:rPr>
          <w:rFonts w:ascii="Gill Sans MT" w:hAnsi="Gill Sans MT"/>
          <w:color w:val="auto"/>
          <w:sz w:val="22"/>
          <w:szCs w:val="22"/>
        </w:rPr>
        <w:t xml:space="preserve"> European Commission (COM(2021) 101 final): Union of Equality: Strategy for the Rights of Persons with Disabilities 2021-2030</w:t>
      </w:r>
      <w:r w:rsidRPr="000669B4">
        <w:rPr>
          <w:color w:val="auto"/>
          <w:sz w:val="20"/>
        </w:rPr>
        <w:t xml:space="preserve"> </w:t>
      </w:r>
      <w:r w:rsidRPr="000669B4">
        <w:rPr>
          <w:color w:val="auto"/>
        </w:rPr>
        <w:t xml:space="preserve"> </w:t>
      </w:r>
    </w:p>
  </w:footnote>
  <w:footnote w:id="17">
    <w:p w14:paraId="7405BA7E" w14:textId="17E71E39" w:rsidR="00E47A75" w:rsidRPr="000669B4" w:rsidRDefault="00E47A75" w:rsidP="000669B4">
      <w:pPr>
        <w:pStyle w:val="FootnoteText"/>
        <w:spacing w:after="0"/>
        <w:rPr>
          <w:rFonts w:cstheme="minorHAnsi"/>
          <w:szCs w:val="22"/>
        </w:rPr>
      </w:pPr>
      <w:r w:rsidRPr="000669B4">
        <w:rPr>
          <w:rStyle w:val="FootnoteReference"/>
        </w:rPr>
        <w:footnoteRef/>
      </w:r>
      <w:r w:rsidRPr="000669B4">
        <w:rPr>
          <w:rFonts w:cstheme="minorHAnsi"/>
          <w:szCs w:val="22"/>
        </w:rPr>
        <w:t xml:space="preserve"> </w:t>
      </w:r>
      <w:hyperlink r:id="rId7" w:history="1">
        <w:r w:rsidRPr="000669B4">
          <w:rPr>
            <w:rStyle w:val="Hyperlink"/>
            <w:rFonts w:cstheme="minorHAnsi"/>
            <w:color w:val="auto"/>
            <w:szCs w:val="22"/>
          </w:rPr>
          <w:t>https://ec.europa.eu/social/main.jsp?langId=en&amp;catId=89&amp;newsId=10387&amp;furtherNews=yes</w:t>
        </w:r>
      </w:hyperlink>
    </w:p>
  </w:footnote>
  <w:footnote w:id="18">
    <w:p w14:paraId="7620FECB" w14:textId="5EB2A018" w:rsidR="00E47A75" w:rsidRDefault="00E47A75" w:rsidP="000669B4">
      <w:pPr>
        <w:pStyle w:val="FootnoteText"/>
        <w:spacing w:after="0"/>
      </w:pPr>
      <w:r w:rsidRPr="000669B4">
        <w:rPr>
          <w:rStyle w:val="FootnoteReference"/>
        </w:rPr>
        <w:footnoteRef/>
      </w:r>
      <w:r w:rsidRPr="000669B4">
        <w:t xml:space="preserve"> </w:t>
      </w:r>
      <w:hyperlink r:id="rId8" w:history="1">
        <w:r w:rsidRPr="000669B4">
          <w:rPr>
            <w:rStyle w:val="Hyperlink"/>
            <w:color w:val="auto"/>
          </w:rPr>
          <w:t>PES-Disability-Toolkit.pdf</w:t>
        </w:r>
      </w:hyperlink>
      <w:r w:rsidRPr="000669B4">
        <w:t xml:space="preserve"> </w:t>
      </w:r>
    </w:p>
  </w:footnote>
  <w:footnote w:id="19">
    <w:p w14:paraId="604B9CF7" w14:textId="77777777" w:rsidR="00E47A75" w:rsidRDefault="00E47A75" w:rsidP="00266359">
      <w:pPr>
        <w:pStyle w:val="FootnoteText"/>
      </w:pPr>
      <w:r>
        <w:rPr>
          <w:rStyle w:val="FootnoteReference"/>
        </w:rPr>
        <w:footnoteRef/>
      </w:r>
      <w:r>
        <w:t xml:space="preserve"> </w:t>
      </w:r>
      <w:r w:rsidRPr="000B745D">
        <w:t>https://www.oireachtas.ie/en/bills/bill/2022/59/</w:t>
      </w:r>
    </w:p>
  </w:footnote>
  <w:footnote w:id="20">
    <w:p w14:paraId="0D89C128" w14:textId="59CF8E4B" w:rsidR="00E47A75" w:rsidRDefault="00E47A75">
      <w:pPr>
        <w:pStyle w:val="FootnoteText"/>
      </w:pPr>
      <w:r>
        <w:rPr>
          <w:rStyle w:val="FootnoteReference"/>
        </w:rPr>
        <w:footnoteRef/>
      </w:r>
      <w:r>
        <w:t xml:space="preserve"> </w:t>
      </w:r>
      <w:r w:rsidRPr="000669B4">
        <w:t>https://www.gov.ie/ga/preasraitis/9b8cc-new-third-level-access-support-for-autistic-students-and-students-with-an-intellectual-disability-announced-by-minister-harris/#</w:t>
      </w:r>
    </w:p>
  </w:footnote>
  <w:footnote w:id="21">
    <w:p w14:paraId="41B23303" w14:textId="2F90A65A" w:rsidR="00E47A75" w:rsidRDefault="00E47A75">
      <w:pPr>
        <w:pStyle w:val="FootnoteText"/>
      </w:pPr>
      <w:r>
        <w:rPr>
          <w:rStyle w:val="FootnoteReference"/>
        </w:rPr>
        <w:footnoteRef/>
      </w:r>
      <w:r>
        <w:t xml:space="preserve"> </w:t>
      </w:r>
      <w:r w:rsidRPr="004C6E0E">
        <w:t>https://www.officeforstudents.org.uk/news-blog-and-events/press-and-media/going-to-university-almost-halves-disability-job-gap/</w:t>
      </w:r>
    </w:p>
  </w:footnote>
  <w:footnote w:id="22">
    <w:p w14:paraId="0D2D0AB2" w14:textId="77777777" w:rsidR="00E47A75" w:rsidRPr="004C34C9" w:rsidRDefault="00E47A75" w:rsidP="00533127">
      <w:pPr>
        <w:pStyle w:val="FootnoteText"/>
      </w:pPr>
      <w:r w:rsidRPr="004C34C9">
        <w:rPr>
          <w:rStyle w:val="FootnoteReference"/>
        </w:rPr>
        <w:footnoteRef/>
      </w:r>
      <w:r w:rsidRPr="004C34C9">
        <w:t xml:space="preserve"> UDL for FET Practitioners: Guidance for Implementing Universal Design for Learning in Irish Further Education and Training. (SOLAS, ETBI, AHEAD)</w:t>
      </w:r>
    </w:p>
  </w:footnote>
  <w:footnote w:id="23">
    <w:p w14:paraId="76CF4933" w14:textId="63B5BDBD" w:rsidR="00E47A75" w:rsidRDefault="00E47A75">
      <w:pPr>
        <w:pStyle w:val="FootnoteText"/>
      </w:pPr>
      <w:r w:rsidRPr="004C34C9">
        <w:rPr>
          <w:rStyle w:val="FootnoteReference"/>
        </w:rPr>
        <w:footnoteRef/>
      </w:r>
      <w:r w:rsidRPr="004C34C9">
        <w:t xml:space="preserve"> This strategic priority, which is a partnership approach with ETBs, the National Disability Authority and AHEAD, is a key priority across the FET system.</w:t>
      </w:r>
    </w:p>
  </w:footnote>
  <w:footnote w:id="24">
    <w:p w14:paraId="265AF5D6" w14:textId="2A98F78F" w:rsidR="00E47A75" w:rsidRDefault="00E47A75">
      <w:pPr>
        <w:pStyle w:val="FootnoteText"/>
      </w:pPr>
      <w:r>
        <w:rPr>
          <w:rStyle w:val="FootnoteReference"/>
        </w:rPr>
        <w:footnoteRef/>
      </w:r>
      <w:r>
        <w:t xml:space="preserve"> </w:t>
      </w:r>
      <w:r w:rsidRPr="000E6BB7">
        <w:t>https://www.solas.ie/about/fet-system-performance/</w:t>
      </w:r>
    </w:p>
  </w:footnote>
  <w:footnote w:id="25">
    <w:p w14:paraId="4FD19243" w14:textId="77777777" w:rsidR="00E47A75" w:rsidRDefault="00E47A75" w:rsidP="00266359">
      <w:pPr>
        <w:pStyle w:val="FootnoteText"/>
      </w:pPr>
      <w:r>
        <w:rPr>
          <w:rStyle w:val="FootnoteReference"/>
        </w:rPr>
        <w:footnoteRef/>
      </w:r>
      <w:r>
        <w:t xml:space="preserve"> </w:t>
      </w:r>
      <w:r w:rsidRPr="00F80324">
        <w:t>https://www.ihrec.ie/guides-and-tools/human-rights-and-equality-for-employers/what-does-the-law-say/disability-and-reasonable-accommodation/</w:t>
      </w:r>
    </w:p>
  </w:footnote>
  <w:footnote w:id="26">
    <w:p w14:paraId="70B209C5" w14:textId="77777777" w:rsidR="00E47A75" w:rsidRDefault="00E47A75" w:rsidP="009A1C6B">
      <w:pPr>
        <w:pStyle w:val="FootnoteText"/>
      </w:pPr>
      <w:r>
        <w:rPr>
          <w:rStyle w:val="FootnoteReference"/>
        </w:rPr>
        <w:footnoteRef/>
      </w:r>
      <w:r>
        <w:t xml:space="preserve"> </w:t>
      </w:r>
      <w:r w:rsidRPr="00156031">
        <w:t>https://www.oireachtas.ie/en/bills/bill/2022/38/</w:t>
      </w:r>
    </w:p>
  </w:footnote>
  <w:footnote w:id="27">
    <w:p w14:paraId="09A541FF" w14:textId="77777777" w:rsidR="00E47A75" w:rsidRPr="00D31565" w:rsidRDefault="00E47A75" w:rsidP="00E06E2E">
      <w:pPr>
        <w:pStyle w:val="FootnoteText"/>
        <w:spacing w:after="0"/>
        <w:rPr>
          <w:rFonts w:cstheme="minorHAnsi"/>
          <w:szCs w:val="22"/>
        </w:rPr>
      </w:pPr>
      <w:r w:rsidRPr="00D31565">
        <w:rPr>
          <w:rStyle w:val="FootnoteReference"/>
          <w:rFonts w:ascii="Gill Sans MT" w:hAnsi="Gill Sans MT" w:cstheme="minorHAnsi"/>
          <w:szCs w:val="22"/>
        </w:rPr>
        <w:footnoteRef/>
      </w:r>
      <w:r w:rsidRPr="00D31565">
        <w:rPr>
          <w:rFonts w:cstheme="minorHAnsi"/>
          <w:szCs w:val="22"/>
        </w:rPr>
        <w:t xml:space="preserve"> </w:t>
      </w:r>
      <w:r w:rsidRPr="00D31565">
        <w:rPr>
          <w:rFonts w:cstheme="minorHAnsi"/>
          <w:szCs w:val="22"/>
          <w:shd w:val="clear" w:color="auto" w:fill="FFFFFF"/>
        </w:rPr>
        <w:t>Carroll E, McCoy S. Personal Assistance Services in Ireland: A Capability Approach to Understanding the Lived Experience of Disabled People. </w:t>
      </w:r>
      <w:r w:rsidRPr="00D31565">
        <w:rPr>
          <w:rFonts w:cstheme="minorHAnsi"/>
          <w:i/>
          <w:iCs/>
          <w:szCs w:val="22"/>
          <w:shd w:val="clear" w:color="auto" w:fill="FFFFFF"/>
        </w:rPr>
        <w:t>Disabilities</w:t>
      </w:r>
      <w:r w:rsidRPr="00D31565">
        <w:rPr>
          <w:rFonts w:cstheme="minorHAnsi"/>
          <w:szCs w:val="22"/>
          <w:shd w:val="clear" w:color="auto" w:fill="FFFFFF"/>
        </w:rPr>
        <w:t>. 2022; 2(4):694-714. https://doi.org/10.3390/disabilities2040049</w:t>
      </w:r>
    </w:p>
  </w:footnote>
  <w:footnote w:id="28">
    <w:p w14:paraId="7306033E" w14:textId="3C025C45" w:rsidR="00E47A75" w:rsidRDefault="00E47A75">
      <w:pPr>
        <w:pStyle w:val="FootnoteText"/>
      </w:pPr>
      <w:r>
        <w:rPr>
          <w:rStyle w:val="FootnoteReference"/>
        </w:rPr>
        <w:footnoteRef/>
      </w:r>
      <w:r>
        <w:t xml:space="preserve"> </w:t>
      </w:r>
      <w:r w:rsidRPr="000E6BB7">
        <w:t>https://www.who.int/publications/i/item/9789240049451</w:t>
      </w:r>
    </w:p>
  </w:footnote>
  <w:footnote w:id="29">
    <w:p w14:paraId="23E18E3C" w14:textId="77777777" w:rsidR="00E47A75" w:rsidRPr="003030FD" w:rsidRDefault="00E47A75" w:rsidP="00D31565">
      <w:pPr>
        <w:pStyle w:val="FootnoteText"/>
        <w:spacing w:after="0"/>
        <w:rPr>
          <w:sz w:val="20"/>
        </w:rPr>
      </w:pPr>
      <w:r w:rsidRPr="00D31565">
        <w:rPr>
          <w:rStyle w:val="FootnoteReference"/>
          <w:rFonts w:ascii="Gill Sans MT" w:hAnsi="Gill Sans MT" w:cstheme="minorHAnsi"/>
          <w:szCs w:val="22"/>
        </w:rPr>
        <w:footnoteRef/>
      </w:r>
      <w:r w:rsidRPr="00D31565">
        <w:rPr>
          <w:rFonts w:cstheme="minorHAnsi"/>
          <w:szCs w:val="22"/>
        </w:rPr>
        <w:t xml:space="preserve"> </w:t>
      </w:r>
      <w:hyperlink r:id="rId9" w:history="1">
        <w:r w:rsidRPr="00D31565">
          <w:rPr>
            <w:rStyle w:val="Hyperlink"/>
            <w:rFonts w:cstheme="minorHAnsi"/>
            <w:color w:val="auto"/>
            <w:szCs w:val="22"/>
          </w:rPr>
          <w:t>The Cost of Disability in Ireland – Research Report (www.gov.ie)</w:t>
        </w:r>
      </w:hyperlink>
    </w:p>
  </w:footnote>
  <w:footnote w:id="30">
    <w:p w14:paraId="18CAA33F" w14:textId="1EB926E7" w:rsidR="00E47A75" w:rsidRDefault="00E47A75">
      <w:pPr>
        <w:pStyle w:val="FootnoteText"/>
      </w:pPr>
      <w:r>
        <w:rPr>
          <w:rStyle w:val="FootnoteReference"/>
        </w:rPr>
        <w:footnoteRef/>
      </w:r>
      <w:r>
        <w:t xml:space="preserve"> </w:t>
      </w:r>
      <w:r w:rsidRPr="0072781A">
        <w:t>https://nda.ie/publications/participation-matters-guidelines-on-implementing-the-obligation-to-meaningfully-engage-with-disabled-people-in-public-decision-making</w:t>
      </w:r>
    </w:p>
  </w:footnote>
  <w:footnote w:id="31">
    <w:p w14:paraId="4E6C5741" w14:textId="77777777" w:rsidR="00E47A75" w:rsidRPr="00077157" w:rsidRDefault="00E47A75" w:rsidP="0083747C">
      <w:pPr>
        <w:pStyle w:val="FootnoteText"/>
        <w:spacing w:after="0"/>
        <w:rPr>
          <w:szCs w:val="22"/>
        </w:rPr>
      </w:pPr>
      <w:r w:rsidRPr="00C24A33">
        <w:rPr>
          <w:rStyle w:val="FootnoteReference"/>
          <w:rFonts w:ascii="Gill Sans MT" w:hAnsi="Gill Sans MT"/>
          <w:szCs w:val="22"/>
        </w:rPr>
        <w:footnoteRef/>
      </w:r>
      <w:r w:rsidRPr="00C24A33">
        <w:rPr>
          <w:szCs w:val="22"/>
        </w:rPr>
        <w:t xml:space="preserve"> </w:t>
      </w:r>
      <w:hyperlink r:id="rId10" w:history="1">
        <w:r w:rsidRPr="00077157">
          <w:rPr>
            <w:rFonts w:eastAsia="MS PGothic"/>
            <w:color w:val="000000"/>
            <w:kern w:val="24"/>
            <w:szCs w:val="22"/>
            <w:u w:val="single"/>
            <w:lang w:eastAsia="en-IE"/>
          </w:rPr>
          <w:t>https://careersportal.ie/news/pilot-project-to-support-young-school-leavers-with-disabilities</w:t>
        </w:r>
      </w:hyperlink>
    </w:p>
  </w:footnote>
  <w:footnote w:id="32">
    <w:p w14:paraId="2D5C4A6E" w14:textId="77777777" w:rsidR="00E47A75" w:rsidRPr="00077157" w:rsidRDefault="00E47A75" w:rsidP="0083747C">
      <w:pPr>
        <w:pStyle w:val="FootnoteText"/>
        <w:spacing w:after="0"/>
        <w:rPr>
          <w:szCs w:val="22"/>
        </w:rPr>
      </w:pPr>
      <w:r w:rsidRPr="00077157">
        <w:rPr>
          <w:rStyle w:val="FootnoteReference"/>
          <w:rFonts w:ascii="Gill Sans MT" w:hAnsi="Gill Sans MT"/>
          <w:szCs w:val="22"/>
        </w:rPr>
        <w:footnoteRef/>
      </w:r>
      <w:r w:rsidRPr="00077157">
        <w:rPr>
          <w:szCs w:val="22"/>
        </w:rPr>
        <w:t xml:space="preserve"> https://www.walk.ie/perch/resources/walk-peer-evaluation-report-fv170415.pdf</w:t>
      </w:r>
    </w:p>
  </w:footnote>
  <w:footnote w:id="33">
    <w:p w14:paraId="48A0346E" w14:textId="77777777" w:rsidR="00E47A75" w:rsidRPr="003122E9" w:rsidRDefault="00E47A75" w:rsidP="0083747C">
      <w:pPr>
        <w:pStyle w:val="FootnoteText"/>
        <w:spacing w:after="0"/>
        <w:rPr>
          <w:szCs w:val="22"/>
        </w:rPr>
      </w:pPr>
      <w:r w:rsidRPr="00077157">
        <w:rPr>
          <w:rStyle w:val="FootnoteReference"/>
          <w:rFonts w:ascii="Gill Sans MT" w:hAnsi="Gill Sans MT"/>
          <w:szCs w:val="22"/>
        </w:rPr>
        <w:footnoteRef/>
      </w:r>
      <w:r w:rsidRPr="00077157">
        <w:rPr>
          <w:szCs w:val="22"/>
        </w:rPr>
        <w:t xml:space="preserve"> </w:t>
      </w:r>
      <w:hyperlink r:id="rId11" w:history="1">
        <w:r w:rsidRPr="003122E9">
          <w:rPr>
            <w:szCs w:val="22"/>
          </w:rPr>
          <w:t>gov.ie - Ministers Foley and Madigan announce details of Dormant Accounts Funding programme to support transitions from school for students with complex special educational needs (www.gov.ie)</w:t>
        </w:r>
      </w:hyperlink>
    </w:p>
  </w:footnote>
  <w:footnote w:id="34">
    <w:p w14:paraId="38DA0B1A" w14:textId="1E890D3C" w:rsidR="00E47A75" w:rsidRDefault="00E47A75">
      <w:pPr>
        <w:pStyle w:val="FootnoteText"/>
      </w:pPr>
      <w:r>
        <w:rPr>
          <w:rStyle w:val="FootnoteReference"/>
        </w:rPr>
        <w:footnoteRef/>
      </w:r>
      <w:r>
        <w:t xml:space="preserve"> </w:t>
      </w:r>
      <w:hyperlink r:id="rId12" w:history="1">
        <w:r w:rsidRPr="00544AE1">
          <w:rPr>
            <w:rStyle w:val="Hyperlink"/>
          </w:rPr>
          <w:t>https://kar.kent.ac.uk/100600/1/J.%20Beadle-Brown%20-%20Mapping%20frameworks%20and%20approaches%20to%20measuring%20the%20quality%20-%20PPDF.pdf</w:t>
        </w:r>
      </w:hyperlink>
    </w:p>
  </w:footnote>
  <w:footnote w:id="35">
    <w:p w14:paraId="45082AF7" w14:textId="7600BAAF" w:rsidR="00E47A75" w:rsidRPr="003122E9" w:rsidRDefault="00E47A75">
      <w:pPr>
        <w:pStyle w:val="FootnoteText"/>
        <w:rPr>
          <w:szCs w:val="22"/>
        </w:rPr>
      </w:pPr>
      <w:r w:rsidRPr="003122E9">
        <w:rPr>
          <w:rStyle w:val="FootnoteReference"/>
          <w:rFonts w:ascii="Gill Sans MT" w:hAnsi="Gill Sans MT"/>
          <w:szCs w:val="22"/>
        </w:rPr>
        <w:footnoteRef/>
      </w:r>
      <w:r>
        <w:rPr>
          <w:szCs w:val="22"/>
        </w:rPr>
        <w:t xml:space="preserve"> </w:t>
      </w:r>
      <w:r w:rsidRPr="003122E9">
        <w:rPr>
          <w:szCs w:val="22"/>
        </w:rPr>
        <w:t>https://www.researchgate.net/publication/225180619_The_involvement_of_the_European_Union_in_career_guidance_policy_A_brief_history</w:t>
      </w:r>
    </w:p>
  </w:footnote>
  <w:footnote w:id="36">
    <w:p w14:paraId="3B2E0067" w14:textId="2C06100C" w:rsidR="00E47A75" w:rsidRDefault="00E47A75">
      <w:pPr>
        <w:pStyle w:val="FootnoteText"/>
      </w:pPr>
      <w:r>
        <w:rPr>
          <w:rStyle w:val="FootnoteReference"/>
        </w:rPr>
        <w:footnoteRef/>
      </w:r>
      <w:r>
        <w:t xml:space="preserve"> </w:t>
      </w:r>
      <w:r w:rsidRPr="004D60A8">
        <w:t>https://www.oecd.org/berlin/publikationen/Dream-Jobs.pdf</w:t>
      </w:r>
    </w:p>
  </w:footnote>
  <w:footnote w:id="37">
    <w:p w14:paraId="656518C0" w14:textId="77777777" w:rsidR="00E47A75" w:rsidRPr="003122E9" w:rsidRDefault="00E47A75">
      <w:pPr>
        <w:pStyle w:val="FootnoteText"/>
        <w:rPr>
          <w:szCs w:val="22"/>
        </w:rPr>
      </w:pPr>
      <w:r w:rsidRPr="003122E9">
        <w:rPr>
          <w:rStyle w:val="FootnoteReference"/>
          <w:rFonts w:ascii="Gill Sans MT" w:hAnsi="Gill Sans MT"/>
          <w:szCs w:val="22"/>
        </w:rPr>
        <w:footnoteRef/>
      </w:r>
      <w:r w:rsidRPr="003122E9">
        <w:rPr>
          <w:szCs w:val="22"/>
        </w:rPr>
        <w:t xml:space="preserve"> </w:t>
      </w:r>
      <w:hyperlink r:id="rId13" w:history="1">
        <w:r w:rsidRPr="003122E9">
          <w:rPr>
            <w:rStyle w:val="Hyperlink"/>
            <w:color w:val="auto"/>
            <w:szCs w:val="22"/>
            <w:u w:val="none"/>
          </w:rPr>
          <w:t>https://assets.gov.ie/18906/1120bc6ad254489db9571c74e8572f44.pdf</w:t>
        </w:r>
      </w:hyperlink>
    </w:p>
  </w:footnote>
  <w:footnote w:id="38">
    <w:p w14:paraId="7273617A" w14:textId="77777777" w:rsidR="00E47A75" w:rsidRDefault="00E47A75" w:rsidP="004B15CE">
      <w:pPr>
        <w:pStyle w:val="FootnoteText"/>
      </w:pPr>
      <w:r w:rsidRPr="003122E9">
        <w:rPr>
          <w:rStyle w:val="FootnoteReference"/>
          <w:rFonts w:ascii="Gill Sans MT" w:hAnsi="Gill Sans MT"/>
          <w:szCs w:val="22"/>
        </w:rPr>
        <w:footnoteRef/>
      </w:r>
      <w:r w:rsidRPr="003122E9">
        <w:rPr>
          <w:szCs w:val="22"/>
        </w:rPr>
        <w:t xml:space="preserve"> </w:t>
      </w:r>
      <w:hyperlink r:id="rId14" w:history="1">
        <w:r w:rsidRPr="003122E9">
          <w:rPr>
            <w:szCs w:val="22"/>
          </w:rPr>
          <w:t>Principles of Good Transitions - Scottish Transitions Forum</w:t>
        </w:r>
      </w:hyperlink>
    </w:p>
  </w:footnote>
  <w:footnote w:id="39">
    <w:p w14:paraId="6DE17528" w14:textId="0783847F" w:rsidR="00E47A75" w:rsidRDefault="00E47A75">
      <w:pPr>
        <w:pStyle w:val="FootnoteText"/>
      </w:pPr>
      <w:r>
        <w:rPr>
          <w:rStyle w:val="FootnoteReference"/>
        </w:rPr>
        <w:footnoteRef/>
      </w:r>
      <w:r w:rsidRPr="00C35E01">
        <w:t>https://nda.ie/publications/literature-review-of-career-guidance-for-learners-with-disabilities-in-second-level-education</w:t>
      </w:r>
      <w:r>
        <w:t xml:space="preserve"> </w:t>
      </w:r>
    </w:p>
  </w:footnote>
  <w:footnote w:id="40">
    <w:p w14:paraId="665FF501" w14:textId="77777777" w:rsidR="00E47A75" w:rsidRDefault="00E47A75" w:rsidP="005F2DEA">
      <w:pPr>
        <w:pStyle w:val="FootnoteText"/>
      </w:pPr>
      <w:r>
        <w:rPr>
          <w:rStyle w:val="FootnoteReference"/>
        </w:rPr>
        <w:footnoteRef/>
      </w:r>
      <w:r>
        <w:t xml:space="preserve"> </w:t>
      </w:r>
      <w:r w:rsidRPr="0027039B">
        <w:t>https://www.ictu.ie/publications/reasonable-adjustment-disability-passport</w:t>
      </w:r>
    </w:p>
  </w:footnote>
  <w:footnote w:id="41">
    <w:p w14:paraId="0A4713A3" w14:textId="77777777" w:rsidR="00E47A75" w:rsidRDefault="00E47A75" w:rsidP="005F2DEA">
      <w:pPr>
        <w:pStyle w:val="FootnoteText"/>
      </w:pPr>
      <w:r>
        <w:rPr>
          <w:rStyle w:val="FootnoteReference"/>
        </w:rPr>
        <w:footnoteRef/>
      </w:r>
      <w:r>
        <w:t xml:space="preserve"> </w:t>
      </w:r>
      <w:r w:rsidRPr="0027039B">
        <w:t>https://www.ibec.ie/employer-hub/hr-management-guide/employment-equality/implementation-guidelines/employing-people-with-a-disability</w:t>
      </w:r>
    </w:p>
  </w:footnote>
  <w:footnote w:id="42">
    <w:p w14:paraId="4F6F7C75" w14:textId="77777777" w:rsidR="00E47A75" w:rsidRDefault="00E47A75">
      <w:pPr>
        <w:pStyle w:val="FootnoteText"/>
      </w:pPr>
      <w:r>
        <w:rPr>
          <w:rStyle w:val="FootnoteReference"/>
        </w:rPr>
        <w:footnoteRef/>
      </w:r>
      <w:r>
        <w:t xml:space="preserve"> </w:t>
      </w:r>
      <w:hyperlink r:id="rId15" w:history="1">
        <w:r w:rsidRPr="00811C9A">
          <w:rPr>
            <w:rStyle w:val="Hyperlink"/>
          </w:rPr>
          <w:t>https://nda.ie/publications/nda-conference-2022</w:t>
        </w:r>
      </w:hyperlink>
      <w:r>
        <w:t xml:space="preserve"> </w:t>
      </w:r>
    </w:p>
  </w:footnote>
  <w:footnote w:id="43">
    <w:p w14:paraId="79CA4754" w14:textId="77777777" w:rsidR="00E47A75" w:rsidRPr="00362B8E" w:rsidRDefault="00E47A75" w:rsidP="00430CE3">
      <w:pPr>
        <w:pStyle w:val="ListBullet"/>
        <w:numPr>
          <w:ilvl w:val="0"/>
          <w:numId w:val="0"/>
        </w:numPr>
      </w:pPr>
      <w:r>
        <w:rPr>
          <w:rStyle w:val="FootnoteReference"/>
        </w:rPr>
        <w:footnoteRef/>
      </w:r>
      <w:r>
        <w:t xml:space="preserve"> </w:t>
      </w:r>
      <w:r w:rsidRPr="00723F28">
        <w:rPr>
          <w:sz w:val="22"/>
          <w:szCs w:val="22"/>
        </w:rPr>
        <w:t>Work Placement Experience Programme is a labour market initiative and is a key initiative under the Pathways to Work 2021-2025 employment strategy. The Work Placement Experience Programme has a provision of 10,000 places with 4,000 ring-fenced for young jobseekers and participation is open to jobseekers with a disability, and those in receipt of Disability Allowance or Blind Pension.</w:t>
      </w:r>
    </w:p>
    <w:p w14:paraId="601F647D" w14:textId="77777777" w:rsidR="00E47A75" w:rsidRDefault="00E47A75" w:rsidP="00187D04">
      <w:pPr>
        <w:pStyle w:val="FootnoteText"/>
      </w:pPr>
    </w:p>
  </w:footnote>
  <w:footnote w:id="44">
    <w:p w14:paraId="40967EBA" w14:textId="1DD55F3F" w:rsidR="00E47A75" w:rsidRPr="005C1D97" w:rsidRDefault="00E47A75" w:rsidP="005C1D97">
      <w:pPr>
        <w:shd w:val="clear" w:color="auto" w:fill="FFFFFF"/>
        <w:spacing w:after="0" w:afterAutospacing="1"/>
        <w:rPr>
          <w:rFonts w:cs="Open Sans"/>
          <w:color w:val="333333"/>
          <w:sz w:val="22"/>
          <w:szCs w:val="22"/>
          <w:lang w:eastAsia="en-IE"/>
        </w:rPr>
      </w:pPr>
      <w:r w:rsidRPr="005D58A5">
        <w:rPr>
          <w:rStyle w:val="FootnoteReference"/>
          <w:rFonts w:ascii="Gill Sans MT" w:hAnsi="Gill Sans MT"/>
          <w:szCs w:val="22"/>
        </w:rPr>
        <w:footnoteRef/>
      </w:r>
      <w:r w:rsidRPr="005D58A5">
        <w:rPr>
          <w:sz w:val="22"/>
          <w:szCs w:val="22"/>
        </w:rPr>
        <w:t xml:space="preserve"> </w:t>
      </w:r>
      <w:r w:rsidRPr="005C1D97">
        <w:rPr>
          <w:rFonts w:cs="Open Sans"/>
          <w:color w:val="333333"/>
          <w:sz w:val="22"/>
          <w:szCs w:val="22"/>
          <w:lang w:eastAsia="en-IE"/>
        </w:rPr>
        <w:t>Henri V. Pesonen, Mitzi Waltz, Marc Fabri, Minja Lahdelma &amp; Elena V. Syurina (2021) Students and graduates with autism: perceptions of support when preparing for transition from university to work, European Journal of Special Needs Education, 36:4, 531-546, DOI: </w:t>
      </w:r>
      <w:hyperlink r:id="rId16" w:history="1">
        <w:r w:rsidRPr="005C1D97">
          <w:rPr>
            <w:rFonts w:cs="Open Sans"/>
            <w:color w:val="333333"/>
            <w:sz w:val="22"/>
            <w:szCs w:val="22"/>
            <w:u w:val="single"/>
            <w:lang w:eastAsia="en-IE"/>
          </w:rPr>
          <w:t>10.1080/08856257.2020.1769982</w:t>
        </w:r>
      </w:hyperlink>
    </w:p>
  </w:footnote>
  <w:footnote w:id="45">
    <w:p w14:paraId="4217536C" w14:textId="07C969A7" w:rsidR="00E47A75" w:rsidRDefault="00E47A75" w:rsidP="00DC1830">
      <w:r w:rsidRPr="005C1D97">
        <w:rPr>
          <w:rStyle w:val="FootnoteReference"/>
          <w:szCs w:val="22"/>
        </w:rPr>
        <w:footnoteRef/>
      </w:r>
      <w:r w:rsidRPr="005C1D97">
        <w:rPr>
          <w:sz w:val="22"/>
          <w:szCs w:val="22"/>
        </w:rPr>
        <w:t xml:space="preserve"> Final Review of Progress on Indicators of the National Disability Inclusion S</w:t>
      </w:r>
      <w:r>
        <w:rPr>
          <w:sz w:val="22"/>
          <w:szCs w:val="22"/>
        </w:rPr>
        <w:t>trategy, Q 2 2023</w:t>
      </w:r>
    </w:p>
  </w:footnote>
  <w:footnote w:id="46">
    <w:p w14:paraId="55937B89" w14:textId="43771BF9" w:rsidR="00E47A75" w:rsidRPr="002874A1" w:rsidRDefault="00E47A75">
      <w:pPr>
        <w:pStyle w:val="FootnoteText"/>
        <w:rPr>
          <w:szCs w:val="22"/>
        </w:rPr>
      </w:pPr>
      <w:r w:rsidRPr="002874A1">
        <w:rPr>
          <w:rStyle w:val="FootnoteReference"/>
          <w:szCs w:val="22"/>
        </w:rPr>
        <w:footnoteRef/>
      </w:r>
      <w:r w:rsidRPr="002874A1">
        <w:rPr>
          <w:szCs w:val="22"/>
        </w:rPr>
        <w:t xml:space="preserve"> </w:t>
      </w:r>
      <w:hyperlink r:id="rId17" w:anchor="2022" w:history="1">
        <w:r w:rsidRPr="002874A1">
          <w:rPr>
            <w:szCs w:val="22"/>
            <w:u w:val="single"/>
          </w:rPr>
          <w:t>gov.ie - Accessibility Work Programme (www.gov.ie)</w:t>
        </w:r>
      </w:hyperlink>
    </w:p>
  </w:footnote>
  <w:footnote w:id="47">
    <w:p w14:paraId="2866A4DC" w14:textId="77777777" w:rsidR="00E47A75" w:rsidRDefault="00E47A75" w:rsidP="00B31928">
      <w:pPr>
        <w:pStyle w:val="FootnoteText"/>
      </w:pPr>
      <w:r>
        <w:rPr>
          <w:rStyle w:val="FootnoteReference"/>
        </w:rPr>
        <w:footnoteRef/>
      </w:r>
      <w:r>
        <w:t xml:space="preserve"> </w:t>
      </w:r>
      <w:hyperlink r:id="rId18" w:history="1">
        <w:r w:rsidRPr="002874A1">
          <w:rPr>
            <w:rStyle w:val="Hyperlink"/>
            <w:color w:val="auto"/>
          </w:rPr>
          <w:t>https://www.gov.ie/en/publication/0fb542-make-work-pay-report/</w:t>
        </w:r>
      </w:hyperlink>
      <w:r w:rsidRPr="002874A1">
        <w:t xml:space="preserve"> </w:t>
      </w:r>
    </w:p>
  </w:footnote>
  <w:footnote w:id="48">
    <w:p w14:paraId="04CF61A5" w14:textId="77777777" w:rsidR="00E47A75" w:rsidRDefault="00E47A75" w:rsidP="00B31928">
      <w:pPr>
        <w:pStyle w:val="FootnoteText"/>
      </w:pPr>
      <w:r>
        <w:rPr>
          <w:rStyle w:val="FootnoteReference"/>
        </w:rPr>
        <w:footnoteRef/>
      </w:r>
      <w:r>
        <w:t xml:space="preserve"> DCEDIY (2023)</w:t>
      </w:r>
      <w:r w:rsidRPr="0019051A">
        <w:t xml:space="preserve"> </w:t>
      </w:r>
      <w:r w:rsidRPr="0019051A">
        <w:rPr>
          <w:i/>
        </w:rPr>
        <w:t>National Disability Inclusion Strategy Action 104 Transport Working Group Final Report</w:t>
      </w:r>
      <w:r>
        <w:t xml:space="preserve">  </w:t>
      </w:r>
      <w:hyperlink r:id="rId19" w:history="1">
        <w:r>
          <w:rPr>
            <w:rStyle w:val="Hyperlink"/>
          </w:rPr>
          <w:t>gov.ie - National Disability Inclusion Strategy Action 104 Transport Working Group Final Report (www.gov.ie)</w:t>
        </w:r>
      </w:hyperlink>
      <w:r>
        <w:t xml:space="preserve"> f</w:t>
      </w:r>
    </w:p>
  </w:footnote>
  <w:footnote w:id="49">
    <w:p w14:paraId="03066727" w14:textId="35BAC6EF" w:rsidR="00E47A75" w:rsidRDefault="00E47A75" w:rsidP="005724A2">
      <w:pPr>
        <w:pStyle w:val="footnotedescription"/>
      </w:pPr>
      <w:r>
        <w:rPr>
          <w:rStyle w:val="footnotemark"/>
        </w:rPr>
        <w:footnoteRef/>
      </w:r>
      <w:r>
        <w:t xml:space="preserve"> </w:t>
      </w:r>
      <w:r w:rsidRPr="00F671FB">
        <w:t>N</w:t>
      </w:r>
      <w:r>
        <w:t>umber available check with</w:t>
      </w:r>
      <w:r w:rsidRPr="00F671FB">
        <w:t xml:space="preserve"> PO lead in DA payments</w:t>
      </w:r>
    </w:p>
  </w:footnote>
  <w:footnote w:id="50">
    <w:p w14:paraId="74CEAEBD" w14:textId="6A0CBEA5" w:rsidR="00E47A75" w:rsidRDefault="00E47A75">
      <w:pPr>
        <w:pStyle w:val="FootnoteText"/>
      </w:pPr>
      <w:r>
        <w:rPr>
          <w:rStyle w:val="FootnoteReference"/>
        </w:rPr>
        <w:footnoteRef/>
      </w:r>
      <w:r>
        <w:t xml:space="preserve"> </w:t>
      </w:r>
      <w:r w:rsidRPr="00A279CF">
        <w:t>https://www.pobal.ie/app/uploads/2018/06/Ability-Progamme-Evaluation-Report-2018-2021-Final.pdf</w:t>
      </w:r>
    </w:p>
  </w:footnote>
  <w:footnote w:id="51">
    <w:p w14:paraId="27B0040F" w14:textId="77777777" w:rsidR="00E47A75" w:rsidRDefault="00E47A75">
      <w:pPr>
        <w:pStyle w:val="FootnoteText"/>
      </w:pPr>
      <w:r>
        <w:rPr>
          <w:rStyle w:val="FootnoteReference"/>
        </w:rPr>
        <w:footnoteRef/>
      </w:r>
      <w:r>
        <w:t xml:space="preserve"> </w:t>
      </w:r>
      <w:hyperlink r:id="rId20" w:history="1">
        <w:r w:rsidRPr="00124C8D">
          <w:rPr>
            <w:sz w:val="24"/>
            <w:szCs w:val="24"/>
            <w:u w:val="single"/>
          </w:rPr>
          <w:t>gov.ie - Designated Disability Employment Personal Advisor (www.gov.ie)</w:t>
        </w:r>
      </w:hyperlink>
    </w:p>
  </w:footnote>
  <w:footnote w:id="52">
    <w:p w14:paraId="26987278" w14:textId="77777777" w:rsidR="00E47A75" w:rsidRDefault="00E47A75">
      <w:pPr>
        <w:pStyle w:val="FootnoteText"/>
      </w:pPr>
      <w:r>
        <w:rPr>
          <w:rStyle w:val="FootnoteReference"/>
        </w:rPr>
        <w:footnoteRef/>
      </w:r>
      <w:r>
        <w:t xml:space="preserve"> </w:t>
      </w:r>
      <w:r w:rsidRPr="00F80B14">
        <w:t>https://assets.gov.ie/18906/1120bc6ad254489db9571c74e8572f44.pdf</w:t>
      </w:r>
    </w:p>
  </w:footnote>
  <w:footnote w:id="53">
    <w:p w14:paraId="2FC8428B" w14:textId="4DA31E08" w:rsidR="00E47A75" w:rsidRDefault="00E47A75">
      <w:pPr>
        <w:pStyle w:val="FootnoteText"/>
      </w:pPr>
      <w:r>
        <w:rPr>
          <w:rStyle w:val="FootnoteReference"/>
        </w:rPr>
        <w:footnoteRef/>
      </w:r>
      <w:r>
        <w:t xml:space="preserve"> </w:t>
      </w:r>
      <w:r w:rsidRPr="00156031">
        <w:t>https://www.oireachtas.ie/en/bills/bill/2022/38/</w:t>
      </w:r>
    </w:p>
  </w:footnote>
  <w:footnote w:id="54">
    <w:p w14:paraId="10F21C88" w14:textId="503759A2" w:rsidR="00E47A75" w:rsidRPr="00663BF3" w:rsidRDefault="00E47A75">
      <w:pPr>
        <w:pStyle w:val="FootnoteText"/>
        <w:rPr>
          <w:szCs w:val="22"/>
        </w:rPr>
      </w:pPr>
      <w:r w:rsidRPr="00663BF3">
        <w:rPr>
          <w:rStyle w:val="FootnoteReference"/>
          <w:szCs w:val="22"/>
        </w:rPr>
        <w:footnoteRef/>
      </w:r>
      <w:r w:rsidRPr="00663BF3">
        <w:rPr>
          <w:szCs w:val="22"/>
        </w:rPr>
        <w:t xml:space="preserve"> </w:t>
      </w:r>
      <w:r w:rsidRPr="00663BF3">
        <w:rPr>
          <w:rFonts w:eastAsia="+mn-ea"/>
          <w:color w:val="000000"/>
          <w:szCs w:val="22"/>
          <w:lang w:val="en-US"/>
        </w:rPr>
        <w:t>If an employees pay changes from week-to-week (for example, because of regular bonus payments or allowance), the sick pay is the average of pay over the 13 weeks before sick leave.</w:t>
      </w:r>
    </w:p>
  </w:footnote>
  <w:footnote w:id="55">
    <w:p w14:paraId="62F1B65B" w14:textId="75A9FF06" w:rsidR="00E47A75" w:rsidRDefault="00E47A75">
      <w:pPr>
        <w:pStyle w:val="FootnoteText"/>
      </w:pPr>
      <w:r>
        <w:rPr>
          <w:rStyle w:val="FootnoteReference"/>
        </w:rPr>
        <w:footnoteRef/>
      </w:r>
      <w:r>
        <w:t xml:space="preserve"> </w:t>
      </w:r>
      <w:r w:rsidRPr="0062698D">
        <w:t>https://nda.ie/uploads/publications/retaining-employees-who-acquire-a-disability-a-guide-for-employers.pdf</w:t>
      </w:r>
    </w:p>
  </w:footnote>
  <w:footnote w:id="56">
    <w:p w14:paraId="416C26DB" w14:textId="77777777" w:rsidR="00E47A75" w:rsidRDefault="00E47A75">
      <w:pPr>
        <w:pStyle w:val="FootnoteText"/>
      </w:pPr>
      <w:r>
        <w:rPr>
          <w:rStyle w:val="FootnoteReference"/>
        </w:rPr>
        <w:footnoteRef/>
      </w:r>
      <w:r>
        <w:t xml:space="preserve"> </w:t>
      </w:r>
      <w:r w:rsidRPr="00E61418">
        <w:t>https://nda.ie/publications/nda-policy-advice-paper-on-vocational-rehabilitation-provision-in-ireland</w:t>
      </w:r>
    </w:p>
  </w:footnote>
  <w:footnote w:id="57">
    <w:p w14:paraId="6D1B816A" w14:textId="77777777" w:rsidR="00E47A75" w:rsidRDefault="00E47A75" w:rsidP="005C6F06">
      <w:pPr>
        <w:pStyle w:val="FootnoteText"/>
      </w:pPr>
      <w:r>
        <w:rPr>
          <w:rStyle w:val="FootnoteReference"/>
        </w:rPr>
        <w:footnoteRef/>
      </w:r>
      <w:r>
        <w:t xml:space="preserve"> </w:t>
      </w:r>
      <w:r w:rsidRPr="006F7CF9">
        <w:t>https://assets.gov.ie/18906/1120bc6ad254489db9571c74e8572f44.pdf</w:t>
      </w:r>
    </w:p>
  </w:footnote>
  <w:footnote w:id="58">
    <w:p w14:paraId="5340A1E3" w14:textId="77777777" w:rsidR="00E47A75" w:rsidRPr="00525D9F" w:rsidRDefault="00E47A75" w:rsidP="005C6F06">
      <w:pPr>
        <w:pStyle w:val="FootnoteText"/>
        <w:rPr>
          <w:szCs w:val="22"/>
        </w:rPr>
      </w:pPr>
      <w:r>
        <w:rPr>
          <w:rStyle w:val="FootnoteReference"/>
        </w:rPr>
        <w:footnoteRef/>
      </w:r>
      <w:r>
        <w:t xml:space="preserve"> </w:t>
      </w:r>
      <w:hyperlink r:id="rId21" w:anchor=":~:text=Disability%2C%20Work%20and%20Inclusion%20in%20Ireland%3A%20Engaging%20and,improving%20labour%20market%20outcomes%20for%20persons%20with%20disabilities." w:history="1">
        <w:r w:rsidRPr="00525D9F">
          <w:rPr>
            <w:rStyle w:val="Hyperlink"/>
            <w:color w:val="auto"/>
            <w:szCs w:val="22"/>
            <w:u w:val="none"/>
          </w:rPr>
          <w:t>Disability, Work and Inclusion in Ireland: Engaging and supporting employers | The National Disability Authority (nda.ie)</w:t>
        </w:r>
      </w:hyperlink>
    </w:p>
  </w:footnote>
  <w:footnote w:id="59">
    <w:p w14:paraId="718F6E55" w14:textId="77777777" w:rsidR="00E47A75" w:rsidRPr="00525D9F" w:rsidRDefault="00E47A75">
      <w:pPr>
        <w:pStyle w:val="FootnoteText"/>
        <w:rPr>
          <w:szCs w:val="22"/>
        </w:rPr>
      </w:pPr>
      <w:r w:rsidRPr="00525D9F">
        <w:rPr>
          <w:rStyle w:val="FootnoteReference"/>
          <w:rFonts w:ascii="Gill Sans MT" w:hAnsi="Gill Sans MT"/>
          <w:szCs w:val="22"/>
        </w:rPr>
        <w:footnoteRef/>
      </w:r>
      <w:r w:rsidRPr="00525D9F">
        <w:rPr>
          <w:szCs w:val="22"/>
        </w:rPr>
        <w:t xml:space="preserve"> https://employersforchange.ie/</w:t>
      </w:r>
    </w:p>
  </w:footnote>
  <w:footnote w:id="60">
    <w:p w14:paraId="2688B029" w14:textId="77777777" w:rsidR="00E47A75" w:rsidRDefault="00E47A75">
      <w:pPr>
        <w:pStyle w:val="FootnoteText"/>
      </w:pPr>
      <w:r w:rsidRPr="00525D9F">
        <w:rPr>
          <w:rStyle w:val="FootnoteReference"/>
          <w:rFonts w:ascii="Gill Sans MT" w:hAnsi="Gill Sans MT"/>
          <w:szCs w:val="22"/>
        </w:rPr>
        <w:footnoteRef/>
      </w:r>
      <w:r w:rsidRPr="00525D9F">
        <w:rPr>
          <w:szCs w:val="22"/>
        </w:rPr>
        <w:t xml:space="preserve"> </w:t>
      </w:r>
      <w:hyperlink r:id="rId22" w:history="1">
        <w:r w:rsidRPr="00525D9F">
          <w:rPr>
            <w:szCs w:val="22"/>
          </w:rPr>
          <w:t>EFCEmployervToolkitFinal.pdf (employersforchange.ie)</w:t>
        </w:r>
      </w:hyperlink>
    </w:p>
  </w:footnote>
  <w:footnote w:id="61">
    <w:p w14:paraId="743896AD" w14:textId="4D68542E" w:rsidR="00E47A75" w:rsidRDefault="00E47A75">
      <w:pPr>
        <w:pStyle w:val="FootnoteText"/>
      </w:pPr>
      <w:r>
        <w:rPr>
          <w:rStyle w:val="FootnoteReference"/>
        </w:rPr>
        <w:footnoteRef/>
      </w:r>
      <w:r>
        <w:t xml:space="preserve"> </w:t>
      </w:r>
      <w:r w:rsidRPr="002F0902">
        <w:t>https://www.opendoorsinitiative.ie/</w:t>
      </w:r>
    </w:p>
  </w:footnote>
  <w:footnote w:id="62">
    <w:p w14:paraId="68928158" w14:textId="2F2D33DF" w:rsidR="00E47A75" w:rsidRDefault="00E47A75">
      <w:pPr>
        <w:pStyle w:val="FootnoteText"/>
      </w:pPr>
      <w:r>
        <w:rPr>
          <w:rStyle w:val="FootnoteReference"/>
        </w:rPr>
        <w:footnoteRef/>
      </w:r>
      <w:r>
        <w:t xml:space="preserve"> </w:t>
      </w:r>
      <w:r w:rsidRPr="009A75A5">
        <w:rPr>
          <w:szCs w:val="22"/>
        </w:rPr>
        <w:t>NDA to publish a paper on how best to monitor progress in inc</w:t>
      </w:r>
      <w:r>
        <w:rPr>
          <w:szCs w:val="22"/>
        </w:rPr>
        <w:t>reasing employment levels of people with disabilities in 2023</w:t>
      </w:r>
    </w:p>
  </w:footnote>
  <w:footnote w:id="63">
    <w:p w14:paraId="7F1FE6B5" w14:textId="77777777" w:rsidR="00E47A75" w:rsidRDefault="00E47A75" w:rsidP="00B5150B">
      <w:pPr>
        <w:pStyle w:val="FootnoteText"/>
      </w:pPr>
      <w:r>
        <w:rPr>
          <w:rStyle w:val="FootnoteReference"/>
        </w:rPr>
        <w:footnoteRef/>
      </w:r>
      <w:r>
        <w:t xml:space="preserve"> </w:t>
      </w:r>
      <w:r w:rsidRPr="00FD0318">
        <w:t>https://www.disabilityemploymentcharter.org/blank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23A7" w14:textId="08158D1A" w:rsidR="00E47A75" w:rsidRDefault="00E47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303C7C"/>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03A4F77"/>
    <w:multiLevelType w:val="multilevel"/>
    <w:tmpl w:val="ADE0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AC7D0D"/>
    <w:multiLevelType w:val="hybridMultilevel"/>
    <w:tmpl w:val="6F36D856"/>
    <w:lvl w:ilvl="0" w:tplc="142643AA">
      <w:start w:val="1"/>
      <w:numFmt w:val="bullet"/>
      <w:lvlText w:val="•"/>
      <w:lvlJc w:val="left"/>
      <w:pPr>
        <w:tabs>
          <w:tab w:val="num" w:pos="720"/>
        </w:tabs>
        <w:ind w:left="720" w:hanging="360"/>
      </w:pPr>
      <w:rPr>
        <w:rFonts w:ascii="Times New Roman" w:hAnsi="Times New Roman" w:hint="default"/>
      </w:rPr>
    </w:lvl>
    <w:lvl w:ilvl="1" w:tplc="22D0F3D4">
      <w:start w:val="120"/>
      <w:numFmt w:val="bullet"/>
      <w:lvlText w:val="–"/>
      <w:lvlJc w:val="left"/>
      <w:pPr>
        <w:tabs>
          <w:tab w:val="num" w:pos="1440"/>
        </w:tabs>
        <w:ind w:left="1440" w:hanging="360"/>
      </w:pPr>
      <w:rPr>
        <w:rFonts w:ascii="Times New Roman" w:hAnsi="Times New Roman" w:hint="default"/>
      </w:rPr>
    </w:lvl>
    <w:lvl w:ilvl="2" w:tplc="D10A134E" w:tentative="1">
      <w:start w:val="1"/>
      <w:numFmt w:val="bullet"/>
      <w:lvlText w:val="•"/>
      <w:lvlJc w:val="left"/>
      <w:pPr>
        <w:tabs>
          <w:tab w:val="num" w:pos="2160"/>
        </w:tabs>
        <w:ind w:left="2160" w:hanging="360"/>
      </w:pPr>
      <w:rPr>
        <w:rFonts w:ascii="Times New Roman" w:hAnsi="Times New Roman" w:hint="default"/>
      </w:rPr>
    </w:lvl>
    <w:lvl w:ilvl="3" w:tplc="FB3E3342" w:tentative="1">
      <w:start w:val="1"/>
      <w:numFmt w:val="bullet"/>
      <w:lvlText w:val="•"/>
      <w:lvlJc w:val="left"/>
      <w:pPr>
        <w:tabs>
          <w:tab w:val="num" w:pos="2880"/>
        </w:tabs>
        <w:ind w:left="2880" w:hanging="360"/>
      </w:pPr>
      <w:rPr>
        <w:rFonts w:ascii="Times New Roman" w:hAnsi="Times New Roman" w:hint="default"/>
      </w:rPr>
    </w:lvl>
    <w:lvl w:ilvl="4" w:tplc="DBD8A984" w:tentative="1">
      <w:start w:val="1"/>
      <w:numFmt w:val="bullet"/>
      <w:lvlText w:val="•"/>
      <w:lvlJc w:val="left"/>
      <w:pPr>
        <w:tabs>
          <w:tab w:val="num" w:pos="3600"/>
        </w:tabs>
        <w:ind w:left="3600" w:hanging="360"/>
      </w:pPr>
      <w:rPr>
        <w:rFonts w:ascii="Times New Roman" w:hAnsi="Times New Roman" w:hint="default"/>
      </w:rPr>
    </w:lvl>
    <w:lvl w:ilvl="5" w:tplc="A9161E8A" w:tentative="1">
      <w:start w:val="1"/>
      <w:numFmt w:val="bullet"/>
      <w:lvlText w:val="•"/>
      <w:lvlJc w:val="left"/>
      <w:pPr>
        <w:tabs>
          <w:tab w:val="num" w:pos="4320"/>
        </w:tabs>
        <w:ind w:left="4320" w:hanging="360"/>
      </w:pPr>
      <w:rPr>
        <w:rFonts w:ascii="Times New Roman" w:hAnsi="Times New Roman" w:hint="default"/>
      </w:rPr>
    </w:lvl>
    <w:lvl w:ilvl="6" w:tplc="F3EC6D74" w:tentative="1">
      <w:start w:val="1"/>
      <w:numFmt w:val="bullet"/>
      <w:lvlText w:val="•"/>
      <w:lvlJc w:val="left"/>
      <w:pPr>
        <w:tabs>
          <w:tab w:val="num" w:pos="5040"/>
        </w:tabs>
        <w:ind w:left="5040" w:hanging="360"/>
      </w:pPr>
      <w:rPr>
        <w:rFonts w:ascii="Times New Roman" w:hAnsi="Times New Roman" w:hint="default"/>
      </w:rPr>
    </w:lvl>
    <w:lvl w:ilvl="7" w:tplc="89BC86C2" w:tentative="1">
      <w:start w:val="1"/>
      <w:numFmt w:val="bullet"/>
      <w:lvlText w:val="•"/>
      <w:lvlJc w:val="left"/>
      <w:pPr>
        <w:tabs>
          <w:tab w:val="num" w:pos="5760"/>
        </w:tabs>
        <w:ind w:left="5760" w:hanging="360"/>
      </w:pPr>
      <w:rPr>
        <w:rFonts w:ascii="Times New Roman" w:hAnsi="Times New Roman" w:hint="default"/>
      </w:rPr>
    </w:lvl>
    <w:lvl w:ilvl="8" w:tplc="260CDD9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FDB6CF5"/>
    <w:multiLevelType w:val="hybridMultilevel"/>
    <w:tmpl w:val="912CEE6A"/>
    <w:lvl w:ilvl="0" w:tplc="07CA3F8E">
      <w:start w:val="1"/>
      <w:numFmt w:val="decimal"/>
      <w:lvlText w:val="%1."/>
      <w:lvlJc w:val="left"/>
      <w:pPr>
        <w:tabs>
          <w:tab w:val="num" w:pos="720"/>
        </w:tabs>
        <w:ind w:left="720" w:hanging="360"/>
      </w:pPr>
    </w:lvl>
    <w:lvl w:ilvl="1" w:tplc="B0900102" w:tentative="1">
      <w:start w:val="1"/>
      <w:numFmt w:val="decimal"/>
      <w:lvlText w:val="%2."/>
      <w:lvlJc w:val="left"/>
      <w:pPr>
        <w:tabs>
          <w:tab w:val="num" w:pos="1440"/>
        </w:tabs>
        <w:ind w:left="1440" w:hanging="360"/>
      </w:pPr>
    </w:lvl>
    <w:lvl w:ilvl="2" w:tplc="0BD6829E" w:tentative="1">
      <w:start w:val="1"/>
      <w:numFmt w:val="decimal"/>
      <w:lvlText w:val="%3."/>
      <w:lvlJc w:val="left"/>
      <w:pPr>
        <w:tabs>
          <w:tab w:val="num" w:pos="2160"/>
        </w:tabs>
        <w:ind w:left="2160" w:hanging="360"/>
      </w:pPr>
    </w:lvl>
    <w:lvl w:ilvl="3" w:tplc="4C6A0244" w:tentative="1">
      <w:start w:val="1"/>
      <w:numFmt w:val="decimal"/>
      <w:lvlText w:val="%4."/>
      <w:lvlJc w:val="left"/>
      <w:pPr>
        <w:tabs>
          <w:tab w:val="num" w:pos="2880"/>
        </w:tabs>
        <w:ind w:left="2880" w:hanging="360"/>
      </w:pPr>
    </w:lvl>
    <w:lvl w:ilvl="4" w:tplc="227E7FCA" w:tentative="1">
      <w:start w:val="1"/>
      <w:numFmt w:val="decimal"/>
      <w:lvlText w:val="%5."/>
      <w:lvlJc w:val="left"/>
      <w:pPr>
        <w:tabs>
          <w:tab w:val="num" w:pos="3600"/>
        </w:tabs>
        <w:ind w:left="3600" w:hanging="360"/>
      </w:pPr>
    </w:lvl>
    <w:lvl w:ilvl="5" w:tplc="F39E9D2E" w:tentative="1">
      <w:start w:val="1"/>
      <w:numFmt w:val="decimal"/>
      <w:lvlText w:val="%6."/>
      <w:lvlJc w:val="left"/>
      <w:pPr>
        <w:tabs>
          <w:tab w:val="num" w:pos="4320"/>
        </w:tabs>
        <w:ind w:left="4320" w:hanging="360"/>
      </w:pPr>
    </w:lvl>
    <w:lvl w:ilvl="6" w:tplc="9AAC490E" w:tentative="1">
      <w:start w:val="1"/>
      <w:numFmt w:val="decimal"/>
      <w:lvlText w:val="%7."/>
      <w:lvlJc w:val="left"/>
      <w:pPr>
        <w:tabs>
          <w:tab w:val="num" w:pos="5040"/>
        </w:tabs>
        <w:ind w:left="5040" w:hanging="360"/>
      </w:pPr>
    </w:lvl>
    <w:lvl w:ilvl="7" w:tplc="36C232E2" w:tentative="1">
      <w:start w:val="1"/>
      <w:numFmt w:val="decimal"/>
      <w:lvlText w:val="%8."/>
      <w:lvlJc w:val="left"/>
      <w:pPr>
        <w:tabs>
          <w:tab w:val="num" w:pos="5760"/>
        </w:tabs>
        <w:ind w:left="5760" w:hanging="360"/>
      </w:pPr>
    </w:lvl>
    <w:lvl w:ilvl="8" w:tplc="78C4705E" w:tentative="1">
      <w:start w:val="1"/>
      <w:numFmt w:val="decimal"/>
      <w:lvlText w:val="%9."/>
      <w:lvlJc w:val="left"/>
      <w:pPr>
        <w:tabs>
          <w:tab w:val="num" w:pos="6480"/>
        </w:tabs>
        <w:ind w:left="6480" w:hanging="360"/>
      </w:pPr>
    </w:lvl>
  </w:abstractNum>
  <w:abstractNum w:abstractNumId="13" w15:restartNumberingAfterBreak="0">
    <w:nsid w:val="1BEC5970"/>
    <w:multiLevelType w:val="hybridMultilevel"/>
    <w:tmpl w:val="AC96AA0A"/>
    <w:lvl w:ilvl="0" w:tplc="D0BE998C">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AC63B10">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90854F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3C8859C">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C2C00C2">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F20E1F6">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07C7BB6">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F566B2C">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7F0A29E">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241D2D2C"/>
    <w:multiLevelType w:val="hybridMultilevel"/>
    <w:tmpl w:val="448E682A"/>
    <w:lvl w:ilvl="0" w:tplc="AE9E80A6">
      <w:start w:val="1"/>
      <w:numFmt w:val="bullet"/>
      <w:lvlText w:val="•"/>
      <w:lvlJc w:val="left"/>
      <w:pPr>
        <w:tabs>
          <w:tab w:val="num" w:pos="720"/>
        </w:tabs>
        <w:ind w:left="720" w:hanging="360"/>
      </w:pPr>
      <w:rPr>
        <w:rFonts w:ascii="Times New Roman" w:hAnsi="Times New Roman" w:hint="default"/>
      </w:rPr>
    </w:lvl>
    <w:lvl w:ilvl="1" w:tplc="EFF06C46" w:tentative="1">
      <w:start w:val="1"/>
      <w:numFmt w:val="bullet"/>
      <w:lvlText w:val="•"/>
      <w:lvlJc w:val="left"/>
      <w:pPr>
        <w:tabs>
          <w:tab w:val="num" w:pos="1440"/>
        </w:tabs>
        <w:ind w:left="1440" w:hanging="360"/>
      </w:pPr>
      <w:rPr>
        <w:rFonts w:ascii="Times New Roman" w:hAnsi="Times New Roman" w:hint="default"/>
      </w:rPr>
    </w:lvl>
    <w:lvl w:ilvl="2" w:tplc="17FC976E" w:tentative="1">
      <w:start w:val="1"/>
      <w:numFmt w:val="bullet"/>
      <w:lvlText w:val="•"/>
      <w:lvlJc w:val="left"/>
      <w:pPr>
        <w:tabs>
          <w:tab w:val="num" w:pos="2160"/>
        </w:tabs>
        <w:ind w:left="2160" w:hanging="360"/>
      </w:pPr>
      <w:rPr>
        <w:rFonts w:ascii="Times New Roman" w:hAnsi="Times New Roman" w:hint="default"/>
      </w:rPr>
    </w:lvl>
    <w:lvl w:ilvl="3" w:tplc="D2A0BC94" w:tentative="1">
      <w:start w:val="1"/>
      <w:numFmt w:val="bullet"/>
      <w:lvlText w:val="•"/>
      <w:lvlJc w:val="left"/>
      <w:pPr>
        <w:tabs>
          <w:tab w:val="num" w:pos="2880"/>
        </w:tabs>
        <w:ind w:left="2880" w:hanging="360"/>
      </w:pPr>
      <w:rPr>
        <w:rFonts w:ascii="Times New Roman" w:hAnsi="Times New Roman" w:hint="default"/>
      </w:rPr>
    </w:lvl>
    <w:lvl w:ilvl="4" w:tplc="2B385320" w:tentative="1">
      <w:start w:val="1"/>
      <w:numFmt w:val="bullet"/>
      <w:lvlText w:val="•"/>
      <w:lvlJc w:val="left"/>
      <w:pPr>
        <w:tabs>
          <w:tab w:val="num" w:pos="3600"/>
        </w:tabs>
        <w:ind w:left="3600" w:hanging="360"/>
      </w:pPr>
      <w:rPr>
        <w:rFonts w:ascii="Times New Roman" w:hAnsi="Times New Roman" w:hint="default"/>
      </w:rPr>
    </w:lvl>
    <w:lvl w:ilvl="5" w:tplc="65B8C820" w:tentative="1">
      <w:start w:val="1"/>
      <w:numFmt w:val="bullet"/>
      <w:lvlText w:val="•"/>
      <w:lvlJc w:val="left"/>
      <w:pPr>
        <w:tabs>
          <w:tab w:val="num" w:pos="4320"/>
        </w:tabs>
        <w:ind w:left="4320" w:hanging="360"/>
      </w:pPr>
      <w:rPr>
        <w:rFonts w:ascii="Times New Roman" w:hAnsi="Times New Roman" w:hint="default"/>
      </w:rPr>
    </w:lvl>
    <w:lvl w:ilvl="6" w:tplc="0A4A0480" w:tentative="1">
      <w:start w:val="1"/>
      <w:numFmt w:val="bullet"/>
      <w:lvlText w:val="•"/>
      <w:lvlJc w:val="left"/>
      <w:pPr>
        <w:tabs>
          <w:tab w:val="num" w:pos="5040"/>
        </w:tabs>
        <w:ind w:left="5040" w:hanging="360"/>
      </w:pPr>
      <w:rPr>
        <w:rFonts w:ascii="Times New Roman" w:hAnsi="Times New Roman" w:hint="default"/>
      </w:rPr>
    </w:lvl>
    <w:lvl w:ilvl="7" w:tplc="1806F480" w:tentative="1">
      <w:start w:val="1"/>
      <w:numFmt w:val="bullet"/>
      <w:lvlText w:val="•"/>
      <w:lvlJc w:val="left"/>
      <w:pPr>
        <w:tabs>
          <w:tab w:val="num" w:pos="5760"/>
        </w:tabs>
        <w:ind w:left="5760" w:hanging="360"/>
      </w:pPr>
      <w:rPr>
        <w:rFonts w:ascii="Times New Roman" w:hAnsi="Times New Roman" w:hint="default"/>
      </w:rPr>
    </w:lvl>
    <w:lvl w:ilvl="8" w:tplc="55EE27D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5C7014D"/>
    <w:multiLevelType w:val="multilevel"/>
    <w:tmpl w:val="1D28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FC46CF"/>
    <w:multiLevelType w:val="hybridMultilevel"/>
    <w:tmpl w:val="3524F0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2E582922"/>
    <w:multiLevelType w:val="hybridMultilevel"/>
    <w:tmpl w:val="91A601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30B57AB"/>
    <w:multiLevelType w:val="multilevel"/>
    <w:tmpl w:val="F2F06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BF167E"/>
    <w:multiLevelType w:val="multilevel"/>
    <w:tmpl w:val="22FC9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AB410F"/>
    <w:multiLevelType w:val="multilevel"/>
    <w:tmpl w:val="5AB8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C82F97"/>
    <w:multiLevelType w:val="hybridMultilevel"/>
    <w:tmpl w:val="F19EF9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1C31325"/>
    <w:multiLevelType w:val="hybridMultilevel"/>
    <w:tmpl w:val="FB2692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3F83BF1"/>
    <w:multiLevelType w:val="multilevel"/>
    <w:tmpl w:val="7F56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CF4DD7"/>
    <w:multiLevelType w:val="multilevel"/>
    <w:tmpl w:val="E04AF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902355"/>
    <w:multiLevelType w:val="hybridMultilevel"/>
    <w:tmpl w:val="5EFA1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5E163D4"/>
    <w:multiLevelType w:val="hybridMultilevel"/>
    <w:tmpl w:val="F11A1A86"/>
    <w:lvl w:ilvl="0" w:tplc="DEB08CF2">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3D8E5F2">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030125A">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745455F2">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AF8A00C">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4AC2080">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B522E08">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AF885C0">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835E40DA">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59D2235A"/>
    <w:multiLevelType w:val="hybridMultilevel"/>
    <w:tmpl w:val="C110F84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5A937780"/>
    <w:multiLevelType w:val="multilevel"/>
    <w:tmpl w:val="599C3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0A0254"/>
    <w:multiLevelType w:val="hybridMultilevel"/>
    <w:tmpl w:val="038E54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7964598"/>
    <w:multiLevelType w:val="hybridMultilevel"/>
    <w:tmpl w:val="57A83982"/>
    <w:lvl w:ilvl="0" w:tplc="18090001">
      <w:start w:val="1"/>
      <w:numFmt w:val="bullet"/>
      <w:lvlText w:val=""/>
      <w:lvlJc w:val="left"/>
      <w:pPr>
        <w:ind w:left="942" w:hanging="360"/>
      </w:pPr>
      <w:rPr>
        <w:rFonts w:ascii="Symbol" w:hAnsi="Symbol" w:hint="default"/>
      </w:rPr>
    </w:lvl>
    <w:lvl w:ilvl="1" w:tplc="18090003">
      <w:start w:val="1"/>
      <w:numFmt w:val="bullet"/>
      <w:lvlText w:val="o"/>
      <w:lvlJc w:val="left"/>
      <w:pPr>
        <w:ind w:left="1662" w:hanging="360"/>
      </w:pPr>
      <w:rPr>
        <w:rFonts w:ascii="Courier New" w:hAnsi="Courier New" w:cs="Courier New" w:hint="default"/>
      </w:rPr>
    </w:lvl>
    <w:lvl w:ilvl="2" w:tplc="18090005">
      <w:start w:val="1"/>
      <w:numFmt w:val="bullet"/>
      <w:lvlText w:val=""/>
      <w:lvlJc w:val="left"/>
      <w:pPr>
        <w:ind w:left="2382" w:hanging="360"/>
      </w:pPr>
      <w:rPr>
        <w:rFonts w:ascii="Wingdings" w:hAnsi="Wingdings" w:hint="default"/>
      </w:rPr>
    </w:lvl>
    <w:lvl w:ilvl="3" w:tplc="18090001">
      <w:start w:val="1"/>
      <w:numFmt w:val="bullet"/>
      <w:lvlText w:val=""/>
      <w:lvlJc w:val="left"/>
      <w:pPr>
        <w:ind w:left="3102" w:hanging="360"/>
      </w:pPr>
      <w:rPr>
        <w:rFonts w:ascii="Symbol" w:hAnsi="Symbol" w:hint="default"/>
      </w:rPr>
    </w:lvl>
    <w:lvl w:ilvl="4" w:tplc="18090003">
      <w:start w:val="1"/>
      <w:numFmt w:val="bullet"/>
      <w:lvlText w:val="o"/>
      <w:lvlJc w:val="left"/>
      <w:pPr>
        <w:ind w:left="3822" w:hanging="360"/>
      </w:pPr>
      <w:rPr>
        <w:rFonts w:ascii="Courier New" w:hAnsi="Courier New" w:cs="Courier New" w:hint="default"/>
      </w:rPr>
    </w:lvl>
    <w:lvl w:ilvl="5" w:tplc="18090005">
      <w:start w:val="1"/>
      <w:numFmt w:val="bullet"/>
      <w:lvlText w:val=""/>
      <w:lvlJc w:val="left"/>
      <w:pPr>
        <w:ind w:left="4542" w:hanging="360"/>
      </w:pPr>
      <w:rPr>
        <w:rFonts w:ascii="Wingdings" w:hAnsi="Wingdings" w:hint="default"/>
      </w:rPr>
    </w:lvl>
    <w:lvl w:ilvl="6" w:tplc="18090001">
      <w:start w:val="1"/>
      <w:numFmt w:val="bullet"/>
      <w:lvlText w:val=""/>
      <w:lvlJc w:val="left"/>
      <w:pPr>
        <w:ind w:left="5262" w:hanging="360"/>
      </w:pPr>
      <w:rPr>
        <w:rFonts w:ascii="Symbol" w:hAnsi="Symbol" w:hint="default"/>
      </w:rPr>
    </w:lvl>
    <w:lvl w:ilvl="7" w:tplc="18090003">
      <w:start w:val="1"/>
      <w:numFmt w:val="bullet"/>
      <w:lvlText w:val="o"/>
      <w:lvlJc w:val="left"/>
      <w:pPr>
        <w:ind w:left="5982" w:hanging="360"/>
      </w:pPr>
      <w:rPr>
        <w:rFonts w:ascii="Courier New" w:hAnsi="Courier New" w:cs="Courier New" w:hint="default"/>
      </w:rPr>
    </w:lvl>
    <w:lvl w:ilvl="8" w:tplc="18090005">
      <w:start w:val="1"/>
      <w:numFmt w:val="bullet"/>
      <w:lvlText w:val=""/>
      <w:lvlJc w:val="left"/>
      <w:pPr>
        <w:ind w:left="6702" w:hanging="360"/>
      </w:pPr>
      <w:rPr>
        <w:rFonts w:ascii="Wingdings" w:hAnsi="Wingdings" w:hint="default"/>
      </w:rPr>
    </w:lvl>
  </w:abstractNum>
  <w:abstractNum w:abstractNumId="31" w15:restartNumberingAfterBreak="0">
    <w:nsid w:val="6E840E8E"/>
    <w:multiLevelType w:val="multilevel"/>
    <w:tmpl w:val="3714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BD7324"/>
    <w:multiLevelType w:val="hybridMultilevel"/>
    <w:tmpl w:val="E55A5394"/>
    <w:lvl w:ilvl="0" w:tplc="C8EEC646">
      <w:start w:val="1"/>
      <w:numFmt w:val="lowerRoman"/>
      <w:lvlText w:val="(%1)"/>
      <w:lvlJc w:val="left"/>
      <w:pPr>
        <w:ind w:left="2880" w:hanging="720"/>
      </w:pPr>
      <w:rPr>
        <w:rFonts w:hint="default"/>
        <w:b w:val="0"/>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33" w15:restartNumberingAfterBreak="0">
    <w:nsid w:val="7C8B2257"/>
    <w:multiLevelType w:val="hybridMultilevel"/>
    <w:tmpl w:val="1D1E8D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CA0548F"/>
    <w:multiLevelType w:val="hybridMultilevel"/>
    <w:tmpl w:val="921CAF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E096358"/>
    <w:multiLevelType w:val="hybridMultilevel"/>
    <w:tmpl w:val="F260078E"/>
    <w:lvl w:ilvl="0" w:tplc="4D9E2CD8">
      <w:start w:val="1"/>
      <w:numFmt w:val="bullet"/>
      <w:lvlText w:val="•"/>
      <w:lvlJc w:val="left"/>
      <w:pPr>
        <w:tabs>
          <w:tab w:val="num" w:pos="720"/>
        </w:tabs>
        <w:ind w:left="720" w:hanging="360"/>
      </w:pPr>
      <w:rPr>
        <w:rFonts w:ascii="Times New Roman" w:hAnsi="Times New Roman" w:hint="default"/>
      </w:rPr>
    </w:lvl>
    <w:lvl w:ilvl="1" w:tplc="AB5211FA">
      <w:start w:val="120"/>
      <w:numFmt w:val="bullet"/>
      <w:lvlText w:val="–"/>
      <w:lvlJc w:val="left"/>
      <w:pPr>
        <w:tabs>
          <w:tab w:val="num" w:pos="1440"/>
        </w:tabs>
        <w:ind w:left="1440" w:hanging="360"/>
      </w:pPr>
      <w:rPr>
        <w:rFonts w:ascii="Times New Roman" w:hAnsi="Times New Roman" w:hint="default"/>
      </w:rPr>
    </w:lvl>
    <w:lvl w:ilvl="2" w:tplc="240664BE" w:tentative="1">
      <w:start w:val="1"/>
      <w:numFmt w:val="bullet"/>
      <w:lvlText w:val="•"/>
      <w:lvlJc w:val="left"/>
      <w:pPr>
        <w:tabs>
          <w:tab w:val="num" w:pos="2160"/>
        </w:tabs>
        <w:ind w:left="2160" w:hanging="360"/>
      </w:pPr>
      <w:rPr>
        <w:rFonts w:ascii="Times New Roman" w:hAnsi="Times New Roman" w:hint="default"/>
      </w:rPr>
    </w:lvl>
    <w:lvl w:ilvl="3" w:tplc="45A4356E" w:tentative="1">
      <w:start w:val="1"/>
      <w:numFmt w:val="bullet"/>
      <w:lvlText w:val="•"/>
      <w:lvlJc w:val="left"/>
      <w:pPr>
        <w:tabs>
          <w:tab w:val="num" w:pos="2880"/>
        </w:tabs>
        <w:ind w:left="2880" w:hanging="360"/>
      </w:pPr>
      <w:rPr>
        <w:rFonts w:ascii="Times New Roman" w:hAnsi="Times New Roman" w:hint="default"/>
      </w:rPr>
    </w:lvl>
    <w:lvl w:ilvl="4" w:tplc="288C0F1E" w:tentative="1">
      <w:start w:val="1"/>
      <w:numFmt w:val="bullet"/>
      <w:lvlText w:val="•"/>
      <w:lvlJc w:val="left"/>
      <w:pPr>
        <w:tabs>
          <w:tab w:val="num" w:pos="3600"/>
        </w:tabs>
        <w:ind w:left="3600" w:hanging="360"/>
      </w:pPr>
      <w:rPr>
        <w:rFonts w:ascii="Times New Roman" w:hAnsi="Times New Roman" w:hint="default"/>
      </w:rPr>
    </w:lvl>
    <w:lvl w:ilvl="5" w:tplc="4F2E20AC" w:tentative="1">
      <w:start w:val="1"/>
      <w:numFmt w:val="bullet"/>
      <w:lvlText w:val="•"/>
      <w:lvlJc w:val="left"/>
      <w:pPr>
        <w:tabs>
          <w:tab w:val="num" w:pos="4320"/>
        </w:tabs>
        <w:ind w:left="4320" w:hanging="360"/>
      </w:pPr>
      <w:rPr>
        <w:rFonts w:ascii="Times New Roman" w:hAnsi="Times New Roman" w:hint="default"/>
      </w:rPr>
    </w:lvl>
    <w:lvl w:ilvl="6" w:tplc="CD1893CA" w:tentative="1">
      <w:start w:val="1"/>
      <w:numFmt w:val="bullet"/>
      <w:lvlText w:val="•"/>
      <w:lvlJc w:val="left"/>
      <w:pPr>
        <w:tabs>
          <w:tab w:val="num" w:pos="5040"/>
        </w:tabs>
        <w:ind w:left="5040" w:hanging="360"/>
      </w:pPr>
      <w:rPr>
        <w:rFonts w:ascii="Times New Roman" w:hAnsi="Times New Roman" w:hint="default"/>
      </w:rPr>
    </w:lvl>
    <w:lvl w:ilvl="7" w:tplc="181A1CAC" w:tentative="1">
      <w:start w:val="1"/>
      <w:numFmt w:val="bullet"/>
      <w:lvlText w:val="•"/>
      <w:lvlJc w:val="left"/>
      <w:pPr>
        <w:tabs>
          <w:tab w:val="num" w:pos="5760"/>
        </w:tabs>
        <w:ind w:left="5760" w:hanging="360"/>
      </w:pPr>
      <w:rPr>
        <w:rFonts w:ascii="Times New Roman" w:hAnsi="Times New Roman" w:hint="default"/>
      </w:rPr>
    </w:lvl>
    <w:lvl w:ilvl="8" w:tplc="5F34CC5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30"/>
  </w:num>
  <w:num w:numId="18">
    <w:abstractNumId w:val="22"/>
  </w:num>
  <w:num w:numId="19">
    <w:abstractNumId w:val="34"/>
  </w:num>
  <w:num w:numId="20">
    <w:abstractNumId w:val="35"/>
  </w:num>
  <w:num w:numId="21">
    <w:abstractNumId w:val="14"/>
  </w:num>
  <w:num w:numId="22">
    <w:abstractNumId w:val="11"/>
  </w:num>
  <w:num w:numId="23">
    <w:abstractNumId w:val="25"/>
  </w:num>
  <w:num w:numId="24">
    <w:abstractNumId w:val="19"/>
  </w:num>
  <w:num w:numId="25">
    <w:abstractNumId w:val="26"/>
  </w:num>
  <w:num w:numId="26">
    <w:abstractNumId w:val="31"/>
  </w:num>
  <w:num w:numId="27">
    <w:abstractNumId w:val="10"/>
  </w:num>
  <w:num w:numId="28">
    <w:abstractNumId w:val="23"/>
  </w:num>
  <w:num w:numId="29">
    <w:abstractNumId w:val="20"/>
  </w:num>
  <w:num w:numId="30">
    <w:abstractNumId w:val="21"/>
  </w:num>
  <w:num w:numId="31">
    <w:abstractNumId w:val="32"/>
  </w:num>
  <w:num w:numId="32">
    <w:abstractNumId w:val="16"/>
  </w:num>
  <w:num w:numId="33">
    <w:abstractNumId w:val="13"/>
  </w:num>
  <w:num w:numId="34">
    <w:abstractNumId w:val="15"/>
  </w:num>
  <w:num w:numId="35">
    <w:abstractNumId w:val="29"/>
  </w:num>
  <w:num w:numId="36">
    <w:abstractNumId w:val="17"/>
  </w:num>
  <w:num w:numId="37">
    <w:abstractNumId w:val="27"/>
  </w:num>
  <w:num w:numId="38">
    <w:abstractNumId w:val="24"/>
  </w:num>
  <w:num w:numId="39">
    <w:abstractNumId w:val="33"/>
  </w:num>
  <w:num w:numId="40">
    <w:abstractNumId w:val="12"/>
  </w:num>
  <w:num w:numId="41">
    <w:abstractNumId w:val="18"/>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9B"/>
    <w:rsid w:val="0001562E"/>
    <w:rsid w:val="00021AF9"/>
    <w:rsid w:val="0004160F"/>
    <w:rsid w:val="00043BDA"/>
    <w:rsid w:val="0005744B"/>
    <w:rsid w:val="000669B4"/>
    <w:rsid w:val="00074517"/>
    <w:rsid w:val="00074D57"/>
    <w:rsid w:val="000846FC"/>
    <w:rsid w:val="000A4822"/>
    <w:rsid w:val="000A4E04"/>
    <w:rsid w:val="000B0A0B"/>
    <w:rsid w:val="000B745D"/>
    <w:rsid w:val="000C236E"/>
    <w:rsid w:val="000E56FF"/>
    <w:rsid w:val="000E6BB7"/>
    <w:rsid w:val="000F4D6C"/>
    <w:rsid w:val="001012BB"/>
    <w:rsid w:val="00116A3B"/>
    <w:rsid w:val="001206B8"/>
    <w:rsid w:val="00124C8D"/>
    <w:rsid w:val="001274E8"/>
    <w:rsid w:val="0013112B"/>
    <w:rsid w:val="00134FD6"/>
    <w:rsid w:val="001361CF"/>
    <w:rsid w:val="001376C4"/>
    <w:rsid w:val="0014200F"/>
    <w:rsid w:val="001456CF"/>
    <w:rsid w:val="001465C5"/>
    <w:rsid w:val="00156031"/>
    <w:rsid w:val="00181FE6"/>
    <w:rsid w:val="00185ECE"/>
    <w:rsid w:val="001874D5"/>
    <w:rsid w:val="00187D04"/>
    <w:rsid w:val="001939ED"/>
    <w:rsid w:val="00194C30"/>
    <w:rsid w:val="001A0329"/>
    <w:rsid w:val="001A4F95"/>
    <w:rsid w:val="001A5166"/>
    <w:rsid w:val="001A53C5"/>
    <w:rsid w:val="001B2017"/>
    <w:rsid w:val="001B224A"/>
    <w:rsid w:val="001B6227"/>
    <w:rsid w:val="001C3DBE"/>
    <w:rsid w:val="001D7C32"/>
    <w:rsid w:val="001E0889"/>
    <w:rsid w:val="001E17ED"/>
    <w:rsid w:val="001E3A08"/>
    <w:rsid w:val="001E7A92"/>
    <w:rsid w:val="001E7BD2"/>
    <w:rsid w:val="001F4010"/>
    <w:rsid w:val="00203B5D"/>
    <w:rsid w:val="00206F24"/>
    <w:rsid w:val="00221CE3"/>
    <w:rsid w:val="00226A9C"/>
    <w:rsid w:val="002305B9"/>
    <w:rsid w:val="002449A3"/>
    <w:rsid w:val="00257F20"/>
    <w:rsid w:val="00261EFC"/>
    <w:rsid w:val="002621A2"/>
    <w:rsid w:val="002623B9"/>
    <w:rsid w:val="00266359"/>
    <w:rsid w:val="00270DA9"/>
    <w:rsid w:val="00272A12"/>
    <w:rsid w:val="00272FAF"/>
    <w:rsid w:val="002749A8"/>
    <w:rsid w:val="00280661"/>
    <w:rsid w:val="0028491F"/>
    <w:rsid w:val="002874A1"/>
    <w:rsid w:val="00287B8E"/>
    <w:rsid w:val="00291224"/>
    <w:rsid w:val="00291A37"/>
    <w:rsid w:val="00294176"/>
    <w:rsid w:val="00296FA4"/>
    <w:rsid w:val="002A112A"/>
    <w:rsid w:val="002A4C1F"/>
    <w:rsid w:val="002A5741"/>
    <w:rsid w:val="002B18B0"/>
    <w:rsid w:val="002C57D7"/>
    <w:rsid w:val="002D0AB2"/>
    <w:rsid w:val="002D355B"/>
    <w:rsid w:val="002D39A2"/>
    <w:rsid w:val="002E66A0"/>
    <w:rsid w:val="002F0902"/>
    <w:rsid w:val="002F12E2"/>
    <w:rsid w:val="002F206C"/>
    <w:rsid w:val="002F2283"/>
    <w:rsid w:val="00304E2D"/>
    <w:rsid w:val="003118A3"/>
    <w:rsid w:val="003122E9"/>
    <w:rsid w:val="00320406"/>
    <w:rsid w:val="00325C8B"/>
    <w:rsid w:val="00337925"/>
    <w:rsid w:val="00340E69"/>
    <w:rsid w:val="00362B8E"/>
    <w:rsid w:val="00365C67"/>
    <w:rsid w:val="0037177D"/>
    <w:rsid w:val="00373163"/>
    <w:rsid w:val="0037500A"/>
    <w:rsid w:val="00380649"/>
    <w:rsid w:val="00382FE2"/>
    <w:rsid w:val="00393830"/>
    <w:rsid w:val="003956D9"/>
    <w:rsid w:val="003A25E9"/>
    <w:rsid w:val="003A44C8"/>
    <w:rsid w:val="003B10EC"/>
    <w:rsid w:val="003D513B"/>
    <w:rsid w:val="003D7A44"/>
    <w:rsid w:val="003F1DDE"/>
    <w:rsid w:val="003F22D3"/>
    <w:rsid w:val="003F49FF"/>
    <w:rsid w:val="004025D6"/>
    <w:rsid w:val="00424196"/>
    <w:rsid w:val="00430CE3"/>
    <w:rsid w:val="0044530D"/>
    <w:rsid w:val="004636BD"/>
    <w:rsid w:val="0047329B"/>
    <w:rsid w:val="0047508B"/>
    <w:rsid w:val="004816AE"/>
    <w:rsid w:val="00486B73"/>
    <w:rsid w:val="00486FBE"/>
    <w:rsid w:val="00491745"/>
    <w:rsid w:val="004934C9"/>
    <w:rsid w:val="00493871"/>
    <w:rsid w:val="00497FCE"/>
    <w:rsid w:val="004A5169"/>
    <w:rsid w:val="004B15CE"/>
    <w:rsid w:val="004B6012"/>
    <w:rsid w:val="004C34C9"/>
    <w:rsid w:val="004C4432"/>
    <w:rsid w:val="004C4E3A"/>
    <w:rsid w:val="004C55F0"/>
    <w:rsid w:val="004C5836"/>
    <w:rsid w:val="004C6E0E"/>
    <w:rsid w:val="004D5E5C"/>
    <w:rsid w:val="004D60A8"/>
    <w:rsid w:val="00514DA2"/>
    <w:rsid w:val="0051758C"/>
    <w:rsid w:val="00522EEC"/>
    <w:rsid w:val="00525D9F"/>
    <w:rsid w:val="00531693"/>
    <w:rsid w:val="00533127"/>
    <w:rsid w:val="005478E7"/>
    <w:rsid w:val="0056368A"/>
    <w:rsid w:val="005724A2"/>
    <w:rsid w:val="005753E6"/>
    <w:rsid w:val="00577077"/>
    <w:rsid w:val="0058068B"/>
    <w:rsid w:val="005A0157"/>
    <w:rsid w:val="005A0993"/>
    <w:rsid w:val="005B1E82"/>
    <w:rsid w:val="005B288A"/>
    <w:rsid w:val="005B7569"/>
    <w:rsid w:val="005C1D97"/>
    <w:rsid w:val="005C40F3"/>
    <w:rsid w:val="005C6F06"/>
    <w:rsid w:val="005D58A5"/>
    <w:rsid w:val="005E4FEB"/>
    <w:rsid w:val="005F2DEA"/>
    <w:rsid w:val="005F3F1F"/>
    <w:rsid w:val="0060211A"/>
    <w:rsid w:val="006104A0"/>
    <w:rsid w:val="00623A7E"/>
    <w:rsid w:val="0062698D"/>
    <w:rsid w:val="006349ED"/>
    <w:rsid w:val="0064731C"/>
    <w:rsid w:val="00657AA3"/>
    <w:rsid w:val="00663BF3"/>
    <w:rsid w:val="00671960"/>
    <w:rsid w:val="00672578"/>
    <w:rsid w:val="00681C2E"/>
    <w:rsid w:val="006A646B"/>
    <w:rsid w:val="006A6676"/>
    <w:rsid w:val="006B659D"/>
    <w:rsid w:val="006D474B"/>
    <w:rsid w:val="006D5C2C"/>
    <w:rsid w:val="006F4BC3"/>
    <w:rsid w:val="006F7CF9"/>
    <w:rsid w:val="00703792"/>
    <w:rsid w:val="0072441C"/>
    <w:rsid w:val="0072781A"/>
    <w:rsid w:val="007344CF"/>
    <w:rsid w:val="00735255"/>
    <w:rsid w:val="00746E1B"/>
    <w:rsid w:val="00753D9A"/>
    <w:rsid w:val="007556BA"/>
    <w:rsid w:val="007635E6"/>
    <w:rsid w:val="007643FE"/>
    <w:rsid w:val="00785F52"/>
    <w:rsid w:val="0079221C"/>
    <w:rsid w:val="00793FF1"/>
    <w:rsid w:val="0079532C"/>
    <w:rsid w:val="007959D3"/>
    <w:rsid w:val="00796E43"/>
    <w:rsid w:val="007A23D0"/>
    <w:rsid w:val="007C1D90"/>
    <w:rsid w:val="007D67E8"/>
    <w:rsid w:val="007D7D5C"/>
    <w:rsid w:val="007E1574"/>
    <w:rsid w:val="007F5212"/>
    <w:rsid w:val="00821F33"/>
    <w:rsid w:val="0083142B"/>
    <w:rsid w:val="00831FA1"/>
    <w:rsid w:val="0083747C"/>
    <w:rsid w:val="00842F1B"/>
    <w:rsid w:val="00864128"/>
    <w:rsid w:val="00865B42"/>
    <w:rsid w:val="00877446"/>
    <w:rsid w:val="008911F8"/>
    <w:rsid w:val="008A6A05"/>
    <w:rsid w:val="008B0A5D"/>
    <w:rsid w:val="008C5777"/>
    <w:rsid w:val="008D6434"/>
    <w:rsid w:val="008E72D0"/>
    <w:rsid w:val="008E7966"/>
    <w:rsid w:val="008F29EC"/>
    <w:rsid w:val="008F2DDA"/>
    <w:rsid w:val="008F59E2"/>
    <w:rsid w:val="00900A32"/>
    <w:rsid w:val="00902805"/>
    <w:rsid w:val="00914409"/>
    <w:rsid w:val="0092636F"/>
    <w:rsid w:val="00941EF0"/>
    <w:rsid w:val="0095259A"/>
    <w:rsid w:val="00953582"/>
    <w:rsid w:val="00971E09"/>
    <w:rsid w:val="00974720"/>
    <w:rsid w:val="00975816"/>
    <w:rsid w:val="00975E53"/>
    <w:rsid w:val="009776DE"/>
    <w:rsid w:val="009A0A06"/>
    <w:rsid w:val="009A1C6B"/>
    <w:rsid w:val="009A2D6B"/>
    <w:rsid w:val="009A7199"/>
    <w:rsid w:val="009A75A5"/>
    <w:rsid w:val="009B45E9"/>
    <w:rsid w:val="009B54C5"/>
    <w:rsid w:val="009C3BD7"/>
    <w:rsid w:val="009C4D62"/>
    <w:rsid w:val="009E4633"/>
    <w:rsid w:val="009F00AD"/>
    <w:rsid w:val="009F62AC"/>
    <w:rsid w:val="00A05270"/>
    <w:rsid w:val="00A06EEC"/>
    <w:rsid w:val="00A134EE"/>
    <w:rsid w:val="00A142F0"/>
    <w:rsid w:val="00A15D01"/>
    <w:rsid w:val="00A161A7"/>
    <w:rsid w:val="00A17437"/>
    <w:rsid w:val="00A268FD"/>
    <w:rsid w:val="00A279CF"/>
    <w:rsid w:val="00A42727"/>
    <w:rsid w:val="00A46BB7"/>
    <w:rsid w:val="00A5504D"/>
    <w:rsid w:val="00A62D79"/>
    <w:rsid w:val="00A71425"/>
    <w:rsid w:val="00A7420F"/>
    <w:rsid w:val="00A80318"/>
    <w:rsid w:val="00A81BF9"/>
    <w:rsid w:val="00A872CA"/>
    <w:rsid w:val="00A92DEE"/>
    <w:rsid w:val="00A94B0A"/>
    <w:rsid w:val="00A96B81"/>
    <w:rsid w:val="00AA6729"/>
    <w:rsid w:val="00AC0416"/>
    <w:rsid w:val="00AD2D0A"/>
    <w:rsid w:val="00AD4B76"/>
    <w:rsid w:val="00AE0630"/>
    <w:rsid w:val="00B04490"/>
    <w:rsid w:val="00B05061"/>
    <w:rsid w:val="00B11718"/>
    <w:rsid w:val="00B1292E"/>
    <w:rsid w:val="00B14618"/>
    <w:rsid w:val="00B21580"/>
    <w:rsid w:val="00B27FA0"/>
    <w:rsid w:val="00B3142A"/>
    <w:rsid w:val="00B31928"/>
    <w:rsid w:val="00B40138"/>
    <w:rsid w:val="00B5150B"/>
    <w:rsid w:val="00B5305C"/>
    <w:rsid w:val="00B56545"/>
    <w:rsid w:val="00B5686B"/>
    <w:rsid w:val="00B60DF2"/>
    <w:rsid w:val="00B61C9A"/>
    <w:rsid w:val="00B75EC7"/>
    <w:rsid w:val="00B76547"/>
    <w:rsid w:val="00B81DE0"/>
    <w:rsid w:val="00BA2579"/>
    <w:rsid w:val="00BA3CBE"/>
    <w:rsid w:val="00BA4383"/>
    <w:rsid w:val="00BA4695"/>
    <w:rsid w:val="00BB7109"/>
    <w:rsid w:val="00BC16AD"/>
    <w:rsid w:val="00BC74C2"/>
    <w:rsid w:val="00BE3DCC"/>
    <w:rsid w:val="00BF04B6"/>
    <w:rsid w:val="00BF1204"/>
    <w:rsid w:val="00C11D2C"/>
    <w:rsid w:val="00C14265"/>
    <w:rsid w:val="00C154AE"/>
    <w:rsid w:val="00C24351"/>
    <w:rsid w:val="00C32139"/>
    <w:rsid w:val="00C35E01"/>
    <w:rsid w:val="00C361E0"/>
    <w:rsid w:val="00C43972"/>
    <w:rsid w:val="00C707C8"/>
    <w:rsid w:val="00C85E6D"/>
    <w:rsid w:val="00C867C9"/>
    <w:rsid w:val="00C9277C"/>
    <w:rsid w:val="00C92CC7"/>
    <w:rsid w:val="00C97BD0"/>
    <w:rsid w:val="00CA618B"/>
    <w:rsid w:val="00CB4270"/>
    <w:rsid w:val="00CD55C5"/>
    <w:rsid w:val="00CE027B"/>
    <w:rsid w:val="00CE4DEA"/>
    <w:rsid w:val="00CF1FA8"/>
    <w:rsid w:val="00D23075"/>
    <w:rsid w:val="00D31565"/>
    <w:rsid w:val="00D33C1F"/>
    <w:rsid w:val="00D33F1D"/>
    <w:rsid w:val="00D5782C"/>
    <w:rsid w:val="00D70522"/>
    <w:rsid w:val="00D846BC"/>
    <w:rsid w:val="00D84D2F"/>
    <w:rsid w:val="00D87792"/>
    <w:rsid w:val="00DA7ABD"/>
    <w:rsid w:val="00DB7D14"/>
    <w:rsid w:val="00DC1830"/>
    <w:rsid w:val="00DD2EF6"/>
    <w:rsid w:val="00DD3466"/>
    <w:rsid w:val="00DE64E3"/>
    <w:rsid w:val="00DF00F3"/>
    <w:rsid w:val="00DF0302"/>
    <w:rsid w:val="00DF0685"/>
    <w:rsid w:val="00DF0EBC"/>
    <w:rsid w:val="00DF71CD"/>
    <w:rsid w:val="00E00F83"/>
    <w:rsid w:val="00E015E7"/>
    <w:rsid w:val="00E0187C"/>
    <w:rsid w:val="00E03230"/>
    <w:rsid w:val="00E06E2E"/>
    <w:rsid w:val="00E07E2B"/>
    <w:rsid w:val="00E1009A"/>
    <w:rsid w:val="00E23A2E"/>
    <w:rsid w:val="00E23A95"/>
    <w:rsid w:val="00E27D8B"/>
    <w:rsid w:val="00E331FB"/>
    <w:rsid w:val="00E47A75"/>
    <w:rsid w:val="00E61418"/>
    <w:rsid w:val="00E62692"/>
    <w:rsid w:val="00E626D2"/>
    <w:rsid w:val="00E70477"/>
    <w:rsid w:val="00E728E0"/>
    <w:rsid w:val="00E7510D"/>
    <w:rsid w:val="00E76AC0"/>
    <w:rsid w:val="00E85E42"/>
    <w:rsid w:val="00E97C9D"/>
    <w:rsid w:val="00EA0C5B"/>
    <w:rsid w:val="00EA17B9"/>
    <w:rsid w:val="00ED55FB"/>
    <w:rsid w:val="00EE4B7A"/>
    <w:rsid w:val="00EE4D50"/>
    <w:rsid w:val="00EE517E"/>
    <w:rsid w:val="00EE7E5F"/>
    <w:rsid w:val="00EF6C59"/>
    <w:rsid w:val="00F00F01"/>
    <w:rsid w:val="00F033D2"/>
    <w:rsid w:val="00F14C2B"/>
    <w:rsid w:val="00F351D6"/>
    <w:rsid w:val="00F40C8F"/>
    <w:rsid w:val="00F41C8A"/>
    <w:rsid w:val="00F5102A"/>
    <w:rsid w:val="00F671FB"/>
    <w:rsid w:val="00F76448"/>
    <w:rsid w:val="00F80324"/>
    <w:rsid w:val="00F80B14"/>
    <w:rsid w:val="00F83508"/>
    <w:rsid w:val="00F87818"/>
    <w:rsid w:val="00F90B85"/>
    <w:rsid w:val="00F90CFF"/>
    <w:rsid w:val="00FA249B"/>
    <w:rsid w:val="00FA3787"/>
    <w:rsid w:val="00FC51AA"/>
    <w:rsid w:val="00FD0318"/>
    <w:rsid w:val="00FE00C3"/>
    <w:rsid w:val="00FE058C"/>
    <w:rsid w:val="00FE13A5"/>
    <w:rsid w:val="00FE2034"/>
    <w:rsid w:val="00FE5D1E"/>
    <w:rsid w:val="00FF0145"/>
    <w:rsid w:val="00FF0D8B"/>
    <w:rsid w:val="00FF3B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C65A44"/>
  <w15:chartTrackingRefBased/>
  <w15:docId w15:val="{E324EB86-0CDE-4EC0-B292-BF05E9C0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link w:val="ListBulletChar"/>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5_G,Footnote Text Char2 Char1,Footnote Text Char Char1 Char1,Footnote Text Char1 Char Char Char,Footnote Text Char Char Char Char Char,Footnote Text Char1 Char1 Char,Footnote Text Char Char Char1 Char,Footnote Text Char1"/>
    <w:basedOn w:val="Normal"/>
    <w:link w:val="FootnoteTextChar"/>
    <w:uiPriority w:val="99"/>
    <w:qFormat/>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aliases w:val="Footnote symbol,Footnote reference number,Times 10 Point,Exposant 3 Point,EN Footnote Reference,note TESI,Footnote Reference_LVL6,Footnote Reference_LVL61,Footnote Reference_LVL62,Footnote Reference_LVL63,SUPE,Footnotes refs,SUPERS"/>
    <w:uiPriority w:val="99"/>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ListParagraph">
    <w:name w:val="List Paragraph"/>
    <w:basedOn w:val="Normal"/>
    <w:uiPriority w:val="34"/>
    <w:qFormat/>
    <w:rsid w:val="002749A8"/>
    <w:pPr>
      <w:spacing w:after="160" w:line="259"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aliases w:val="5_G Char,Footnote Text Char2 Char1 Char,Footnote Text Char Char1 Char1 Char,Footnote Text Char1 Char Char Char Char,Footnote Text Char Char Char Char Char Char,Footnote Text Char1 Char1 Char Char,Footnote Text Char1 Char"/>
    <w:link w:val="FootnoteText"/>
    <w:uiPriority w:val="99"/>
    <w:rsid w:val="0083747C"/>
    <w:rPr>
      <w:rFonts w:ascii="Gill Sans MT" w:eastAsia="Times New Roman" w:hAnsi="Gill Sans MT"/>
      <w:sz w:val="22"/>
      <w:lang w:eastAsia="en-US"/>
    </w:rPr>
  </w:style>
  <w:style w:type="paragraph" w:customStyle="1" w:styleId="Default">
    <w:name w:val="Default"/>
    <w:rsid w:val="00320406"/>
    <w:pPr>
      <w:autoSpaceDE w:val="0"/>
      <w:autoSpaceDN w:val="0"/>
      <w:adjustRightInd w:val="0"/>
    </w:pPr>
    <w:rPr>
      <w:color w:val="000000"/>
      <w:sz w:val="24"/>
      <w:szCs w:val="24"/>
    </w:rPr>
  </w:style>
  <w:style w:type="paragraph" w:customStyle="1" w:styleId="footnotedescription">
    <w:name w:val="footnote description"/>
    <w:next w:val="Normal"/>
    <w:link w:val="footnotedescriptionChar"/>
    <w:hidden/>
    <w:rsid w:val="005724A2"/>
    <w:pPr>
      <w:spacing w:line="259" w:lineRule="auto"/>
    </w:pPr>
    <w:rPr>
      <w:rFonts w:ascii="Gill Sans MT" w:eastAsia="Gill Sans MT" w:hAnsi="Gill Sans MT" w:cs="Gill Sans MT"/>
      <w:color w:val="000000"/>
      <w:szCs w:val="22"/>
    </w:rPr>
  </w:style>
  <w:style w:type="character" w:customStyle="1" w:styleId="footnotedescriptionChar">
    <w:name w:val="footnote description Char"/>
    <w:link w:val="footnotedescription"/>
    <w:rsid w:val="005724A2"/>
    <w:rPr>
      <w:rFonts w:ascii="Gill Sans MT" w:eastAsia="Gill Sans MT" w:hAnsi="Gill Sans MT" w:cs="Gill Sans MT"/>
      <w:color w:val="000000"/>
      <w:szCs w:val="22"/>
    </w:rPr>
  </w:style>
  <w:style w:type="character" w:customStyle="1" w:styleId="footnotemark">
    <w:name w:val="footnote mark"/>
    <w:hidden/>
    <w:rsid w:val="005724A2"/>
    <w:rPr>
      <w:rFonts w:ascii="Gill Sans MT" w:eastAsia="Gill Sans MT" w:hAnsi="Gill Sans MT" w:cs="Gill Sans MT"/>
      <w:color w:val="000000"/>
      <w:sz w:val="18"/>
      <w:vertAlign w:val="superscript"/>
    </w:rPr>
  </w:style>
  <w:style w:type="paragraph" w:customStyle="1" w:styleId="paragraph">
    <w:name w:val="paragraph"/>
    <w:basedOn w:val="Normal"/>
    <w:rsid w:val="001D7C32"/>
    <w:pPr>
      <w:spacing w:before="100" w:beforeAutospacing="1" w:after="100" w:afterAutospacing="1"/>
    </w:pPr>
    <w:rPr>
      <w:rFonts w:ascii="Times New Roman" w:hAnsi="Times New Roman"/>
      <w:sz w:val="24"/>
      <w:lang w:eastAsia="en-IE"/>
    </w:rPr>
  </w:style>
  <w:style w:type="character" w:customStyle="1" w:styleId="normaltextrun">
    <w:name w:val="normaltextrun"/>
    <w:basedOn w:val="DefaultParagraphFont"/>
    <w:rsid w:val="001D7C32"/>
  </w:style>
  <w:style w:type="character" w:customStyle="1" w:styleId="eop">
    <w:name w:val="eop"/>
    <w:basedOn w:val="DefaultParagraphFont"/>
    <w:rsid w:val="001D7C32"/>
  </w:style>
  <w:style w:type="character" w:customStyle="1" w:styleId="spellingerror">
    <w:name w:val="spellingerror"/>
    <w:basedOn w:val="DefaultParagraphFont"/>
    <w:rsid w:val="001D7C32"/>
  </w:style>
  <w:style w:type="character" w:customStyle="1" w:styleId="FooterChar">
    <w:name w:val="Footer Char"/>
    <w:basedOn w:val="DefaultParagraphFont"/>
    <w:link w:val="Footer"/>
    <w:uiPriority w:val="99"/>
    <w:rsid w:val="006F7CF9"/>
    <w:rPr>
      <w:rFonts w:ascii="Gill Sans MT" w:eastAsia="Times New Roman" w:hAnsi="Gill Sans MT"/>
      <w:color w:val="323232"/>
      <w:lang w:eastAsia="en-US"/>
    </w:rPr>
  </w:style>
  <w:style w:type="paragraph" w:styleId="BalloonText">
    <w:name w:val="Balloon Text"/>
    <w:basedOn w:val="Normal"/>
    <w:link w:val="BalloonTextChar"/>
    <w:rsid w:val="00F40C8F"/>
    <w:pPr>
      <w:spacing w:after="0"/>
    </w:pPr>
    <w:rPr>
      <w:rFonts w:ascii="Segoe UI" w:hAnsi="Segoe UI" w:cs="Segoe UI"/>
      <w:sz w:val="18"/>
      <w:szCs w:val="18"/>
    </w:rPr>
  </w:style>
  <w:style w:type="character" w:customStyle="1" w:styleId="BalloonTextChar">
    <w:name w:val="Balloon Text Char"/>
    <w:basedOn w:val="DefaultParagraphFont"/>
    <w:link w:val="BalloonText"/>
    <w:rsid w:val="00F40C8F"/>
    <w:rPr>
      <w:rFonts w:ascii="Segoe UI" w:eastAsia="Times New Roman" w:hAnsi="Segoe UI" w:cs="Segoe UI"/>
      <w:sz w:val="18"/>
      <w:szCs w:val="18"/>
      <w:lang w:eastAsia="en-US"/>
    </w:rPr>
  </w:style>
  <w:style w:type="character" w:customStyle="1" w:styleId="ListBulletChar">
    <w:name w:val="List Bullet Char"/>
    <w:link w:val="ListBullet"/>
    <w:rsid w:val="001939ED"/>
    <w:rPr>
      <w:rFonts w:ascii="Gill Sans MT" w:eastAsia="Times New Roman" w:hAnsi="Gill Sans MT"/>
      <w:sz w:val="26"/>
      <w:szCs w:val="24"/>
      <w:lang w:eastAsia="en-US"/>
    </w:rPr>
  </w:style>
  <w:style w:type="paragraph" w:styleId="NoSpacing">
    <w:name w:val="No Spacing"/>
    <w:uiPriority w:val="1"/>
    <w:qFormat/>
    <w:rsid w:val="00FE00C3"/>
    <w:rPr>
      <w:rFonts w:asciiTheme="minorHAnsi" w:eastAsiaTheme="minorHAnsi" w:hAnsiTheme="minorHAnsi" w:cstheme="minorBidi"/>
      <w:sz w:val="22"/>
      <w:szCs w:val="22"/>
      <w:lang w:eastAsia="en-US"/>
    </w:rPr>
  </w:style>
  <w:style w:type="paragraph" w:styleId="TOCHeading">
    <w:name w:val="TOC Heading"/>
    <w:basedOn w:val="Heading1"/>
    <w:next w:val="Normal"/>
    <w:uiPriority w:val="39"/>
    <w:unhideWhenUsed/>
    <w:qFormat/>
    <w:rsid w:val="0079532C"/>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2E74B5" w:themeColor="accent1" w:themeShade="BF"/>
      <w:kern w:val="0"/>
      <w:lang w:val="en-US"/>
    </w:rPr>
  </w:style>
  <w:style w:type="paragraph" w:styleId="TOC3">
    <w:name w:val="toc 3"/>
    <w:basedOn w:val="Normal"/>
    <w:next w:val="Normal"/>
    <w:autoRedefine/>
    <w:uiPriority w:val="39"/>
    <w:rsid w:val="0079532C"/>
    <w:pPr>
      <w:spacing w:after="100"/>
      <w:ind w:left="520"/>
    </w:pPr>
  </w:style>
  <w:style w:type="character" w:customStyle="1" w:styleId="TitleChar">
    <w:name w:val="Title Char"/>
    <w:basedOn w:val="DefaultParagraphFont"/>
    <w:link w:val="Title"/>
    <w:rsid w:val="00365C67"/>
    <w:rPr>
      <w:rFonts w:ascii="Gill Sans MT" w:eastAsia="Times New Roman" w:hAnsi="Gill Sans MT" w:cs="Arial"/>
      <w:b/>
      <w:bCs/>
      <w:kern w:val="28"/>
      <w:sz w:val="36"/>
      <w:szCs w:val="32"/>
      <w:lang w:eastAsia="en-US"/>
    </w:rPr>
  </w:style>
  <w:style w:type="character" w:customStyle="1" w:styleId="Heading2Char">
    <w:name w:val="Heading 2 Char"/>
    <w:basedOn w:val="DefaultParagraphFont"/>
    <w:link w:val="Heading2"/>
    <w:rsid w:val="00365C67"/>
    <w:rPr>
      <w:rFonts w:ascii="Gill Sans MT" w:eastAsia="Times New Roman" w:hAnsi="Gill Sans MT" w:cs="Arial Bold"/>
      <w:b/>
      <w:bCs/>
      <w:iCs/>
      <w:sz w:val="28"/>
      <w:szCs w:val="28"/>
      <w:lang w:eastAsia="en-US"/>
    </w:rPr>
  </w:style>
  <w:style w:type="table" w:styleId="TableGrid">
    <w:name w:val="Table Grid"/>
    <w:basedOn w:val="TableNormal"/>
    <w:uiPriority w:val="59"/>
    <w:rsid w:val="00365C6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7510D"/>
    <w:rPr>
      <w:sz w:val="16"/>
      <w:szCs w:val="16"/>
    </w:rPr>
  </w:style>
  <w:style w:type="paragraph" w:styleId="CommentSubject">
    <w:name w:val="annotation subject"/>
    <w:basedOn w:val="CommentText"/>
    <w:next w:val="CommentText"/>
    <w:link w:val="CommentSubjectChar"/>
    <w:rsid w:val="00E7510D"/>
    <w:rPr>
      <w:rFonts w:ascii="Gill Sans MT" w:hAnsi="Gill Sans MT"/>
      <w:b/>
      <w:bCs/>
      <w:szCs w:val="20"/>
      <w:lang w:val="en-IE"/>
    </w:rPr>
  </w:style>
  <w:style w:type="character" w:customStyle="1" w:styleId="CommentSubjectChar">
    <w:name w:val="Comment Subject Char"/>
    <w:basedOn w:val="CommentTextChar"/>
    <w:link w:val="CommentSubject"/>
    <w:rsid w:val="00E7510D"/>
    <w:rPr>
      <w:rFonts w:ascii="Gill Sans MT" w:eastAsia="Times New Roman" w:hAnsi="Gill Sans MT"/>
      <w:b/>
      <w:bCs/>
      <w:szCs w:val="24"/>
      <w:lang w:eastAsia="en-US"/>
    </w:rPr>
  </w:style>
  <w:style w:type="character" w:customStyle="1" w:styleId="color14">
    <w:name w:val="color_14"/>
    <w:basedOn w:val="DefaultParagraphFont"/>
    <w:rsid w:val="005478E7"/>
  </w:style>
  <w:style w:type="character" w:customStyle="1" w:styleId="wixguard">
    <w:name w:val="wixguard"/>
    <w:basedOn w:val="DefaultParagraphFont"/>
    <w:rsid w:val="005478E7"/>
  </w:style>
  <w:style w:type="character" w:customStyle="1" w:styleId="color25">
    <w:name w:val="color_25"/>
    <w:basedOn w:val="DefaultParagraphFont"/>
    <w:rsid w:val="005478E7"/>
  </w:style>
  <w:style w:type="paragraph" w:styleId="NormalWeb">
    <w:name w:val="Normal (Web)"/>
    <w:basedOn w:val="Normal"/>
    <w:uiPriority w:val="99"/>
    <w:unhideWhenUsed/>
    <w:rsid w:val="00156031"/>
    <w:pPr>
      <w:spacing w:before="100" w:beforeAutospacing="1" w:after="100" w:afterAutospacing="1"/>
    </w:pPr>
    <w:rPr>
      <w:rFonts w:ascii="Times New Roman" w:hAnsi="Times New Roman"/>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6422">
      <w:bodyDiv w:val="1"/>
      <w:marLeft w:val="0"/>
      <w:marRight w:val="0"/>
      <w:marTop w:val="0"/>
      <w:marBottom w:val="0"/>
      <w:divBdr>
        <w:top w:val="none" w:sz="0" w:space="0" w:color="auto"/>
        <w:left w:val="none" w:sz="0" w:space="0" w:color="auto"/>
        <w:bottom w:val="none" w:sz="0" w:space="0" w:color="auto"/>
        <w:right w:val="none" w:sz="0" w:space="0" w:color="auto"/>
      </w:divBdr>
    </w:div>
    <w:div w:id="199783644">
      <w:bodyDiv w:val="1"/>
      <w:marLeft w:val="0"/>
      <w:marRight w:val="0"/>
      <w:marTop w:val="0"/>
      <w:marBottom w:val="0"/>
      <w:divBdr>
        <w:top w:val="none" w:sz="0" w:space="0" w:color="auto"/>
        <w:left w:val="none" w:sz="0" w:space="0" w:color="auto"/>
        <w:bottom w:val="none" w:sz="0" w:space="0" w:color="auto"/>
        <w:right w:val="none" w:sz="0" w:space="0" w:color="auto"/>
      </w:divBdr>
      <w:divsChild>
        <w:div w:id="356539260">
          <w:marLeft w:val="547"/>
          <w:marRight w:val="0"/>
          <w:marTop w:val="96"/>
          <w:marBottom w:val="0"/>
          <w:divBdr>
            <w:top w:val="none" w:sz="0" w:space="0" w:color="auto"/>
            <w:left w:val="none" w:sz="0" w:space="0" w:color="auto"/>
            <w:bottom w:val="none" w:sz="0" w:space="0" w:color="auto"/>
            <w:right w:val="none" w:sz="0" w:space="0" w:color="auto"/>
          </w:divBdr>
        </w:div>
        <w:div w:id="789594906">
          <w:marLeft w:val="1166"/>
          <w:marRight w:val="0"/>
          <w:marTop w:val="77"/>
          <w:marBottom w:val="0"/>
          <w:divBdr>
            <w:top w:val="none" w:sz="0" w:space="0" w:color="auto"/>
            <w:left w:val="none" w:sz="0" w:space="0" w:color="auto"/>
            <w:bottom w:val="none" w:sz="0" w:space="0" w:color="auto"/>
            <w:right w:val="none" w:sz="0" w:space="0" w:color="auto"/>
          </w:divBdr>
        </w:div>
        <w:div w:id="282615998">
          <w:marLeft w:val="1166"/>
          <w:marRight w:val="0"/>
          <w:marTop w:val="77"/>
          <w:marBottom w:val="0"/>
          <w:divBdr>
            <w:top w:val="none" w:sz="0" w:space="0" w:color="auto"/>
            <w:left w:val="none" w:sz="0" w:space="0" w:color="auto"/>
            <w:bottom w:val="none" w:sz="0" w:space="0" w:color="auto"/>
            <w:right w:val="none" w:sz="0" w:space="0" w:color="auto"/>
          </w:divBdr>
        </w:div>
        <w:div w:id="827012211">
          <w:marLeft w:val="547"/>
          <w:marRight w:val="0"/>
          <w:marTop w:val="96"/>
          <w:marBottom w:val="0"/>
          <w:divBdr>
            <w:top w:val="none" w:sz="0" w:space="0" w:color="auto"/>
            <w:left w:val="none" w:sz="0" w:space="0" w:color="auto"/>
            <w:bottom w:val="none" w:sz="0" w:space="0" w:color="auto"/>
            <w:right w:val="none" w:sz="0" w:space="0" w:color="auto"/>
          </w:divBdr>
        </w:div>
        <w:div w:id="615412328">
          <w:marLeft w:val="547"/>
          <w:marRight w:val="0"/>
          <w:marTop w:val="96"/>
          <w:marBottom w:val="0"/>
          <w:divBdr>
            <w:top w:val="none" w:sz="0" w:space="0" w:color="auto"/>
            <w:left w:val="none" w:sz="0" w:space="0" w:color="auto"/>
            <w:bottom w:val="none" w:sz="0" w:space="0" w:color="auto"/>
            <w:right w:val="none" w:sz="0" w:space="0" w:color="auto"/>
          </w:divBdr>
        </w:div>
        <w:div w:id="591354023">
          <w:marLeft w:val="547"/>
          <w:marRight w:val="0"/>
          <w:marTop w:val="96"/>
          <w:marBottom w:val="0"/>
          <w:divBdr>
            <w:top w:val="none" w:sz="0" w:space="0" w:color="auto"/>
            <w:left w:val="none" w:sz="0" w:space="0" w:color="auto"/>
            <w:bottom w:val="none" w:sz="0" w:space="0" w:color="auto"/>
            <w:right w:val="none" w:sz="0" w:space="0" w:color="auto"/>
          </w:divBdr>
        </w:div>
        <w:div w:id="618224953">
          <w:marLeft w:val="547"/>
          <w:marRight w:val="0"/>
          <w:marTop w:val="96"/>
          <w:marBottom w:val="0"/>
          <w:divBdr>
            <w:top w:val="none" w:sz="0" w:space="0" w:color="auto"/>
            <w:left w:val="none" w:sz="0" w:space="0" w:color="auto"/>
            <w:bottom w:val="none" w:sz="0" w:space="0" w:color="auto"/>
            <w:right w:val="none" w:sz="0" w:space="0" w:color="auto"/>
          </w:divBdr>
        </w:div>
        <w:div w:id="239874668">
          <w:marLeft w:val="547"/>
          <w:marRight w:val="0"/>
          <w:marTop w:val="96"/>
          <w:marBottom w:val="0"/>
          <w:divBdr>
            <w:top w:val="none" w:sz="0" w:space="0" w:color="auto"/>
            <w:left w:val="none" w:sz="0" w:space="0" w:color="auto"/>
            <w:bottom w:val="none" w:sz="0" w:space="0" w:color="auto"/>
            <w:right w:val="none" w:sz="0" w:space="0" w:color="auto"/>
          </w:divBdr>
        </w:div>
        <w:div w:id="1645351729">
          <w:marLeft w:val="547"/>
          <w:marRight w:val="0"/>
          <w:marTop w:val="96"/>
          <w:marBottom w:val="0"/>
          <w:divBdr>
            <w:top w:val="none" w:sz="0" w:space="0" w:color="auto"/>
            <w:left w:val="none" w:sz="0" w:space="0" w:color="auto"/>
            <w:bottom w:val="none" w:sz="0" w:space="0" w:color="auto"/>
            <w:right w:val="none" w:sz="0" w:space="0" w:color="auto"/>
          </w:divBdr>
        </w:div>
        <w:div w:id="2014844379">
          <w:marLeft w:val="547"/>
          <w:marRight w:val="0"/>
          <w:marTop w:val="96"/>
          <w:marBottom w:val="0"/>
          <w:divBdr>
            <w:top w:val="none" w:sz="0" w:space="0" w:color="auto"/>
            <w:left w:val="none" w:sz="0" w:space="0" w:color="auto"/>
            <w:bottom w:val="none" w:sz="0" w:space="0" w:color="auto"/>
            <w:right w:val="none" w:sz="0" w:space="0" w:color="auto"/>
          </w:divBdr>
        </w:div>
        <w:div w:id="115756404">
          <w:marLeft w:val="547"/>
          <w:marRight w:val="0"/>
          <w:marTop w:val="96"/>
          <w:marBottom w:val="0"/>
          <w:divBdr>
            <w:top w:val="none" w:sz="0" w:space="0" w:color="auto"/>
            <w:left w:val="none" w:sz="0" w:space="0" w:color="auto"/>
            <w:bottom w:val="none" w:sz="0" w:space="0" w:color="auto"/>
            <w:right w:val="none" w:sz="0" w:space="0" w:color="auto"/>
          </w:divBdr>
        </w:div>
      </w:divsChild>
    </w:div>
    <w:div w:id="284895681">
      <w:bodyDiv w:val="1"/>
      <w:marLeft w:val="0"/>
      <w:marRight w:val="0"/>
      <w:marTop w:val="0"/>
      <w:marBottom w:val="0"/>
      <w:divBdr>
        <w:top w:val="none" w:sz="0" w:space="0" w:color="auto"/>
        <w:left w:val="none" w:sz="0" w:space="0" w:color="auto"/>
        <w:bottom w:val="none" w:sz="0" w:space="0" w:color="auto"/>
        <w:right w:val="none" w:sz="0" w:space="0" w:color="auto"/>
      </w:divBdr>
    </w:div>
    <w:div w:id="589699597">
      <w:bodyDiv w:val="1"/>
      <w:marLeft w:val="0"/>
      <w:marRight w:val="0"/>
      <w:marTop w:val="0"/>
      <w:marBottom w:val="0"/>
      <w:divBdr>
        <w:top w:val="none" w:sz="0" w:space="0" w:color="auto"/>
        <w:left w:val="none" w:sz="0" w:space="0" w:color="auto"/>
        <w:bottom w:val="none" w:sz="0" w:space="0" w:color="auto"/>
        <w:right w:val="none" w:sz="0" w:space="0" w:color="auto"/>
      </w:divBdr>
    </w:div>
    <w:div w:id="676004514">
      <w:bodyDiv w:val="1"/>
      <w:marLeft w:val="0"/>
      <w:marRight w:val="0"/>
      <w:marTop w:val="0"/>
      <w:marBottom w:val="0"/>
      <w:divBdr>
        <w:top w:val="none" w:sz="0" w:space="0" w:color="auto"/>
        <w:left w:val="none" w:sz="0" w:space="0" w:color="auto"/>
        <w:bottom w:val="none" w:sz="0" w:space="0" w:color="auto"/>
        <w:right w:val="none" w:sz="0" w:space="0" w:color="auto"/>
      </w:divBdr>
    </w:div>
    <w:div w:id="769811253">
      <w:bodyDiv w:val="1"/>
      <w:marLeft w:val="0"/>
      <w:marRight w:val="0"/>
      <w:marTop w:val="0"/>
      <w:marBottom w:val="0"/>
      <w:divBdr>
        <w:top w:val="none" w:sz="0" w:space="0" w:color="auto"/>
        <w:left w:val="none" w:sz="0" w:space="0" w:color="auto"/>
        <w:bottom w:val="none" w:sz="0" w:space="0" w:color="auto"/>
        <w:right w:val="none" w:sz="0" w:space="0" w:color="auto"/>
      </w:divBdr>
    </w:div>
    <w:div w:id="793597017">
      <w:bodyDiv w:val="1"/>
      <w:marLeft w:val="0"/>
      <w:marRight w:val="0"/>
      <w:marTop w:val="0"/>
      <w:marBottom w:val="0"/>
      <w:divBdr>
        <w:top w:val="none" w:sz="0" w:space="0" w:color="auto"/>
        <w:left w:val="none" w:sz="0" w:space="0" w:color="auto"/>
        <w:bottom w:val="none" w:sz="0" w:space="0" w:color="auto"/>
        <w:right w:val="none" w:sz="0" w:space="0" w:color="auto"/>
      </w:divBdr>
      <w:divsChild>
        <w:div w:id="1629824294">
          <w:marLeft w:val="0"/>
          <w:marRight w:val="0"/>
          <w:marTop w:val="0"/>
          <w:marBottom w:val="0"/>
          <w:divBdr>
            <w:top w:val="none" w:sz="0" w:space="0" w:color="auto"/>
            <w:left w:val="none" w:sz="0" w:space="0" w:color="auto"/>
            <w:bottom w:val="none" w:sz="0" w:space="0" w:color="auto"/>
            <w:right w:val="none" w:sz="0" w:space="0" w:color="auto"/>
          </w:divBdr>
        </w:div>
      </w:divsChild>
    </w:div>
    <w:div w:id="834761648">
      <w:bodyDiv w:val="1"/>
      <w:marLeft w:val="0"/>
      <w:marRight w:val="0"/>
      <w:marTop w:val="0"/>
      <w:marBottom w:val="0"/>
      <w:divBdr>
        <w:top w:val="none" w:sz="0" w:space="0" w:color="auto"/>
        <w:left w:val="none" w:sz="0" w:space="0" w:color="auto"/>
        <w:bottom w:val="none" w:sz="0" w:space="0" w:color="auto"/>
        <w:right w:val="none" w:sz="0" w:space="0" w:color="auto"/>
      </w:divBdr>
    </w:div>
    <w:div w:id="919604318">
      <w:bodyDiv w:val="1"/>
      <w:marLeft w:val="0"/>
      <w:marRight w:val="0"/>
      <w:marTop w:val="0"/>
      <w:marBottom w:val="0"/>
      <w:divBdr>
        <w:top w:val="none" w:sz="0" w:space="0" w:color="auto"/>
        <w:left w:val="none" w:sz="0" w:space="0" w:color="auto"/>
        <w:bottom w:val="none" w:sz="0" w:space="0" w:color="auto"/>
        <w:right w:val="none" w:sz="0" w:space="0" w:color="auto"/>
      </w:divBdr>
    </w:div>
    <w:div w:id="964232190">
      <w:bodyDiv w:val="1"/>
      <w:marLeft w:val="0"/>
      <w:marRight w:val="0"/>
      <w:marTop w:val="0"/>
      <w:marBottom w:val="0"/>
      <w:divBdr>
        <w:top w:val="none" w:sz="0" w:space="0" w:color="auto"/>
        <w:left w:val="none" w:sz="0" w:space="0" w:color="auto"/>
        <w:bottom w:val="none" w:sz="0" w:space="0" w:color="auto"/>
        <w:right w:val="none" w:sz="0" w:space="0" w:color="auto"/>
      </w:divBdr>
      <w:divsChild>
        <w:div w:id="1606617367">
          <w:marLeft w:val="806"/>
          <w:marRight w:val="0"/>
          <w:marTop w:val="115"/>
          <w:marBottom w:val="0"/>
          <w:divBdr>
            <w:top w:val="none" w:sz="0" w:space="0" w:color="auto"/>
            <w:left w:val="none" w:sz="0" w:space="0" w:color="auto"/>
            <w:bottom w:val="none" w:sz="0" w:space="0" w:color="auto"/>
            <w:right w:val="none" w:sz="0" w:space="0" w:color="auto"/>
          </w:divBdr>
        </w:div>
      </w:divsChild>
    </w:div>
    <w:div w:id="1067875463">
      <w:bodyDiv w:val="1"/>
      <w:marLeft w:val="0"/>
      <w:marRight w:val="0"/>
      <w:marTop w:val="0"/>
      <w:marBottom w:val="0"/>
      <w:divBdr>
        <w:top w:val="none" w:sz="0" w:space="0" w:color="auto"/>
        <w:left w:val="none" w:sz="0" w:space="0" w:color="auto"/>
        <w:bottom w:val="none" w:sz="0" w:space="0" w:color="auto"/>
        <w:right w:val="none" w:sz="0" w:space="0" w:color="auto"/>
      </w:divBdr>
    </w:div>
    <w:div w:id="1532643311">
      <w:bodyDiv w:val="1"/>
      <w:marLeft w:val="0"/>
      <w:marRight w:val="0"/>
      <w:marTop w:val="0"/>
      <w:marBottom w:val="0"/>
      <w:divBdr>
        <w:top w:val="none" w:sz="0" w:space="0" w:color="auto"/>
        <w:left w:val="none" w:sz="0" w:space="0" w:color="auto"/>
        <w:bottom w:val="none" w:sz="0" w:space="0" w:color="auto"/>
        <w:right w:val="none" w:sz="0" w:space="0" w:color="auto"/>
      </w:divBdr>
    </w:div>
    <w:div w:id="1726642769">
      <w:bodyDiv w:val="1"/>
      <w:marLeft w:val="0"/>
      <w:marRight w:val="0"/>
      <w:marTop w:val="0"/>
      <w:marBottom w:val="0"/>
      <w:divBdr>
        <w:top w:val="none" w:sz="0" w:space="0" w:color="auto"/>
        <w:left w:val="none" w:sz="0" w:space="0" w:color="auto"/>
        <w:bottom w:val="none" w:sz="0" w:space="0" w:color="auto"/>
        <w:right w:val="none" w:sz="0" w:space="0" w:color="auto"/>
      </w:divBdr>
    </w:div>
    <w:div w:id="1808744686">
      <w:bodyDiv w:val="1"/>
      <w:marLeft w:val="0"/>
      <w:marRight w:val="0"/>
      <w:marTop w:val="0"/>
      <w:marBottom w:val="0"/>
      <w:divBdr>
        <w:top w:val="none" w:sz="0" w:space="0" w:color="auto"/>
        <w:left w:val="none" w:sz="0" w:space="0" w:color="auto"/>
        <w:bottom w:val="none" w:sz="0" w:space="0" w:color="auto"/>
        <w:right w:val="none" w:sz="0" w:space="0" w:color="auto"/>
      </w:divBdr>
      <w:divsChild>
        <w:div w:id="560486975">
          <w:marLeft w:val="547"/>
          <w:marRight w:val="0"/>
          <w:marTop w:val="96"/>
          <w:marBottom w:val="0"/>
          <w:divBdr>
            <w:top w:val="none" w:sz="0" w:space="0" w:color="auto"/>
            <w:left w:val="none" w:sz="0" w:space="0" w:color="auto"/>
            <w:bottom w:val="none" w:sz="0" w:space="0" w:color="auto"/>
            <w:right w:val="none" w:sz="0" w:space="0" w:color="auto"/>
          </w:divBdr>
        </w:div>
        <w:div w:id="1795442422">
          <w:marLeft w:val="547"/>
          <w:marRight w:val="0"/>
          <w:marTop w:val="96"/>
          <w:marBottom w:val="0"/>
          <w:divBdr>
            <w:top w:val="none" w:sz="0" w:space="0" w:color="auto"/>
            <w:left w:val="none" w:sz="0" w:space="0" w:color="auto"/>
            <w:bottom w:val="none" w:sz="0" w:space="0" w:color="auto"/>
            <w:right w:val="none" w:sz="0" w:space="0" w:color="auto"/>
          </w:divBdr>
        </w:div>
        <w:div w:id="11881286">
          <w:marLeft w:val="547"/>
          <w:marRight w:val="0"/>
          <w:marTop w:val="96"/>
          <w:marBottom w:val="0"/>
          <w:divBdr>
            <w:top w:val="none" w:sz="0" w:space="0" w:color="auto"/>
            <w:left w:val="none" w:sz="0" w:space="0" w:color="auto"/>
            <w:bottom w:val="none" w:sz="0" w:space="0" w:color="auto"/>
            <w:right w:val="none" w:sz="0" w:space="0" w:color="auto"/>
          </w:divBdr>
        </w:div>
        <w:div w:id="1722097388">
          <w:marLeft w:val="547"/>
          <w:marRight w:val="0"/>
          <w:marTop w:val="96"/>
          <w:marBottom w:val="0"/>
          <w:divBdr>
            <w:top w:val="none" w:sz="0" w:space="0" w:color="auto"/>
            <w:left w:val="none" w:sz="0" w:space="0" w:color="auto"/>
            <w:bottom w:val="none" w:sz="0" w:space="0" w:color="auto"/>
            <w:right w:val="none" w:sz="0" w:space="0" w:color="auto"/>
          </w:divBdr>
        </w:div>
        <w:div w:id="160337091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social/main.jsp?langId=en&amp;catId=89&amp;newsId=10387&amp;furtherNews=y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publications/i/item/97892400494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file:///H:\Downloads\PES-Disability-Toolkit.pdf" TargetMode="External"/><Relationship Id="rId13" Type="http://schemas.openxmlformats.org/officeDocument/2006/relationships/hyperlink" Target="https://assets.gov.ie/18906/1120bc6ad254489db9571c74e8572f44.pdf" TargetMode="External"/><Relationship Id="rId18" Type="http://schemas.openxmlformats.org/officeDocument/2006/relationships/hyperlink" Target="https://www.gov.ie/en/publication/0fb542-make-work-pay-report/" TargetMode="External"/><Relationship Id="rId3" Type="http://schemas.openxmlformats.org/officeDocument/2006/relationships/hyperlink" Target="https://www.esri.ie/publications/identification-of-skills-gaps-among-persons-with-disabilities-and-their-employment" TargetMode="External"/><Relationship Id="rId21" Type="http://schemas.openxmlformats.org/officeDocument/2006/relationships/hyperlink" Target="https://nda.ie/publications/employment/employment-publications/disability-work-and-inclusion-in-ireland-engaging-and-supporting-employers.html" TargetMode="External"/><Relationship Id="rId7" Type="http://schemas.openxmlformats.org/officeDocument/2006/relationships/hyperlink" Target="https://ec.europa.eu/social/main.jsp?langId=en&amp;catId=89&amp;newsId=10387&amp;furtherNews=yes" TargetMode="External"/><Relationship Id="rId12" Type="http://schemas.openxmlformats.org/officeDocument/2006/relationships/hyperlink" Target="https://kar.kent.ac.uk/100600/1/J.%20Beadle-Brown%20-%20Mapping%20frameworks%20and%20approaches%20to%20measuring%20the%20quality%20-%20PPDF.pdf" TargetMode="External"/><Relationship Id="rId17" Type="http://schemas.openxmlformats.org/officeDocument/2006/relationships/hyperlink" Target="https://www.gov.ie/en/collection/ed138c-work-programme/" TargetMode="External"/><Relationship Id="rId2" Type="http://schemas.openxmlformats.org/officeDocument/2006/relationships/hyperlink" Target="https://www.gov.ie/pdf/?file=https://assets.gov.ie/152608/090ec83f-7e86-4419-a63c-d3ee92bbce4a.pdf" TargetMode="External"/><Relationship Id="rId16" Type="http://schemas.openxmlformats.org/officeDocument/2006/relationships/hyperlink" Target="https://doi.org/10.1080/08856257.2020.1769982" TargetMode="External"/><Relationship Id="rId20" Type="http://schemas.openxmlformats.org/officeDocument/2006/relationships/hyperlink" Target="https://www.gov.ie/en/collection/b9ede-designated-disability-case-officers/" TargetMode="External"/><Relationship Id="rId1" Type="http://schemas.openxmlformats.org/officeDocument/2006/relationships/hyperlink" Target="https://www.gov.ie/en/publication/1d84e-the-cost-of-disability-in-ireland-research-report/" TargetMode="External"/><Relationship Id="rId6" Type="http://schemas.openxmlformats.org/officeDocument/2006/relationships/hyperlink" Target="https://ec.europa.eu/eurostat/databrowser/view/HLTH_DLM200/default/table?lang=en" TargetMode="External"/><Relationship Id="rId11" Type="http://schemas.openxmlformats.org/officeDocument/2006/relationships/hyperlink" Target="https://www.gov.ie/en/press-release/587c1-ministers-foley-and-madigan-announce-details-of-dormant-accounts-funding-programme-to-support-transitions-from-school-for-students-with-complex-special-educational-needs/" TargetMode="External"/><Relationship Id="rId5" Type="http://schemas.openxmlformats.org/officeDocument/2006/relationships/hyperlink" Target="https://ec.europa.eu/eurostat/statistics-explained/index.php?title=Disability_statistics_-_poverty_and_income_inequalities&amp;oldid=561947" TargetMode="External"/><Relationship Id="rId15" Type="http://schemas.openxmlformats.org/officeDocument/2006/relationships/hyperlink" Target="https://nda.ie/publications/nda-conference-2022" TargetMode="External"/><Relationship Id="rId10" Type="http://schemas.openxmlformats.org/officeDocument/2006/relationships/hyperlink" Target="https://careersportal.ie/news/pilot-project-to-support-young-school-leavers-with-disabilities" TargetMode="External"/><Relationship Id="rId19" Type="http://schemas.openxmlformats.org/officeDocument/2006/relationships/hyperlink" Target="https://www.gov.ie/en/publication/3d21d-national-disability-inclusion-strategy-action-104-transport-working-group-final-report/" TargetMode="External"/><Relationship Id="rId4" Type="http://schemas.openxmlformats.org/officeDocument/2006/relationships/hyperlink" Target="https://ec.europa.eu/eurostat/databrowser/view/HLTH_DLM200/default/table?lang=en" TargetMode="External"/><Relationship Id="rId9" Type="http://schemas.openxmlformats.org/officeDocument/2006/relationships/hyperlink" Target="https://www.gov.ie/en/publication/1d84e-the-cost-of-disability-in-ireland-research-report/" TargetMode="External"/><Relationship Id="rId14" Type="http://schemas.openxmlformats.org/officeDocument/2006/relationships/hyperlink" Target="https://scottishtransitions.org.uk/7-principles-of-good-transitions/" TargetMode="External"/><Relationship Id="rId22" Type="http://schemas.openxmlformats.org/officeDocument/2006/relationships/hyperlink" Target="https://www.employersforchange.ie/userfiles/files/EFCEmployervToolkitFinal.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ojfilecluster\dojshares$\NDA\Shares\Policy%20Research%20&amp;%20Public%20Affairs\Active%20projects\ESRI\Partnership%20Project\3.2%20%20Employment%20and%20Skills%20of%20PWD\B%20Maitre%20%20People%20at%20Work%20%20Copy%20of%20Figure%206.5.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b="1">
                <a:solidFill>
                  <a:sysClr val="windowText" lastClr="000000"/>
                </a:solidFill>
                <a:latin typeface="Gill Sans MT" panose="020B0502020104020203" pitchFamily="34" charset="0"/>
              </a:rPr>
              <a:t>Figure 1: Persons at work (%) by disability status</a:t>
            </a:r>
          </a:p>
          <a:p>
            <a:pPr>
              <a:defRPr/>
            </a:pPr>
            <a:r>
              <a:rPr lang="en-IE" b="1">
                <a:solidFill>
                  <a:sysClr val="windowText" lastClr="000000"/>
                </a:solidFill>
                <a:latin typeface="Gill Sans MT" panose="020B0502020104020203" pitchFamily="34" charset="0"/>
              </a:rPr>
              <a:t>EU-SILC 2018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2687453686325519E-2"/>
          <c:y val="0.13776358839846392"/>
          <c:w val="0.94440838379125158"/>
          <c:h val="0.69213151693630115"/>
        </c:manualLayout>
      </c:layout>
      <c:barChart>
        <c:barDir val="col"/>
        <c:grouping val="stacked"/>
        <c:varyColors val="0"/>
        <c:ser>
          <c:idx val="1"/>
          <c:order val="1"/>
          <c:tx>
            <c:strRef>
              <c:f>Sheet1!$D$3</c:f>
              <c:strCache>
                <c:ptCount val="1"/>
                <c:pt idx="0">
                  <c:v>With a disability</c:v>
                </c:pt>
              </c:strCache>
            </c:strRef>
          </c:tx>
          <c:spPr>
            <a:solidFill>
              <a:schemeClr val="bg1">
                <a:lumMod val="75000"/>
              </a:schemeClr>
            </a:solidFill>
            <a:ln>
              <a:noFill/>
            </a:ln>
            <a:effectLst/>
          </c:spPr>
          <c:invertIfNegative val="0"/>
          <c:dPt>
            <c:idx val="3"/>
            <c:invertIfNegative val="0"/>
            <c:bubble3D val="0"/>
            <c:spPr>
              <a:solidFill>
                <a:schemeClr val="accent3">
                  <a:lumMod val="50000"/>
                </a:schemeClr>
              </a:solidFill>
              <a:ln>
                <a:noFill/>
              </a:ln>
              <a:effectLst/>
            </c:spPr>
            <c:extLst>
              <c:ext xmlns:c16="http://schemas.microsoft.com/office/drawing/2014/chart" uri="{C3380CC4-5D6E-409C-BE32-E72D297353CC}">
                <c16:uniqueId val="{00000001-F896-450D-999A-09A7FE1D0278}"/>
              </c:ext>
            </c:extLst>
          </c:dPt>
          <c:dPt>
            <c:idx val="15"/>
            <c:invertIfNegative val="0"/>
            <c:bubble3D val="0"/>
            <c:spPr>
              <a:solidFill>
                <a:schemeClr val="accent1">
                  <a:lumMod val="75000"/>
                </a:schemeClr>
              </a:solidFill>
              <a:ln>
                <a:noFill/>
              </a:ln>
              <a:effectLst/>
            </c:spPr>
            <c:extLst>
              <c:ext xmlns:c16="http://schemas.microsoft.com/office/drawing/2014/chart" uri="{C3380CC4-5D6E-409C-BE32-E72D297353CC}">
                <c16:uniqueId val="{00000003-F896-450D-999A-09A7FE1D0278}"/>
              </c:ext>
            </c:extLst>
          </c:dPt>
          <c:cat>
            <c:strRef>
              <c:f>Sheet1!$B$4:$B$32</c:f>
              <c:strCache>
                <c:ptCount val="29"/>
                <c:pt idx="0">
                  <c:v>EL</c:v>
                </c:pt>
                <c:pt idx="1">
                  <c:v>HR</c:v>
                </c:pt>
                <c:pt idx="2">
                  <c:v>BG</c:v>
                </c:pt>
                <c:pt idx="3">
                  <c:v>IE</c:v>
                </c:pt>
                <c:pt idx="4">
                  <c:v>PL</c:v>
                </c:pt>
                <c:pt idx="5">
                  <c:v>ES</c:v>
                </c:pt>
                <c:pt idx="6">
                  <c:v>BE</c:v>
                </c:pt>
                <c:pt idx="7">
                  <c:v>MT</c:v>
                </c:pt>
                <c:pt idx="8">
                  <c:v>RO</c:v>
                </c:pt>
                <c:pt idx="9">
                  <c:v>HU</c:v>
                </c:pt>
                <c:pt idx="10">
                  <c:v>LT</c:v>
                </c:pt>
                <c:pt idx="11">
                  <c:v>CY</c:v>
                </c:pt>
                <c:pt idx="12">
                  <c:v>DE</c:v>
                </c:pt>
                <c:pt idx="13">
                  <c:v>LU</c:v>
                </c:pt>
                <c:pt idx="14">
                  <c:v>SE</c:v>
                </c:pt>
                <c:pt idx="15">
                  <c:v>EU28</c:v>
                </c:pt>
                <c:pt idx="16">
                  <c:v>IT</c:v>
                </c:pt>
                <c:pt idx="17">
                  <c:v>CZ</c:v>
                </c:pt>
                <c:pt idx="18">
                  <c:v>SI</c:v>
                </c:pt>
                <c:pt idx="19">
                  <c:v>SK</c:v>
                </c:pt>
                <c:pt idx="20">
                  <c:v>FR</c:v>
                </c:pt>
                <c:pt idx="21">
                  <c:v>AT</c:v>
                </c:pt>
                <c:pt idx="22">
                  <c:v>FI</c:v>
                </c:pt>
                <c:pt idx="23">
                  <c:v>PT</c:v>
                </c:pt>
                <c:pt idx="24">
                  <c:v>UK</c:v>
                </c:pt>
                <c:pt idx="25">
                  <c:v>NL</c:v>
                </c:pt>
                <c:pt idx="26">
                  <c:v>DK</c:v>
                </c:pt>
                <c:pt idx="27">
                  <c:v>LV</c:v>
                </c:pt>
                <c:pt idx="28">
                  <c:v>EE</c:v>
                </c:pt>
              </c:strCache>
            </c:strRef>
          </c:cat>
          <c:val>
            <c:numRef>
              <c:f>Sheet1!$D$4:$D$32</c:f>
              <c:numCache>
                <c:formatCode>0</c:formatCode>
                <c:ptCount val="29"/>
                <c:pt idx="0">
                  <c:v>30.22</c:v>
                </c:pt>
                <c:pt idx="1">
                  <c:v>33.17</c:v>
                </c:pt>
                <c:pt idx="2">
                  <c:v>34.340000000000003</c:v>
                </c:pt>
                <c:pt idx="3">
                  <c:v>35.79</c:v>
                </c:pt>
                <c:pt idx="4">
                  <c:v>38.83</c:v>
                </c:pt>
                <c:pt idx="5">
                  <c:v>41.51</c:v>
                </c:pt>
                <c:pt idx="6">
                  <c:v>41.65</c:v>
                </c:pt>
                <c:pt idx="7">
                  <c:v>42.54</c:v>
                </c:pt>
                <c:pt idx="8">
                  <c:v>43.19</c:v>
                </c:pt>
                <c:pt idx="9">
                  <c:v>46.81</c:v>
                </c:pt>
                <c:pt idx="10">
                  <c:v>47.83</c:v>
                </c:pt>
                <c:pt idx="11">
                  <c:v>48.1</c:v>
                </c:pt>
                <c:pt idx="12">
                  <c:v>48.74</c:v>
                </c:pt>
                <c:pt idx="13">
                  <c:v>48.98</c:v>
                </c:pt>
                <c:pt idx="14">
                  <c:v>49.54</c:v>
                </c:pt>
                <c:pt idx="15">
                  <c:v>50.35</c:v>
                </c:pt>
                <c:pt idx="16">
                  <c:v>50.91</c:v>
                </c:pt>
                <c:pt idx="17">
                  <c:v>50.97</c:v>
                </c:pt>
                <c:pt idx="18">
                  <c:v>53.49</c:v>
                </c:pt>
                <c:pt idx="19">
                  <c:v>54.41</c:v>
                </c:pt>
                <c:pt idx="20">
                  <c:v>54.72</c:v>
                </c:pt>
                <c:pt idx="21">
                  <c:v>55.21</c:v>
                </c:pt>
                <c:pt idx="22">
                  <c:v>56.01</c:v>
                </c:pt>
                <c:pt idx="23">
                  <c:v>56.71</c:v>
                </c:pt>
                <c:pt idx="24">
                  <c:v>57.19</c:v>
                </c:pt>
                <c:pt idx="25">
                  <c:v>58.33</c:v>
                </c:pt>
                <c:pt idx="26">
                  <c:v>58.88</c:v>
                </c:pt>
                <c:pt idx="27">
                  <c:v>59.54</c:v>
                </c:pt>
                <c:pt idx="28">
                  <c:v>63.07</c:v>
                </c:pt>
              </c:numCache>
            </c:numRef>
          </c:val>
          <c:extLst>
            <c:ext xmlns:c16="http://schemas.microsoft.com/office/drawing/2014/chart" uri="{C3380CC4-5D6E-409C-BE32-E72D297353CC}">
              <c16:uniqueId val="{00000004-F896-450D-999A-09A7FE1D0278}"/>
            </c:ext>
          </c:extLst>
        </c:ser>
        <c:dLbls>
          <c:showLegendKey val="0"/>
          <c:showVal val="0"/>
          <c:showCatName val="0"/>
          <c:showSerName val="0"/>
          <c:showPercent val="0"/>
          <c:showBubbleSize val="0"/>
        </c:dLbls>
        <c:gapWidth val="219"/>
        <c:overlap val="100"/>
        <c:axId val="438218920"/>
        <c:axId val="438219576"/>
      </c:barChart>
      <c:lineChart>
        <c:grouping val="standard"/>
        <c:varyColors val="0"/>
        <c:ser>
          <c:idx val="0"/>
          <c:order val="0"/>
          <c:tx>
            <c:strRef>
              <c:f>Sheet1!$C$3</c:f>
              <c:strCache>
                <c:ptCount val="1"/>
                <c:pt idx="0">
                  <c:v>No disability</c:v>
                </c:pt>
              </c:strCache>
            </c:strRef>
          </c:tx>
          <c:spPr>
            <a:ln w="25400" cap="rnd">
              <a:noFill/>
              <a:round/>
            </a:ln>
            <a:effectLst/>
          </c:spPr>
          <c:marker>
            <c:symbol val="circle"/>
            <c:size val="5"/>
            <c:spPr>
              <a:solidFill>
                <a:schemeClr val="accent1"/>
              </a:solidFill>
              <a:ln w="9525">
                <a:solidFill>
                  <a:schemeClr val="accent1"/>
                </a:solidFill>
              </a:ln>
              <a:effectLst/>
            </c:spPr>
          </c:marker>
          <c:dPt>
            <c:idx val="3"/>
            <c:marker>
              <c:symbol val="circle"/>
              <c:size val="5"/>
              <c:spPr>
                <a:solidFill>
                  <a:schemeClr val="accent3">
                    <a:lumMod val="50000"/>
                  </a:schemeClr>
                </a:solidFill>
                <a:ln w="9525">
                  <a:solidFill>
                    <a:schemeClr val="accent1"/>
                  </a:solidFill>
                </a:ln>
                <a:effectLst/>
              </c:spPr>
            </c:marker>
            <c:bubble3D val="0"/>
            <c:extLst>
              <c:ext xmlns:c16="http://schemas.microsoft.com/office/drawing/2014/chart" uri="{C3380CC4-5D6E-409C-BE32-E72D297353CC}">
                <c16:uniqueId val="{00000005-F896-450D-999A-09A7FE1D0278}"/>
              </c:ext>
            </c:extLst>
          </c:dPt>
          <c:cat>
            <c:strRef>
              <c:f>Sheet1!$B$4:$B$32</c:f>
              <c:strCache>
                <c:ptCount val="29"/>
                <c:pt idx="0">
                  <c:v>EL</c:v>
                </c:pt>
                <c:pt idx="1">
                  <c:v>HR</c:v>
                </c:pt>
                <c:pt idx="2">
                  <c:v>BG</c:v>
                </c:pt>
                <c:pt idx="3">
                  <c:v>IE</c:v>
                </c:pt>
                <c:pt idx="4">
                  <c:v>PL</c:v>
                </c:pt>
                <c:pt idx="5">
                  <c:v>ES</c:v>
                </c:pt>
                <c:pt idx="6">
                  <c:v>BE</c:v>
                </c:pt>
                <c:pt idx="7">
                  <c:v>MT</c:v>
                </c:pt>
                <c:pt idx="8">
                  <c:v>RO</c:v>
                </c:pt>
                <c:pt idx="9">
                  <c:v>HU</c:v>
                </c:pt>
                <c:pt idx="10">
                  <c:v>LT</c:v>
                </c:pt>
                <c:pt idx="11">
                  <c:v>CY</c:v>
                </c:pt>
                <c:pt idx="12">
                  <c:v>DE</c:v>
                </c:pt>
                <c:pt idx="13">
                  <c:v>LU</c:v>
                </c:pt>
                <c:pt idx="14">
                  <c:v>SE</c:v>
                </c:pt>
                <c:pt idx="15">
                  <c:v>EU28</c:v>
                </c:pt>
                <c:pt idx="16">
                  <c:v>IT</c:v>
                </c:pt>
                <c:pt idx="17">
                  <c:v>CZ</c:v>
                </c:pt>
                <c:pt idx="18">
                  <c:v>SI</c:v>
                </c:pt>
                <c:pt idx="19">
                  <c:v>SK</c:v>
                </c:pt>
                <c:pt idx="20">
                  <c:v>FR</c:v>
                </c:pt>
                <c:pt idx="21">
                  <c:v>AT</c:v>
                </c:pt>
                <c:pt idx="22">
                  <c:v>FI</c:v>
                </c:pt>
                <c:pt idx="23">
                  <c:v>PT</c:v>
                </c:pt>
                <c:pt idx="24">
                  <c:v>UK</c:v>
                </c:pt>
                <c:pt idx="25">
                  <c:v>NL</c:v>
                </c:pt>
                <c:pt idx="26">
                  <c:v>DK</c:v>
                </c:pt>
                <c:pt idx="27">
                  <c:v>LV</c:v>
                </c:pt>
                <c:pt idx="28">
                  <c:v>EE</c:v>
                </c:pt>
              </c:strCache>
            </c:strRef>
          </c:cat>
          <c:val>
            <c:numRef>
              <c:f>Sheet1!$C$4:$C$32</c:f>
              <c:numCache>
                <c:formatCode>0</c:formatCode>
                <c:ptCount val="29"/>
                <c:pt idx="0">
                  <c:v>57.08</c:v>
                </c:pt>
                <c:pt idx="1">
                  <c:v>63.7</c:v>
                </c:pt>
                <c:pt idx="2">
                  <c:v>71.16</c:v>
                </c:pt>
                <c:pt idx="3">
                  <c:v>70.64</c:v>
                </c:pt>
                <c:pt idx="4">
                  <c:v>70.73</c:v>
                </c:pt>
                <c:pt idx="5">
                  <c:v>65.540000000000006</c:v>
                </c:pt>
                <c:pt idx="6">
                  <c:v>70.22</c:v>
                </c:pt>
                <c:pt idx="7">
                  <c:v>74.83</c:v>
                </c:pt>
                <c:pt idx="8">
                  <c:v>68.83</c:v>
                </c:pt>
                <c:pt idx="9">
                  <c:v>73.45</c:v>
                </c:pt>
                <c:pt idx="10">
                  <c:v>74.77</c:v>
                </c:pt>
                <c:pt idx="11">
                  <c:v>69.790000000000006</c:v>
                </c:pt>
                <c:pt idx="12">
                  <c:v>78.28</c:v>
                </c:pt>
                <c:pt idx="13">
                  <c:v>65.72</c:v>
                </c:pt>
                <c:pt idx="14">
                  <c:v>74.400000000000006</c:v>
                </c:pt>
                <c:pt idx="15">
                  <c:v>71.73</c:v>
                </c:pt>
                <c:pt idx="16">
                  <c:v>63.17</c:v>
                </c:pt>
                <c:pt idx="17">
                  <c:v>78.599999999999994</c:v>
                </c:pt>
                <c:pt idx="18">
                  <c:v>70.7</c:v>
                </c:pt>
                <c:pt idx="19">
                  <c:v>74.17</c:v>
                </c:pt>
                <c:pt idx="20">
                  <c:v>69.260000000000005</c:v>
                </c:pt>
                <c:pt idx="21">
                  <c:v>73.83</c:v>
                </c:pt>
                <c:pt idx="22">
                  <c:v>71.069999999999993</c:v>
                </c:pt>
                <c:pt idx="23">
                  <c:v>71.89</c:v>
                </c:pt>
                <c:pt idx="24">
                  <c:v>81.09</c:v>
                </c:pt>
                <c:pt idx="25">
                  <c:v>77.430000000000007</c:v>
                </c:pt>
                <c:pt idx="26">
                  <c:v>74.290000000000006</c:v>
                </c:pt>
                <c:pt idx="27">
                  <c:v>74.150000000000006</c:v>
                </c:pt>
                <c:pt idx="28">
                  <c:v>80.81</c:v>
                </c:pt>
              </c:numCache>
            </c:numRef>
          </c:val>
          <c:smooth val="0"/>
          <c:extLst>
            <c:ext xmlns:c16="http://schemas.microsoft.com/office/drawing/2014/chart" uri="{C3380CC4-5D6E-409C-BE32-E72D297353CC}">
              <c16:uniqueId val="{00000006-F896-450D-999A-09A7FE1D0278}"/>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438218920"/>
        <c:axId val="438219576"/>
      </c:lineChart>
      <c:catAx>
        <c:axId val="438218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ill Sans MT" panose="020B0502020104020203" pitchFamily="34" charset="0"/>
                <a:ea typeface="+mn-ea"/>
                <a:cs typeface="+mn-cs"/>
              </a:defRPr>
            </a:pPr>
            <a:endParaRPr lang="en-US"/>
          </a:p>
        </c:txPr>
        <c:crossAx val="438219576"/>
        <c:crosses val="autoZero"/>
        <c:auto val="1"/>
        <c:lblAlgn val="ctr"/>
        <c:lblOffset val="100"/>
        <c:noMultiLvlLbl val="0"/>
      </c:catAx>
      <c:valAx>
        <c:axId val="438219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Gill Sans MT" panose="020B0502020104020203" pitchFamily="34" charset="0"/>
                <a:ea typeface="+mn-ea"/>
                <a:cs typeface="+mn-cs"/>
              </a:defRPr>
            </a:pPr>
            <a:endParaRPr lang="en-US"/>
          </a:p>
        </c:txPr>
        <c:crossAx val="438218920"/>
        <c:crosses val="autoZero"/>
        <c:crossBetween val="between"/>
      </c:valAx>
      <c:spPr>
        <a:noFill/>
        <a:ln>
          <a:noFill/>
        </a:ln>
        <a:effectLst/>
      </c:spPr>
    </c:plotArea>
    <c:legend>
      <c:legendPos val="b"/>
      <c:layout>
        <c:manualLayout>
          <c:xMode val="edge"/>
          <c:yMode val="edge"/>
          <c:x val="0.29947989273332859"/>
          <c:y val="0.94050629091357185"/>
          <c:w val="0.40104004005925142"/>
          <c:h val="5.9493709086428072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Gill Sans MT" panose="020B0502020104020203" pitchFamily="34" charset="0"/>
                <a:ea typeface="+mn-ea"/>
                <a:cs typeface="+mn-cs"/>
              </a:defRPr>
            </a:pPr>
            <a:r>
              <a:rPr lang="en-IE" sz="1400" b="1">
                <a:solidFill>
                  <a:schemeClr val="tx1">
                    <a:lumMod val="85000"/>
                    <a:lumOff val="15000"/>
                  </a:schemeClr>
                </a:solidFill>
              </a:rPr>
              <a:t>Figure 3: Ireland Disability Employment Gap by Extent of Disability for working age population</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Gill Sans MT" panose="020B0502020104020203" pitchFamily="34" charset="0"/>
              <a:ea typeface="+mn-ea"/>
              <a:cs typeface="+mn-cs"/>
            </a:defRPr>
          </a:pPr>
          <a:endParaRPr lang="en-US"/>
        </a:p>
      </c:txPr>
    </c:title>
    <c:autoTitleDeleted val="0"/>
    <c:plotArea>
      <c:layout/>
      <c:lineChart>
        <c:grouping val="standard"/>
        <c:varyColors val="0"/>
        <c:ser>
          <c:idx val="0"/>
          <c:order val="0"/>
          <c:tx>
            <c:strRef>
              <c:f>Sheet3!$B$5</c:f>
              <c:strCache>
                <c:ptCount val="1"/>
                <c:pt idx="0">
                  <c:v>Some or Severe</c:v>
                </c:pt>
              </c:strCache>
            </c:strRef>
          </c:tx>
          <c:spPr>
            <a:ln w="28575" cap="rnd">
              <a:solidFill>
                <a:schemeClr val="tx1"/>
              </a:solidFill>
              <a:round/>
            </a:ln>
            <a:effectLst/>
          </c:spPr>
          <c:marker>
            <c:symbol val="none"/>
          </c:marker>
          <c:cat>
            <c:strRef>
              <c:f>Sheet3!$C$4:$J$4</c:f>
              <c:strCache>
                <c:ptCount val="8"/>
                <c:pt idx="0">
                  <c:v>2014</c:v>
                </c:pt>
                <c:pt idx="1">
                  <c:v>2015</c:v>
                </c:pt>
                <c:pt idx="2">
                  <c:v>2016</c:v>
                </c:pt>
                <c:pt idx="3">
                  <c:v>2017</c:v>
                </c:pt>
                <c:pt idx="4">
                  <c:v>2018</c:v>
                </c:pt>
                <c:pt idx="5">
                  <c:v>2019</c:v>
                </c:pt>
                <c:pt idx="6">
                  <c:v>2020</c:v>
                </c:pt>
                <c:pt idx="7">
                  <c:v>2021</c:v>
                </c:pt>
              </c:strCache>
            </c:strRef>
          </c:cat>
          <c:val>
            <c:numRef>
              <c:f>Sheet3!$C$5:$J$5</c:f>
              <c:numCache>
                <c:formatCode>#,##0.##########</c:formatCode>
                <c:ptCount val="8"/>
                <c:pt idx="0" formatCode="#,##0.0">
                  <c:v>39.799999999999997</c:v>
                </c:pt>
                <c:pt idx="1">
                  <c:v>41.7</c:v>
                </c:pt>
                <c:pt idx="2">
                  <c:v>46.5</c:v>
                </c:pt>
                <c:pt idx="3">
                  <c:v>43.2</c:v>
                </c:pt>
                <c:pt idx="4">
                  <c:v>40</c:v>
                </c:pt>
                <c:pt idx="5">
                  <c:v>44</c:v>
                </c:pt>
                <c:pt idx="6">
                  <c:v>38.799999999999997</c:v>
                </c:pt>
                <c:pt idx="7">
                  <c:v>41.3</c:v>
                </c:pt>
              </c:numCache>
            </c:numRef>
          </c:val>
          <c:smooth val="0"/>
          <c:extLst>
            <c:ext xmlns:c16="http://schemas.microsoft.com/office/drawing/2014/chart" uri="{C3380CC4-5D6E-409C-BE32-E72D297353CC}">
              <c16:uniqueId val="{00000000-F0EE-4388-AF67-23B87C00D2FC}"/>
            </c:ext>
          </c:extLst>
        </c:ser>
        <c:ser>
          <c:idx val="1"/>
          <c:order val="1"/>
          <c:tx>
            <c:strRef>
              <c:f>Sheet3!$B$6</c:f>
              <c:strCache>
                <c:ptCount val="1"/>
                <c:pt idx="0">
                  <c:v>Severe</c:v>
                </c:pt>
              </c:strCache>
            </c:strRef>
          </c:tx>
          <c:spPr>
            <a:ln w="28575" cap="rnd">
              <a:solidFill>
                <a:srgbClr val="BF2296"/>
              </a:solidFill>
              <a:round/>
            </a:ln>
            <a:effectLst/>
          </c:spPr>
          <c:marker>
            <c:symbol val="none"/>
          </c:marker>
          <c:cat>
            <c:strRef>
              <c:f>Sheet3!$C$4:$J$4</c:f>
              <c:strCache>
                <c:ptCount val="8"/>
                <c:pt idx="0">
                  <c:v>2014</c:v>
                </c:pt>
                <c:pt idx="1">
                  <c:v>2015</c:v>
                </c:pt>
                <c:pt idx="2">
                  <c:v>2016</c:v>
                </c:pt>
                <c:pt idx="3">
                  <c:v>2017</c:v>
                </c:pt>
                <c:pt idx="4">
                  <c:v>2018</c:v>
                </c:pt>
                <c:pt idx="5">
                  <c:v>2019</c:v>
                </c:pt>
                <c:pt idx="6">
                  <c:v>2020</c:v>
                </c:pt>
                <c:pt idx="7">
                  <c:v>2021</c:v>
                </c:pt>
              </c:strCache>
            </c:strRef>
          </c:cat>
          <c:val>
            <c:numRef>
              <c:f>Sheet3!$C$6:$J$6</c:f>
              <c:numCache>
                <c:formatCode>#,##0.##########</c:formatCode>
                <c:ptCount val="8"/>
                <c:pt idx="0" formatCode="#,##0.0">
                  <c:v>50</c:v>
                </c:pt>
                <c:pt idx="1">
                  <c:v>54.7</c:v>
                </c:pt>
                <c:pt idx="2">
                  <c:v>55.4</c:v>
                </c:pt>
                <c:pt idx="3">
                  <c:v>53.9</c:v>
                </c:pt>
                <c:pt idx="4">
                  <c:v>50.3</c:v>
                </c:pt>
                <c:pt idx="5">
                  <c:v>58.8</c:v>
                </c:pt>
                <c:pt idx="6">
                  <c:v>58.4</c:v>
                </c:pt>
                <c:pt idx="7">
                  <c:v>66.599999999999994</c:v>
                </c:pt>
              </c:numCache>
            </c:numRef>
          </c:val>
          <c:smooth val="0"/>
          <c:extLst>
            <c:ext xmlns:c16="http://schemas.microsoft.com/office/drawing/2014/chart" uri="{C3380CC4-5D6E-409C-BE32-E72D297353CC}">
              <c16:uniqueId val="{00000001-F0EE-4388-AF67-23B87C00D2FC}"/>
            </c:ext>
          </c:extLst>
        </c:ser>
        <c:ser>
          <c:idx val="2"/>
          <c:order val="2"/>
          <c:tx>
            <c:strRef>
              <c:f>Sheet3!$B$7</c:f>
              <c:strCache>
                <c:ptCount val="1"/>
                <c:pt idx="0">
                  <c:v>Some  </c:v>
                </c:pt>
              </c:strCache>
            </c:strRef>
          </c:tx>
          <c:spPr>
            <a:ln w="28575" cap="rnd">
              <a:solidFill>
                <a:srgbClr val="878800"/>
              </a:solidFill>
              <a:round/>
            </a:ln>
            <a:effectLst/>
          </c:spPr>
          <c:marker>
            <c:symbol val="none"/>
          </c:marker>
          <c:cat>
            <c:strRef>
              <c:f>Sheet3!$C$4:$J$4</c:f>
              <c:strCache>
                <c:ptCount val="8"/>
                <c:pt idx="0">
                  <c:v>2014</c:v>
                </c:pt>
                <c:pt idx="1">
                  <c:v>2015</c:v>
                </c:pt>
                <c:pt idx="2">
                  <c:v>2016</c:v>
                </c:pt>
                <c:pt idx="3">
                  <c:v>2017</c:v>
                </c:pt>
                <c:pt idx="4">
                  <c:v>2018</c:v>
                </c:pt>
                <c:pt idx="5">
                  <c:v>2019</c:v>
                </c:pt>
                <c:pt idx="6">
                  <c:v>2020</c:v>
                </c:pt>
                <c:pt idx="7">
                  <c:v>2021</c:v>
                </c:pt>
              </c:strCache>
            </c:strRef>
          </c:cat>
          <c:val>
            <c:numRef>
              <c:f>Sheet3!$C$7:$J$7</c:f>
              <c:numCache>
                <c:formatCode>#,##0.##########</c:formatCode>
                <c:ptCount val="8"/>
                <c:pt idx="0">
                  <c:v>34.9</c:v>
                </c:pt>
                <c:pt idx="1">
                  <c:v>36.4</c:v>
                </c:pt>
                <c:pt idx="2" formatCode="#,##0.0">
                  <c:v>43</c:v>
                </c:pt>
                <c:pt idx="3">
                  <c:v>38.4</c:v>
                </c:pt>
                <c:pt idx="4">
                  <c:v>35.9</c:v>
                </c:pt>
                <c:pt idx="5">
                  <c:v>37.700000000000003</c:v>
                </c:pt>
                <c:pt idx="6">
                  <c:v>31.6</c:v>
                </c:pt>
                <c:pt idx="7">
                  <c:v>31.4</c:v>
                </c:pt>
              </c:numCache>
            </c:numRef>
          </c:val>
          <c:smooth val="0"/>
          <c:extLst>
            <c:ext xmlns:c16="http://schemas.microsoft.com/office/drawing/2014/chart" uri="{C3380CC4-5D6E-409C-BE32-E72D297353CC}">
              <c16:uniqueId val="{00000002-F0EE-4388-AF67-23B87C00D2FC}"/>
            </c:ext>
          </c:extLst>
        </c:ser>
        <c:dLbls>
          <c:showLegendKey val="0"/>
          <c:showVal val="0"/>
          <c:showCatName val="0"/>
          <c:showSerName val="0"/>
          <c:showPercent val="0"/>
          <c:showBubbleSize val="0"/>
        </c:dLbls>
        <c:smooth val="0"/>
        <c:axId val="613290576"/>
        <c:axId val="613281720"/>
      </c:lineChart>
      <c:catAx>
        <c:axId val="61329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613281720"/>
        <c:crosses val="autoZero"/>
        <c:auto val="1"/>
        <c:lblAlgn val="ctr"/>
        <c:lblOffset val="100"/>
        <c:noMultiLvlLbl val="0"/>
      </c:catAx>
      <c:valAx>
        <c:axId val="613281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200" b="0" i="0" u="none" strike="noStrike" kern="1200" baseline="0">
                    <a:solidFill>
                      <a:sysClr val="windowText" lastClr="000000"/>
                    </a:solidFill>
                    <a:latin typeface="Gill Sans MT" panose="020B0502020104020203" pitchFamily="34" charset="0"/>
                    <a:ea typeface="+mn-ea"/>
                    <a:cs typeface="+mn-cs"/>
                  </a:defRPr>
                </a:pPr>
                <a:r>
                  <a:rPr lang="en-IE">
                    <a:solidFill>
                      <a:sysClr val="windowText" lastClr="000000"/>
                    </a:solidFill>
                  </a:rPr>
                  <a:t>%</a:t>
                </a:r>
              </a:p>
            </c:rich>
          </c:tx>
          <c:layout>
            <c:manualLayout>
              <c:xMode val="edge"/>
              <c:yMode val="edge"/>
              <c:x val="0.1879365079365079"/>
              <c:y val="0.39817366579177604"/>
            </c:manualLayout>
          </c:layout>
          <c:overlay val="0"/>
          <c:spPr>
            <a:noFill/>
            <a:ln>
              <a:noFill/>
            </a:ln>
            <a:effectLst/>
          </c:spPr>
          <c:txPr>
            <a:bodyPr rot="0" spcFirstLastPara="1" vertOverflow="ellipsis" wrap="square" anchor="ctr" anchorCtr="1"/>
            <a:lstStyle/>
            <a:p>
              <a:pPr>
                <a:defRPr sz="1200" b="0" i="0" u="none" strike="noStrike" kern="1200" baseline="0">
                  <a:solidFill>
                    <a:sysClr val="windowText" lastClr="000000"/>
                  </a:solidFill>
                  <a:latin typeface="Gill Sans MT" panose="020B0502020104020203" pitchFamily="34"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mn-cs"/>
              </a:defRPr>
            </a:pPr>
            <a:endParaRPr lang="en-US"/>
          </a:p>
        </c:txPr>
        <c:crossAx val="6132905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ysClr val="windowText" lastClr="000000"/>
                </a:solidFill>
                <a:latin typeface="Gill Sans MT" panose="020B0502020104020203"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Gill Sans MT" panose="020B0502020104020203"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B0503-D710-4DB3-9E0F-72261F96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9011</Words>
  <Characters>52184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61073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E. Wilkinson</dc:creator>
  <cp:keywords/>
  <cp:lastModifiedBy>Wesley B. Bourke</cp:lastModifiedBy>
  <cp:revision>5</cp:revision>
  <cp:lastPrinted>2023-04-17T09:42:00Z</cp:lastPrinted>
  <dcterms:created xsi:type="dcterms:W3CDTF">2023-06-07T08:48:00Z</dcterms:created>
  <dcterms:modified xsi:type="dcterms:W3CDTF">2023-06-09T08:38:00Z</dcterms:modified>
</cp:coreProperties>
</file>