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36DE5" w14:textId="1C6F2521" w:rsidR="00F71756" w:rsidRPr="00125AEC" w:rsidRDefault="00691821" w:rsidP="00125AEC">
      <w:pPr>
        <w:pStyle w:val="Title"/>
        <w:spacing w:before="2280" w:after="6600"/>
        <w:jc w:val="left"/>
        <w:rPr>
          <w:sz w:val="48"/>
          <w:szCs w:val="48"/>
        </w:rPr>
      </w:pPr>
      <w:bookmarkStart w:id="0" w:name="_Toc66782867"/>
      <w:bookmarkStart w:id="1" w:name="_GoBack"/>
      <w:bookmarkEnd w:id="1"/>
      <w:r w:rsidRPr="00125AEC">
        <w:rPr>
          <w:sz w:val="48"/>
          <w:szCs w:val="48"/>
        </w:rPr>
        <w:t>Comprehensive Employment Strategy:</w:t>
      </w:r>
      <w:bookmarkEnd w:id="0"/>
      <w:r w:rsidRPr="00125AEC">
        <w:rPr>
          <w:sz w:val="48"/>
          <w:szCs w:val="48"/>
        </w:rPr>
        <w:t xml:space="preserve"> </w:t>
      </w:r>
      <w:bookmarkStart w:id="2" w:name="_Toc66782868"/>
      <w:r w:rsidRPr="00125AEC">
        <w:rPr>
          <w:sz w:val="48"/>
          <w:szCs w:val="48"/>
        </w:rPr>
        <w:t xml:space="preserve">NDA Year-end </w:t>
      </w:r>
      <w:r w:rsidR="00167FBE" w:rsidRPr="00125AEC">
        <w:rPr>
          <w:sz w:val="48"/>
          <w:szCs w:val="48"/>
        </w:rPr>
        <w:t>Assessment</w:t>
      </w:r>
      <w:r w:rsidR="005E419C" w:rsidRPr="00125AEC">
        <w:rPr>
          <w:sz w:val="48"/>
          <w:szCs w:val="48"/>
        </w:rPr>
        <w:t xml:space="preserve"> 2020</w:t>
      </w:r>
      <w:bookmarkEnd w:id="2"/>
    </w:p>
    <w:p w14:paraId="6BCB7EAF" w14:textId="57916CF5" w:rsidR="00AA6E8D" w:rsidRDefault="00E8680E" w:rsidP="00125AEC">
      <w:r w:rsidRPr="007B6280">
        <w:rPr>
          <w:noProof/>
          <w:sz w:val="24"/>
          <w:lang w:eastAsia="en-IE"/>
        </w:rPr>
        <w:drawing>
          <wp:inline distT="0" distB="0" distL="0" distR="0" wp14:anchorId="4E1F3A33" wp14:editId="1F08A07A">
            <wp:extent cx="2524125" cy="1800225"/>
            <wp:effectExtent l="0" t="0" r="9525" b="9525"/>
            <wp:docPr id="1" name="Picture 1" descr="Logo of National Disability Authority"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A_LOGO_2010_COLOUR 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1800225"/>
                    </a:xfrm>
                    <a:prstGeom prst="rect">
                      <a:avLst/>
                    </a:prstGeom>
                    <a:noFill/>
                    <a:ln>
                      <a:noFill/>
                    </a:ln>
                  </pic:spPr>
                </pic:pic>
              </a:graphicData>
            </a:graphic>
          </wp:inline>
        </w:drawing>
      </w:r>
    </w:p>
    <w:p w14:paraId="15BBCCCA" w14:textId="229808B7" w:rsidR="0061071F" w:rsidRDefault="0061071F" w:rsidP="00B27315">
      <w:pPr>
        <w:jc w:val="center"/>
      </w:pPr>
      <w:r>
        <w:br w:type="page"/>
      </w:r>
    </w:p>
    <w:p w14:paraId="55FE2864" w14:textId="77777777" w:rsidR="00A5095F" w:rsidRDefault="00A5095F" w:rsidP="00E8680E"/>
    <w:bookmarkStart w:id="3" w:name="_Toc66782869" w:displacedByCustomXml="next"/>
    <w:sdt>
      <w:sdtPr>
        <w:rPr>
          <w:rFonts w:ascii="Gill Sans MT" w:eastAsia="Times New Roman" w:hAnsi="Gill Sans MT" w:cs="Times New Roman"/>
          <w:color w:val="auto"/>
          <w:sz w:val="26"/>
          <w:szCs w:val="24"/>
          <w:lang w:val="en-IE"/>
        </w:rPr>
        <w:id w:val="1111400297"/>
        <w:docPartObj>
          <w:docPartGallery w:val="Table of Contents"/>
          <w:docPartUnique/>
        </w:docPartObj>
      </w:sdtPr>
      <w:sdtEndPr>
        <w:rPr>
          <w:b/>
          <w:bCs/>
          <w:noProof/>
        </w:rPr>
      </w:sdtEndPr>
      <w:sdtContent>
        <w:p w14:paraId="44977B32" w14:textId="77777777" w:rsidR="007849E6" w:rsidRPr="00BF595F" w:rsidRDefault="007849E6" w:rsidP="007849E6">
          <w:pPr>
            <w:pStyle w:val="TOCHeading"/>
            <w:rPr>
              <w:sz w:val="22"/>
              <w:szCs w:val="22"/>
            </w:rPr>
          </w:pPr>
          <w:r w:rsidRPr="00BF595F">
            <w:rPr>
              <w:sz w:val="22"/>
              <w:szCs w:val="22"/>
            </w:rPr>
            <w:t>Table of Contents</w:t>
          </w:r>
        </w:p>
        <w:p w14:paraId="6E0B6E57" w14:textId="77B5B6FE" w:rsidR="007849E6" w:rsidRPr="00E2670C" w:rsidRDefault="007849E6" w:rsidP="007849E6">
          <w:pPr>
            <w:pStyle w:val="TOC1"/>
            <w:tabs>
              <w:tab w:val="right" w:leader="dot" w:pos="8296"/>
            </w:tabs>
            <w:rPr>
              <w:rFonts w:asciiTheme="minorHAnsi" w:eastAsiaTheme="minorEastAsia" w:hAnsiTheme="minorHAnsi" w:cstheme="minorBidi"/>
              <w:b w:val="0"/>
              <w:noProof/>
              <w:sz w:val="24"/>
              <w:lang w:eastAsia="en-IE"/>
            </w:rPr>
          </w:pPr>
          <w:r w:rsidRPr="00E2670C">
            <w:rPr>
              <w:sz w:val="24"/>
            </w:rPr>
            <w:fldChar w:fldCharType="begin"/>
          </w:r>
          <w:r w:rsidRPr="00E2670C">
            <w:rPr>
              <w:sz w:val="24"/>
            </w:rPr>
            <w:instrText xml:space="preserve"> TOC \o "1-3" \h \z \u </w:instrText>
          </w:r>
          <w:r w:rsidRPr="00E2670C">
            <w:rPr>
              <w:sz w:val="24"/>
            </w:rPr>
            <w:fldChar w:fldCharType="separate"/>
          </w:r>
          <w:hyperlink w:anchor="_Toc66782867" w:history="1"/>
          <w:hyperlink w:anchor="_Toc66782868" w:history="1">
            <w:r w:rsidRPr="00E2670C">
              <w:rPr>
                <w:rStyle w:val="Hyperlink"/>
                <w:noProof/>
                <w:sz w:val="24"/>
              </w:rPr>
              <w:t>NDA Year-end Assessment 2020</w:t>
            </w:r>
            <w:r w:rsidRPr="00E2670C">
              <w:rPr>
                <w:noProof/>
                <w:webHidden/>
                <w:sz w:val="24"/>
              </w:rPr>
              <w:tab/>
            </w:r>
            <w:r w:rsidRPr="00E2670C">
              <w:rPr>
                <w:noProof/>
                <w:webHidden/>
                <w:sz w:val="24"/>
              </w:rPr>
              <w:fldChar w:fldCharType="begin"/>
            </w:r>
            <w:r w:rsidRPr="00E2670C">
              <w:rPr>
                <w:noProof/>
                <w:webHidden/>
                <w:sz w:val="24"/>
              </w:rPr>
              <w:instrText xml:space="preserve"> PAGEREF _Toc66782868 \h </w:instrText>
            </w:r>
            <w:r w:rsidRPr="00E2670C">
              <w:rPr>
                <w:noProof/>
                <w:webHidden/>
                <w:sz w:val="24"/>
              </w:rPr>
            </w:r>
            <w:r w:rsidRPr="00E2670C">
              <w:rPr>
                <w:noProof/>
                <w:webHidden/>
                <w:sz w:val="24"/>
              </w:rPr>
              <w:fldChar w:fldCharType="separate"/>
            </w:r>
            <w:r w:rsidR="00CB1D68">
              <w:rPr>
                <w:noProof/>
                <w:webHidden/>
                <w:sz w:val="24"/>
              </w:rPr>
              <w:t>1</w:t>
            </w:r>
            <w:r w:rsidRPr="00E2670C">
              <w:rPr>
                <w:noProof/>
                <w:webHidden/>
                <w:sz w:val="24"/>
              </w:rPr>
              <w:fldChar w:fldCharType="end"/>
            </w:r>
          </w:hyperlink>
        </w:p>
        <w:p w14:paraId="4794F82B" w14:textId="7D33F179" w:rsidR="007849E6" w:rsidRPr="00E2670C" w:rsidRDefault="001A3ED7" w:rsidP="007849E6">
          <w:pPr>
            <w:pStyle w:val="TOC2"/>
            <w:tabs>
              <w:tab w:val="right" w:leader="dot" w:pos="8296"/>
            </w:tabs>
            <w:rPr>
              <w:rFonts w:asciiTheme="minorHAnsi" w:eastAsiaTheme="minorEastAsia" w:hAnsiTheme="minorHAnsi" w:cstheme="minorBidi"/>
              <w:noProof/>
              <w:sz w:val="24"/>
              <w:lang w:eastAsia="en-IE"/>
            </w:rPr>
          </w:pPr>
          <w:hyperlink w:anchor="_Toc66782869" w:history="1">
            <w:r w:rsidR="007849E6" w:rsidRPr="00E2670C">
              <w:rPr>
                <w:rStyle w:val="Hyperlink"/>
                <w:noProof/>
                <w:sz w:val="24"/>
              </w:rPr>
              <w:t>List of Acronyms</w:t>
            </w:r>
            <w:r w:rsidR="007849E6" w:rsidRPr="00E2670C">
              <w:rPr>
                <w:noProof/>
                <w:webHidden/>
                <w:sz w:val="24"/>
              </w:rPr>
              <w:tab/>
            </w:r>
            <w:r w:rsidR="007849E6" w:rsidRPr="00E2670C">
              <w:rPr>
                <w:noProof/>
                <w:webHidden/>
                <w:sz w:val="24"/>
              </w:rPr>
              <w:fldChar w:fldCharType="begin"/>
            </w:r>
            <w:r w:rsidR="007849E6" w:rsidRPr="00E2670C">
              <w:rPr>
                <w:noProof/>
                <w:webHidden/>
                <w:sz w:val="24"/>
              </w:rPr>
              <w:instrText xml:space="preserve"> PAGEREF _Toc66782869 \h </w:instrText>
            </w:r>
            <w:r w:rsidR="007849E6" w:rsidRPr="00E2670C">
              <w:rPr>
                <w:noProof/>
                <w:webHidden/>
                <w:sz w:val="24"/>
              </w:rPr>
            </w:r>
            <w:r w:rsidR="007849E6" w:rsidRPr="00E2670C">
              <w:rPr>
                <w:noProof/>
                <w:webHidden/>
                <w:sz w:val="24"/>
              </w:rPr>
              <w:fldChar w:fldCharType="separate"/>
            </w:r>
            <w:r w:rsidR="00CB1D68">
              <w:rPr>
                <w:noProof/>
                <w:webHidden/>
                <w:sz w:val="24"/>
              </w:rPr>
              <w:t>2</w:t>
            </w:r>
            <w:r w:rsidR="007849E6" w:rsidRPr="00E2670C">
              <w:rPr>
                <w:noProof/>
                <w:webHidden/>
                <w:sz w:val="24"/>
              </w:rPr>
              <w:fldChar w:fldCharType="end"/>
            </w:r>
          </w:hyperlink>
        </w:p>
        <w:p w14:paraId="39015E11" w14:textId="07D6443B" w:rsidR="007849E6" w:rsidRPr="00E2670C" w:rsidRDefault="001A3ED7" w:rsidP="007849E6">
          <w:pPr>
            <w:pStyle w:val="TOC1"/>
            <w:tabs>
              <w:tab w:val="right" w:leader="dot" w:pos="8296"/>
            </w:tabs>
            <w:rPr>
              <w:rFonts w:asciiTheme="minorHAnsi" w:eastAsiaTheme="minorEastAsia" w:hAnsiTheme="minorHAnsi" w:cstheme="minorBidi"/>
              <w:b w:val="0"/>
              <w:noProof/>
              <w:sz w:val="24"/>
              <w:lang w:eastAsia="en-IE"/>
            </w:rPr>
          </w:pPr>
          <w:hyperlink w:anchor="_Toc66782870" w:history="1">
            <w:r w:rsidR="007849E6" w:rsidRPr="00E2670C">
              <w:rPr>
                <w:rStyle w:val="Hyperlink"/>
                <w:rFonts w:eastAsiaTheme="majorEastAsia" w:cstheme="majorBidi"/>
                <w:noProof/>
                <w:sz w:val="24"/>
                <w:lang w:val="en-US"/>
              </w:rPr>
              <w:t>Introduction</w:t>
            </w:r>
            <w:r w:rsidR="007849E6" w:rsidRPr="00E2670C">
              <w:rPr>
                <w:noProof/>
                <w:webHidden/>
                <w:sz w:val="24"/>
              </w:rPr>
              <w:tab/>
            </w:r>
            <w:r w:rsidR="007849E6" w:rsidRPr="00E2670C">
              <w:rPr>
                <w:noProof/>
                <w:webHidden/>
                <w:sz w:val="24"/>
              </w:rPr>
              <w:fldChar w:fldCharType="begin"/>
            </w:r>
            <w:r w:rsidR="007849E6" w:rsidRPr="00E2670C">
              <w:rPr>
                <w:noProof/>
                <w:webHidden/>
                <w:sz w:val="24"/>
              </w:rPr>
              <w:instrText xml:space="preserve"> PAGEREF _Toc66782870 \h </w:instrText>
            </w:r>
            <w:r w:rsidR="007849E6" w:rsidRPr="00E2670C">
              <w:rPr>
                <w:noProof/>
                <w:webHidden/>
                <w:sz w:val="24"/>
              </w:rPr>
            </w:r>
            <w:r w:rsidR="007849E6" w:rsidRPr="00E2670C">
              <w:rPr>
                <w:noProof/>
                <w:webHidden/>
                <w:sz w:val="24"/>
              </w:rPr>
              <w:fldChar w:fldCharType="separate"/>
            </w:r>
            <w:r w:rsidR="00CB1D68">
              <w:rPr>
                <w:noProof/>
                <w:webHidden/>
                <w:sz w:val="24"/>
              </w:rPr>
              <w:t>4</w:t>
            </w:r>
            <w:r w:rsidR="007849E6" w:rsidRPr="00E2670C">
              <w:rPr>
                <w:noProof/>
                <w:webHidden/>
                <w:sz w:val="24"/>
              </w:rPr>
              <w:fldChar w:fldCharType="end"/>
            </w:r>
          </w:hyperlink>
        </w:p>
        <w:p w14:paraId="048280DB" w14:textId="3A13499E" w:rsidR="007849E6" w:rsidRPr="00E2670C" w:rsidRDefault="001A3ED7" w:rsidP="007849E6">
          <w:pPr>
            <w:pStyle w:val="TOC1"/>
            <w:tabs>
              <w:tab w:val="right" w:leader="dot" w:pos="8296"/>
            </w:tabs>
            <w:rPr>
              <w:rFonts w:asciiTheme="minorHAnsi" w:eastAsiaTheme="minorEastAsia" w:hAnsiTheme="minorHAnsi" w:cstheme="minorBidi"/>
              <w:b w:val="0"/>
              <w:noProof/>
              <w:sz w:val="24"/>
              <w:lang w:eastAsia="en-IE"/>
            </w:rPr>
          </w:pPr>
          <w:hyperlink w:anchor="_Toc66782871" w:history="1">
            <w:r w:rsidR="007849E6" w:rsidRPr="00E2670C">
              <w:rPr>
                <w:rStyle w:val="Hyperlink"/>
                <w:noProof/>
                <w:sz w:val="24"/>
                <w:lang w:val="en-US"/>
              </w:rPr>
              <w:t>2020 Context setting</w:t>
            </w:r>
            <w:r w:rsidR="007849E6" w:rsidRPr="00E2670C">
              <w:rPr>
                <w:noProof/>
                <w:webHidden/>
                <w:sz w:val="24"/>
              </w:rPr>
              <w:tab/>
            </w:r>
            <w:r w:rsidR="007849E6" w:rsidRPr="00E2670C">
              <w:rPr>
                <w:noProof/>
                <w:webHidden/>
                <w:sz w:val="24"/>
              </w:rPr>
              <w:fldChar w:fldCharType="begin"/>
            </w:r>
            <w:r w:rsidR="007849E6" w:rsidRPr="00E2670C">
              <w:rPr>
                <w:noProof/>
                <w:webHidden/>
                <w:sz w:val="24"/>
              </w:rPr>
              <w:instrText xml:space="preserve"> PAGEREF _Toc66782871 \h </w:instrText>
            </w:r>
            <w:r w:rsidR="007849E6" w:rsidRPr="00E2670C">
              <w:rPr>
                <w:noProof/>
                <w:webHidden/>
                <w:sz w:val="24"/>
              </w:rPr>
            </w:r>
            <w:r w:rsidR="007849E6" w:rsidRPr="00E2670C">
              <w:rPr>
                <w:noProof/>
                <w:webHidden/>
                <w:sz w:val="24"/>
              </w:rPr>
              <w:fldChar w:fldCharType="separate"/>
            </w:r>
            <w:r w:rsidR="00CB1D68">
              <w:rPr>
                <w:noProof/>
                <w:webHidden/>
                <w:sz w:val="24"/>
              </w:rPr>
              <w:t>5</w:t>
            </w:r>
            <w:r w:rsidR="007849E6" w:rsidRPr="00E2670C">
              <w:rPr>
                <w:noProof/>
                <w:webHidden/>
                <w:sz w:val="24"/>
              </w:rPr>
              <w:fldChar w:fldCharType="end"/>
            </w:r>
          </w:hyperlink>
        </w:p>
        <w:p w14:paraId="1D95FA66" w14:textId="2D6354E1" w:rsidR="007849E6" w:rsidRPr="00E2670C" w:rsidRDefault="001A3ED7" w:rsidP="007849E6">
          <w:pPr>
            <w:pStyle w:val="TOC2"/>
            <w:tabs>
              <w:tab w:val="right" w:leader="dot" w:pos="8296"/>
            </w:tabs>
            <w:rPr>
              <w:rFonts w:asciiTheme="minorHAnsi" w:eastAsiaTheme="minorEastAsia" w:hAnsiTheme="minorHAnsi" w:cstheme="minorBidi"/>
              <w:noProof/>
              <w:sz w:val="24"/>
              <w:lang w:eastAsia="en-IE"/>
            </w:rPr>
          </w:pPr>
          <w:hyperlink w:anchor="_Toc66782872" w:history="1">
            <w:r w:rsidR="007849E6" w:rsidRPr="00E2670C">
              <w:rPr>
                <w:rStyle w:val="Hyperlink"/>
                <w:noProof/>
                <w:sz w:val="24"/>
              </w:rPr>
              <w:t>COVID-19 Challenges</w:t>
            </w:r>
            <w:r w:rsidR="007849E6" w:rsidRPr="00E2670C">
              <w:rPr>
                <w:noProof/>
                <w:webHidden/>
                <w:sz w:val="24"/>
              </w:rPr>
              <w:tab/>
            </w:r>
            <w:r w:rsidR="007849E6" w:rsidRPr="00E2670C">
              <w:rPr>
                <w:noProof/>
                <w:webHidden/>
                <w:sz w:val="24"/>
              </w:rPr>
              <w:fldChar w:fldCharType="begin"/>
            </w:r>
            <w:r w:rsidR="007849E6" w:rsidRPr="00E2670C">
              <w:rPr>
                <w:noProof/>
                <w:webHidden/>
                <w:sz w:val="24"/>
              </w:rPr>
              <w:instrText xml:space="preserve"> PAGEREF _Toc66782872 \h </w:instrText>
            </w:r>
            <w:r w:rsidR="007849E6" w:rsidRPr="00E2670C">
              <w:rPr>
                <w:noProof/>
                <w:webHidden/>
                <w:sz w:val="24"/>
              </w:rPr>
            </w:r>
            <w:r w:rsidR="007849E6" w:rsidRPr="00E2670C">
              <w:rPr>
                <w:noProof/>
                <w:webHidden/>
                <w:sz w:val="24"/>
              </w:rPr>
              <w:fldChar w:fldCharType="separate"/>
            </w:r>
            <w:r w:rsidR="00CB1D68">
              <w:rPr>
                <w:noProof/>
                <w:webHidden/>
                <w:sz w:val="24"/>
              </w:rPr>
              <w:t>5</w:t>
            </w:r>
            <w:r w:rsidR="007849E6" w:rsidRPr="00E2670C">
              <w:rPr>
                <w:noProof/>
                <w:webHidden/>
                <w:sz w:val="24"/>
              </w:rPr>
              <w:fldChar w:fldCharType="end"/>
            </w:r>
          </w:hyperlink>
        </w:p>
        <w:p w14:paraId="1DB3CE4F" w14:textId="092739D8" w:rsidR="007849E6" w:rsidRPr="00E2670C" w:rsidRDefault="001A3ED7" w:rsidP="007849E6">
          <w:pPr>
            <w:pStyle w:val="TOC2"/>
            <w:tabs>
              <w:tab w:val="right" w:leader="dot" w:pos="8296"/>
            </w:tabs>
            <w:rPr>
              <w:rFonts w:asciiTheme="minorHAnsi" w:eastAsiaTheme="minorEastAsia" w:hAnsiTheme="minorHAnsi" w:cstheme="minorBidi"/>
              <w:noProof/>
              <w:sz w:val="24"/>
              <w:lang w:eastAsia="en-IE"/>
            </w:rPr>
          </w:pPr>
          <w:hyperlink w:anchor="_Toc66782873" w:history="1">
            <w:r w:rsidR="007849E6" w:rsidRPr="00E2670C">
              <w:rPr>
                <w:rStyle w:val="Hyperlink"/>
                <w:noProof/>
                <w:sz w:val="24"/>
              </w:rPr>
              <w:t>Remote working</w:t>
            </w:r>
            <w:r w:rsidR="007849E6" w:rsidRPr="00E2670C">
              <w:rPr>
                <w:noProof/>
                <w:webHidden/>
                <w:sz w:val="24"/>
              </w:rPr>
              <w:tab/>
            </w:r>
            <w:r w:rsidR="007849E6" w:rsidRPr="00E2670C">
              <w:rPr>
                <w:noProof/>
                <w:webHidden/>
                <w:sz w:val="24"/>
              </w:rPr>
              <w:fldChar w:fldCharType="begin"/>
            </w:r>
            <w:r w:rsidR="007849E6" w:rsidRPr="00E2670C">
              <w:rPr>
                <w:noProof/>
                <w:webHidden/>
                <w:sz w:val="24"/>
              </w:rPr>
              <w:instrText xml:space="preserve"> PAGEREF _Toc66782873 \h </w:instrText>
            </w:r>
            <w:r w:rsidR="007849E6" w:rsidRPr="00E2670C">
              <w:rPr>
                <w:noProof/>
                <w:webHidden/>
                <w:sz w:val="24"/>
              </w:rPr>
            </w:r>
            <w:r w:rsidR="007849E6" w:rsidRPr="00E2670C">
              <w:rPr>
                <w:noProof/>
                <w:webHidden/>
                <w:sz w:val="24"/>
              </w:rPr>
              <w:fldChar w:fldCharType="separate"/>
            </w:r>
            <w:r w:rsidR="00CB1D68">
              <w:rPr>
                <w:noProof/>
                <w:webHidden/>
                <w:sz w:val="24"/>
              </w:rPr>
              <w:t>6</w:t>
            </w:r>
            <w:r w:rsidR="007849E6" w:rsidRPr="00E2670C">
              <w:rPr>
                <w:noProof/>
                <w:webHidden/>
                <w:sz w:val="24"/>
              </w:rPr>
              <w:fldChar w:fldCharType="end"/>
            </w:r>
          </w:hyperlink>
        </w:p>
        <w:p w14:paraId="15FE6978" w14:textId="59E541D5" w:rsidR="007849E6" w:rsidRPr="00E2670C" w:rsidRDefault="001A3ED7" w:rsidP="007849E6">
          <w:pPr>
            <w:pStyle w:val="TOC2"/>
            <w:tabs>
              <w:tab w:val="right" w:leader="dot" w:pos="8296"/>
            </w:tabs>
            <w:rPr>
              <w:rFonts w:asciiTheme="minorHAnsi" w:eastAsiaTheme="minorEastAsia" w:hAnsiTheme="minorHAnsi" w:cstheme="minorBidi"/>
              <w:noProof/>
              <w:sz w:val="24"/>
              <w:lang w:eastAsia="en-IE"/>
            </w:rPr>
          </w:pPr>
          <w:hyperlink w:anchor="_Toc66782874" w:history="1">
            <w:r w:rsidR="007849E6" w:rsidRPr="00E2670C">
              <w:rPr>
                <w:rStyle w:val="Hyperlink"/>
                <w:noProof/>
                <w:sz w:val="24"/>
              </w:rPr>
              <w:t>Economic and social recovery</w:t>
            </w:r>
            <w:r w:rsidR="007849E6" w:rsidRPr="00E2670C">
              <w:rPr>
                <w:noProof/>
                <w:webHidden/>
                <w:sz w:val="24"/>
              </w:rPr>
              <w:tab/>
            </w:r>
            <w:r w:rsidR="007849E6" w:rsidRPr="00E2670C">
              <w:rPr>
                <w:noProof/>
                <w:webHidden/>
                <w:sz w:val="24"/>
              </w:rPr>
              <w:fldChar w:fldCharType="begin"/>
            </w:r>
            <w:r w:rsidR="007849E6" w:rsidRPr="00E2670C">
              <w:rPr>
                <w:noProof/>
                <w:webHidden/>
                <w:sz w:val="24"/>
              </w:rPr>
              <w:instrText xml:space="preserve"> PAGEREF _Toc66782874 \h </w:instrText>
            </w:r>
            <w:r w:rsidR="007849E6" w:rsidRPr="00E2670C">
              <w:rPr>
                <w:noProof/>
                <w:webHidden/>
                <w:sz w:val="24"/>
              </w:rPr>
            </w:r>
            <w:r w:rsidR="007849E6" w:rsidRPr="00E2670C">
              <w:rPr>
                <w:noProof/>
                <w:webHidden/>
                <w:sz w:val="24"/>
              </w:rPr>
              <w:fldChar w:fldCharType="separate"/>
            </w:r>
            <w:r w:rsidR="00CB1D68">
              <w:rPr>
                <w:noProof/>
                <w:webHidden/>
                <w:sz w:val="24"/>
              </w:rPr>
              <w:t>6</w:t>
            </w:r>
            <w:r w:rsidR="007849E6" w:rsidRPr="00E2670C">
              <w:rPr>
                <w:noProof/>
                <w:webHidden/>
                <w:sz w:val="24"/>
              </w:rPr>
              <w:fldChar w:fldCharType="end"/>
            </w:r>
          </w:hyperlink>
        </w:p>
        <w:p w14:paraId="5C20DFFB" w14:textId="744BF33F" w:rsidR="007849E6" w:rsidRPr="00E2670C" w:rsidRDefault="001A3ED7" w:rsidP="007849E6">
          <w:pPr>
            <w:pStyle w:val="TOC3"/>
            <w:tabs>
              <w:tab w:val="right" w:leader="dot" w:pos="8296"/>
            </w:tabs>
            <w:rPr>
              <w:rFonts w:asciiTheme="minorHAnsi" w:eastAsiaTheme="minorEastAsia" w:hAnsiTheme="minorHAnsi" w:cstheme="minorBidi"/>
              <w:noProof/>
              <w:sz w:val="24"/>
              <w:lang w:eastAsia="en-IE"/>
            </w:rPr>
          </w:pPr>
          <w:hyperlink w:anchor="_Toc66782875" w:history="1">
            <w:r w:rsidR="007849E6" w:rsidRPr="00E2670C">
              <w:rPr>
                <w:rStyle w:val="Hyperlink"/>
                <w:noProof/>
                <w:sz w:val="24"/>
              </w:rPr>
              <w:t>Roadmap for Social Inclusion 2020 - 2025</w:t>
            </w:r>
            <w:r w:rsidR="007849E6" w:rsidRPr="00E2670C">
              <w:rPr>
                <w:noProof/>
                <w:webHidden/>
                <w:sz w:val="24"/>
              </w:rPr>
              <w:tab/>
            </w:r>
            <w:r w:rsidR="007849E6" w:rsidRPr="00E2670C">
              <w:rPr>
                <w:noProof/>
                <w:webHidden/>
                <w:sz w:val="24"/>
              </w:rPr>
              <w:fldChar w:fldCharType="begin"/>
            </w:r>
            <w:r w:rsidR="007849E6" w:rsidRPr="00E2670C">
              <w:rPr>
                <w:noProof/>
                <w:webHidden/>
                <w:sz w:val="24"/>
              </w:rPr>
              <w:instrText xml:space="preserve"> PAGEREF _Toc66782875 \h </w:instrText>
            </w:r>
            <w:r w:rsidR="007849E6" w:rsidRPr="00E2670C">
              <w:rPr>
                <w:noProof/>
                <w:webHidden/>
                <w:sz w:val="24"/>
              </w:rPr>
            </w:r>
            <w:r w:rsidR="007849E6" w:rsidRPr="00E2670C">
              <w:rPr>
                <w:noProof/>
                <w:webHidden/>
                <w:sz w:val="24"/>
              </w:rPr>
              <w:fldChar w:fldCharType="separate"/>
            </w:r>
            <w:r w:rsidR="00CB1D68">
              <w:rPr>
                <w:noProof/>
                <w:webHidden/>
                <w:sz w:val="24"/>
              </w:rPr>
              <w:t>8</w:t>
            </w:r>
            <w:r w:rsidR="007849E6" w:rsidRPr="00E2670C">
              <w:rPr>
                <w:noProof/>
                <w:webHidden/>
                <w:sz w:val="24"/>
              </w:rPr>
              <w:fldChar w:fldCharType="end"/>
            </w:r>
          </w:hyperlink>
        </w:p>
        <w:p w14:paraId="743D93A5" w14:textId="7426119F" w:rsidR="007849E6" w:rsidRPr="00E2670C" w:rsidRDefault="001A3ED7" w:rsidP="007849E6">
          <w:pPr>
            <w:pStyle w:val="TOC3"/>
            <w:tabs>
              <w:tab w:val="right" w:leader="dot" w:pos="8296"/>
            </w:tabs>
            <w:rPr>
              <w:rFonts w:asciiTheme="minorHAnsi" w:eastAsiaTheme="minorEastAsia" w:hAnsiTheme="minorHAnsi" w:cstheme="minorBidi"/>
              <w:noProof/>
              <w:sz w:val="24"/>
              <w:lang w:eastAsia="en-IE"/>
            </w:rPr>
          </w:pPr>
          <w:hyperlink w:anchor="_Toc66782876" w:history="1">
            <w:r w:rsidR="007849E6" w:rsidRPr="00E2670C">
              <w:rPr>
                <w:rStyle w:val="Hyperlink"/>
                <w:noProof/>
                <w:sz w:val="24"/>
              </w:rPr>
              <w:t>Specific data collection initiatives</w:t>
            </w:r>
            <w:r w:rsidR="007849E6" w:rsidRPr="00E2670C">
              <w:rPr>
                <w:noProof/>
                <w:webHidden/>
                <w:sz w:val="24"/>
              </w:rPr>
              <w:tab/>
            </w:r>
            <w:r w:rsidR="007849E6" w:rsidRPr="00E2670C">
              <w:rPr>
                <w:noProof/>
                <w:webHidden/>
                <w:sz w:val="24"/>
              </w:rPr>
              <w:fldChar w:fldCharType="begin"/>
            </w:r>
            <w:r w:rsidR="007849E6" w:rsidRPr="00E2670C">
              <w:rPr>
                <w:noProof/>
                <w:webHidden/>
                <w:sz w:val="24"/>
              </w:rPr>
              <w:instrText xml:space="preserve"> PAGEREF _Toc66782876 \h </w:instrText>
            </w:r>
            <w:r w:rsidR="007849E6" w:rsidRPr="00E2670C">
              <w:rPr>
                <w:noProof/>
                <w:webHidden/>
                <w:sz w:val="24"/>
              </w:rPr>
            </w:r>
            <w:r w:rsidR="007849E6" w:rsidRPr="00E2670C">
              <w:rPr>
                <w:noProof/>
                <w:webHidden/>
                <w:sz w:val="24"/>
              </w:rPr>
              <w:fldChar w:fldCharType="separate"/>
            </w:r>
            <w:r w:rsidR="00CB1D68">
              <w:rPr>
                <w:noProof/>
                <w:webHidden/>
                <w:sz w:val="24"/>
              </w:rPr>
              <w:t>8</w:t>
            </w:r>
            <w:r w:rsidR="007849E6" w:rsidRPr="00E2670C">
              <w:rPr>
                <w:noProof/>
                <w:webHidden/>
                <w:sz w:val="24"/>
              </w:rPr>
              <w:fldChar w:fldCharType="end"/>
            </w:r>
          </w:hyperlink>
        </w:p>
        <w:p w14:paraId="79561D9E" w14:textId="69EA7A56" w:rsidR="007849E6" w:rsidRPr="00E2670C" w:rsidRDefault="001A3ED7" w:rsidP="007849E6">
          <w:pPr>
            <w:pStyle w:val="TOC1"/>
            <w:tabs>
              <w:tab w:val="right" w:leader="dot" w:pos="8296"/>
            </w:tabs>
            <w:rPr>
              <w:rFonts w:asciiTheme="minorHAnsi" w:eastAsiaTheme="minorEastAsia" w:hAnsiTheme="minorHAnsi" w:cstheme="minorBidi"/>
              <w:b w:val="0"/>
              <w:noProof/>
              <w:sz w:val="24"/>
              <w:lang w:eastAsia="en-IE"/>
            </w:rPr>
          </w:pPr>
          <w:hyperlink w:anchor="_Toc66782877" w:history="1">
            <w:r w:rsidR="007849E6" w:rsidRPr="00E2670C">
              <w:rPr>
                <w:rStyle w:val="Hyperlink"/>
                <w:rFonts w:eastAsiaTheme="majorEastAsia" w:cstheme="majorBidi"/>
                <w:noProof/>
                <w:sz w:val="24"/>
                <w:lang w:val="en-US"/>
              </w:rPr>
              <w:t>Key findings from 2020 CES activity</w:t>
            </w:r>
            <w:r w:rsidR="007849E6" w:rsidRPr="00E2670C">
              <w:rPr>
                <w:noProof/>
                <w:webHidden/>
                <w:sz w:val="24"/>
              </w:rPr>
              <w:tab/>
            </w:r>
            <w:r w:rsidR="007849E6" w:rsidRPr="00E2670C">
              <w:rPr>
                <w:noProof/>
                <w:webHidden/>
                <w:sz w:val="24"/>
              </w:rPr>
              <w:fldChar w:fldCharType="begin"/>
            </w:r>
            <w:r w:rsidR="007849E6" w:rsidRPr="00E2670C">
              <w:rPr>
                <w:noProof/>
                <w:webHidden/>
                <w:sz w:val="24"/>
              </w:rPr>
              <w:instrText xml:space="preserve"> PAGEREF _Toc66782877 \h </w:instrText>
            </w:r>
            <w:r w:rsidR="007849E6" w:rsidRPr="00E2670C">
              <w:rPr>
                <w:noProof/>
                <w:webHidden/>
                <w:sz w:val="24"/>
              </w:rPr>
            </w:r>
            <w:r w:rsidR="007849E6" w:rsidRPr="00E2670C">
              <w:rPr>
                <w:noProof/>
                <w:webHidden/>
                <w:sz w:val="24"/>
              </w:rPr>
              <w:fldChar w:fldCharType="separate"/>
            </w:r>
            <w:r w:rsidR="00CB1D68">
              <w:rPr>
                <w:noProof/>
                <w:webHidden/>
                <w:sz w:val="24"/>
              </w:rPr>
              <w:t>9</w:t>
            </w:r>
            <w:r w:rsidR="007849E6" w:rsidRPr="00E2670C">
              <w:rPr>
                <w:noProof/>
                <w:webHidden/>
                <w:sz w:val="24"/>
              </w:rPr>
              <w:fldChar w:fldCharType="end"/>
            </w:r>
          </w:hyperlink>
        </w:p>
        <w:p w14:paraId="77BB4030" w14:textId="12865494" w:rsidR="007849E6" w:rsidRPr="00E2670C" w:rsidRDefault="001A3ED7" w:rsidP="007849E6">
          <w:pPr>
            <w:pStyle w:val="TOC2"/>
            <w:tabs>
              <w:tab w:val="right" w:leader="dot" w:pos="8296"/>
            </w:tabs>
            <w:rPr>
              <w:rFonts w:asciiTheme="minorHAnsi" w:eastAsiaTheme="minorEastAsia" w:hAnsiTheme="minorHAnsi" w:cstheme="minorBidi"/>
              <w:noProof/>
              <w:sz w:val="24"/>
              <w:lang w:eastAsia="en-IE"/>
            </w:rPr>
          </w:pPr>
          <w:hyperlink w:anchor="_Toc66782878" w:history="1">
            <w:r w:rsidR="007849E6" w:rsidRPr="00E2670C">
              <w:rPr>
                <w:rStyle w:val="Hyperlink"/>
                <w:noProof/>
                <w:sz w:val="24"/>
              </w:rPr>
              <w:t>Achievements during 2020:</w:t>
            </w:r>
            <w:r w:rsidR="007849E6" w:rsidRPr="00E2670C">
              <w:rPr>
                <w:noProof/>
                <w:webHidden/>
                <w:sz w:val="24"/>
              </w:rPr>
              <w:tab/>
            </w:r>
            <w:r w:rsidR="007849E6" w:rsidRPr="00E2670C">
              <w:rPr>
                <w:noProof/>
                <w:webHidden/>
                <w:sz w:val="24"/>
              </w:rPr>
              <w:fldChar w:fldCharType="begin"/>
            </w:r>
            <w:r w:rsidR="007849E6" w:rsidRPr="00E2670C">
              <w:rPr>
                <w:noProof/>
                <w:webHidden/>
                <w:sz w:val="24"/>
              </w:rPr>
              <w:instrText xml:space="preserve"> PAGEREF _Toc66782878 \h </w:instrText>
            </w:r>
            <w:r w:rsidR="007849E6" w:rsidRPr="00E2670C">
              <w:rPr>
                <w:noProof/>
                <w:webHidden/>
                <w:sz w:val="24"/>
              </w:rPr>
            </w:r>
            <w:r w:rsidR="007849E6" w:rsidRPr="00E2670C">
              <w:rPr>
                <w:noProof/>
                <w:webHidden/>
                <w:sz w:val="24"/>
              </w:rPr>
              <w:fldChar w:fldCharType="separate"/>
            </w:r>
            <w:r w:rsidR="00CB1D68">
              <w:rPr>
                <w:noProof/>
                <w:webHidden/>
                <w:sz w:val="24"/>
              </w:rPr>
              <w:t>9</w:t>
            </w:r>
            <w:r w:rsidR="007849E6" w:rsidRPr="00E2670C">
              <w:rPr>
                <w:noProof/>
                <w:webHidden/>
                <w:sz w:val="24"/>
              </w:rPr>
              <w:fldChar w:fldCharType="end"/>
            </w:r>
          </w:hyperlink>
        </w:p>
        <w:p w14:paraId="659A7323" w14:textId="074D9114" w:rsidR="007849E6" w:rsidRPr="00E2670C" w:rsidRDefault="001A3ED7" w:rsidP="007849E6">
          <w:pPr>
            <w:pStyle w:val="TOC2"/>
            <w:tabs>
              <w:tab w:val="right" w:leader="dot" w:pos="8296"/>
            </w:tabs>
            <w:rPr>
              <w:rFonts w:asciiTheme="minorHAnsi" w:eastAsiaTheme="minorEastAsia" w:hAnsiTheme="minorHAnsi" w:cstheme="minorBidi"/>
              <w:noProof/>
              <w:sz w:val="24"/>
              <w:lang w:eastAsia="en-IE"/>
            </w:rPr>
          </w:pPr>
          <w:hyperlink w:anchor="_Toc66782879" w:history="1">
            <w:r w:rsidR="007849E6" w:rsidRPr="00E2670C">
              <w:rPr>
                <w:rStyle w:val="Hyperlink"/>
                <w:noProof/>
                <w:sz w:val="24"/>
              </w:rPr>
              <w:t>Actions advanced during 2020:</w:t>
            </w:r>
            <w:r w:rsidR="007849E6" w:rsidRPr="00E2670C">
              <w:rPr>
                <w:noProof/>
                <w:webHidden/>
                <w:sz w:val="24"/>
              </w:rPr>
              <w:tab/>
            </w:r>
            <w:r w:rsidR="007849E6" w:rsidRPr="00E2670C">
              <w:rPr>
                <w:noProof/>
                <w:webHidden/>
                <w:sz w:val="24"/>
              </w:rPr>
              <w:fldChar w:fldCharType="begin"/>
            </w:r>
            <w:r w:rsidR="007849E6" w:rsidRPr="00E2670C">
              <w:rPr>
                <w:noProof/>
                <w:webHidden/>
                <w:sz w:val="24"/>
              </w:rPr>
              <w:instrText xml:space="preserve"> PAGEREF _Toc66782879 \h </w:instrText>
            </w:r>
            <w:r w:rsidR="007849E6" w:rsidRPr="00E2670C">
              <w:rPr>
                <w:noProof/>
                <w:webHidden/>
                <w:sz w:val="24"/>
              </w:rPr>
            </w:r>
            <w:r w:rsidR="007849E6" w:rsidRPr="00E2670C">
              <w:rPr>
                <w:noProof/>
                <w:webHidden/>
                <w:sz w:val="24"/>
              </w:rPr>
              <w:fldChar w:fldCharType="separate"/>
            </w:r>
            <w:r w:rsidR="00CB1D68">
              <w:rPr>
                <w:noProof/>
                <w:webHidden/>
                <w:sz w:val="24"/>
              </w:rPr>
              <w:t>12</w:t>
            </w:r>
            <w:r w:rsidR="007849E6" w:rsidRPr="00E2670C">
              <w:rPr>
                <w:noProof/>
                <w:webHidden/>
                <w:sz w:val="24"/>
              </w:rPr>
              <w:fldChar w:fldCharType="end"/>
            </w:r>
          </w:hyperlink>
        </w:p>
        <w:p w14:paraId="713FEFBC" w14:textId="74733FBA" w:rsidR="007849E6" w:rsidRPr="00E2670C" w:rsidRDefault="001A3ED7" w:rsidP="007849E6">
          <w:pPr>
            <w:pStyle w:val="TOC2"/>
            <w:tabs>
              <w:tab w:val="right" w:leader="dot" w:pos="8296"/>
            </w:tabs>
            <w:rPr>
              <w:rFonts w:asciiTheme="minorHAnsi" w:eastAsiaTheme="minorEastAsia" w:hAnsiTheme="minorHAnsi" w:cstheme="minorBidi"/>
              <w:noProof/>
              <w:sz w:val="24"/>
              <w:lang w:eastAsia="en-IE"/>
            </w:rPr>
          </w:pPr>
          <w:hyperlink w:anchor="_Toc66782880" w:history="1">
            <w:r w:rsidR="007849E6" w:rsidRPr="00E2670C">
              <w:rPr>
                <w:rStyle w:val="Hyperlink"/>
                <w:noProof/>
                <w:sz w:val="24"/>
              </w:rPr>
              <w:t>Actions requiring further focus during 2021</w:t>
            </w:r>
            <w:r w:rsidR="007849E6" w:rsidRPr="00E2670C">
              <w:rPr>
                <w:noProof/>
                <w:webHidden/>
                <w:sz w:val="24"/>
              </w:rPr>
              <w:tab/>
            </w:r>
            <w:r w:rsidR="007849E6" w:rsidRPr="00E2670C">
              <w:rPr>
                <w:noProof/>
                <w:webHidden/>
                <w:sz w:val="24"/>
              </w:rPr>
              <w:fldChar w:fldCharType="begin"/>
            </w:r>
            <w:r w:rsidR="007849E6" w:rsidRPr="00E2670C">
              <w:rPr>
                <w:noProof/>
                <w:webHidden/>
                <w:sz w:val="24"/>
              </w:rPr>
              <w:instrText xml:space="preserve"> PAGEREF _Toc66782880 \h </w:instrText>
            </w:r>
            <w:r w:rsidR="007849E6" w:rsidRPr="00E2670C">
              <w:rPr>
                <w:noProof/>
                <w:webHidden/>
                <w:sz w:val="24"/>
              </w:rPr>
            </w:r>
            <w:r w:rsidR="007849E6" w:rsidRPr="00E2670C">
              <w:rPr>
                <w:noProof/>
                <w:webHidden/>
                <w:sz w:val="24"/>
              </w:rPr>
              <w:fldChar w:fldCharType="separate"/>
            </w:r>
            <w:r w:rsidR="00CB1D68">
              <w:rPr>
                <w:noProof/>
                <w:webHidden/>
                <w:sz w:val="24"/>
              </w:rPr>
              <w:t>13</w:t>
            </w:r>
            <w:r w:rsidR="007849E6" w:rsidRPr="00E2670C">
              <w:rPr>
                <w:noProof/>
                <w:webHidden/>
                <w:sz w:val="24"/>
              </w:rPr>
              <w:fldChar w:fldCharType="end"/>
            </w:r>
          </w:hyperlink>
        </w:p>
        <w:p w14:paraId="3CDD0053" w14:textId="0B96604A" w:rsidR="007849E6" w:rsidRPr="00E2670C" w:rsidRDefault="001A3ED7" w:rsidP="007849E6">
          <w:pPr>
            <w:pStyle w:val="TOC1"/>
            <w:tabs>
              <w:tab w:val="right" w:leader="dot" w:pos="8296"/>
            </w:tabs>
            <w:rPr>
              <w:rFonts w:asciiTheme="minorHAnsi" w:eastAsiaTheme="minorEastAsia" w:hAnsiTheme="minorHAnsi" w:cstheme="minorBidi"/>
              <w:b w:val="0"/>
              <w:noProof/>
              <w:sz w:val="24"/>
              <w:lang w:eastAsia="en-IE"/>
            </w:rPr>
          </w:pPr>
          <w:hyperlink w:anchor="_Toc66782881" w:history="1">
            <w:r w:rsidR="007849E6" w:rsidRPr="00E2670C">
              <w:rPr>
                <w:rStyle w:val="Hyperlink"/>
                <w:rFonts w:eastAsiaTheme="majorEastAsia" w:cstheme="majorBidi"/>
                <w:noProof/>
                <w:sz w:val="24"/>
                <w:lang w:val="en-US"/>
              </w:rPr>
              <w:t>Key themes from 2020</w:t>
            </w:r>
            <w:r w:rsidR="007849E6" w:rsidRPr="00E2670C">
              <w:rPr>
                <w:noProof/>
                <w:webHidden/>
                <w:sz w:val="24"/>
              </w:rPr>
              <w:tab/>
            </w:r>
            <w:r w:rsidR="007849E6" w:rsidRPr="00E2670C">
              <w:rPr>
                <w:noProof/>
                <w:webHidden/>
                <w:sz w:val="24"/>
              </w:rPr>
              <w:fldChar w:fldCharType="begin"/>
            </w:r>
            <w:r w:rsidR="007849E6" w:rsidRPr="00E2670C">
              <w:rPr>
                <w:noProof/>
                <w:webHidden/>
                <w:sz w:val="24"/>
              </w:rPr>
              <w:instrText xml:space="preserve"> PAGEREF _Toc66782881 \h </w:instrText>
            </w:r>
            <w:r w:rsidR="007849E6" w:rsidRPr="00E2670C">
              <w:rPr>
                <w:noProof/>
                <w:webHidden/>
                <w:sz w:val="24"/>
              </w:rPr>
            </w:r>
            <w:r w:rsidR="007849E6" w:rsidRPr="00E2670C">
              <w:rPr>
                <w:noProof/>
                <w:webHidden/>
                <w:sz w:val="24"/>
              </w:rPr>
              <w:fldChar w:fldCharType="separate"/>
            </w:r>
            <w:r w:rsidR="00CB1D68">
              <w:rPr>
                <w:noProof/>
                <w:webHidden/>
                <w:sz w:val="24"/>
              </w:rPr>
              <w:t>14</w:t>
            </w:r>
            <w:r w:rsidR="007849E6" w:rsidRPr="00E2670C">
              <w:rPr>
                <w:noProof/>
                <w:webHidden/>
                <w:sz w:val="24"/>
              </w:rPr>
              <w:fldChar w:fldCharType="end"/>
            </w:r>
          </w:hyperlink>
        </w:p>
        <w:p w14:paraId="056241E7" w14:textId="3819C3B1" w:rsidR="007849E6" w:rsidRPr="00E2670C" w:rsidRDefault="001A3ED7" w:rsidP="007849E6">
          <w:pPr>
            <w:pStyle w:val="TOC2"/>
            <w:tabs>
              <w:tab w:val="right" w:leader="dot" w:pos="8296"/>
            </w:tabs>
            <w:rPr>
              <w:rFonts w:asciiTheme="minorHAnsi" w:eastAsiaTheme="minorEastAsia" w:hAnsiTheme="minorHAnsi" w:cstheme="minorBidi"/>
              <w:noProof/>
              <w:sz w:val="24"/>
              <w:lang w:eastAsia="en-IE"/>
            </w:rPr>
          </w:pPr>
          <w:hyperlink w:anchor="_Toc66782882" w:history="1">
            <w:r w:rsidR="007849E6" w:rsidRPr="00E2670C">
              <w:rPr>
                <w:rStyle w:val="Hyperlink"/>
                <w:noProof/>
                <w:sz w:val="24"/>
              </w:rPr>
              <w:t>Theme 1: Transitions</w:t>
            </w:r>
            <w:r w:rsidR="007849E6" w:rsidRPr="00E2670C">
              <w:rPr>
                <w:noProof/>
                <w:webHidden/>
                <w:sz w:val="24"/>
              </w:rPr>
              <w:tab/>
            </w:r>
            <w:r w:rsidR="007849E6" w:rsidRPr="00E2670C">
              <w:rPr>
                <w:noProof/>
                <w:webHidden/>
                <w:sz w:val="24"/>
              </w:rPr>
              <w:fldChar w:fldCharType="begin"/>
            </w:r>
            <w:r w:rsidR="007849E6" w:rsidRPr="00E2670C">
              <w:rPr>
                <w:noProof/>
                <w:webHidden/>
                <w:sz w:val="24"/>
              </w:rPr>
              <w:instrText xml:space="preserve"> PAGEREF _Toc66782882 \h </w:instrText>
            </w:r>
            <w:r w:rsidR="007849E6" w:rsidRPr="00E2670C">
              <w:rPr>
                <w:noProof/>
                <w:webHidden/>
                <w:sz w:val="24"/>
              </w:rPr>
            </w:r>
            <w:r w:rsidR="007849E6" w:rsidRPr="00E2670C">
              <w:rPr>
                <w:noProof/>
                <w:webHidden/>
                <w:sz w:val="24"/>
              </w:rPr>
              <w:fldChar w:fldCharType="separate"/>
            </w:r>
            <w:r w:rsidR="00CB1D68">
              <w:rPr>
                <w:noProof/>
                <w:webHidden/>
                <w:sz w:val="24"/>
              </w:rPr>
              <w:t>14</w:t>
            </w:r>
            <w:r w:rsidR="007849E6" w:rsidRPr="00E2670C">
              <w:rPr>
                <w:noProof/>
                <w:webHidden/>
                <w:sz w:val="24"/>
              </w:rPr>
              <w:fldChar w:fldCharType="end"/>
            </w:r>
          </w:hyperlink>
        </w:p>
        <w:p w14:paraId="2586F4EA" w14:textId="5BC0750E" w:rsidR="007849E6" w:rsidRPr="00E2670C" w:rsidRDefault="001A3ED7" w:rsidP="007849E6">
          <w:pPr>
            <w:pStyle w:val="TOC3"/>
            <w:tabs>
              <w:tab w:val="right" w:leader="dot" w:pos="8296"/>
            </w:tabs>
            <w:rPr>
              <w:rFonts w:asciiTheme="minorHAnsi" w:eastAsiaTheme="minorEastAsia" w:hAnsiTheme="minorHAnsi" w:cstheme="minorBidi"/>
              <w:noProof/>
              <w:sz w:val="24"/>
              <w:lang w:eastAsia="en-IE"/>
            </w:rPr>
          </w:pPr>
          <w:hyperlink w:anchor="_Toc66782883" w:history="1">
            <w:r w:rsidR="007849E6" w:rsidRPr="00E2670C">
              <w:rPr>
                <w:rStyle w:val="Hyperlink"/>
                <w:noProof/>
                <w:sz w:val="24"/>
              </w:rPr>
              <w:t>Career guidance</w:t>
            </w:r>
            <w:r w:rsidR="007849E6" w:rsidRPr="00E2670C">
              <w:rPr>
                <w:noProof/>
                <w:webHidden/>
                <w:sz w:val="24"/>
              </w:rPr>
              <w:tab/>
            </w:r>
            <w:r w:rsidR="007849E6" w:rsidRPr="00E2670C">
              <w:rPr>
                <w:noProof/>
                <w:webHidden/>
                <w:sz w:val="24"/>
              </w:rPr>
              <w:fldChar w:fldCharType="begin"/>
            </w:r>
            <w:r w:rsidR="007849E6" w:rsidRPr="00E2670C">
              <w:rPr>
                <w:noProof/>
                <w:webHidden/>
                <w:sz w:val="24"/>
              </w:rPr>
              <w:instrText xml:space="preserve"> PAGEREF _Toc66782883 \h </w:instrText>
            </w:r>
            <w:r w:rsidR="007849E6" w:rsidRPr="00E2670C">
              <w:rPr>
                <w:noProof/>
                <w:webHidden/>
                <w:sz w:val="24"/>
              </w:rPr>
            </w:r>
            <w:r w:rsidR="007849E6" w:rsidRPr="00E2670C">
              <w:rPr>
                <w:noProof/>
                <w:webHidden/>
                <w:sz w:val="24"/>
              </w:rPr>
              <w:fldChar w:fldCharType="separate"/>
            </w:r>
            <w:r w:rsidR="00CB1D68">
              <w:rPr>
                <w:noProof/>
                <w:webHidden/>
                <w:sz w:val="24"/>
              </w:rPr>
              <w:t>14</w:t>
            </w:r>
            <w:r w:rsidR="007849E6" w:rsidRPr="00E2670C">
              <w:rPr>
                <w:noProof/>
                <w:webHidden/>
                <w:sz w:val="24"/>
              </w:rPr>
              <w:fldChar w:fldCharType="end"/>
            </w:r>
          </w:hyperlink>
        </w:p>
        <w:p w14:paraId="456E7F1D" w14:textId="14D5E7F3" w:rsidR="007849E6" w:rsidRPr="00E2670C" w:rsidRDefault="001A3ED7" w:rsidP="007849E6">
          <w:pPr>
            <w:pStyle w:val="TOC3"/>
            <w:tabs>
              <w:tab w:val="right" w:leader="dot" w:pos="8296"/>
            </w:tabs>
            <w:rPr>
              <w:rFonts w:asciiTheme="minorHAnsi" w:eastAsiaTheme="minorEastAsia" w:hAnsiTheme="minorHAnsi" w:cstheme="minorBidi"/>
              <w:noProof/>
              <w:sz w:val="24"/>
              <w:lang w:eastAsia="en-IE"/>
            </w:rPr>
          </w:pPr>
          <w:hyperlink w:anchor="_Toc66782884" w:history="1">
            <w:r w:rsidR="007849E6" w:rsidRPr="00E2670C">
              <w:rPr>
                <w:rStyle w:val="Hyperlink"/>
                <w:noProof/>
                <w:sz w:val="24"/>
              </w:rPr>
              <w:t>School leavers</w:t>
            </w:r>
            <w:r w:rsidR="007849E6" w:rsidRPr="00E2670C">
              <w:rPr>
                <w:noProof/>
                <w:webHidden/>
                <w:sz w:val="24"/>
              </w:rPr>
              <w:tab/>
            </w:r>
            <w:r w:rsidR="007849E6" w:rsidRPr="00E2670C">
              <w:rPr>
                <w:noProof/>
                <w:webHidden/>
                <w:sz w:val="24"/>
              </w:rPr>
              <w:fldChar w:fldCharType="begin"/>
            </w:r>
            <w:r w:rsidR="007849E6" w:rsidRPr="00E2670C">
              <w:rPr>
                <w:noProof/>
                <w:webHidden/>
                <w:sz w:val="24"/>
              </w:rPr>
              <w:instrText xml:space="preserve"> PAGEREF _Toc66782884 \h </w:instrText>
            </w:r>
            <w:r w:rsidR="007849E6" w:rsidRPr="00E2670C">
              <w:rPr>
                <w:noProof/>
                <w:webHidden/>
                <w:sz w:val="24"/>
              </w:rPr>
            </w:r>
            <w:r w:rsidR="007849E6" w:rsidRPr="00E2670C">
              <w:rPr>
                <w:noProof/>
                <w:webHidden/>
                <w:sz w:val="24"/>
              </w:rPr>
              <w:fldChar w:fldCharType="separate"/>
            </w:r>
            <w:r w:rsidR="00CB1D68">
              <w:rPr>
                <w:noProof/>
                <w:webHidden/>
                <w:sz w:val="24"/>
              </w:rPr>
              <w:t>15</w:t>
            </w:r>
            <w:r w:rsidR="007849E6" w:rsidRPr="00E2670C">
              <w:rPr>
                <w:noProof/>
                <w:webHidden/>
                <w:sz w:val="24"/>
              </w:rPr>
              <w:fldChar w:fldCharType="end"/>
            </w:r>
          </w:hyperlink>
        </w:p>
        <w:p w14:paraId="3B0F47AA" w14:textId="6AC92360" w:rsidR="007849E6" w:rsidRPr="00E2670C" w:rsidRDefault="001A3ED7" w:rsidP="007849E6">
          <w:pPr>
            <w:pStyle w:val="TOC3"/>
            <w:tabs>
              <w:tab w:val="right" w:leader="dot" w:pos="8296"/>
            </w:tabs>
            <w:rPr>
              <w:rFonts w:asciiTheme="minorHAnsi" w:eastAsiaTheme="minorEastAsia" w:hAnsiTheme="minorHAnsi" w:cstheme="minorBidi"/>
              <w:noProof/>
              <w:sz w:val="24"/>
              <w:lang w:eastAsia="en-IE"/>
            </w:rPr>
          </w:pPr>
          <w:hyperlink w:anchor="_Toc66782885" w:history="1">
            <w:r w:rsidR="007849E6" w:rsidRPr="00E2670C">
              <w:rPr>
                <w:rStyle w:val="Hyperlink"/>
                <w:noProof/>
                <w:sz w:val="24"/>
              </w:rPr>
              <w:t>Post-school options</w:t>
            </w:r>
            <w:r w:rsidR="007849E6" w:rsidRPr="00E2670C">
              <w:rPr>
                <w:noProof/>
                <w:webHidden/>
                <w:sz w:val="24"/>
              </w:rPr>
              <w:tab/>
            </w:r>
            <w:r w:rsidR="007849E6" w:rsidRPr="00E2670C">
              <w:rPr>
                <w:noProof/>
                <w:webHidden/>
                <w:sz w:val="24"/>
              </w:rPr>
              <w:fldChar w:fldCharType="begin"/>
            </w:r>
            <w:r w:rsidR="007849E6" w:rsidRPr="00E2670C">
              <w:rPr>
                <w:noProof/>
                <w:webHidden/>
                <w:sz w:val="24"/>
              </w:rPr>
              <w:instrText xml:space="preserve"> PAGEREF _Toc66782885 \h </w:instrText>
            </w:r>
            <w:r w:rsidR="007849E6" w:rsidRPr="00E2670C">
              <w:rPr>
                <w:noProof/>
                <w:webHidden/>
                <w:sz w:val="24"/>
              </w:rPr>
            </w:r>
            <w:r w:rsidR="007849E6" w:rsidRPr="00E2670C">
              <w:rPr>
                <w:noProof/>
                <w:webHidden/>
                <w:sz w:val="24"/>
              </w:rPr>
              <w:fldChar w:fldCharType="separate"/>
            </w:r>
            <w:r w:rsidR="00CB1D68">
              <w:rPr>
                <w:noProof/>
                <w:webHidden/>
                <w:sz w:val="24"/>
              </w:rPr>
              <w:t>15</w:t>
            </w:r>
            <w:r w:rsidR="007849E6" w:rsidRPr="00E2670C">
              <w:rPr>
                <w:noProof/>
                <w:webHidden/>
                <w:sz w:val="24"/>
              </w:rPr>
              <w:fldChar w:fldCharType="end"/>
            </w:r>
          </w:hyperlink>
        </w:p>
        <w:p w14:paraId="543D0D36" w14:textId="74173572" w:rsidR="007849E6" w:rsidRPr="00E2670C" w:rsidRDefault="001A3ED7" w:rsidP="007849E6">
          <w:pPr>
            <w:pStyle w:val="TOC3"/>
            <w:tabs>
              <w:tab w:val="right" w:leader="dot" w:pos="8296"/>
            </w:tabs>
            <w:rPr>
              <w:rFonts w:asciiTheme="minorHAnsi" w:eastAsiaTheme="minorEastAsia" w:hAnsiTheme="minorHAnsi" w:cstheme="minorBidi"/>
              <w:noProof/>
              <w:sz w:val="24"/>
              <w:lang w:eastAsia="en-IE"/>
            </w:rPr>
          </w:pPr>
          <w:hyperlink w:anchor="_Toc66782886" w:history="1">
            <w:r w:rsidR="007849E6" w:rsidRPr="00E2670C">
              <w:rPr>
                <w:rStyle w:val="Hyperlink"/>
                <w:noProof/>
                <w:sz w:val="24"/>
              </w:rPr>
              <w:t>Further &amp; Higher Education</w:t>
            </w:r>
            <w:r w:rsidR="007849E6" w:rsidRPr="00E2670C">
              <w:rPr>
                <w:noProof/>
                <w:webHidden/>
                <w:sz w:val="24"/>
              </w:rPr>
              <w:tab/>
            </w:r>
            <w:r w:rsidR="007849E6" w:rsidRPr="00E2670C">
              <w:rPr>
                <w:noProof/>
                <w:webHidden/>
                <w:sz w:val="24"/>
              </w:rPr>
              <w:fldChar w:fldCharType="begin"/>
            </w:r>
            <w:r w:rsidR="007849E6" w:rsidRPr="00E2670C">
              <w:rPr>
                <w:noProof/>
                <w:webHidden/>
                <w:sz w:val="24"/>
              </w:rPr>
              <w:instrText xml:space="preserve"> PAGEREF _Toc66782886 \h </w:instrText>
            </w:r>
            <w:r w:rsidR="007849E6" w:rsidRPr="00E2670C">
              <w:rPr>
                <w:noProof/>
                <w:webHidden/>
                <w:sz w:val="24"/>
              </w:rPr>
            </w:r>
            <w:r w:rsidR="007849E6" w:rsidRPr="00E2670C">
              <w:rPr>
                <w:noProof/>
                <w:webHidden/>
                <w:sz w:val="24"/>
              </w:rPr>
              <w:fldChar w:fldCharType="separate"/>
            </w:r>
            <w:r w:rsidR="00CB1D68">
              <w:rPr>
                <w:noProof/>
                <w:webHidden/>
                <w:sz w:val="24"/>
              </w:rPr>
              <w:t>17</w:t>
            </w:r>
            <w:r w:rsidR="007849E6" w:rsidRPr="00E2670C">
              <w:rPr>
                <w:noProof/>
                <w:webHidden/>
                <w:sz w:val="24"/>
              </w:rPr>
              <w:fldChar w:fldCharType="end"/>
            </w:r>
          </w:hyperlink>
        </w:p>
        <w:p w14:paraId="4530C342" w14:textId="3FE898CE" w:rsidR="007849E6" w:rsidRPr="00E2670C" w:rsidRDefault="001A3ED7" w:rsidP="007849E6">
          <w:pPr>
            <w:pStyle w:val="TOC3"/>
            <w:tabs>
              <w:tab w:val="right" w:leader="dot" w:pos="8296"/>
            </w:tabs>
            <w:rPr>
              <w:rFonts w:asciiTheme="minorHAnsi" w:eastAsiaTheme="minorEastAsia" w:hAnsiTheme="minorHAnsi" w:cstheme="minorBidi"/>
              <w:noProof/>
              <w:sz w:val="24"/>
              <w:lang w:eastAsia="en-IE"/>
            </w:rPr>
          </w:pPr>
          <w:hyperlink w:anchor="_Toc66782887" w:history="1">
            <w:r w:rsidR="007849E6" w:rsidRPr="00E2670C">
              <w:rPr>
                <w:rStyle w:val="Hyperlink"/>
                <w:noProof/>
                <w:sz w:val="24"/>
              </w:rPr>
              <w:t>Disability Consultative Committee</w:t>
            </w:r>
            <w:r w:rsidR="007849E6" w:rsidRPr="00E2670C">
              <w:rPr>
                <w:noProof/>
                <w:webHidden/>
                <w:sz w:val="24"/>
              </w:rPr>
              <w:tab/>
            </w:r>
            <w:r w:rsidR="007849E6" w:rsidRPr="00E2670C">
              <w:rPr>
                <w:noProof/>
                <w:webHidden/>
                <w:sz w:val="24"/>
              </w:rPr>
              <w:fldChar w:fldCharType="begin"/>
            </w:r>
            <w:r w:rsidR="007849E6" w:rsidRPr="00E2670C">
              <w:rPr>
                <w:noProof/>
                <w:webHidden/>
                <w:sz w:val="24"/>
              </w:rPr>
              <w:instrText xml:space="preserve"> PAGEREF _Toc66782887 \h </w:instrText>
            </w:r>
            <w:r w:rsidR="007849E6" w:rsidRPr="00E2670C">
              <w:rPr>
                <w:noProof/>
                <w:webHidden/>
                <w:sz w:val="24"/>
              </w:rPr>
            </w:r>
            <w:r w:rsidR="007849E6" w:rsidRPr="00E2670C">
              <w:rPr>
                <w:noProof/>
                <w:webHidden/>
                <w:sz w:val="24"/>
              </w:rPr>
              <w:fldChar w:fldCharType="separate"/>
            </w:r>
            <w:r w:rsidR="00CB1D68">
              <w:rPr>
                <w:noProof/>
                <w:webHidden/>
                <w:sz w:val="24"/>
              </w:rPr>
              <w:t>18</w:t>
            </w:r>
            <w:r w:rsidR="007849E6" w:rsidRPr="00E2670C">
              <w:rPr>
                <w:noProof/>
                <w:webHidden/>
                <w:sz w:val="24"/>
              </w:rPr>
              <w:fldChar w:fldCharType="end"/>
            </w:r>
          </w:hyperlink>
        </w:p>
        <w:p w14:paraId="7ABF915E" w14:textId="41FCB361" w:rsidR="007849E6" w:rsidRPr="00E2670C" w:rsidRDefault="001A3ED7" w:rsidP="007849E6">
          <w:pPr>
            <w:pStyle w:val="TOC2"/>
            <w:tabs>
              <w:tab w:val="right" w:leader="dot" w:pos="8296"/>
            </w:tabs>
            <w:rPr>
              <w:rFonts w:asciiTheme="minorHAnsi" w:eastAsiaTheme="minorEastAsia" w:hAnsiTheme="minorHAnsi" w:cstheme="minorBidi"/>
              <w:noProof/>
              <w:sz w:val="24"/>
              <w:lang w:eastAsia="en-IE"/>
            </w:rPr>
          </w:pPr>
          <w:hyperlink w:anchor="_Toc66782888" w:history="1">
            <w:r w:rsidR="007849E6" w:rsidRPr="00E2670C">
              <w:rPr>
                <w:rStyle w:val="Hyperlink"/>
                <w:rFonts w:eastAsiaTheme="majorEastAsia"/>
                <w:noProof/>
                <w:sz w:val="24"/>
              </w:rPr>
              <w:t>Theme 2: Supports to work and return to work</w:t>
            </w:r>
            <w:r w:rsidR="007849E6" w:rsidRPr="00E2670C">
              <w:rPr>
                <w:noProof/>
                <w:webHidden/>
                <w:sz w:val="24"/>
              </w:rPr>
              <w:tab/>
            </w:r>
            <w:r w:rsidR="007849E6" w:rsidRPr="00E2670C">
              <w:rPr>
                <w:noProof/>
                <w:webHidden/>
                <w:sz w:val="24"/>
              </w:rPr>
              <w:fldChar w:fldCharType="begin"/>
            </w:r>
            <w:r w:rsidR="007849E6" w:rsidRPr="00E2670C">
              <w:rPr>
                <w:noProof/>
                <w:webHidden/>
                <w:sz w:val="24"/>
              </w:rPr>
              <w:instrText xml:space="preserve"> PAGEREF _Toc66782888 \h </w:instrText>
            </w:r>
            <w:r w:rsidR="007849E6" w:rsidRPr="00E2670C">
              <w:rPr>
                <w:noProof/>
                <w:webHidden/>
                <w:sz w:val="24"/>
              </w:rPr>
            </w:r>
            <w:r w:rsidR="007849E6" w:rsidRPr="00E2670C">
              <w:rPr>
                <w:noProof/>
                <w:webHidden/>
                <w:sz w:val="24"/>
              </w:rPr>
              <w:fldChar w:fldCharType="separate"/>
            </w:r>
            <w:r w:rsidR="00CB1D68">
              <w:rPr>
                <w:noProof/>
                <w:webHidden/>
                <w:sz w:val="24"/>
              </w:rPr>
              <w:t>19</w:t>
            </w:r>
            <w:r w:rsidR="007849E6" w:rsidRPr="00E2670C">
              <w:rPr>
                <w:noProof/>
                <w:webHidden/>
                <w:sz w:val="24"/>
              </w:rPr>
              <w:fldChar w:fldCharType="end"/>
            </w:r>
          </w:hyperlink>
        </w:p>
        <w:p w14:paraId="2238AD8C" w14:textId="6EFCCD30" w:rsidR="007849E6" w:rsidRPr="00E2670C" w:rsidRDefault="001A3ED7" w:rsidP="007849E6">
          <w:pPr>
            <w:pStyle w:val="TOC3"/>
            <w:tabs>
              <w:tab w:val="right" w:leader="dot" w:pos="8296"/>
            </w:tabs>
            <w:rPr>
              <w:rFonts w:asciiTheme="minorHAnsi" w:eastAsiaTheme="minorEastAsia" w:hAnsiTheme="minorHAnsi" w:cstheme="minorBidi"/>
              <w:noProof/>
              <w:sz w:val="24"/>
              <w:lang w:eastAsia="en-IE"/>
            </w:rPr>
          </w:pPr>
          <w:hyperlink w:anchor="_Toc66782889" w:history="1">
            <w:r w:rsidR="007849E6" w:rsidRPr="00E2670C">
              <w:rPr>
                <w:rStyle w:val="Hyperlink"/>
                <w:rFonts w:eastAsiaTheme="majorEastAsia"/>
                <w:noProof/>
                <w:sz w:val="24"/>
              </w:rPr>
              <w:t>Capacity of Intreo to support persons with disabilities</w:t>
            </w:r>
            <w:r w:rsidR="007849E6" w:rsidRPr="00E2670C">
              <w:rPr>
                <w:noProof/>
                <w:webHidden/>
                <w:sz w:val="24"/>
              </w:rPr>
              <w:tab/>
            </w:r>
            <w:r w:rsidR="007849E6" w:rsidRPr="00E2670C">
              <w:rPr>
                <w:noProof/>
                <w:webHidden/>
                <w:sz w:val="24"/>
              </w:rPr>
              <w:fldChar w:fldCharType="begin"/>
            </w:r>
            <w:r w:rsidR="007849E6" w:rsidRPr="00E2670C">
              <w:rPr>
                <w:noProof/>
                <w:webHidden/>
                <w:sz w:val="24"/>
              </w:rPr>
              <w:instrText xml:space="preserve"> PAGEREF _Toc66782889 \h </w:instrText>
            </w:r>
            <w:r w:rsidR="007849E6" w:rsidRPr="00E2670C">
              <w:rPr>
                <w:noProof/>
                <w:webHidden/>
                <w:sz w:val="24"/>
              </w:rPr>
            </w:r>
            <w:r w:rsidR="007849E6" w:rsidRPr="00E2670C">
              <w:rPr>
                <w:noProof/>
                <w:webHidden/>
                <w:sz w:val="24"/>
              </w:rPr>
              <w:fldChar w:fldCharType="separate"/>
            </w:r>
            <w:r w:rsidR="00CB1D68">
              <w:rPr>
                <w:noProof/>
                <w:webHidden/>
                <w:sz w:val="24"/>
              </w:rPr>
              <w:t>19</w:t>
            </w:r>
            <w:r w:rsidR="007849E6" w:rsidRPr="00E2670C">
              <w:rPr>
                <w:noProof/>
                <w:webHidden/>
                <w:sz w:val="24"/>
              </w:rPr>
              <w:fldChar w:fldCharType="end"/>
            </w:r>
          </w:hyperlink>
        </w:p>
        <w:p w14:paraId="7366AB00" w14:textId="2A6954FB" w:rsidR="007849E6" w:rsidRPr="00E2670C" w:rsidRDefault="001A3ED7" w:rsidP="007849E6">
          <w:pPr>
            <w:pStyle w:val="TOC3"/>
            <w:tabs>
              <w:tab w:val="right" w:leader="dot" w:pos="8296"/>
            </w:tabs>
            <w:rPr>
              <w:rFonts w:asciiTheme="minorHAnsi" w:eastAsiaTheme="minorEastAsia" w:hAnsiTheme="minorHAnsi" w:cstheme="minorBidi"/>
              <w:noProof/>
              <w:sz w:val="24"/>
              <w:lang w:eastAsia="en-IE"/>
            </w:rPr>
          </w:pPr>
          <w:hyperlink w:anchor="_Toc66782890" w:history="1">
            <w:r w:rsidR="007849E6" w:rsidRPr="00E2670C">
              <w:rPr>
                <w:rStyle w:val="Hyperlink"/>
                <w:rFonts w:eastAsiaTheme="majorEastAsia"/>
                <w:noProof/>
                <w:sz w:val="24"/>
              </w:rPr>
              <w:t>Review of existing protocols</w:t>
            </w:r>
            <w:r w:rsidR="007849E6" w:rsidRPr="00E2670C">
              <w:rPr>
                <w:noProof/>
                <w:webHidden/>
                <w:sz w:val="24"/>
              </w:rPr>
              <w:tab/>
            </w:r>
            <w:r w:rsidR="007849E6" w:rsidRPr="00E2670C">
              <w:rPr>
                <w:noProof/>
                <w:webHidden/>
                <w:sz w:val="24"/>
              </w:rPr>
              <w:fldChar w:fldCharType="begin"/>
            </w:r>
            <w:r w:rsidR="007849E6" w:rsidRPr="00E2670C">
              <w:rPr>
                <w:noProof/>
                <w:webHidden/>
                <w:sz w:val="24"/>
              </w:rPr>
              <w:instrText xml:space="preserve"> PAGEREF _Toc66782890 \h </w:instrText>
            </w:r>
            <w:r w:rsidR="007849E6" w:rsidRPr="00E2670C">
              <w:rPr>
                <w:noProof/>
                <w:webHidden/>
                <w:sz w:val="24"/>
              </w:rPr>
            </w:r>
            <w:r w:rsidR="007849E6" w:rsidRPr="00E2670C">
              <w:rPr>
                <w:noProof/>
                <w:webHidden/>
                <w:sz w:val="24"/>
              </w:rPr>
              <w:fldChar w:fldCharType="separate"/>
            </w:r>
            <w:r w:rsidR="00CB1D68">
              <w:rPr>
                <w:noProof/>
                <w:webHidden/>
                <w:sz w:val="24"/>
              </w:rPr>
              <w:t>20</w:t>
            </w:r>
            <w:r w:rsidR="007849E6" w:rsidRPr="00E2670C">
              <w:rPr>
                <w:noProof/>
                <w:webHidden/>
                <w:sz w:val="24"/>
              </w:rPr>
              <w:fldChar w:fldCharType="end"/>
            </w:r>
          </w:hyperlink>
        </w:p>
        <w:p w14:paraId="44BB025B" w14:textId="33A77F2A" w:rsidR="007849E6" w:rsidRPr="00E2670C" w:rsidRDefault="001A3ED7" w:rsidP="007849E6">
          <w:pPr>
            <w:pStyle w:val="TOC3"/>
            <w:tabs>
              <w:tab w:val="right" w:leader="dot" w:pos="8296"/>
            </w:tabs>
            <w:rPr>
              <w:rFonts w:asciiTheme="minorHAnsi" w:eastAsiaTheme="minorEastAsia" w:hAnsiTheme="minorHAnsi" w:cstheme="minorBidi"/>
              <w:noProof/>
              <w:sz w:val="24"/>
              <w:lang w:eastAsia="en-IE"/>
            </w:rPr>
          </w:pPr>
          <w:hyperlink w:anchor="_Toc66782891" w:history="1">
            <w:r w:rsidR="007849E6" w:rsidRPr="00E2670C">
              <w:rPr>
                <w:rStyle w:val="Hyperlink"/>
                <w:rFonts w:eastAsiaTheme="majorEastAsia"/>
                <w:noProof/>
                <w:sz w:val="24"/>
              </w:rPr>
              <w:t>Seamless pathways for those with high support needs</w:t>
            </w:r>
            <w:r w:rsidR="007849E6" w:rsidRPr="00E2670C">
              <w:rPr>
                <w:noProof/>
                <w:webHidden/>
                <w:sz w:val="24"/>
              </w:rPr>
              <w:tab/>
            </w:r>
            <w:r w:rsidR="007849E6" w:rsidRPr="00E2670C">
              <w:rPr>
                <w:noProof/>
                <w:webHidden/>
                <w:sz w:val="24"/>
              </w:rPr>
              <w:fldChar w:fldCharType="begin"/>
            </w:r>
            <w:r w:rsidR="007849E6" w:rsidRPr="00E2670C">
              <w:rPr>
                <w:noProof/>
                <w:webHidden/>
                <w:sz w:val="24"/>
              </w:rPr>
              <w:instrText xml:space="preserve"> PAGEREF _Toc66782891 \h </w:instrText>
            </w:r>
            <w:r w:rsidR="007849E6" w:rsidRPr="00E2670C">
              <w:rPr>
                <w:noProof/>
                <w:webHidden/>
                <w:sz w:val="24"/>
              </w:rPr>
            </w:r>
            <w:r w:rsidR="007849E6" w:rsidRPr="00E2670C">
              <w:rPr>
                <w:noProof/>
                <w:webHidden/>
                <w:sz w:val="24"/>
              </w:rPr>
              <w:fldChar w:fldCharType="separate"/>
            </w:r>
            <w:r w:rsidR="00CB1D68">
              <w:rPr>
                <w:noProof/>
                <w:webHidden/>
                <w:sz w:val="24"/>
              </w:rPr>
              <w:t>21</w:t>
            </w:r>
            <w:r w:rsidR="007849E6" w:rsidRPr="00E2670C">
              <w:rPr>
                <w:noProof/>
                <w:webHidden/>
                <w:sz w:val="24"/>
              </w:rPr>
              <w:fldChar w:fldCharType="end"/>
            </w:r>
          </w:hyperlink>
        </w:p>
        <w:p w14:paraId="55563180" w14:textId="41D6EC99" w:rsidR="007849E6" w:rsidRPr="00E2670C" w:rsidRDefault="001A3ED7" w:rsidP="007849E6">
          <w:pPr>
            <w:pStyle w:val="TOC3"/>
            <w:tabs>
              <w:tab w:val="right" w:leader="dot" w:pos="8296"/>
            </w:tabs>
            <w:rPr>
              <w:rFonts w:asciiTheme="minorHAnsi" w:eastAsiaTheme="minorEastAsia" w:hAnsiTheme="minorHAnsi" w:cstheme="minorBidi"/>
              <w:noProof/>
              <w:sz w:val="24"/>
              <w:lang w:eastAsia="en-IE"/>
            </w:rPr>
          </w:pPr>
          <w:hyperlink w:anchor="_Toc66782892" w:history="1">
            <w:r w:rsidR="007849E6" w:rsidRPr="00E2670C">
              <w:rPr>
                <w:rStyle w:val="Hyperlink"/>
                <w:rFonts w:eastAsia="Gill Sans MT"/>
                <w:noProof/>
                <w:sz w:val="24"/>
              </w:rPr>
              <w:t>Enhancing pathway to work through Early Engagement</w:t>
            </w:r>
            <w:r w:rsidR="007849E6" w:rsidRPr="00E2670C">
              <w:rPr>
                <w:noProof/>
                <w:webHidden/>
                <w:sz w:val="24"/>
              </w:rPr>
              <w:tab/>
            </w:r>
            <w:r w:rsidR="007849E6" w:rsidRPr="00E2670C">
              <w:rPr>
                <w:noProof/>
                <w:webHidden/>
                <w:sz w:val="24"/>
              </w:rPr>
              <w:fldChar w:fldCharType="begin"/>
            </w:r>
            <w:r w:rsidR="007849E6" w:rsidRPr="00E2670C">
              <w:rPr>
                <w:noProof/>
                <w:webHidden/>
                <w:sz w:val="24"/>
              </w:rPr>
              <w:instrText xml:space="preserve"> PAGEREF _Toc66782892 \h </w:instrText>
            </w:r>
            <w:r w:rsidR="007849E6" w:rsidRPr="00E2670C">
              <w:rPr>
                <w:noProof/>
                <w:webHidden/>
                <w:sz w:val="24"/>
              </w:rPr>
            </w:r>
            <w:r w:rsidR="007849E6" w:rsidRPr="00E2670C">
              <w:rPr>
                <w:noProof/>
                <w:webHidden/>
                <w:sz w:val="24"/>
              </w:rPr>
              <w:fldChar w:fldCharType="separate"/>
            </w:r>
            <w:r w:rsidR="00CB1D68">
              <w:rPr>
                <w:noProof/>
                <w:webHidden/>
                <w:sz w:val="24"/>
              </w:rPr>
              <w:t>21</w:t>
            </w:r>
            <w:r w:rsidR="007849E6" w:rsidRPr="00E2670C">
              <w:rPr>
                <w:noProof/>
                <w:webHidden/>
                <w:sz w:val="24"/>
              </w:rPr>
              <w:fldChar w:fldCharType="end"/>
            </w:r>
          </w:hyperlink>
        </w:p>
        <w:p w14:paraId="66B5F089" w14:textId="38009F26" w:rsidR="007849E6" w:rsidRPr="00E2670C" w:rsidRDefault="001A3ED7" w:rsidP="007849E6">
          <w:pPr>
            <w:pStyle w:val="TOC3"/>
            <w:tabs>
              <w:tab w:val="right" w:leader="dot" w:pos="8296"/>
            </w:tabs>
            <w:rPr>
              <w:rFonts w:asciiTheme="minorHAnsi" w:eastAsiaTheme="minorEastAsia" w:hAnsiTheme="minorHAnsi" w:cstheme="minorBidi"/>
              <w:noProof/>
              <w:sz w:val="24"/>
              <w:lang w:eastAsia="en-IE"/>
            </w:rPr>
          </w:pPr>
          <w:hyperlink w:anchor="_Toc66782893" w:history="1">
            <w:r w:rsidR="007849E6" w:rsidRPr="00E2670C">
              <w:rPr>
                <w:rStyle w:val="Hyperlink"/>
                <w:rFonts w:eastAsiaTheme="majorEastAsia"/>
                <w:noProof/>
                <w:sz w:val="24"/>
              </w:rPr>
              <w:t>Review of the reasonable accommodation fund</w:t>
            </w:r>
            <w:r w:rsidR="007849E6" w:rsidRPr="00E2670C">
              <w:rPr>
                <w:noProof/>
                <w:webHidden/>
                <w:sz w:val="24"/>
              </w:rPr>
              <w:tab/>
            </w:r>
            <w:r w:rsidR="007849E6" w:rsidRPr="00E2670C">
              <w:rPr>
                <w:noProof/>
                <w:webHidden/>
                <w:sz w:val="24"/>
              </w:rPr>
              <w:fldChar w:fldCharType="begin"/>
            </w:r>
            <w:r w:rsidR="007849E6" w:rsidRPr="00E2670C">
              <w:rPr>
                <w:noProof/>
                <w:webHidden/>
                <w:sz w:val="24"/>
              </w:rPr>
              <w:instrText xml:space="preserve"> PAGEREF _Toc66782893 \h </w:instrText>
            </w:r>
            <w:r w:rsidR="007849E6" w:rsidRPr="00E2670C">
              <w:rPr>
                <w:noProof/>
                <w:webHidden/>
                <w:sz w:val="24"/>
              </w:rPr>
            </w:r>
            <w:r w:rsidR="007849E6" w:rsidRPr="00E2670C">
              <w:rPr>
                <w:noProof/>
                <w:webHidden/>
                <w:sz w:val="24"/>
              </w:rPr>
              <w:fldChar w:fldCharType="separate"/>
            </w:r>
            <w:r w:rsidR="00CB1D68">
              <w:rPr>
                <w:noProof/>
                <w:webHidden/>
                <w:sz w:val="24"/>
              </w:rPr>
              <w:t>22</w:t>
            </w:r>
            <w:r w:rsidR="007849E6" w:rsidRPr="00E2670C">
              <w:rPr>
                <w:noProof/>
                <w:webHidden/>
                <w:sz w:val="24"/>
              </w:rPr>
              <w:fldChar w:fldCharType="end"/>
            </w:r>
          </w:hyperlink>
        </w:p>
        <w:p w14:paraId="6CD9AD54" w14:textId="406F6119" w:rsidR="007849E6" w:rsidRPr="00E2670C" w:rsidRDefault="001A3ED7" w:rsidP="007849E6">
          <w:pPr>
            <w:pStyle w:val="TOC3"/>
            <w:tabs>
              <w:tab w:val="right" w:leader="dot" w:pos="8296"/>
            </w:tabs>
            <w:rPr>
              <w:rFonts w:asciiTheme="minorHAnsi" w:eastAsiaTheme="minorEastAsia" w:hAnsiTheme="minorHAnsi" w:cstheme="minorBidi"/>
              <w:noProof/>
              <w:sz w:val="24"/>
              <w:lang w:eastAsia="en-IE"/>
            </w:rPr>
          </w:pPr>
          <w:hyperlink w:anchor="_Toc66782894" w:history="1">
            <w:r w:rsidR="007849E6" w:rsidRPr="00E2670C">
              <w:rPr>
                <w:rStyle w:val="Hyperlink"/>
                <w:rFonts w:eastAsia="Calibri"/>
                <w:noProof/>
                <w:sz w:val="24"/>
                <w:lang w:val="en-GB"/>
              </w:rPr>
              <w:t>Vocational rehabilitation</w:t>
            </w:r>
            <w:r w:rsidR="007849E6" w:rsidRPr="00E2670C">
              <w:rPr>
                <w:noProof/>
                <w:webHidden/>
                <w:sz w:val="24"/>
              </w:rPr>
              <w:tab/>
            </w:r>
            <w:r w:rsidR="007849E6" w:rsidRPr="00E2670C">
              <w:rPr>
                <w:noProof/>
                <w:webHidden/>
                <w:sz w:val="24"/>
              </w:rPr>
              <w:fldChar w:fldCharType="begin"/>
            </w:r>
            <w:r w:rsidR="007849E6" w:rsidRPr="00E2670C">
              <w:rPr>
                <w:noProof/>
                <w:webHidden/>
                <w:sz w:val="24"/>
              </w:rPr>
              <w:instrText xml:space="preserve"> PAGEREF _Toc66782894 \h </w:instrText>
            </w:r>
            <w:r w:rsidR="007849E6" w:rsidRPr="00E2670C">
              <w:rPr>
                <w:noProof/>
                <w:webHidden/>
                <w:sz w:val="24"/>
              </w:rPr>
            </w:r>
            <w:r w:rsidR="007849E6" w:rsidRPr="00E2670C">
              <w:rPr>
                <w:noProof/>
                <w:webHidden/>
                <w:sz w:val="24"/>
              </w:rPr>
              <w:fldChar w:fldCharType="separate"/>
            </w:r>
            <w:r w:rsidR="00CB1D68">
              <w:rPr>
                <w:noProof/>
                <w:webHidden/>
                <w:sz w:val="24"/>
              </w:rPr>
              <w:t>22</w:t>
            </w:r>
            <w:r w:rsidR="007849E6" w:rsidRPr="00E2670C">
              <w:rPr>
                <w:noProof/>
                <w:webHidden/>
                <w:sz w:val="24"/>
              </w:rPr>
              <w:fldChar w:fldCharType="end"/>
            </w:r>
          </w:hyperlink>
        </w:p>
        <w:p w14:paraId="75DB6F7D" w14:textId="154DEDA3" w:rsidR="007849E6" w:rsidRPr="00E2670C" w:rsidRDefault="001A3ED7" w:rsidP="007849E6">
          <w:pPr>
            <w:pStyle w:val="TOC3"/>
            <w:tabs>
              <w:tab w:val="right" w:leader="dot" w:pos="8296"/>
            </w:tabs>
            <w:rPr>
              <w:rFonts w:asciiTheme="minorHAnsi" w:eastAsiaTheme="minorEastAsia" w:hAnsiTheme="minorHAnsi" w:cstheme="minorBidi"/>
              <w:noProof/>
              <w:sz w:val="24"/>
              <w:lang w:eastAsia="en-IE"/>
            </w:rPr>
          </w:pPr>
          <w:hyperlink w:anchor="_Toc66782895" w:history="1">
            <w:r w:rsidR="007849E6" w:rsidRPr="00E2670C">
              <w:rPr>
                <w:rStyle w:val="Hyperlink"/>
                <w:rFonts w:eastAsiaTheme="majorEastAsia"/>
                <w:noProof/>
                <w:sz w:val="24"/>
              </w:rPr>
              <w:t>Return to work post pandemic</w:t>
            </w:r>
            <w:r w:rsidR="007849E6" w:rsidRPr="00E2670C">
              <w:rPr>
                <w:noProof/>
                <w:webHidden/>
                <w:sz w:val="24"/>
              </w:rPr>
              <w:tab/>
            </w:r>
            <w:r w:rsidR="007849E6" w:rsidRPr="00E2670C">
              <w:rPr>
                <w:noProof/>
                <w:webHidden/>
                <w:sz w:val="24"/>
              </w:rPr>
              <w:fldChar w:fldCharType="begin"/>
            </w:r>
            <w:r w:rsidR="007849E6" w:rsidRPr="00E2670C">
              <w:rPr>
                <w:noProof/>
                <w:webHidden/>
                <w:sz w:val="24"/>
              </w:rPr>
              <w:instrText xml:space="preserve"> PAGEREF _Toc66782895 \h </w:instrText>
            </w:r>
            <w:r w:rsidR="007849E6" w:rsidRPr="00E2670C">
              <w:rPr>
                <w:noProof/>
                <w:webHidden/>
                <w:sz w:val="24"/>
              </w:rPr>
            </w:r>
            <w:r w:rsidR="007849E6" w:rsidRPr="00E2670C">
              <w:rPr>
                <w:noProof/>
                <w:webHidden/>
                <w:sz w:val="24"/>
              </w:rPr>
              <w:fldChar w:fldCharType="separate"/>
            </w:r>
            <w:r w:rsidR="00CB1D68">
              <w:rPr>
                <w:noProof/>
                <w:webHidden/>
                <w:sz w:val="24"/>
              </w:rPr>
              <w:t>23</w:t>
            </w:r>
            <w:r w:rsidR="007849E6" w:rsidRPr="00E2670C">
              <w:rPr>
                <w:noProof/>
                <w:webHidden/>
                <w:sz w:val="24"/>
              </w:rPr>
              <w:fldChar w:fldCharType="end"/>
            </w:r>
          </w:hyperlink>
        </w:p>
        <w:p w14:paraId="7E5117E6" w14:textId="1112FB63" w:rsidR="007849E6" w:rsidRPr="00E2670C" w:rsidRDefault="001A3ED7" w:rsidP="007849E6">
          <w:pPr>
            <w:pStyle w:val="TOC2"/>
            <w:tabs>
              <w:tab w:val="right" w:leader="dot" w:pos="8296"/>
            </w:tabs>
            <w:rPr>
              <w:rFonts w:asciiTheme="minorHAnsi" w:eastAsiaTheme="minorEastAsia" w:hAnsiTheme="minorHAnsi" w:cstheme="minorBidi"/>
              <w:noProof/>
              <w:sz w:val="24"/>
              <w:lang w:eastAsia="en-IE"/>
            </w:rPr>
          </w:pPr>
          <w:hyperlink w:anchor="_Toc66782896" w:history="1">
            <w:r w:rsidR="007849E6" w:rsidRPr="00E2670C">
              <w:rPr>
                <w:rStyle w:val="Hyperlink"/>
                <w:noProof/>
                <w:sz w:val="24"/>
              </w:rPr>
              <w:t>Theme 3: Engaging employers</w:t>
            </w:r>
            <w:r w:rsidR="007849E6" w:rsidRPr="00E2670C">
              <w:rPr>
                <w:noProof/>
                <w:webHidden/>
                <w:sz w:val="24"/>
              </w:rPr>
              <w:tab/>
            </w:r>
            <w:r w:rsidR="007849E6" w:rsidRPr="00E2670C">
              <w:rPr>
                <w:noProof/>
                <w:webHidden/>
                <w:sz w:val="24"/>
              </w:rPr>
              <w:fldChar w:fldCharType="begin"/>
            </w:r>
            <w:r w:rsidR="007849E6" w:rsidRPr="00E2670C">
              <w:rPr>
                <w:noProof/>
                <w:webHidden/>
                <w:sz w:val="24"/>
              </w:rPr>
              <w:instrText xml:space="preserve"> PAGEREF _Toc66782896 \h </w:instrText>
            </w:r>
            <w:r w:rsidR="007849E6" w:rsidRPr="00E2670C">
              <w:rPr>
                <w:noProof/>
                <w:webHidden/>
                <w:sz w:val="24"/>
              </w:rPr>
            </w:r>
            <w:r w:rsidR="007849E6" w:rsidRPr="00E2670C">
              <w:rPr>
                <w:noProof/>
                <w:webHidden/>
                <w:sz w:val="24"/>
              </w:rPr>
              <w:fldChar w:fldCharType="separate"/>
            </w:r>
            <w:r w:rsidR="00CB1D68">
              <w:rPr>
                <w:noProof/>
                <w:webHidden/>
                <w:sz w:val="24"/>
              </w:rPr>
              <w:t>25</w:t>
            </w:r>
            <w:r w:rsidR="007849E6" w:rsidRPr="00E2670C">
              <w:rPr>
                <w:noProof/>
                <w:webHidden/>
                <w:sz w:val="24"/>
              </w:rPr>
              <w:fldChar w:fldCharType="end"/>
            </w:r>
          </w:hyperlink>
        </w:p>
        <w:p w14:paraId="080EDEC0" w14:textId="3CD83FA2" w:rsidR="007849E6" w:rsidRPr="00E2670C" w:rsidRDefault="001A3ED7" w:rsidP="007849E6">
          <w:pPr>
            <w:pStyle w:val="TOC3"/>
            <w:tabs>
              <w:tab w:val="right" w:leader="dot" w:pos="8296"/>
            </w:tabs>
            <w:rPr>
              <w:rFonts w:asciiTheme="minorHAnsi" w:eastAsiaTheme="minorEastAsia" w:hAnsiTheme="minorHAnsi" w:cstheme="minorBidi"/>
              <w:noProof/>
              <w:sz w:val="24"/>
              <w:lang w:eastAsia="en-IE"/>
            </w:rPr>
          </w:pPr>
          <w:hyperlink w:anchor="_Toc66782897" w:history="1">
            <w:r w:rsidR="007849E6" w:rsidRPr="00E2670C">
              <w:rPr>
                <w:rStyle w:val="Hyperlink"/>
                <w:noProof/>
                <w:sz w:val="24"/>
              </w:rPr>
              <w:t>Increasing employment targets for the public sector</w:t>
            </w:r>
            <w:r w:rsidR="007849E6" w:rsidRPr="00E2670C">
              <w:rPr>
                <w:noProof/>
                <w:webHidden/>
                <w:sz w:val="24"/>
              </w:rPr>
              <w:tab/>
            </w:r>
            <w:r w:rsidR="007849E6" w:rsidRPr="00E2670C">
              <w:rPr>
                <w:noProof/>
                <w:webHidden/>
                <w:sz w:val="24"/>
              </w:rPr>
              <w:fldChar w:fldCharType="begin"/>
            </w:r>
            <w:r w:rsidR="007849E6" w:rsidRPr="00E2670C">
              <w:rPr>
                <w:noProof/>
                <w:webHidden/>
                <w:sz w:val="24"/>
              </w:rPr>
              <w:instrText xml:space="preserve"> PAGEREF _Toc66782897 \h </w:instrText>
            </w:r>
            <w:r w:rsidR="007849E6" w:rsidRPr="00E2670C">
              <w:rPr>
                <w:noProof/>
                <w:webHidden/>
                <w:sz w:val="24"/>
              </w:rPr>
            </w:r>
            <w:r w:rsidR="007849E6" w:rsidRPr="00E2670C">
              <w:rPr>
                <w:noProof/>
                <w:webHidden/>
                <w:sz w:val="24"/>
              </w:rPr>
              <w:fldChar w:fldCharType="separate"/>
            </w:r>
            <w:r w:rsidR="00CB1D68">
              <w:rPr>
                <w:noProof/>
                <w:webHidden/>
                <w:sz w:val="24"/>
              </w:rPr>
              <w:t>27</w:t>
            </w:r>
            <w:r w:rsidR="007849E6" w:rsidRPr="00E2670C">
              <w:rPr>
                <w:noProof/>
                <w:webHidden/>
                <w:sz w:val="24"/>
              </w:rPr>
              <w:fldChar w:fldCharType="end"/>
            </w:r>
          </w:hyperlink>
        </w:p>
        <w:p w14:paraId="3D841988" w14:textId="688AE524" w:rsidR="007849E6" w:rsidRPr="00E2670C" w:rsidRDefault="001A3ED7" w:rsidP="007849E6">
          <w:pPr>
            <w:pStyle w:val="TOC2"/>
            <w:tabs>
              <w:tab w:val="right" w:leader="dot" w:pos="8296"/>
            </w:tabs>
            <w:rPr>
              <w:rFonts w:asciiTheme="minorHAnsi" w:eastAsiaTheme="minorEastAsia" w:hAnsiTheme="minorHAnsi" w:cstheme="minorBidi"/>
              <w:noProof/>
              <w:sz w:val="24"/>
              <w:lang w:eastAsia="en-IE"/>
            </w:rPr>
          </w:pPr>
          <w:hyperlink w:anchor="_Toc66782898" w:history="1">
            <w:r w:rsidR="007849E6" w:rsidRPr="00E2670C">
              <w:rPr>
                <w:rStyle w:val="Hyperlink"/>
                <w:noProof/>
                <w:sz w:val="24"/>
              </w:rPr>
              <w:t>Theme 4: Public Transport</w:t>
            </w:r>
            <w:r w:rsidR="007849E6" w:rsidRPr="00E2670C">
              <w:rPr>
                <w:noProof/>
                <w:webHidden/>
                <w:sz w:val="24"/>
              </w:rPr>
              <w:tab/>
            </w:r>
            <w:r w:rsidR="007849E6" w:rsidRPr="00E2670C">
              <w:rPr>
                <w:noProof/>
                <w:webHidden/>
                <w:sz w:val="24"/>
              </w:rPr>
              <w:fldChar w:fldCharType="begin"/>
            </w:r>
            <w:r w:rsidR="007849E6" w:rsidRPr="00E2670C">
              <w:rPr>
                <w:noProof/>
                <w:webHidden/>
                <w:sz w:val="24"/>
              </w:rPr>
              <w:instrText xml:space="preserve"> PAGEREF _Toc66782898 \h </w:instrText>
            </w:r>
            <w:r w:rsidR="007849E6" w:rsidRPr="00E2670C">
              <w:rPr>
                <w:noProof/>
                <w:webHidden/>
                <w:sz w:val="24"/>
              </w:rPr>
            </w:r>
            <w:r w:rsidR="007849E6" w:rsidRPr="00E2670C">
              <w:rPr>
                <w:noProof/>
                <w:webHidden/>
                <w:sz w:val="24"/>
              </w:rPr>
              <w:fldChar w:fldCharType="separate"/>
            </w:r>
            <w:r w:rsidR="00CB1D68">
              <w:rPr>
                <w:noProof/>
                <w:webHidden/>
                <w:sz w:val="24"/>
              </w:rPr>
              <w:t>28</w:t>
            </w:r>
            <w:r w:rsidR="007849E6" w:rsidRPr="00E2670C">
              <w:rPr>
                <w:noProof/>
                <w:webHidden/>
                <w:sz w:val="24"/>
              </w:rPr>
              <w:fldChar w:fldCharType="end"/>
            </w:r>
          </w:hyperlink>
        </w:p>
        <w:p w14:paraId="0FD44F93" w14:textId="25E06578" w:rsidR="007849E6" w:rsidRPr="00E2670C" w:rsidRDefault="001A3ED7" w:rsidP="007849E6">
          <w:pPr>
            <w:pStyle w:val="TOC1"/>
            <w:tabs>
              <w:tab w:val="right" w:leader="dot" w:pos="8296"/>
            </w:tabs>
            <w:rPr>
              <w:rFonts w:asciiTheme="minorHAnsi" w:eastAsiaTheme="minorEastAsia" w:hAnsiTheme="minorHAnsi" w:cstheme="minorBidi"/>
              <w:b w:val="0"/>
              <w:noProof/>
              <w:sz w:val="24"/>
              <w:lang w:eastAsia="en-IE"/>
            </w:rPr>
          </w:pPr>
          <w:hyperlink w:anchor="_Toc66782899" w:history="1">
            <w:r w:rsidR="007849E6" w:rsidRPr="00E2670C">
              <w:rPr>
                <w:rStyle w:val="Hyperlink"/>
                <w:rFonts w:eastAsiaTheme="majorEastAsia" w:cstheme="majorBidi"/>
                <w:noProof/>
                <w:sz w:val="24"/>
                <w:lang w:val="en-US"/>
              </w:rPr>
              <w:t>Conclusion</w:t>
            </w:r>
            <w:r w:rsidR="007849E6" w:rsidRPr="00E2670C">
              <w:rPr>
                <w:noProof/>
                <w:webHidden/>
                <w:sz w:val="24"/>
              </w:rPr>
              <w:tab/>
            </w:r>
            <w:r w:rsidR="007849E6" w:rsidRPr="00E2670C">
              <w:rPr>
                <w:noProof/>
                <w:webHidden/>
                <w:sz w:val="24"/>
              </w:rPr>
              <w:fldChar w:fldCharType="begin"/>
            </w:r>
            <w:r w:rsidR="007849E6" w:rsidRPr="00E2670C">
              <w:rPr>
                <w:noProof/>
                <w:webHidden/>
                <w:sz w:val="24"/>
              </w:rPr>
              <w:instrText xml:space="preserve"> PAGEREF _Toc66782899 \h </w:instrText>
            </w:r>
            <w:r w:rsidR="007849E6" w:rsidRPr="00E2670C">
              <w:rPr>
                <w:noProof/>
                <w:webHidden/>
                <w:sz w:val="24"/>
              </w:rPr>
            </w:r>
            <w:r w:rsidR="007849E6" w:rsidRPr="00E2670C">
              <w:rPr>
                <w:noProof/>
                <w:webHidden/>
                <w:sz w:val="24"/>
              </w:rPr>
              <w:fldChar w:fldCharType="separate"/>
            </w:r>
            <w:r w:rsidR="00CB1D68">
              <w:rPr>
                <w:noProof/>
                <w:webHidden/>
                <w:sz w:val="24"/>
              </w:rPr>
              <w:t>30</w:t>
            </w:r>
            <w:r w:rsidR="007849E6" w:rsidRPr="00E2670C">
              <w:rPr>
                <w:noProof/>
                <w:webHidden/>
                <w:sz w:val="24"/>
              </w:rPr>
              <w:fldChar w:fldCharType="end"/>
            </w:r>
          </w:hyperlink>
        </w:p>
        <w:p w14:paraId="5EFD73B9" w14:textId="77777777" w:rsidR="007849E6" w:rsidRDefault="007849E6" w:rsidP="007849E6">
          <w:pPr>
            <w:rPr>
              <w:b/>
              <w:bCs/>
              <w:noProof/>
            </w:rPr>
          </w:pPr>
          <w:r w:rsidRPr="00E2670C">
            <w:rPr>
              <w:b/>
              <w:bCs/>
              <w:noProof/>
              <w:sz w:val="24"/>
            </w:rPr>
            <w:fldChar w:fldCharType="end"/>
          </w:r>
        </w:p>
      </w:sdtContent>
    </w:sdt>
    <w:p w14:paraId="0961A3A0" w14:textId="1D5DEE82" w:rsidR="007849E6" w:rsidRDefault="007849E6" w:rsidP="002B1A1F">
      <w:pPr>
        <w:pStyle w:val="Heading2"/>
      </w:pPr>
    </w:p>
    <w:p w14:paraId="5A666CC2" w14:textId="4DAAB103" w:rsidR="002B1A1F" w:rsidRDefault="002B1A1F" w:rsidP="002B1A1F">
      <w:pPr>
        <w:pStyle w:val="Heading2"/>
      </w:pPr>
      <w:r>
        <w:t>List of Acronyms</w:t>
      </w:r>
      <w:bookmarkEnd w:id="3"/>
    </w:p>
    <w:p w14:paraId="2F220E48" w14:textId="4DEA57AC" w:rsidR="002B1A1F" w:rsidRDefault="002B1A1F" w:rsidP="002B1A1F">
      <w:pPr>
        <w:spacing w:after="0"/>
        <w:jc w:val="both"/>
      </w:pPr>
    </w:p>
    <w:p w14:paraId="323238C7" w14:textId="66650D9B" w:rsidR="002B1A1F" w:rsidRPr="000401C1" w:rsidRDefault="00B01978" w:rsidP="002B1A1F">
      <w:pPr>
        <w:spacing w:after="0"/>
        <w:jc w:val="both"/>
        <w:rPr>
          <w:sz w:val="24"/>
        </w:rPr>
      </w:pPr>
      <w:r w:rsidRPr="000401C1">
        <w:rPr>
          <w:sz w:val="24"/>
        </w:rPr>
        <w:t>ABILITY Programme</w:t>
      </w:r>
      <w:r w:rsidR="00AE1712" w:rsidRPr="000401C1">
        <w:rPr>
          <w:color w:val="464646"/>
          <w:sz w:val="24"/>
          <w:shd w:val="clear" w:color="auto" w:fill="FEFEFE"/>
        </w:rPr>
        <w:t xml:space="preserve"> funds</w:t>
      </w:r>
      <w:r w:rsidR="000401C1" w:rsidRPr="000401C1">
        <w:rPr>
          <w:color w:val="464646"/>
          <w:sz w:val="24"/>
          <w:shd w:val="clear" w:color="auto" w:fill="FEFEFE"/>
        </w:rPr>
        <w:t xml:space="preserve"> local projects that</w:t>
      </w:r>
      <w:r w:rsidR="00AE1712" w:rsidRPr="000401C1">
        <w:rPr>
          <w:color w:val="464646"/>
          <w:sz w:val="24"/>
          <w:shd w:val="clear" w:color="auto" w:fill="FEFEFE"/>
        </w:rPr>
        <w:t xml:space="preserve"> </w:t>
      </w:r>
      <w:r w:rsidR="00F816A3">
        <w:rPr>
          <w:color w:val="464646"/>
          <w:sz w:val="24"/>
          <w:shd w:val="clear" w:color="auto" w:fill="FEFEFE"/>
        </w:rPr>
        <w:t>for</w:t>
      </w:r>
      <w:r w:rsidR="00AE1712" w:rsidRPr="000401C1">
        <w:rPr>
          <w:color w:val="464646"/>
          <w:sz w:val="24"/>
          <w:shd w:val="clear" w:color="auto" w:fill="FEFEFE"/>
        </w:rPr>
        <w:t xml:space="preserve"> young people with disabilities between the ages of 15 and 29 closer to the labour market.</w:t>
      </w:r>
      <w:r w:rsidR="00AE1712" w:rsidRPr="000401C1">
        <w:rPr>
          <w:sz w:val="24"/>
        </w:rPr>
        <w:t xml:space="preserve"> </w:t>
      </w:r>
    </w:p>
    <w:p w14:paraId="1B93E0D4" w14:textId="25FA51D3" w:rsidR="002B1A1F" w:rsidRPr="000401C1" w:rsidRDefault="00BD0C50" w:rsidP="002B1A1F">
      <w:pPr>
        <w:spacing w:after="0"/>
        <w:jc w:val="both"/>
        <w:rPr>
          <w:sz w:val="24"/>
        </w:rPr>
      </w:pPr>
      <w:r>
        <w:rPr>
          <w:sz w:val="24"/>
        </w:rPr>
        <w:t>AsIam national autism charity</w:t>
      </w:r>
    </w:p>
    <w:p w14:paraId="49650B3F" w14:textId="6F9188E0" w:rsidR="002B1A1F" w:rsidRPr="00CC5FDD" w:rsidRDefault="00B01978" w:rsidP="002B1A1F">
      <w:pPr>
        <w:spacing w:after="0"/>
        <w:jc w:val="both"/>
        <w:rPr>
          <w:rFonts w:eastAsiaTheme="minorHAnsi" w:cs="Calibri"/>
          <w:sz w:val="24"/>
        </w:rPr>
      </w:pPr>
      <w:r w:rsidRPr="00CC5FDD">
        <w:rPr>
          <w:rFonts w:eastAsiaTheme="minorHAnsi" w:cs="Calibri"/>
          <w:sz w:val="24"/>
        </w:rPr>
        <w:t xml:space="preserve">CES </w:t>
      </w:r>
      <w:r w:rsidR="002B1A1F" w:rsidRPr="00CC5FDD">
        <w:rPr>
          <w:rFonts w:eastAsiaTheme="minorHAnsi" w:cs="Calibri"/>
          <w:sz w:val="24"/>
        </w:rPr>
        <w:t xml:space="preserve">Comprehensive Employment Strategy for People </w:t>
      </w:r>
      <w:r w:rsidR="00AE1712" w:rsidRPr="00CC5FDD">
        <w:rPr>
          <w:rFonts w:eastAsiaTheme="minorHAnsi" w:cs="Calibri"/>
          <w:sz w:val="24"/>
        </w:rPr>
        <w:t xml:space="preserve">with Disabilities 2015-2024 </w:t>
      </w:r>
    </w:p>
    <w:p w14:paraId="35A12F3B" w14:textId="35A379CA" w:rsidR="002B1A1F" w:rsidRPr="00CC5FDD" w:rsidRDefault="000401C1" w:rsidP="002B1A1F">
      <w:pPr>
        <w:spacing w:after="0"/>
        <w:jc w:val="both"/>
        <w:rPr>
          <w:sz w:val="24"/>
        </w:rPr>
      </w:pPr>
      <w:r w:rsidRPr="00CC5FDD">
        <w:rPr>
          <w:rFonts w:eastAsiaTheme="minorHAnsi" w:cs="Calibri"/>
          <w:sz w:val="24"/>
        </w:rPr>
        <w:t xml:space="preserve">CESIG CES Implementation Group </w:t>
      </w:r>
    </w:p>
    <w:p w14:paraId="53586A9D" w14:textId="03DD7A37" w:rsidR="00CC5FDD" w:rsidRPr="00CC5FDD" w:rsidRDefault="00CC5FDD" w:rsidP="002B1A1F">
      <w:pPr>
        <w:spacing w:after="0"/>
        <w:jc w:val="both"/>
        <w:rPr>
          <w:sz w:val="24"/>
        </w:rPr>
      </w:pPr>
      <w:r w:rsidRPr="00CC5FDD">
        <w:rPr>
          <w:sz w:val="24"/>
        </w:rPr>
        <w:t xml:space="preserve">COVID-19 </w:t>
      </w:r>
      <w:r w:rsidRPr="00CC5FDD">
        <w:rPr>
          <w:rFonts w:cs="Arial"/>
          <w:color w:val="202124"/>
          <w:sz w:val="24"/>
          <w:shd w:val="clear" w:color="auto" w:fill="FFFFFF"/>
        </w:rPr>
        <w:t>infectious disease caused by a newly discovered coronavirus.</w:t>
      </w:r>
    </w:p>
    <w:p w14:paraId="5531384C" w14:textId="62A161B3" w:rsidR="007D6B09" w:rsidRDefault="00BD0C50" w:rsidP="007D6B09">
      <w:pPr>
        <w:spacing w:after="0"/>
        <w:jc w:val="both"/>
        <w:rPr>
          <w:sz w:val="24"/>
        </w:rPr>
      </w:pPr>
      <w:r>
        <w:rPr>
          <w:sz w:val="24"/>
        </w:rPr>
        <w:t>CSO Ce</w:t>
      </w:r>
      <w:r w:rsidR="00C3305E">
        <w:rPr>
          <w:sz w:val="24"/>
        </w:rPr>
        <w:t>ntral</w:t>
      </w:r>
      <w:r>
        <w:rPr>
          <w:sz w:val="24"/>
        </w:rPr>
        <w:t xml:space="preserve"> Statistics Office</w:t>
      </w:r>
    </w:p>
    <w:p w14:paraId="594E1AD8" w14:textId="0BEB192B" w:rsidR="007D6B09" w:rsidRPr="000401C1" w:rsidRDefault="007D6B09" w:rsidP="007D6B09">
      <w:pPr>
        <w:spacing w:after="0"/>
        <w:jc w:val="both"/>
        <w:rPr>
          <w:sz w:val="24"/>
        </w:rPr>
      </w:pPr>
      <w:r w:rsidRPr="000401C1">
        <w:rPr>
          <w:sz w:val="24"/>
        </w:rPr>
        <w:t>DA Disability Allowance</w:t>
      </w:r>
    </w:p>
    <w:p w14:paraId="3A9709D0" w14:textId="7DC92BB8" w:rsidR="000401C1" w:rsidRPr="00F816A3" w:rsidRDefault="00C3305E" w:rsidP="002B1A1F">
      <w:pPr>
        <w:spacing w:after="0"/>
        <w:jc w:val="both"/>
        <w:rPr>
          <w:sz w:val="24"/>
        </w:rPr>
      </w:pPr>
      <w:r>
        <w:rPr>
          <w:sz w:val="24"/>
        </w:rPr>
        <w:t xml:space="preserve">DCC </w:t>
      </w:r>
      <w:r w:rsidRPr="00F816A3">
        <w:rPr>
          <w:sz w:val="24"/>
        </w:rPr>
        <w:t>Disability Consultative Committees in relevant government departments</w:t>
      </w:r>
    </w:p>
    <w:p w14:paraId="2F4F1E91" w14:textId="1B70D24D" w:rsidR="002B1A1F" w:rsidRPr="00F816A3" w:rsidRDefault="00B01978" w:rsidP="002B1A1F">
      <w:pPr>
        <w:spacing w:after="0"/>
        <w:jc w:val="both"/>
        <w:rPr>
          <w:sz w:val="24"/>
        </w:rPr>
      </w:pPr>
      <w:r w:rsidRPr="00F816A3">
        <w:rPr>
          <w:rFonts w:eastAsiaTheme="minorHAnsi" w:cs="Calibri"/>
          <w:sz w:val="24"/>
        </w:rPr>
        <w:t xml:space="preserve">DCEDIY </w:t>
      </w:r>
      <w:r w:rsidR="002B1A1F" w:rsidRPr="00F816A3">
        <w:rPr>
          <w:rFonts w:eastAsiaTheme="minorHAnsi" w:cs="Calibri"/>
          <w:sz w:val="24"/>
        </w:rPr>
        <w:t xml:space="preserve">Department of Children, Equality, Disability, Integration and Youth </w:t>
      </w:r>
    </w:p>
    <w:p w14:paraId="22C68CCA" w14:textId="0A5470AD" w:rsidR="000401C1" w:rsidRPr="000401C1" w:rsidRDefault="000401C1" w:rsidP="002B1A1F">
      <w:pPr>
        <w:spacing w:after="0"/>
        <w:jc w:val="both"/>
        <w:rPr>
          <w:sz w:val="24"/>
        </w:rPr>
      </w:pPr>
      <w:r w:rsidRPr="000401C1">
        <w:rPr>
          <w:sz w:val="24"/>
        </w:rPr>
        <w:t>DETE Department of Enterprise Trade and Employment</w:t>
      </w:r>
    </w:p>
    <w:p w14:paraId="1DE73F76" w14:textId="3B382472" w:rsidR="00AE1712" w:rsidRPr="000401C1" w:rsidRDefault="000401C1" w:rsidP="002B1A1F">
      <w:pPr>
        <w:spacing w:after="0"/>
        <w:jc w:val="both"/>
        <w:rPr>
          <w:sz w:val="24"/>
        </w:rPr>
      </w:pPr>
      <w:r w:rsidRPr="000401C1">
        <w:rPr>
          <w:sz w:val="24"/>
        </w:rPr>
        <w:t>DoE Department of Education</w:t>
      </w:r>
    </w:p>
    <w:p w14:paraId="1DB1FA32" w14:textId="4F5D5543" w:rsidR="000401C1" w:rsidRPr="000401C1" w:rsidRDefault="000401C1" w:rsidP="002B1A1F">
      <w:pPr>
        <w:spacing w:after="0"/>
        <w:jc w:val="both"/>
        <w:rPr>
          <w:sz w:val="24"/>
        </w:rPr>
      </w:pPr>
      <w:r w:rsidRPr="000401C1">
        <w:rPr>
          <w:sz w:val="24"/>
        </w:rPr>
        <w:t>DoH Department of Health</w:t>
      </w:r>
    </w:p>
    <w:p w14:paraId="1511875C" w14:textId="1B016683" w:rsidR="000401C1" w:rsidRPr="000401C1" w:rsidRDefault="007D6B09" w:rsidP="002B1A1F">
      <w:pPr>
        <w:spacing w:after="0"/>
        <w:jc w:val="both"/>
        <w:rPr>
          <w:sz w:val="24"/>
        </w:rPr>
      </w:pPr>
      <w:r>
        <w:rPr>
          <w:sz w:val="24"/>
        </w:rPr>
        <w:t>DSP Department of Social Protection</w:t>
      </w:r>
    </w:p>
    <w:p w14:paraId="3A97285F" w14:textId="21D21BCA" w:rsidR="00B01978" w:rsidRPr="000401C1" w:rsidRDefault="007D6B09" w:rsidP="002B1A1F">
      <w:pPr>
        <w:spacing w:after="0"/>
        <w:jc w:val="both"/>
        <w:rPr>
          <w:sz w:val="24"/>
        </w:rPr>
      </w:pPr>
      <w:r>
        <w:rPr>
          <w:sz w:val="24"/>
        </w:rPr>
        <w:t>EmployAbility programme of supported employment</w:t>
      </w:r>
      <w:r w:rsidR="00F816A3">
        <w:rPr>
          <w:sz w:val="24"/>
        </w:rPr>
        <w:t xml:space="preserve"> </w:t>
      </w:r>
    </w:p>
    <w:p w14:paraId="43EDF586" w14:textId="2AEA64BB" w:rsidR="00F816A3" w:rsidRDefault="00F816A3" w:rsidP="002B1A1F">
      <w:pPr>
        <w:spacing w:after="0"/>
        <w:jc w:val="both"/>
        <w:rPr>
          <w:sz w:val="24"/>
        </w:rPr>
      </w:pPr>
      <w:r>
        <w:rPr>
          <w:sz w:val="24"/>
        </w:rPr>
        <w:t xml:space="preserve">Enterprise Ireland government agency that supports Irish business trade </w:t>
      </w:r>
      <w:r w:rsidR="0088530C">
        <w:rPr>
          <w:sz w:val="24"/>
        </w:rPr>
        <w:t>internationally</w:t>
      </w:r>
    </w:p>
    <w:p w14:paraId="165208D5" w14:textId="7EE8CC2E" w:rsidR="00B01978" w:rsidRPr="000401C1" w:rsidRDefault="00B01978" w:rsidP="002B1A1F">
      <w:pPr>
        <w:spacing w:after="0"/>
        <w:jc w:val="both"/>
        <w:rPr>
          <w:sz w:val="24"/>
        </w:rPr>
      </w:pPr>
      <w:r w:rsidRPr="000401C1">
        <w:rPr>
          <w:sz w:val="24"/>
        </w:rPr>
        <w:t>FET Further Education &amp; Training</w:t>
      </w:r>
    </w:p>
    <w:p w14:paraId="6E4A9D0A" w14:textId="5BBA3A87" w:rsidR="00B01978" w:rsidRPr="000401C1" w:rsidRDefault="00B01978" w:rsidP="002B1A1F">
      <w:pPr>
        <w:spacing w:after="0"/>
        <w:jc w:val="both"/>
        <w:rPr>
          <w:sz w:val="24"/>
        </w:rPr>
      </w:pPr>
      <w:r w:rsidRPr="000401C1">
        <w:rPr>
          <w:sz w:val="24"/>
        </w:rPr>
        <w:t>HE Higher Education</w:t>
      </w:r>
    </w:p>
    <w:p w14:paraId="1C721D0F" w14:textId="2D3FC165" w:rsidR="007D6B09" w:rsidRPr="000401C1" w:rsidRDefault="007D6B09" w:rsidP="007D6B09">
      <w:pPr>
        <w:spacing w:after="0"/>
        <w:jc w:val="both"/>
        <w:rPr>
          <w:sz w:val="24"/>
        </w:rPr>
      </w:pPr>
      <w:r w:rsidRPr="000401C1">
        <w:rPr>
          <w:sz w:val="24"/>
        </w:rPr>
        <w:t>HE</w:t>
      </w:r>
      <w:r>
        <w:rPr>
          <w:sz w:val="24"/>
        </w:rPr>
        <w:t>A</w:t>
      </w:r>
      <w:r w:rsidRPr="000401C1">
        <w:rPr>
          <w:sz w:val="24"/>
        </w:rPr>
        <w:t xml:space="preserve"> Higher Education</w:t>
      </w:r>
      <w:r>
        <w:rPr>
          <w:sz w:val="24"/>
        </w:rPr>
        <w:t xml:space="preserve"> Authority</w:t>
      </w:r>
    </w:p>
    <w:p w14:paraId="5F9BEAF5" w14:textId="7DBB13C0" w:rsidR="007D6B09" w:rsidRDefault="007D6B09" w:rsidP="002B1A1F">
      <w:pPr>
        <w:spacing w:after="0"/>
        <w:jc w:val="both"/>
        <w:rPr>
          <w:sz w:val="24"/>
        </w:rPr>
      </w:pPr>
      <w:r>
        <w:rPr>
          <w:sz w:val="24"/>
        </w:rPr>
        <w:t>HSE Health Service Executive</w:t>
      </w:r>
    </w:p>
    <w:p w14:paraId="0CF1A683" w14:textId="51108892" w:rsidR="0088530C" w:rsidRDefault="0088530C" w:rsidP="002B1A1F">
      <w:pPr>
        <w:spacing w:after="0"/>
        <w:jc w:val="both"/>
        <w:rPr>
          <w:sz w:val="24"/>
        </w:rPr>
      </w:pPr>
      <w:r>
        <w:rPr>
          <w:sz w:val="24"/>
        </w:rPr>
        <w:t>IDA Irish Development Agency supports foreign direct investment in Ireland</w:t>
      </w:r>
    </w:p>
    <w:p w14:paraId="40A27734" w14:textId="5CD0171C" w:rsidR="007D6B09" w:rsidRDefault="007D6B09" w:rsidP="002B1A1F">
      <w:pPr>
        <w:spacing w:after="0"/>
        <w:jc w:val="both"/>
        <w:rPr>
          <w:rFonts w:eastAsiaTheme="minorHAnsi" w:cs="Calibri"/>
          <w:sz w:val="24"/>
        </w:rPr>
      </w:pPr>
      <w:r>
        <w:rPr>
          <w:rFonts w:eastAsiaTheme="minorHAnsi" w:cs="Calibri"/>
          <w:sz w:val="24"/>
        </w:rPr>
        <w:t>IPS Individual Placement and Support model of supported employment for people with mental health concerns</w:t>
      </w:r>
    </w:p>
    <w:p w14:paraId="48CF9BBF" w14:textId="0B791EE2" w:rsidR="002B1A1F" w:rsidRPr="000401C1" w:rsidRDefault="00B01978" w:rsidP="002B1A1F">
      <w:pPr>
        <w:spacing w:after="0"/>
        <w:jc w:val="both"/>
        <w:rPr>
          <w:sz w:val="24"/>
        </w:rPr>
      </w:pPr>
      <w:r w:rsidRPr="000401C1">
        <w:rPr>
          <w:rFonts w:eastAsiaTheme="minorHAnsi" w:cs="Calibri"/>
          <w:sz w:val="24"/>
        </w:rPr>
        <w:t xml:space="preserve">NDA </w:t>
      </w:r>
      <w:r w:rsidR="002B1A1F" w:rsidRPr="000401C1">
        <w:rPr>
          <w:rFonts w:eastAsiaTheme="minorHAnsi" w:cs="Calibri"/>
          <w:sz w:val="24"/>
        </w:rPr>
        <w:t>N</w:t>
      </w:r>
      <w:r w:rsidR="000401C1" w:rsidRPr="000401C1">
        <w:rPr>
          <w:rFonts w:eastAsiaTheme="minorHAnsi" w:cs="Calibri"/>
          <w:sz w:val="24"/>
        </w:rPr>
        <w:t>ational Disability Authority</w:t>
      </w:r>
      <w:r w:rsidRPr="000401C1">
        <w:rPr>
          <w:rFonts w:eastAsiaTheme="minorHAnsi" w:cs="Calibri"/>
          <w:sz w:val="24"/>
        </w:rPr>
        <w:t xml:space="preserve"> </w:t>
      </w:r>
    </w:p>
    <w:p w14:paraId="41C258E8" w14:textId="0732CB0C" w:rsidR="000401C1" w:rsidRPr="000401C1" w:rsidRDefault="000401C1" w:rsidP="002B1A1F">
      <w:pPr>
        <w:spacing w:after="0"/>
        <w:jc w:val="both"/>
        <w:rPr>
          <w:sz w:val="24"/>
        </w:rPr>
      </w:pPr>
      <w:r w:rsidRPr="000401C1">
        <w:rPr>
          <w:sz w:val="24"/>
        </w:rPr>
        <w:t>NTA National Transport Authority</w:t>
      </w:r>
    </w:p>
    <w:p w14:paraId="35E84DC2" w14:textId="575E350A" w:rsidR="007D6B09" w:rsidRDefault="00BD0C50" w:rsidP="007D6B09">
      <w:pPr>
        <w:spacing w:after="0"/>
        <w:jc w:val="both"/>
        <w:rPr>
          <w:sz w:val="24"/>
        </w:rPr>
      </w:pPr>
      <w:r>
        <w:rPr>
          <w:sz w:val="24"/>
        </w:rPr>
        <w:t>Not So Different disability organisation for neuro diverse people</w:t>
      </w:r>
    </w:p>
    <w:p w14:paraId="4F0C8D7B" w14:textId="58376435" w:rsidR="00BD0C50" w:rsidRDefault="00BD0C50" w:rsidP="007D6B09">
      <w:pPr>
        <w:spacing w:after="0"/>
        <w:jc w:val="both"/>
        <w:rPr>
          <w:sz w:val="24"/>
        </w:rPr>
      </w:pPr>
      <w:r>
        <w:rPr>
          <w:sz w:val="24"/>
        </w:rPr>
        <w:t xml:space="preserve">ODI Open Doors Initiative </w:t>
      </w:r>
      <w:r w:rsidR="00BA0C1B">
        <w:rPr>
          <w:sz w:val="24"/>
        </w:rPr>
        <w:t>supporting greater workplace inclusion</w:t>
      </w:r>
    </w:p>
    <w:p w14:paraId="0A8DA169" w14:textId="779FF87B" w:rsidR="007D6B09" w:rsidRPr="000401C1" w:rsidRDefault="007D6B09" w:rsidP="007D6B09">
      <w:pPr>
        <w:spacing w:after="0"/>
        <w:jc w:val="both"/>
        <w:rPr>
          <w:sz w:val="24"/>
        </w:rPr>
      </w:pPr>
      <w:r w:rsidRPr="000401C1">
        <w:rPr>
          <w:sz w:val="24"/>
        </w:rPr>
        <w:t>OECD Organisation for Economic Cooperation and Development</w:t>
      </w:r>
    </w:p>
    <w:p w14:paraId="32565BD1" w14:textId="584F5E43" w:rsidR="007D6B09" w:rsidRPr="0088530C" w:rsidRDefault="0088530C" w:rsidP="007D6B09">
      <w:pPr>
        <w:spacing w:after="0"/>
        <w:jc w:val="both"/>
        <w:rPr>
          <w:sz w:val="24"/>
          <w:lang w:val="en"/>
        </w:rPr>
      </w:pPr>
      <w:r w:rsidRPr="0088530C">
        <w:rPr>
          <w:sz w:val="24"/>
          <w:lang w:val="en"/>
        </w:rPr>
        <w:t xml:space="preserve">OWL  </w:t>
      </w:r>
      <w:r w:rsidRPr="0088530C">
        <w:rPr>
          <w:rFonts w:cstheme="minorHAnsi"/>
          <w:sz w:val="24"/>
        </w:rPr>
        <w:t>Oireachtas Work Learning programme for persons with intellectual disabilities</w:t>
      </w:r>
    </w:p>
    <w:p w14:paraId="7675DCA9" w14:textId="788F73B2" w:rsidR="007D6B09" w:rsidRPr="000401C1" w:rsidRDefault="007D6B09" w:rsidP="007D6B09">
      <w:pPr>
        <w:spacing w:after="0"/>
        <w:jc w:val="both"/>
        <w:rPr>
          <w:sz w:val="24"/>
        </w:rPr>
      </w:pPr>
      <w:r w:rsidRPr="000401C1">
        <w:rPr>
          <w:sz w:val="24"/>
          <w:lang w:val="en"/>
        </w:rPr>
        <w:t>PUP COVID-19 Pandemic Unemployment Payment</w:t>
      </w:r>
    </w:p>
    <w:p w14:paraId="7284AFD9" w14:textId="5897CE2F" w:rsidR="007D6B09" w:rsidRDefault="00BD0C50" w:rsidP="002B1A1F">
      <w:pPr>
        <w:spacing w:after="0"/>
        <w:jc w:val="both"/>
        <w:rPr>
          <w:sz w:val="24"/>
        </w:rPr>
      </w:pPr>
      <w:r>
        <w:rPr>
          <w:sz w:val="24"/>
        </w:rPr>
        <w:t>Rehab organisation delivering training to persons with disabilities</w:t>
      </w:r>
    </w:p>
    <w:p w14:paraId="1A4877EC" w14:textId="54E8CC5C" w:rsidR="002B1A1F" w:rsidRPr="000401C1" w:rsidRDefault="00B01978" w:rsidP="002B1A1F">
      <w:pPr>
        <w:spacing w:after="0"/>
        <w:jc w:val="both"/>
        <w:rPr>
          <w:sz w:val="24"/>
        </w:rPr>
      </w:pPr>
      <w:r w:rsidRPr="000401C1">
        <w:rPr>
          <w:sz w:val="24"/>
        </w:rPr>
        <w:t>SOLAS Seirbhisi Oideach</w:t>
      </w:r>
      <w:r w:rsidR="00BD0C50">
        <w:rPr>
          <w:sz w:val="24"/>
        </w:rPr>
        <w:t>ais Leanunaigh Agus Scileanna (</w:t>
      </w:r>
      <w:r w:rsidRPr="000401C1">
        <w:rPr>
          <w:sz w:val="24"/>
        </w:rPr>
        <w:t>Further Education Skills Services)</w:t>
      </w:r>
    </w:p>
    <w:p w14:paraId="71BE3839" w14:textId="75481700" w:rsidR="00BD0C50" w:rsidRPr="00CC5FDD" w:rsidRDefault="0088530C" w:rsidP="002B1A1F">
      <w:pPr>
        <w:spacing w:after="0"/>
        <w:jc w:val="both"/>
        <w:rPr>
          <w:sz w:val="24"/>
        </w:rPr>
      </w:pPr>
      <w:r w:rsidRPr="00CC5FDD">
        <w:rPr>
          <w:bCs/>
          <w:color w:val="000000"/>
          <w:sz w:val="24"/>
        </w:rPr>
        <w:t>Specialisterne Ireland autism supported employment programme</w:t>
      </w:r>
    </w:p>
    <w:p w14:paraId="0A990955" w14:textId="026EDA6D" w:rsidR="00B01978" w:rsidRPr="00CC5FDD" w:rsidRDefault="00B01978" w:rsidP="002B1A1F">
      <w:pPr>
        <w:spacing w:after="0"/>
        <w:jc w:val="both"/>
        <w:rPr>
          <w:sz w:val="24"/>
        </w:rPr>
      </w:pPr>
      <w:r w:rsidRPr="00CC5FDD">
        <w:rPr>
          <w:sz w:val="24"/>
        </w:rPr>
        <w:t>UNCRPD</w:t>
      </w:r>
      <w:r w:rsidR="00AE1712" w:rsidRPr="00CC5FDD">
        <w:rPr>
          <w:sz w:val="24"/>
        </w:rPr>
        <w:t xml:space="preserve"> United Nations Convention on the Rights of Persons with Disabilities</w:t>
      </w:r>
    </w:p>
    <w:p w14:paraId="7A22265E" w14:textId="6FC4C69C" w:rsidR="007D6B09" w:rsidRPr="00CC5FDD" w:rsidRDefault="00CC5FDD" w:rsidP="002B1A1F">
      <w:pPr>
        <w:spacing w:after="0"/>
        <w:jc w:val="both"/>
        <w:rPr>
          <w:sz w:val="24"/>
        </w:rPr>
      </w:pPr>
      <w:r w:rsidRPr="00CC5FDD">
        <w:rPr>
          <w:sz w:val="24"/>
        </w:rPr>
        <w:t>WAV Wheelchair Accessible Vehicle Grant Scheme</w:t>
      </w:r>
    </w:p>
    <w:p w14:paraId="37D5A70A" w14:textId="12EECFB7" w:rsidR="00544208" w:rsidRDefault="00B01978" w:rsidP="002B1A1F">
      <w:pPr>
        <w:spacing w:after="0"/>
        <w:jc w:val="both"/>
        <w:rPr>
          <w:sz w:val="24"/>
        </w:rPr>
      </w:pPr>
      <w:r w:rsidRPr="00CC5FDD">
        <w:rPr>
          <w:sz w:val="24"/>
        </w:rPr>
        <w:t>VR</w:t>
      </w:r>
      <w:r w:rsidR="00AE1712" w:rsidRPr="00CC5FDD">
        <w:rPr>
          <w:sz w:val="24"/>
        </w:rPr>
        <w:t xml:space="preserve"> Vocational Rehabilitation</w:t>
      </w:r>
    </w:p>
    <w:p w14:paraId="6EA356C6" w14:textId="77777777" w:rsidR="00544208" w:rsidRDefault="00544208">
      <w:pPr>
        <w:spacing w:after="0"/>
        <w:rPr>
          <w:sz w:val="24"/>
        </w:rPr>
      </w:pPr>
      <w:r>
        <w:rPr>
          <w:sz w:val="24"/>
        </w:rPr>
        <w:br w:type="page"/>
      </w:r>
    </w:p>
    <w:p w14:paraId="1E8259C8" w14:textId="79150F8D" w:rsidR="00CA1EF1" w:rsidRPr="00CA1EF1" w:rsidRDefault="00B41E3B" w:rsidP="00CA1EF1">
      <w:pPr>
        <w:keepNext/>
        <w:keepLines/>
        <w:pBdr>
          <w:top w:val="single" w:sz="4" w:space="1" w:color="auto"/>
          <w:left w:val="single" w:sz="4" w:space="4" w:color="auto"/>
          <w:bottom w:val="single" w:sz="4" w:space="1" w:color="auto"/>
          <w:right w:val="single" w:sz="4" w:space="4" w:color="auto"/>
        </w:pBdr>
        <w:spacing w:before="240"/>
        <w:outlineLvl w:val="0"/>
        <w:rPr>
          <w:rFonts w:eastAsiaTheme="majorEastAsia" w:cstheme="majorBidi"/>
          <w:sz w:val="32"/>
          <w:szCs w:val="32"/>
        </w:rPr>
      </w:pPr>
      <w:bookmarkStart w:id="4" w:name="_Toc66782870"/>
      <w:r>
        <w:rPr>
          <w:rFonts w:eastAsiaTheme="majorEastAsia" w:cstheme="majorBidi"/>
          <w:b/>
          <w:sz w:val="32"/>
          <w:szCs w:val="32"/>
          <w:lang w:val="en-US"/>
        </w:rPr>
        <w:lastRenderedPageBreak/>
        <w:t>I</w:t>
      </w:r>
      <w:r w:rsidR="00CA1EF1" w:rsidRPr="00CA1EF1">
        <w:rPr>
          <w:rFonts w:eastAsiaTheme="majorEastAsia" w:cstheme="majorBidi"/>
          <w:b/>
          <w:sz w:val="32"/>
          <w:szCs w:val="32"/>
          <w:lang w:val="en-US"/>
        </w:rPr>
        <w:t>ntroduction</w:t>
      </w:r>
      <w:bookmarkEnd w:id="4"/>
    </w:p>
    <w:p w14:paraId="226BBAA2" w14:textId="151E64C3" w:rsidR="00D34B33" w:rsidRDefault="003E620D" w:rsidP="00D34B33">
      <w:pPr>
        <w:rPr>
          <w:rFonts w:eastAsiaTheme="minorHAnsi" w:cs="Calibri"/>
          <w:szCs w:val="22"/>
        </w:rPr>
      </w:pPr>
      <w:r w:rsidRPr="003E620D">
        <w:rPr>
          <w:rFonts w:eastAsiaTheme="minorHAnsi" w:cs="Calibri"/>
          <w:szCs w:val="22"/>
        </w:rPr>
        <w:t xml:space="preserve">The Comprehensive Employment Strategy for People with Disabilities 2015-2024 (CES) </w:t>
      </w:r>
      <w:r>
        <w:rPr>
          <w:rFonts w:eastAsiaTheme="minorHAnsi" w:cs="Calibri"/>
          <w:szCs w:val="22"/>
        </w:rPr>
        <w:t xml:space="preserve">is </w:t>
      </w:r>
      <w:r w:rsidR="00F42426">
        <w:rPr>
          <w:rFonts w:eastAsiaTheme="minorHAnsi" w:cs="Calibri"/>
          <w:szCs w:val="22"/>
        </w:rPr>
        <w:t xml:space="preserve">at the end of the second year of </w:t>
      </w:r>
      <w:r>
        <w:rPr>
          <w:rFonts w:eastAsiaTheme="minorHAnsi" w:cs="Calibri"/>
          <w:szCs w:val="22"/>
        </w:rPr>
        <w:t>its second</w:t>
      </w:r>
      <w:r w:rsidR="00950808">
        <w:rPr>
          <w:rFonts w:eastAsiaTheme="minorHAnsi" w:cs="Calibri"/>
          <w:szCs w:val="22"/>
        </w:rPr>
        <w:t xml:space="preserve"> </w:t>
      </w:r>
      <w:r w:rsidR="00F42426">
        <w:rPr>
          <w:rFonts w:eastAsiaTheme="minorHAnsi" w:cs="Calibri"/>
          <w:szCs w:val="22"/>
        </w:rPr>
        <w:t xml:space="preserve">three year </w:t>
      </w:r>
      <w:r w:rsidR="00950808">
        <w:rPr>
          <w:rFonts w:eastAsiaTheme="minorHAnsi" w:cs="Calibri"/>
          <w:szCs w:val="22"/>
        </w:rPr>
        <w:t>action plan</w:t>
      </w:r>
      <w:r w:rsidRPr="003E620D">
        <w:rPr>
          <w:rFonts w:eastAsiaTheme="minorHAnsi" w:cs="Calibri"/>
          <w:szCs w:val="22"/>
        </w:rPr>
        <w:t>. This paper sets out the National Disability Authority’s (NDA) i</w:t>
      </w:r>
      <w:r w:rsidR="00490E45">
        <w:rPr>
          <w:rFonts w:eastAsiaTheme="minorHAnsi" w:cs="Calibri"/>
          <w:szCs w:val="22"/>
        </w:rPr>
        <w:t xml:space="preserve">ndependent assessment of CES </w:t>
      </w:r>
      <w:r w:rsidR="00D34B33">
        <w:rPr>
          <w:rFonts w:eastAsiaTheme="minorHAnsi" w:cs="Calibri"/>
          <w:szCs w:val="22"/>
        </w:rPr>
        <w:t xml:space="preserve">activity </w:t>
      </w:r>
      <w:r w:rsidRPr="003E620D">
        <w:rPr>
          <w:rFonts w:eastAsiaTheme="minorHAnsi" w:cs="Calibri"/>
          <w:szCs w:val="22"/>
        </w:rPr>
        <w:t xml:space="preserve">during </w:t>
      </w:r>
      <w:r w:rsidR="00A5095F">
        <w:rPr>
          <w:rFonts w:eastAsiaTheme="minorHAnsi" w:cs="Calibri"/>
          <w:szCs w:val="22"/>
        </w:rPr>
        <w:t xml:space="preserve">2020 </w:t>
      </w:r>
      <w:r w:rsidR="00060EFE">
        <w:rPr>
          <w:rFonts w:eastAsiaTheme="minorHAnsi" w:cs="Calibri"/>
          <w:szCs w:val="22"/>
        </w:rPr>
        <w:t xml:space="preserve">and </w:t>
      </w:r>
      <w:r w:rsidR="00A5095F">
        <w:rPr>
          <w:rFonts w:eastAsiaTheme="minorHAnsi" w:cs="Calibri"/>
          <w:szCs w:val="22"/>
        </w:rPr>
        <w:t>is the fourth</w:t>
      </w:r>
      <w:r w:rsidR="00D34B33">
        <w:rPr>
          <w:rFonts w:eastAsiaTheme="minorHAnsi" w:cs="Calibri"/>
          <w:szCs w:val="22"/>
        </w:rPr>
        <w:t xml:space="preserve"> </w:t>
      </w:r>
      <w:r w:rsidR="00F42426">
        <w:rPr>
          <w:rFonts w:eastAsiaTheme="minorHAnsi" w:cs="Calibri"/>
          <w:szCs w:val="22"/>
        </w:rPr>
        <w:t>s</w:t>
      </w:r>
      <w:r w:rsidR="00D34B33">
        <w:rPr>
          <w:rFonts w:eastAsiaTheme="minorHAnsi" w:cs="Calibri"/>
          <w:szCs w:val="22"/>
        </w:rPr>
        <w:t xml:space="preserve">uch </w:t>
      </w:r>
      <w:r w:rsidR="00060EFE">
        <w:rPr>
          <w:rFonts w:eastAsiaTheme="minorHAnsi" w:cs="Calibri"/>
          <w:szCs w:val="22"/>
        </w:rPr>
        <w:t xml:space="preserve">annual </w:t>
      </w:r>
      <w:r w:rsidR="00D34B33">
        <w:rPr>
          <w:rFonts w:eastAsiaTheme="minorHAnsi" w:cs="Calibri"/>
          <w:szCs w:val="22"/>
        </w:rPr>
        <w:t xml:space="preserve">assessment paper </w:t>
      </w:r>
      <w:r w:rsidR="007618E1">
        <w:rPr>
          <w:rFonts w:eastAsiaTheme="minorHAnsi" w:cs="Calibri"/>
          <w:szCs w:val="22"/>
        </w:rPr>
        <w:t xml:space="preserve">produced </w:t>
      </w:r>
      <w:r w:rsidR="00D34B33">
        <w:rPr>
          <w:rFonts w:eastAsiaTheme="minorHAnsi" w:cs="Calibri"/>
          <w:szCs w:val="22"/>
        </w:rPr>
        <w:t xml:space="preserve">by the NDA. </w:t>
      </w:r>
    </w:p>
    <w:p w14:paraId="0D0C1E11" w14:textId="1AF5E862" w:rsidR="002552F3" w:rsidRDefault="00AC2A14" w:rsidP="00490E45">
      <w:pPr>
        <w:rPr>
          <w:rFonts w:eastAsiaTheme="minorHAnsi" w:cs="Calibri"/>
          <w:szCs w:val="22"/>
        </w:rPr>
      </w:pPr>
      <w:r>
        <w:rPr>
          <w:rFonts w:eastAsiaTheme="minorHAnsi" w:cs="Calibri"/>
          <w:szCs w:val="22"/>
        </w:rPr>
        <w:t>Following the formation of a new government in mid-2020 a new Department was created – the Department of Children, Equality, Disability, Integration and Youth</w:t>
      </w:r>
      <w:r w:rsidR="00060EFE">
        <w:rPr>
          <w:rFonts w:eastAsiaTheme="minorHAnsi" w:cs="Calibri"/>
          <w:szCs w:val="22"/>
        </w:rPr>
        <w:t xml:space="preserve"> (DCEYID)</w:t>
      </w:r>
      <w:r>
        <w:rPr>
          <w:rFonts w:eastAsiaTheme="minorHAnsi" w:cs="Calibri"/>
          <w:szCs w:val="22"/>
        </w:rPr>
        <w:t xml:space="preserve">. Functions from the previous Department of Justice and Equality relating to disability were transferred to the new department. </w:t>
      </w:r>
      <w:r w:rsidR="00396D4F">
        <w:rPr>
          <w:rFonts w:eastAsiaTheme="minorHAnsi" w:cs="Calibri"/>
          <w:szCs w:val="22"/>
        </w:rPr>
        <w:t>DCEDIY is now responsible for the coordination of disability policy and organises meetings of the CES Implementation Group meetings (CESIG).</w:t>
      </w:r>
    </w:p>
    <w:p w14:paraId="61186599" w14:textId="656CBE11" w:rsidR="00490E45" w:rsidRDefault="00DD3B42" w:rsidP="00490E45">
      <w:pPr>
        <w:rPr>
          <w:rFonts w:eastAsiaTheme="minorHAnsi" w:cs="Calibri"/>
          <w:szCs w:val="22"/>
        </w:rPr>
      </w:pPr>
      <w:r>
        <w:rPr>
          <w:rFonts w:eastAsiaTheme="minorHAnsi" w:cs="Calibri"/>
          <w:szCs w:val="22"/>
        </w:rPr>
        <w:t>For</w:t>
      </w:r>
      <w:r w:rsidR="002552F3">
        <w:rPr>
          <w:rFonts w:eastAsiaTheme="minorHAnsi" w:cs="Calibri"/>
          <w:szCs w:val="22"/>
        </w:rPr>
        <w:t xml:space="preserve"> t</w:t>
      </w:r>
      <w:r w:rsidR="00490E45">
        <w:rPr>
          <w:rFonts w:eastAsiaTheme="minorHAnsi" w:cs="Calibri"/>
          <w:szCs w:val="22"/>
        </w:rPr>
        <w:t xml:space="preserve">his </w:t>
      </w:r>
      <w:r w:rsidR="002552F3">
        <w:rPr>
          <w:rFonts w:eastAsiaTheme="minorHAnsi" w:cs="Calibri"/>
          <w:szCs w:val="22"/>
        </w:rPr>
        <w:t xml:space="preserve">independent </w:t>
      </w:r>
      <w:r w:rsidR="000A2E2F">
        <w:rPr>
          <w:rFonts w:eastAsiaTheme="minorHAnsi" w:cs="Calibri"/>
          <w:szCs w:val="22"/>
        </w:rPr>
        <w:t>assessment</w:t>
      </w:r>
      <w:r w:rsidR="007E797D">
        <w:rPr>
          <w:rFonts w:eastAsiaTheme="minorHAnsi" w:cs="Calibri"/>
          <w:szCs w:val="22"/>
        </w:rPr>
        <w:t xml:space="preserve"> </w:t>
      </w:r>
      <w:r w:rsidR="002552F3">
        <w:rPr>
          <w:rFonts w:eastAsiaTheme="minorHAnsi" w:cs="Calibri"/>
          <w:szCs w:val="22"/>
        </w:rPr>
        <w:t xml:space="preserve">the NDA </w:t>
      </w:r>
      <w:r>
        <w:rPr>
          <w:rFonts w:eastAsiaTheme="minorHAnsi" w:cs="Calibri"/>
          <w:szCs w:val="22"/>
        </w:rPr>
        <w:t xml:space="preserve">has </w:t>
      </w:r>
      <w:r w:rsidR="00950808">
        <w:rPr>
          <w:rFonts w:eastAsiaTheme="minorHAnsi" w:cs="Calibri"/>
          <w:szCs w:val="22"/>
        </w:rPr>
        <w:t>consider</w:t>
      </w:r>
      <w:r>
        <w:rPr>
          <w:rFonts w:eastAsiaTheme="minorHAnsi" w:cs="Calibri"/>
          <w:szCs w:val="22"/>
        </w:rPr>
        <w:t>ed</w:t>
      </w:r>
      <w:r w:rsidR="00950808">
        <w:rPr>
          <w:rFonts w:eastAsiaTheme="minorHAnsi" w:cs="Calibri"/>
          <w:szCs w:val="22"/>
        </w:rPr>
        <w:t xml:space="preserve"> </w:t>
      </w:r>
      <w:r w:rsidR="003B69EB">
        <w:rPr>
          <w:rFonts w:eastAsiaTheme="minorHAnsi" w:cs="Calibri"/>
          <w:szCs w:val="22"/>
        </w:rPr>
        <w:t xml:space="preserve">a </w:t>
      </w:r>
      <w:r w:rsidR="00CC0D46">
        <w:rPr>
          <w:rFonts w:eastAsiaTheme="minorHAnsi" w:cs="Calibri"/>
          <w:szCs w:val="22"/>
        </w:rPr>
        <w:t xml:space="preserve">wide </w:t>
      </w:r>
      <w:r w:rsidR="00490E45">
        <w:rPr>
          <w:rFonts w:eastAsiaTheme="minorHAnsi" w:cs="Calibri"/>
          <w:szCs w:val="22"/>
        </w:rPr>
        <w:t xml:space="preserve">range of information from </w:t>
      </w:r>
      <w:r w:rsidR="00CC0D46">
        <w:rPr>
          <w:rFonts w:eastAsiaTheme="minorHAnsi" w:cs="Calibri"/>
          <w:szCs w:val="22"/>
        </w:rPr>
        <w:t xml:space="preserve">both disability specific and mainstream </w:t>
      </w:r>
      <w:r w:rsidR="00490E45">
        <w:rPr>
          <w:rFonts w:eastAsiaTheme="minorHAnsi" w:cs="Calibri"/>
          <w:szCs w:val="22"/>
        </w:rPr>
        <w:t>sources</w:t>
      </w:r>
      <w:r>
        <w:rPr>
          <w:rFonts w:eastAsiaTheme="minorHAnsi" w:cs="Calibri"/>
          <w:szCs w:val="22"/>
        </w:rPr>
        <w:t xml:space="preserve"> including</w:t>
      </w:r>
      <w:r w:rsidR="00060EFE">
        <w:rPr>
          <w:rFonts w:eastAsiaTheme="minorHAnsi" w:cs="Calibri"/>
          <w:szCs w:val="22"/>
        </w:rPr>
        <w:t>:</w:t>
      </w:r>
    </w:p>
    <w:p w14:paraId="5E801FE7" w14:textId="7B8FD817" w:rsidR="00DD3B42" w:rsidRPr="00DD3B42" w:rsidRDefault="00DD3B42" w:rsidP="00490E45">
      <w:pPr>
        <w:pStyle w:val="ListBullet"/>
        <w:rPr>
          <w:szCs w:val="26"/>
        </w:rPr>
      </w:pPr>
      <w:r>
        <w:t>A</w:t>
      </w:r>
      <w:r>
        <w:rPr>
          <w:szCs w:val="26"/>
        </w:rPr>
        <w:t xml:space="preserve">nnual departmental progress updates </w:t>
      </w:r>
      <w:r w:rsidRPr="003E620D">
        <w:rPr>
          <w:rFonts w:eastAsiaTheme="minorHAnsi" w:cs="Calibri"/>
          <w:szCs w:val="22"/>
        </w:rPr>
        <w:t xml:space="preserve">on actions committed </w:t>
      </w:r>
      <w:r>
        <w:rPr>
          <w:rFonts w:cs="Calibri"/>
          <w:szCs w:val="22"/>
        </w:rPr>
        <w:t xml:space="preserve">to </w:t>
      </w:r>
      <w:r w:rsidRPr="003E620D">
        <w:rPr>
          <w:rFonts w:eastAsiaTheme="minorHAnsi" w:cs="Calibri"/>
          <w:szCs w:val="22"/>
        </w:rPr>
        <w:t xml:space="preserve">by departments and </w:t>
      </w:r>
      <w:r>
        <w:rPr>
          <w:rFonts w:cs="Calibri"/>
          <w:szCs w:val="22"/>
        </w:rPr>
        <w:t xml:space="preserve">their </w:t>
      </w:r>
      <w:r w:rsidRPr="003E620D">
        <w:rPr>
          <w:rFonts w:eastAsiaTheme="minorHAnsi" w:cs="Calibri"/>
          <w:szCs w:val="22"/>
        </w:rPr>
        <w:t>relevant agencies</w:t>
      </w:r>
      <w:r>
        <w:t xml:space="preserve"> </w:t>
      </w:r>
      <w:r>
        <w:rPr>
          <w:szCs w:val="26"/>
        </w:rPr>
        <w:t>provided in December 2020</w:t>
      </w:r>
      <w:r w:rsidR="00396D4F">
        <w:t xml:space="preserve"> to the CESIG</w:t>
      </w:r>
      <w:r w:rsidR="00060EFE">
        <w:t>.</w:t>
      </w:r>
      <w:r>
        <w:t xml:space="preserve"> </w:t>
      </w:r>
      <w:r w:rsidR="00060EFE" w:rsidRPr="003B16FF">
        <w:rPr>
          <w:rFonts w:eastAsiaTheme="minorHAnsi" w:cs="Calibri"/>
          <w:szCs w:val="22"/>
        </w:rPr>
        <w:t>T</w:t>
      </w:r>
      <w:r w:rsidRPr="003B16FF">
        <w:rPr>
          <w:rFonts w:eastAsiaTheme="minorHAnsi" w:cs="Calibri"/>
          <w:szCs w:val="22"/>
        </w:rPr>
        <w:t xml:space="preserve">he NDA welcome the decision of the </w:t>
      </w:r>
      <w:r w:rsidR="00A5095F" w:rsidRPr="003B16FF">
        <w:rPr>
          <w:rFonts w:eastAsiaTheme="minorHAnsi" w:cs="Calibri"/>
          <w:szCs w:val="22"/>
        </w:rPr>
        <w:t>DCEDIY</w:t>
      </w:r>
      <w:r w:rsidRPr="003B16FF">
        <w:rPr>
          <w:rFonts w:eastAsiaTheme="minorHAnsi" w:cs="Calibri"/>
          <w:szCs w:val="22"/>
        </w:rPr>
        <w:t xml:space="preserve"> to publish these progress updates</w:t>
      </w:r>
    </w:p>
    <w:p w14:paraId="1B0C9757" w14:textId="0333A813" w:rsidR="00774642" w:rsidRPr="00490E45" w:rsidRDefault="00774642" w:rsidP="00490E45">
      <w:pPr>
        <w:pStyle w:val="ListBullet"/>
      </w:pPr>
      <w:r w:rsidRPr="00490E45">
        <w:t>Presentations</w:t>
      </w:r>
      <w:r w:rsidR="007E5292" w:rsidRPr="00490E45">
        <w:t xml:space="preserve"> from</w:t>
      </w:r>
      <w:r w:rsidRPr="00490E45">
        <w:t xml:space="preserve"> relevant government departments and agencies </w:t>
      </w:r>
      <w:r w:rsidR="00D940F6" w:rsidRPr="00490E45">
        <w:t>on sp</w:t>
      </w:r>
      <w:r w:rsidR="00A5095F">
        <w:t>ecific themes to members of CESIG</w:t>
      </w:r>
    </w:p>
    <w:p w14:paraId="4D169A54" w14:textId="77777777" w:rsidR="00774642" w:rsidRPr="00246660" w:rsidRDefault="00774642" w:rsidP="00774642">
      <w:pPr>
        <w:pStyle w:val="ListBullet"/>
      </w:pPr>
      <w:r w:rsidRPr="00246660">
        <w:t xml:space="preserve">NDA awareness of relevant issues and priorities through its ongoing membership and input to departmental Disability Consultative Committees (DCC) </w:t>
      </w:r>
    </w:p>
    <w:p w14:paraId="7A83D961" w14:textId="77777777" w:rsidR="00182AD6" w:rsidRPr="003B16FF" w:rsidRDefault="00774642" w:rsidP="00774642">
      <w:pPr>
        <w:pStyle w:val="ListBullet"/>
      </w:pPr>
      <w:r w:rsidRPr="003B16FF">
        <w:t>NDA analysis of data on the experience of persons with disabilities, specifically our research and policy work on retaining people with a disability in the workforce</w:t>
      </w:r>
      <w:r w:rsidRPr="003B16FF">
        <w:footnoteReference w:id="1"/>
      </w:r>
      <w:r w:rsidRPr="003B16FF">
        <w:t xml:space="preserve">  </w:t>
      </w:r>
    </w:p>
    <w:p w14:paraId="772B6B6B" w14:textId="67AE6019" w:rsidR="00774642" w:rsidRPr="00692B4F" w:rsidRDefault="005416E1" w:rsidP="00774642">
      <w:pPr>
        <w:pStyle w:val="ListBullet"/>
      </w:pPr>
      <w:r w:rsidRPr="00692B4F">
        <w:t>The</w:t>
      </w:r>
      <w:r w:rsidR="00774642" w:rsidRPr="00692B4F">
        <w:t xml:space="preserve"> </w:t>
      </w:r>
      <w:r w:rsidR="00D940F6" w:rsidRPr="00692B4F">
        <w:t>NDA</w:t>
      </w:r>
      <w:r w:rsidR="001B1C53">
        <w:t xml:space="preserve"> report on Indicators for monitoring progress under the Comprehensive Employment Strategy for persons with disabilities which was developed during 2020.</w:t>
      </w:r>
      <w:r w:rsidR="003F3874" w:rsidRPr="00692B4F">
        <w:rPr>
          <w:rStyle w:val="FootnoteReference"/>
        </w:rPr>
        <w:footnoteReference w:id="2"/>
      </w:r>
      <w:r w:rsidR="00692B4F" w:rsidRPr="00692B4F">
        <w:t xml:space="preserve"> </w:t>
      </w:r>
    </w:p>
    <w:p w14:paraId="74CB05BF" w14:textId="33F8C23D" w:rsidR="000A2E2F" w:rsidRDefault="00774642" w:rsidP="00034F30">
      <w:pPr>
        <w:pStyle w:val="ListBullet"/>
      </w:pPr>
      <w:r w:rsidRPr="00246660">
        <w:t xml:space="preserve">NDA advice and support </w:t>
      </w:r>
      <w:r>
        <w:t>to</w:t>
      </w:r>
      <w:r w:rsidRPr="00246660">
        <w:t xml:space="preserve"> departments and agencies on specific CES actions </w:t>
      </w:r>
      <w:r w:rsidR="001B1C53">
        <w:t xml:space="preserve">and </w:t>
      </w:r>
      <w:r w:rsidR="00A5095F">
        <w:t>on</w:t>
      </w:r>
      <w:r w:rsidRPr="00246660">
        <w:t xml:space="preserve"> their role in relation to</w:t>
      </w:r>
      <w:r>
        <w:t xml:space="preserve"> the United Nations Convention on the Rights of Persons with Disabilities</w:t>
      </w:r>
      <w:r w:rsidRPr="00246660">
        <w:t xml:space="preserve"> </w:t>
      </w:r>
      <w:r>
        <w:t>(</w:t>
      </w:r>
      <w:r w:rsidRPr="00246660">
        <w:t>UNCRPD</w:t>
      </w:r>
      <w:r>
        <w:t>)</w:t>
      </w:r>
      <w:r w:rsidRPr="00246660">
        <w:t xml:space="preserve"> commitments relevant to </w:t>
      </w:r>
      <w:r>
        <w:t>Article 24 (Education) and Article 27 (Work and Employment)</w:t>
      </w:r>
    </w:p>
    <w:p w14:paraId="3AB55F60" w14:textId="03FBBF5C" w:rsidR="00DD3B42" w:rsidRDefault="00DD3B42" w:rsidP="007E797D">
      <w:pPr>
        <w:pStyle w:val="ListBullet"/>
        <w:numPr>
          <w:ilvl w:val="0"/>
          <w:numId w:val="0"/>
        </w:numPr>
      </w:pPr>
      <w:r>
        <w:rPr>
          <w:rFonts w:cs="Calibri"/>
          <w:szCs w:val="22"/>
        </w:rPr>
        <w:lastRenderedPageBreak/>
        <w:t>Following a section below on context setting for 2020</w:t>
      </w:r>
      <w:r w:rsidR="00EF1D7D">
        <w:rPr>
          <w:rFonts w:cs="Calibri"/>
          <w:szCs w:val="22"/>
        </w:rPr>
        <w:t>,</w:t>
      </w:r>
      <w:r>
        <w:rPr>
          <w:rFonts w:cs="Calibri"/>
          <w:szCs w:val="22"/>
        </w:rPr>
        <w:t xml:space="preserve"> this </w:t>
      </w:r>
      <w:r>
        <w:rPr>
          <w:rFonts w:eastAsiaTheme="minorHAnsi" w:cs="Calibri"/>
          <w:szCs w:val="22"/>
        </w:rPr>
        <w:t xml:space="preserve">paper is </w:t>
      </w:r>
      <w:r>
        <w:rPr>
          <w:rFonts w:cs="Calibri"/>
          <w:szCs w:val="22"/>
        </w:rPr>
        <w:t xml:space="preserve">then </w:t>
      </w:r>
      <w:r>
        <w:rPr>
          <w:rFonts w:eastAsiaTheme="minorHAnsi" w:cs="Calibri"/>
          <w:szCs w:val="22"/>
        </w:rPr>
        <w:t xml:space="preserve">presented in two </w:t>
      </w:r>
      <w:r>
        <w:rPr>
          <w:rFonts w:cs="Calibri"/>
          <w:szCs w:val="22"/>
        </w:rPr>
        <w:t xml:space="preserve">main </w:t>
      </w:r>
      <w:r>
        <w:rPr>
          <w:rFonts w:eastAsiaTheme="minorHAnsi" w:cs="Calibri"/>
          <w:szCs w:val="22"/>
        </w:rPr>
        <w:t>parts</w:t>
      </w:r>
      <w:r>
        <w:rPr>
          <w:rFonts w:cs="Calibri"/>
          <w:szCs w:val="22"/>
        </w:rPr>
        <w:t>. T</w:t>
      </w:r>
      <w:r>
        <w:rPr>
          <w:rFonts w:eastAsiaTheme="minorHAnsi" w:cs="Calibri"/>
          <w:szCs w:val="22"/>
        </w:rPr>
        <w:t xml:space="preserve">he first presents a summary of key findings from 2020 and provides activity highlights with a brief statement of relevant progress. The second part provides a contextual assessment of progress </w:t>
      </w:r>
      <w:r w:rsidR="00F5327D">
        <w:rPr>
          <w:rFonts w:cs="Calibri"/>
          <w:szCs w:val="22"/>
        </w:rPr>
        <w:t xml:space="preserve">under </w:t>
      </w:r>
      <w:r w:rsidR="0007644B">
        <w:rPr>
          <w:rFonts w:cs="Calibri"/>
          <w:szCs w:val="22"/>
        </w:rPr>
        <w:t xml:space="preserve">four </w:t>
      </w:r>
      <w:r w:rsidR="00F5327D">
        <w:rPr>
          <w:rFonts w:cs="Calibri"/>
          <w:szCs w:val="22"/>
        </w:rPr>
        <w:t>key themes</w:t>
      </w:r>
      <w:r w:rsidR="00060EFE">
        <w:rPr>
          <w:rFonts w:cs="Calibri"/>
          <w:szCs w:val="22"/>
        </w:rPr>
        <w:t>:</w:t>
      </w:r>
      <w:r w:rsidR="00F5327D">
        <w:rPr>
          <w:rFonts w:cs="Calibri"/>
          <w:szCs w:val="22"/>
        </w:rPr>
        <w:t xml:space="preserve"> transition</w:t>
      </w:r>
      <w:r w:rsidR="00EF1D7D">
        <w:rPr>
          <w:rFonts w:cs="Calibri"/>
          <w:szCs w:val="22"/>
        </w:rPr>
        <w:t>s,</w:t>
      </w:r>
      <w:r w:rsidR="00F5327D">
        <w:rPr>
          <w:rFonts w:cs="Calibri"/>
          <w:szCs w:val="22"/>
        </w:rPr>
        <w:t xml:space="preserve"> support to work and</w:t>
      </w:r>
      <w:r w:rsidR="00060EFE">
        <w:rPr>
          <w:rFonts w:cs="Calibri"/>
          <w:szCs w:val="22"/>
        </w:rPr>
        <w:t>/or</w:t>
      </w:r>
      <w:r w:rsidR="00F5327D">
        <w:rPr>
          <w:rFonts w:cs="Calibri"/>
          <w:szCs w:val="22"/>
        </w:rPr>
        <w:t xml:space="preserve"> return to work</w:t>
      </w:r>
      <w:r w:rsidR="00EF1D7D">
        <w:rPr>
          <w:rFonts w:cs="Calibri"/>
          <w:szCs w:val="22"/>
        </w:rPr>
        <w:t>,</w:t>
      </w:r>
      <w:r w:rsidR="00F5327D">
        <w:rPr>
          <w:rFonts w:cs="Calibri"/>
          <w:szCs w:val="22"/>
        </w:rPr>
        <w:t xml:space="preserve"> engaging employers</w:t>
      </w:r>
      <w:r w:rsidR="00EF1D7D">
        <w:rPr>
          <w:rFonts w:cs="Calibri"/>
          <w:szCs w:val="22"/>
        </w:rPr>
        <w:t>, and</w:t>
      </w:r>
      <w:r w:rsidR="00EF1D7D" w:rsidRPr="00EF1D7D">
        <w:rPr>
          <w:rFonts w:cs="Calibri"/>
          <w:szCs w:val="22"/>
        </w:rPr>
        <w:t xml:space="preserve"> </w:t>
      </w:r>
      <w:r w:rsidR="00EF1D7D">
        <w:rPr>
          <w:rFonts w:cs="Calibri"/>
          <w:szCs w:val="22"/>
        </w:rPr>
        <w:t>public transport</w:t>
      </w:r>
      <w:r>
        <w:rPr>
          <w:rFonts w:eastAsiaTheme="minorHAnsi" w:cs="Calibri"/>
          <w:szCs w:val="22"/>
        </w:rPr>
        <w:t>.</w:t>
      </w:r>
    </w:p>
    <w:p w14:paraId="2CA8866C" w14:textId="0F4393D8" w:rsidR="00B80AE7" w:rsidRPr="00CA1EF1" w:rsidRDefault="00DD3B42" w:rsidP="00B80AE7">
      <w:pPr>
        <w:pStyle w:val="Heading1"/>
      </w:pPr>
      <w:bookmarkStart w:id="5" w:name="_Toc66782871"/>
      <w:r>
        <w:rPr>
          <w:lang w:val="en-US"/>
        </w:rPr>
        <w:t>2020 Context setting</w:t>
      </w:r>
      <w:bookmarkEnd w:id="5"/>
    </w:p>
    <w:p w14:paraId="22BBA134" w14:textId="6AF161D1" w:rsidR="007F6B78" w:rsidRDefault="007F6B78" w:rsidP="007E797D">
      <w:pPr>
        <w:pStyle w:val="Heading2"/>
      </w:pPr>
      <w:bookmarkStart w:id="6" w:name="_Toc66782872"/>
      <w:r>
        <w:t>COVID-19 Challenges</w:t>
      </w:r>
      <w:bookmarkEnd w:id="6"/>
    </w:p>
    <w:p w14:paraId="5C5AB142" w14:textId="59AE2010" w:rsidR="002F683C" w:rsidRPr="00DD5C8A" w:rsidRDefault="00B80AE7" w:rsidP="002F683C">
      <w:pPr>
        <w:pStyle w:val="ListBullet"/>
        <w:numPr>
          <w:ilvl w:val="0"/>
          <w:numId w:val="0"/>
        </w:numPr>
        <w:rPr>
          <w:lang w:val="en"/>
        </w:rPr>
      </w:pPr>
      <w:r>
        <w:t>During 2020, many challenges affected the lives of persons with disabilities and the work of the</w:t>
      </w:r>
      <w:r w:rsidRPr="00EA60B9">
        <w:t xml:space="preserve"> </w:t>
      </w:r>
      <w:r w:rsidR="00EF1D7D">
        <w:t>CES</w:t>
      </w:r>
      <w:r>
        <w:t>. As the year developed, and services and supports responded to the COVID-19 pandemic</w:t>
      </w:r>
      <w:r w:rsidR="00692B4F">
        <w:t>,</w:t>
      </w:r>
      <w:r>
        <w:t xml:space="preserve"> it became more apparent that CES progress was slower than previous years. </w:t>
      </w:r>
      <w:r w:rsidRPr="00574410">
        <w:t>The COVID-19 virus led to a sudden and dramatic shift in patterns of living</w:t>
      </w:r>
      <w:r>
        <w:t>, working</w:t>
      </w:r>
      <w:r w:rsidRPr="00574410">
        <w:t xml:space="preserve"> and service delivery across the population. </w:t>
      </w:r>
      <w:r w:rsidR="006612A7">
        <w:t xml:space="preserve">Large numbers of public sector staff were redeployed </w:t>
      </w:r>
      <w:r w:rsidR="00EF1D7D">
        <w:t xml:space="preserve">into </w:t>
      </w:r>
      <w:r w:rsidR="001E7C72">
        <w:t>areas of work that required immediate staffing</w:t>
      </w:r>
      <w:r w:rsidR="007E4453">
        <w:t>,</w:t>
      </w:r>
      <w:r w:rsidR="001E7C72">
        <w:t xml:space="preserve"> for example </w:t>
      </w:r>
      <w:r w:rsidR="00EF1D7D">
        <w:t>COVID-</w:t>
      </w:r>
      <w:r w:rsidR="007E4453">
        <w:t xml:space="preserve">19 testing and </w:t>
      </w:r>
      <w:r w:rsidR="001E7C72">
        <w:t xml:space="preserve">contact tracing services and </w:t>
      </w:r>
      <w:r w:rsidR="007E4453">
        <w:t xml:space="preserve">administration of increased </w:t>
      </w:r>
      <w:r w:rsidR="001E7C72">
        <w:t xml:space="preserve">social welfare payments. </w:t>
      </w:r>
      <w:r w:rsidR="002F683C">
        <w:t>The impact</w:t>
      </w:r>
      <w:r w:rsidR="002F683C" w:rsidRPr="00EC392E">
        <w:t xml:space="preserve"> of COVID-19 on employment at both national and international levels ha</w:t>
      </w:r>
      <w:r w:rsidR="006612A7">
        <w:t>s</w:t>
      </w:r>
      <w:r w:rsidR="002F683C" w:rsidRPr="00EC392E">
        <w:t xml:space="preserve"> been profound. In April 2020 over </w:t>
      </w:r>
      <w:r w:rsidR="00CC772D">
        <w:t>one</w:t>
      </w:r>
      <w:r w:rsidR="002F683C" w:rsidRPr="00EC392E">
        <w:t xml:space="preserve"> million people in Ireland were </w:t>
      </w:r>
      <w:r w:rsidR="002F683C" w:rsidRPr="00DD5C8A">
        <w:t xml:space="preserve">accessing income supports from the State. </w:t>
      </w:r>
      <w:r w:rsidR="002F683C" w:rsidRPr="00DD5C8A">
        <w:rPr>
          <w:lang w:val="en"/>
        </w:rPr>
        <w:t>At the end of December 2020, 335,599 of those whose income from employment has been affected due to COVID-19 were being facilitated through the COVID-19 Pan</w:t>
      </w:r>
      <w:r w:rsidR="00BC2D44" w:rsidRPr="00DD5C8A">
        <w:rPr>
          <w:lang w:val="en"/>
        </w:rPr>
        <w:t>demic Unemployment Payment</w:t>
      </w:r>
      <w:r w:rsidR="002F683C" w:rsidRPr="00DD5C8A">
        <w:rPr>
          <w:lang w:val="en"/>
        </w:rPr>
        <w:t xml:space="preserve"> which is administered by the </w:t>
      </w:r>
      <w:r w:rsidR="00EF1D7D" w:rsidRPr="00DD5C8A">
        <w:rPr>
          <w:lang w:val="en"/>
        </w:rPr>
        <w:t>Department of Social Protection (</w:t>
      </w:r>
      <w:r w:rsidR="002F683C" w:rsidRPr="00DD5C8A">
        <w:rPr>
          <w:lang w:val="en"/>
        </w:rPr>
        <w:t>DSP</w:t>
      </w:r>
      <w:r w:rsidR="00EF1D7D" w:rsidRPr="00DD5C8A">
        <w:rPr>
          <w:lang w:val="en"/>
        </w:rPr>
        <w:t>)</w:t>
      </w:r>
      <w:r w:rsidR="002F683C" w:rsidRPr="00DD5C8A">
        <w:rPr>
          <w:lang w:val="en"/>
        </w:rPr>
        <w:t>.</w:t>
      </w:r>
      <w:r w:rsidR="002F683C" w:rsidRPr="00DD5C8A">
        <w:rPr>
          <w:rStyle w:val="FootnoteReference"/>
          <w:lang w:val="en"/>
        </w:rPr>
        <w:footnoteReference w:id="3"/>
      </w:r>
      <w:r w:rsidR="002F683C" w:rsidRPr="00DD5C8A">
        <w:rPr>
          <w:lang w:val="en"/>
        </w:rPr>
        <w:t xml:space="preserve"> </w:t>
      </w:r>
    </w:p>
    <w:p w14:paraId="6B2AC127" w14:textId="6BF6F808" w:rsidR="00230D73" w:rsidRPr="00230D73" w:rsidRDefault="00230D73" w:rsidP="007E797D">
      <w:pPr>
        <w:rPr>
          <w:szCs w:val="26"/>
        </w:rPr>
      </w:pPr>
      <w:r>
        <w:rPr>
          <w:szCs w:val="26"/>
        </w:rPr>
        <w:t>I</w:t>
      </w:r>
      <w:r w:rsidRPr="00904AB0">
        <w:rPr>
          <w:szCs w:val="26"/>
        </w:rPr>
        <w:t>n their Employment and Life Effects of COVID-19 report</w:t>
      </w:r>
      <w:r w:rsidR="00EF1D7D">
        <w:rPr>
          <w:szCs w:val="26"/>
        </w:rPr>
        <w:t>,</w:t>
      </w:r>
      <w:r w:rsidRPr="00904AB0">
        <w:rPr>
          <w:szCs w:val="26"/>
        </w:rPr>
        <w:t xml:space="preserve"> the CSO found that 47% of persons aged 15 years and over indicated that COVID-19 had an effect on their employment situation. Of these, one third (34%) started working from home, while 12% have increased their hours working from home.</w:t>
      </w:r>
      <w:r w:rsidRPr="00904AB0">
        <w:rPr>
          <w:szCs w:val="26"/>
          <w:vertAlign w:val="superscript"/>
        </w:rPr>
        <w:footnoteReference w:id="4"/>
      </w:r>
      <w:r w:rsidRPr="00904AB0">
        <w:rPr>
          <w:szCs w:val="26"/>
        </w:rPr>
        <w:t xml:space="preserve"> Many workers have said they would like to continue working either full-time or part-time from home. </w:t>
      </w:r>
    </w:p>
    <w:p w14:paraId="4FFAA760" w14:textId="74C12157" w:rsidR="00FA2F7B" w:rsidRDefault="001E7C72" w:rsidP="00B80AE7">
      <w:pPr>
        <w:pStyle w:val="ListBullet"/>
        <w:numPr>
          <w:ilvl w:val="0"/>
          <w:numId w:val="0"/>
        </w:numPr>
      </w:pPr>
      <w:r>
        <w:t>The pandemic has been particularly</w:t>
      </w:r>
      <w:r w:rsidR="00B80AE7">
        <w:t xml:space="preserve"> </w:t>
      </w:r>
      <w:r w:rsidR="00B80AE7" w:rsidRPr="00574410">
        <w:t xml:space="preserve">difficult for </w:t>
      </w:r>
      <w:r w:rsidR="00B80AE7">
        <w:t xml:space="preserve">some </w:t>
      </w:r>
      <w:r w:rsidR="00B80AE7" w:rsidRPr="00574410">
        <w:t>persons with disabilities and their families, both in terms of adjusting to social distancing requirements, and to accessing information, services and supports necessary to remain safe and healthy. T</w:t>
      </w:r>
      <w:r w:rsidR="00B80AE7">
        <w:t xml:space="preserve">he NDA </w:t>
      </w:r>
      <w:r w:rsidR="00B80AE7" w:rsidRPr="00574410">
        <w:t>advise</w:t>
      </w:r>
      <w:r w:rsidR="00B80AE7">
        <w:t>d</w:t>
      </w:r>
      <w:r w:rsidR="00B80AE7" w:rsidRPr="00574410">
        <w:t xml:space="preserve"> </w:t>
      </w:r>
      <w:r w:rsidR="00B80AE7">
        <w:t xml:space="preserve">government </w:t>
      </w:r>
      <w:r w:rsidR="00B80AE7" w:rsidRPr="00574410">
        <w:t>that consideration</w:t>
      </w:r>
      <w:r w:rsidR="00B80AE7">
        <w:t xml:space="preserve"> be given to the impact of the pandemic on persons with disabilities</w:t>
      </w:r>
      <w:r w:rsidR="00B80AE7" w:rsidRPr="00574410">
        <w:t xml:space="preserve"> beyond those related to health and social care</w:t>
      </w:r>
      <w:r w:rsidR="00692B4F">
        <w:t>.</w:t>
      </w:r>
      <w:r w:rsidR="00FC6383">
        <w:rPr>
          <w:rStyle w:val="FootnoteReference"/>
        </w:rPr>
        <w:footnoteReference w:id="5"/>
      </w:r>
      <w:r w:rsidR="00692B4F">
        <w:t xml:space="preserve"> </w:t>
      </w:r>
      <w:r w:rsidR="00AC2A14">
        <w:t xml:space="preserve">The </w:t>
      </w:r>
      <w:r w:rsidR="006B6508">
        <w:t xml:space="preserve">advice </w:t>
      </w:r>
      <w:r w:rsidR="00AC2A14">
        <w:t xml:space="preserve">paper noted </w:t>
      </w:r>
      <w:r w:rsidR="00B80AE7">
        <w:t>that</w:t>
      </w:r>
      <w:r w:rsidR="00B80AE7" w:rsidRPr="00574410">
        <w:t xml:space="preserve"> persons with disabilities </w:t>
      </w:r>
      <w:r w:rsidR="00B80AE7" w:rsidRPr="00574410">
        <w:lastRenderedPageBreak/>
        <w:t>may be particularly at risk of</w:t>
      </w:r>
      <w:r w:rsidR="00B80AE7">
        <w:t xml:space="preserve"> losing their job due to the higher proportion of persons with disabilities in lower paid jobs </w:t>
      </w:r>
      <w:r w:rsidR="00B80AE7" w:rsidRPr="00EC392E">
        <w:t>such as retail, catering and hospitality</w:t>
      </w:r>
      <w:r w:rsidR="00B80AE7">
        <w:t xml:space="preserve"> compared to the general population.</w:t>
      </w:r>
      <w:r w:rsidR="00396D4F" w:rsidRPr="00396D4F">
        <w:rPr>
          <w:rStyle w:val="FootnoteReference"/>
        </w:rPr>
        <w:t xml:space="preserve"> </w:t>
      </w:r>
      <w:r w:rsidR="00396D4F" w:rsidRPr="00EC392E">
        <w:rPr>
          <w:rStyle w:val="FootnoteReference"/>
        </w:rPr>
        <w:footnoteReference w:id="6"/>
      </w:r>
      <w:r w:rsidR="00B80AE7">
        <w:t xml:space="preserve"> </w:t>
      </w:r>
    </w:p>
    <w:p w14:paraId="6DA1FD94" w14:textId="10025B66" w:rsidR="007F6B78" w:rsidRDefault="007F6B78" w:rsidP="007E797D">
      <w:pPr>
        <w:pStyle w:val="Heading2"/>
      </w:pPr>
      <w:bookmarkStart w:id="7" w:name="_Toc66782873"/>
      <w:r>
        <w:t>Remote working</w:t>
      </w:r>
      <w:bookmarkEnd w:id="7"/>
    </w:p>
    <w:p w14:paraId="3B0E3FB1" w14:textId="1A9A48A6" w:rsidR="00FE0CC2" w:rsidRPr="003B16FF" w:rsidRDefault="00B77616" w:rsidP="007E797D">
      <w:pPr>
        <w:autoSpaceDE w:val="0"/>
        <w:autoSpaceDN w:val="0"/>
        <w:adjustRightInd w:val="0"/>
      </w:pPr>
      <w:r>
        <w:rPr>
          <w:szCs w:val="26"/>
        </w:rPr>
        <w:t>The</w:t>
      </w:r>
      <w:r w:rsidR="00AC2A14">
        <w:rPr>
          <w:szCs w:val="26"/>
        </w:rPr>
        <w:t xml:space="preserve"> </w:t>
      </w:r>
      <w:r w:rsidR="00191530">
        <w:rPr>
          <w:szCs w:val="26"/>
        </w:rPr>
        <w:t>sudden</w:t>
      </w:r>
      <w:r w:rsidR="00FA2F7B" w:rsidRPr="00A325C6">
        <w:rPr>
          <w:szCs w:val="26"/>
        </w:rPr>
        <w:t xml:space="preserve"> </w:t>
      </w:r>
      <w:r w:rsidR="00FA2F7B">
        <w:rPr>
          <w:szCs w:val="26"/>
        </w:rPr>
        <w:t xml:space="preserve">shift to remote working </w:t>
      </w:r>
      <w:r w:rsidR="006B6508">
        <w:rPr>
          <w:szCs w:val="26"/>
        </w:rPr>
        <w:t xml:space="preserve">has also </w:t>
      </w:r>
      <w:r w:rsidR="00FA2F7B">
        <w:rPr>
          <w:szCs w:val="26"/>
        </w:rPr>
        <w:t xml:space="preserve">presented opportunities for some </w:t>
      </w:r>
      <w:r w:rsidR="006B6508">
        <w:rPr>
          <w:szCs w:val="26"/>
        </w:rPr>
        <w:t xml:space="preserve">persons </w:t>
      </w:r>
      <w:r w:rsidR="00FA2F7B">
        <w:rPr>
          <w:szCs w:val="26"/>
        </w:rPr>
        <w:t xml:space="preserve">with disabilities. The </w:t>
      </w:r>
      <w:r w:rsidR="00FA2F7B" w:rsidRPr="00A325C6">
        <w:rPr>
          <w:szCs w:val="26"/>
        </w:rPr>
        <w:t xml:space="preserve">concept and practice of remote working has been a feature of the working life of </w:t>
      </w:r>
      <w:r w:rsidR="006B6508">
        <w:rPr>
          <w:szCs w:val="26"/>
        </w:rPr>
        <w:t xml:space="preserve">those persons </w:t>
      </w:r>
      <w:r w:rsidR="00FA2F7B" w:rsidRPr="00A325C6">
        <w:rPr>
          <w:szCs w:val="26"/>
        </w:rPr>
        <w:t xml:space="preserve">with disabilities who have had access to </w:t>
      </w:r>
      <w:r w:rsidR="00FA2F7B">
        <w:rPr>
          <w:szCs w:val="26"/>
        </w:rPr>
        <w:t>reasonable accommodation</w:t>
      </w:r>
      <w:r w:rsidR="00FA2F7B" w:rsidRPr="00A325C6">
        <w:rPr>
          <w:szCs w:val="26"/>
        </w:rPr>
        <w:t xml:space="preserve"> measures that </w:t>
      </w:r>
      <w:r w:rsidR="00FA2F7B">
        <w:rPr>
          <w:szCs w:val="26"/>
        </w:rPr>
        <w:t>provide flexible and part time work.</w:t>
      </w:r>
      <w:r w:rsidR="00FA2F7B" w:rsidRPr="003B16FF">
        <w:rPr>
          <w:szCs w:val="26"/>
        </w:rPr>
        <w:t xml:space="preserve"> </w:t>
      </w:r>
      <w:r w:rsidR="006B6508" w:rsidRPr="003B16FF">
        <w:rPr>
          <w:szCs w:val="26"/>
        </w:rPr>
        <w:t xml:space="preserve">The NDA advises that a move to </w:t>
      </w:r>
      <w:r w:rsidR="00FA2F7B" w:rsidRPr="003B16FF">
        <w:rPr>
          <w:szCs w:val="26"/>
        </w:rPr>
        <w:t xml:space="preserve">adopt a </w:t>
      </w:r>
      <w:r w:rsidR="006B6508" w:rsidRPr="003B16FF">
        <w:rPr>
          <w:szCs w:val="26"/>
        </w:rPr>
        <w:t xml:space="preserve">more widespread </w:t>
      </w:r>
      <w:r w:rsidR="00FA2F7B" w:rsidRPr="003B16FF">
        <w:rPr>
          <w:szCs w:val="26"/>
        </w:rPr>
        <w:t xml:space="preserve">remote working strategy </w:t>
      </w:r>
      <w:r w:rsidR="006B6508" w:rsidRPr="003B16FF">
        <w:rPr>
          <w:szCs w:val="26"/>
        </w:rPr>
        <w:t xml:space="preserve">would mean </w:t>
      </w:r>
      <w:r w:rsidR="00FA2F7B" w:rsidRPr="003B16FF">
        <w:rPr>
          <w:szCs w:val="26"/>
        </w:rPr>
        <w:t xml:space="preserve">more people with disabilities can be facilitated </w:t>
      </w:r>
      <w:r w:rsidR="00191530" w:rsidRPr="003B16FF">
        <w:rPr>
          <w:szCs w:val="26"/>
        </w:rPr>
        <w:t xml:space="preserve">to work, as some </w:t>
      </w:r>
      <w:r w:rsidR="00FA2F7B" w:rsidRPr="003B16FF">
        <w:rPr>
          <w:szCs w:val="26"/>
        </w:rPr>
        <w:t xml:space="preserve">often cite transport issues and the work environment as challenges to getting and retaining a job. </w:t>
      </w:r>
      <w:r w:rsidR="00FA2F7B" w:rsidRPr="00A325C6">
        <w:rPr>
          <w:szCs w:val="26"/>
        </w:rPr>
        <w:t xml:space="preserve">The </w:t>
      </w:r>
      <w:r w:rsidR="00396D4F" w:rsidRPr="00A325C6">
        <w:rPr>
          <w:szCs w:val="26"/>
        </w:rPr>
        <w:t>2019</w:t>
      </w:r>
      <w:r w:rsidR="000479D5">
        <w:rPr>
          <w:szCs w:val="26"/>
        </w:rPr>
        <w:t xml:space="preserve"> </w:t>
      </w:r>
      <w:r w:rsidR="00890B73" w:rsidRPr="000479D5">
        <w:rPr>
          <w:szCs w:val="26"/>
        </w:rPr>
        <w:t>report on</w:t>
      </w:r>
      <w:r w:rsidR="00FA2F7B" w:rsidRPr="000479D5">
        <w:rPr>
          <w:szCs w:val="26"/>
        </w:rPr>
        <w:t xml:space="preserve"> Remote Work in Ireland,</w:t>
      </w:r>
      <w:r w:rsidR="00FA2F7B" w:rsidRPr="003B16FF">
        <w:rPr>
          <w:szCs w:val="26"/>
        </w:rPr>
        <w:footnoteReference w:id="7"/>
      </w:r>
      <w:r w:rsidR="00FA2F7B" w:rsidRPr="000479D5">
        <w:rPr>
          <w:szCs w:val="26"/>
        </w:rPr>
        <w:t xml:space="preserve"> </w:t>
      </w:r>
      <w:r w:rsidR="000479D5" w:rsidRPr="000479D5">
        <w:rPr>
          <w:szCs w:val="26"/>
        </w:rPr>
        <w:t>developed under</w:t>
      </w:r>
      <w:r w:rsidR="00FA2F7B" w:rsidRPr="000479D5">
        <w:rPr>
          <w:szCs w:val="26"/>
        </w:rPr>
        <w:t xml:space="preserve"> </w:t>
      </w:r>
      <w:r w:rsidR="000479D5" w:rsidRPr="003B16FF">
        <w:rPr>
          <w:szCs w:val="26"/>
        </w:rPr>
        <w:t xml:space="preserve">Pillar </w:t>
      </w:r>
      <w:r w:rsidR="00930B2A" w:rsidRPr="003B16FF">
        <w:rPr>
          <w:szCs w:val="26"/>
        </w:rPr>
        <w:t>four</w:t>
      </w:r>
      <w:r w:rsidR="000479D5" w:rsidRPr="007E797D">
        <w:rPr>
          <w:rFonts w:cs="Lato-Regular"/>
          <w:szCs w:val="26"/>
          <w:lang w:eastAsia="en-IE"/>
        </w:rPr>
        <w:t xml:space="preserve"> of</w:t>
      </w:r>
      <w:r w:rsidR="000479D5">
        <w:rPr>
          <w:rFonts w:cs="Lato-Regular"/>
          <w:szCs w:val="26"/>
          <w:lang w:eastAsia="en-IE"/>
        </w:rPr>
        <w:t xml:space="preserve"> </w:t>
      </w:r>
      <w:r w:rsidR="000479D5" w:rsidRPr="007E797D">
        <w:rPr>
          <w:rFonts w:cs="Lato-Regular"/>
          <w:szCs w:val="26"/>
          <w:lang w:eastAsia="en-IE"/>
        </w:rPr>
        <w:t>Future Jobs Ireland 2019</w:t>
      </w:r>
      <w:r w:rsidR="000479D5">
        <w:rPr>
          <w:rStyle w:val="FootnoteReference"/>
          <w:rFonts w:cs="Lato-Regular"/>
          <w:szCs w:val="26"/>
          <w:lang w:eastAsia="en-IE"/>
        </w:rPr>
        <w:footnoteReference w:id="8"/>
      </w:r>
      <w:r w:rsidR="000479D5" w:rsidRPr="007E797D">
        <w:rPr>
          <w:rFonts w:cs="Lato-Regular"/>
          <w:szCs w:val="26"/>
          <w:lang w:eastAsia="en-IE"/>
        </w:rPr>
        <w:t>, is concerned with increasing participation in the labour force</w:t>
      </w:r>
      <w:r w:rsidR="00FA2F7B" w:rsidRPr="000479D5">
        <w:rPr>
          <w:szCs w:val="26"/>
        </w:rPr>
        <w:t xml:space="preserve"> </w:t>
      </w:r>
      <w:r w:rsidR="006B6508">
        <w:rPr>
          <w:szCs w:val="26"/>
        </w:rPr>
        <w:t xml:space="preserve">and </w:t>
      </w:r>
      <w:r w:rsidR="00FA2F7B" w:rsidRPr="000479D5">
        <w:rPr>
          <w:szCs w:val="26"/>
        </w:rPr>
        <w:t>recognised how remote working can increase inclusion of persons with disabilities in the workforce.</w:t>
      </w:r>
      <w:r w:rsidR="000479D5">
        <w:rPr>
          <w:szCs w:val="26"/>
        </w:rPr>
        <w:t xml:space="preserve"> This was followed by </w:t>
      </w:r>
      <w:r w:rsidR="00930B2A">
        <w:rPr>
          <w:szCs w:val="26"/>
        </w:rPr>
        <w:t>that</w:t>
      </w:r>
      <w:r w:rsidR="000479D5" w:rsidRPr="00FE0CC2">
        <w:rPr>
          <w:szCs w:val="26"/>
        </w:rPr>
        <w:t xml:space="preserve"> National Remote Working Strategy, published in 2021 where the </w:t>
      </w:r>
      <w:r w:rsidR="000479D5" w:rsidRPr="007E797D">
        <w:rPr>
          <w:rFonts w:cs="Lato-Regular"/>
          <w:szCs w:val="26"/>
          <w:lang w:eastAsia="en-IE"/>
        </w:rPr>
        <w:t>Government com</w:t>
      </w:r>
      <w:r w:rsidR="00FE0CC2" w:rsidRPr="007E797D">
        <w:rPr>
          <w:rFonts w:cs="Lato-Regular"/>
          <w:szCs w:val="26"/>
          <w:lang w:eastAsia="en-IE"/>
        </w:rPr>
        <w:t>m</w:t>
      </w:r>
      <w:r w:rsidR="000479D5" w:rsidRPr="007E797D">
        <w:rPr>
          <w:rFonts w:cs="Lato-Regular"/>
          <w:szCs w:val="26"/>
          <w:lang w:eastAsia="en-IE"/>
        </w:rPr>
        <w:t xml:space="preserve">its to facilitating increased remote work </w:t>
      </w:r>
      <w:r w:rsidR="00FE0CC2" w:rsidRPr="00FE0CC2">
        <w:rPr>
          <w:rFonts w:cs="Lato-Regular"/>
          <w:szCs w:val="26"/>
          <w:lang w:eastAsia="en-IE"/>
        </w:rPr>
        <w:t>in the future in a</w:t>
      </w:r>
      <w:r w:rsidR="000479D5" w:rsidRPr="007E797D">
        <w:rPr>
          <w:rFonts w:cs="Lato-Regular"/>
          <w:szCs w:val="26"/>
          <w:lang w:eastAsia="en-IE"/>
        </w:rPr>
        <w:t xml:space="preserve"> way that reaps the </w:t>
      </w:r>
      <w:r w:rsidR="000479D5" w:rsidRPr="003B16FF">
        <w:t>many</w:t>
      </w:r>
      <w:r w:rsidR="00FE0CC2" w:rsidRPr="003B16FF">
        <w:t xml:space="preserve"> benefits and mitigates negative side-eff</w:t>
      </w:r>
      <w:r w:rsidR="000479D5" w:rsidRPr="003B16FF">
        <w:t>ects</w:t>
      </w:r>
      <w:r w:rsidR="00FE0CC2" w:rsidRPr="003B16FF">
        <w:t>.</w:t>
      </w:r>
      <w:r w:rsidR="00FE0CC2" w:rsidRPr="003B16FF">
        <w:footnoteReference w:id="9"/>
      </w:r>
      <w:r w:rsidR="000479D5" w:rsidRPr="003B16FF">
        <w:t xml:space="preserve">. </w:t>
      </w:r>
      <w:r w:rsidR="00FE0CC2" w:rsidRPr="003B16FF">
        <w:t>This strategy recognises the potential benefits to persons with disabilities stating</w:t>
      </w:r>
      <w:r w:rsidR="006B6508" w:rsidRPr="003B16FF">
        <w:t>:</w:t>
      </w:r>
    </w:p>
    <w:p w14:paraId="1E18A57F" w14:textId="5C0371C5" w:rsidR="00FE0CC2" w:rsidRPr="003B16FF" w:rsidRDefault="00FE0CC2" w:rsidP="007E797D">
      <w:pPr>
        <w:pStyle w:val="BlockQuote"/>
      </w:pPr>
      <w:r w:rsidRPr="003B16FF">
        <w:t>In the case of people with a disability or a chronic illness, remote work offers a substantial opportunity by removing a commute and allowing for a more flexible schedule. Widespread remote working has the potential to attract people wit</w:t>
      </w:r>
      <w:r w:rsidR="00930B2A" w:rsidRPr="003B16FF">
        <w:t>h a disability to the workforce whilst creating a better opportunitie</w:t>
      </w:r>
      <w:r w:rsidR="00B77616" w:rsidRPr="003B16FF">
        <w:t>s</w:t>
      </w:r>
      <w:r w:rsidR="00930B2A" w:rsidRPr="003B16FF">
        <w:t xml:space="preserve"> for career progression.</w:t>
      </w:r>
    </w:p>
    <w:p w14:paraId="451911B2" w14:textId="12E86B3B" w:rsidR="00E15F35" w:rsidRPr="003B16FF" w:rsidRDefault="00FA2F7B" w:rsidP="00FC684A">
      <w:pPr>
        <w:autoSpaceDE w:val="0"/>
        <w:autoSpaceDN w:val="0"/>
        <w:adjustRightInd w:val="0"/>
      </w:pPr>
      <w:r w:rsidRPr="003B16FF">
        <w:t>It will be important to continue to include the particular needs of persons with disabilities as policies in this area are developed</w:t>
      </w:r>
      <w:r w:rsidR="00FE0CC2" w:rsidRPr="003B16FF">
        <w:t xml:space="preserve"> and </w:t>
      </w:r>
      <w:r w:rsidR="00890B73" w:rsidRPr="003B16FF">
        <w:t xml:space="preserve">to </w:t>
      </w:r>
      <w:r w:rsidR="00930B2A" w:rsidRPr="003B16FF">
        <w:t xml:space="preserve">also </w:t>
      </w:r>
      <w:r w:rsidR="00FE0CC2" w:rsidRPr="003B16FF">
        <w:t>measure the impact of these policies</w:t>
      </w:r>
      <w:r w:rsidRPr="003B16FF">
        <w:t xml:space="preserve">.  </w:t>
      </w:r>
    </w:p>
    <w:p w14:paraId="0638D654" w14:textId="6C88BF28" w:rsidR="00E15F35" w:rsidRDefault="002F683C" w:rsidP="00E15F35">
      <w:pPr>
        <w:pStyle w:val="Heading2"/>
      </w:pPr>
      <w:bookmarkStart w:id="8" w:name="_Toc66782874"/>
      <w:r>
        <w:t>Economic and social recovery</w:t>
      </w:r>
      <w:bookmarkEnd w:id="8"/>
    </w:p>
    <w:p w14:paraId="3B8EEFEE" w14:textId="788DC080" w:rsidR="00C74E87" w:rsidRDefault="006B6508" w:rsidP="000A2E2F">
      <w:pPr>
        <w:pStyle w:val="ListBullet"/>
        <w:numPr>
          <w:ilvl w:val="0"/>
          <w:numId w:val="0"/>
        </w:numPr>
      </w:pPr>
      <w:r w:rsidRPr="00EC392E">
        <w:t>The NDA advises that all measures currently underway to address temporary or permanent employment lay-offs owing to COVID-19</w:t>
      </w:r>
      <w:r>
        <w:t xml:space="preserve"> and supporting </w:t>
      </w:r>
      <w:r w:rsidR="00C74E87">
        <w:t>people to return to work will need to address and prioritise the specific needs of the spectrum of persons with disabilities.  It is only through supportive interventions that person with disabilities will gain employment.</w:t>
      </w:r>
    </w:p>
    <w:p w14:paraId="1CB2FF1D" w14:textId="59696685" w:rsidR="00B41E3B" w:rsidRPr="00FC684A" w:rsidRDefault="002F683C" w:rsidP="000A2E2F">
      <w:pPr>
        <w:pStyle w:val="ListBullet"/>
        <w:numPr>
          <w:ilvl w:val="0"/>
          <w:numId w:val="0"/>
        </w:numPr>
      </w:pPr>
      <w:r>
        <w:t xml:space="preserve">As the country begins its recovery phase post COVID-19, </w:t>
      </w:r>
      <w:r w:rsidR="00261AF1">
        <w:t xml:space="preserve">and as the employment goals of the CES are achieved, the employment of persons with disabilities must become a priority action area. To achieve this </w:t>
      </w:r>
      <w:r>
        <w:t>of</w:t>
      </w:r>
      <w:r w:rsidR="00802230">
        <w:t xml:space="preserve"> particular interest are </w:t>
      </w:r>
      <w:r w:rsidR="007B6799">
        <w:t xml:space="preserve">national </w:t>
      </w:r>
      <w:r w:rsidR="00236C64">
        <w:t xml:space="preserve">policy </w:t>
      </w:r>
      <w:r w:rsidR="00CC0D46">
        <w:t>initiatives</w:t>
      </w:r>
      <w:r w:rsidR="003F3874">
        <w:t xml:space="preserve"> </w:t>
      </w:r>
      <w:r w:rsidR="007B6799">
        <w:t xml:space="preserve">with a future focus, including </w:t>
      </w:r>
      <w:r w:rsidR="00236C64">
        <w:t xml:space="preserve">strategies that </w:t>
      </w:r>
      <w:r w:rsidR="003F3874">
        <w:t xml:space="preserve">collect </w:t>
      </w:r>
      <w:r w:rsidR="00F066A5">
        <w:t xml:space="preserve">and report on data </w:t>
      </w:r>
      <w:r w:rsidR="00E72D86">
        <w:t>capture</w:t>
      </w:r>
      <w:r w:rsidR="00F066A5">
        <w:t>d</w:t>
      </w:r>
      <w:r w:rsidR="00E72D86">
        <w:t xml:space="preserve"> in </w:t>
      </w:r>
      <w:r w:rsidR="00500ADB">
        <w:t>areas of</w:t>
      </w:r>
      <w:r w:rsidR="00877551">
        <w:t xml:space="preserve"> social inclusion, </w:t>
      </w:r>
      <w:r w:rsidR="00261AF1">
        <w:t xml:space="preserve">skills attainment, </w:t>
      </w:r>
      <w:r w:rsidR="00877551">
        <w:t xml:space="preserve">poverty </w:t>
      </w:r>
      <w:r w:rsidR="00877551" w:rsidRPr="00FC684A">
        <w:t xml:space="preserve">reduction, </w:t>
      </w:r>
      <w:r w:rsidR="00E72D86" w:rsidRPr="00FC684A">
        <w:t>education</w:t>
      </w:r>
      <w:r w:rsidR="00F066A5" w:rsidRPr="00FC684A">
        <w:t xml:space="preserve"> provision</w:t>
      </w:r>
      <w:r w:rsidR="00500ADB" w:rsidRPr="00FC684A">
        <w:t>, enterprise development</w:t>
      </w:r>
      <w:r w:rsidR="00F066A5" w:rsidRPr="00FC684A">
        <w:t xml:space="preserve"> and </w:t>
      </w:r>
      <w:r w:rsidR="00692B4F" w:rsidRPr="00FC684A">
        <w:t xml:space="preserve">the </w:t>
      </w:r>
      <w:r w:rsidR="00F066A5" w:rsidRPr="00FC684A">
        <w:t>future world of work.</w:t>
      </w:r>
      <w:r w:rsidR="00802230" w:rsidRPr="00FC684A">
        <w:t xml:space="preserve"> </w:t>
      </w:r>
    </w:p>
    <w:p w14:paraId="734E3845" w14:textId="77A42E87" w:rsidR="00BD2B99" w:rsidRPr="003B16FF" w:rsidRDefault="0093327F" w:rsidP="00FC684A">
      <w:pPr>
        <w:spacing w:after="254"/>
        <w:ind w:left="-5"/>
        <w:rPr>
          <w:szCs w:val="26"/>
        </w:rPr>
      </w:pPr>
      <w:r w:rsidRPr="003B16FF">
        <w:rPr>
          <w:szCs w:val="26"/>
        </w:rPr>
        <w:t xml:space="preserve">The government’s </w:t>
      </w:r>
      <w:r w:rsidR="002456AB" w:rsidRPr="003B16FF">
        <w:rPr>
          <w:szCs w:val="26"/>
        </w:rPr>
        <w:t>post pandemic recovery plan</w:t>
      </w:r>
      <w:r w:rsidR="002F683C" w:rsidRPr="003B16FF">
        <w:rPr>
          <w:szCs w:val="26"/>
        </w:rPr>
        <w:t xml:space="preserve"> </w:t>
      </w:r>
      <w:r w:rsidRPr="003B16FF">
        <w:rPr>
          <w:szCs w:val="26"/>
        </w:rPr>
        <w:t>is</w:t>
      </w:r>
      <w:r w:rsidR="005109A0" w:rsidRPr="003B16FF">
        <w:rPr>
          <w:szCs w:val="26"/>
        </w:rPr>
        <w:t xml:space="preserve"> </w:t>
      </w:r>
      <w:r w:rsidR="00BA3BEF" w:rsidRPr="003B16FF">
        <w:rPr>
          <w:szCs w:val="26"/>
        </w:rPr>
        <w:t xml:space="preserve">built on </w:t>
      </w:r>
      <w:r w:rsidR="002456AB" w:rsidRPr="003B16FF">
        <w:rPr>
          <w:szCs w:val="26"/>
        </w:rPr>
        <w:t xml:space="preserve">the delivery of </w:t>
      </w:r>
      <w:r w:rsidR="00B467AC" w:rsidRPr="003B16FF">
        <w:rPr>
          <w:szCs w:val="26"/>
        </w:rPr>
        <w:t>longer term jobs</w:t>
      </w:r>
      <w:r w:rsidR="002F683C" w:rsidRPr="003B16FF">
        <w:rPr>
          <w:szCs w:val="26"/>
        </w:rPr>
        <w:t xml:space="preserve"> and</w:t>
      </w:r>
      <w:r w:rsidR="00FC684A" w:rsidRPr="003B16FF">
        <w:rPr>
          <w:szCs w:val="26"/>
        </w:rPr>
        <w:t xml:space="preserve"> </w:t>
      </w:r>
      <w:r w:rsidR="00881BDA" w:rsidRPr="003B16FF">
        <w:rPr>
          <w:szCs w:val="26"/>
        </w:rPr>
        <w:t xml:space="preserve">embracing innovation and technological change, improving productivity, increasing labour force participation, enhancing skills and developing talent, and transitioning to a low carbon economy. </w:t>
      </w:r>
      <w:r w:rsidR="00BA3BEF" w:rsidRPr="003B16FF">
        <w:rPr>
          <w:szCs w:val="26"/>
        </w:rPr>
        <w:t>The recovery programme describes i</w:t>
      </w:r>
      <w:r w:rsidR="00881BDA" w:rsidRPr="003B16FF">
        <w:rPr>
          <w:szCs w:val="26"/>
        </w:rPr>
        <w:t>ncreasing labour force participation for persons with disabilities</w:t>
      </w:r>
      <w:r w:rsidR="00221E48" w:rsidRPr="003B16FF">
        <w:rPr>
          <w:szCs w:val="26"/>
        </w:rPr>
        <w:t>. T</w:t>
      </w:r>
      <w:r w:rsidR="002456AB" w:rsidRPr="003B16FF">
        <w:rPr>
          <w:szCs w:val="26"/>
        </w:rPr>
        <w:t>he NDA recommend</w:t>
      </w:r>
      <w:r w:rsidR="006B6508" w:rsidRPr="003B16FF">
        <w:rPr>
          <w:szCs w:val="26"/>
        </w:rPr>
        <w:t>s</w:t>
      </w:r>
      <w:r w:rsidR="002456AB" w:rsidRPr="003B16FF">
        <w:rPr>
          <w:szCs w:val="26"/>
        </w:rPr>
        <w:t xml:space="preserve"> that to achieve its goals the recovery plan</w:t>
      </w:r>
      <w:r w:rsidR="00BA3BEF" w:rsidRPr="003B16FF">
        <w:rPr>
          <w:szCs w:val="26"/>
        </w:rPr>
        <w:t xml:space="preserve"> builds on the CES work accomplished to date and </w:t>
      </w:r>
      <w:r w:rsidR="005109A0" w:rsidRPr="003B16FF">
        <w:rPr>
          <w:szCs w:val="26"/>
        </w:rPr>
        <w:t xml:space="preserve">provides a </w:t>
      </w:r>
      <w:r w:rsidR="00881BDA" w:rsidRPr="003B16FF">
        <w:rPr>
          <w:szCs w:val="26"/>
        </w:rPr>
        <w:t xml:space="preserve">coordinated approach </w:t>
      </w:r>
      <w:r w:rsidR="00BD2B99" w:rsidRPr="003B16FF">
        <w:rPr>
          <w:szCs w:val="26"/>
        </w:rPr>
        <w:t>with</w:t>
      </w:r>
      <w:r w:rsidR="00881BDA" w:rsidRPr="003B16FF">
        <w:rPr>
          <w:szCs w:val="26"/>
        </w:rPr>
        <w:t xml:space="preserve"> specific actions both from an employee and employer perspective.</w:t>
      </w:r>
      <w:r w:rsidR="00BD2B99" w:rsidRPr="003B16FF">
        <w:rPr>
          <w:szCs w:val="26"/>
        </w:rPr>
        <w:t xml:space="preserve"> </w:t>
      </w:r>
      <w:r w:rsidR="005109A0" w:rsidRPr="003B16FF">
        <w:rPr>
          <w:szCs w:val="26"/>
        </w:rPr>
        <w:t xml:space="preserve">With an overall aim </w:t>
      </w:r>
      <w:r w:rsidR="00BD2B99" w:rsidRPr="003B16FF">
        <w:rPr>
          <w:szCs w:val="26"/>
        </w:rPr>
        <w:t>to create 200,000 new jobs by 2025</w:t>
      </w:r>
      <w:r w:rsidR="00FC684A" w:rsidRPr="003B16FF">
        <w:rPr>
          <w:szCs w:val="26"/>
        </w:rPr>
        <w:t>,</w:t>
      </w:r>
      <w:r w:rsidR="00BD2B99" w:rsidRPr="003B16FF">
        <w:rPr>
          <w:szCs w:val="26"/>
        </w:rPr>
        <w:t xml:space="preserve"> and to help those affected by th</w:t>
      </w:r>
      <w:r w:rsidR="00221E48" w:rsidRPr="003B16FF">
        <w:rPr>
          <w:szCs w:val="26"/>
        </w:rPr>
        <w:t>e pandemic to get back to work, t</w:t>
      </w:r>
      <w:r w:rsidR="005109A0" w:rsidRPr="003B16FF">
        <w:rPr>
          <w:szCs w:val="26"/>
        </w:rPr>
        <w:t>here is much of that building work alre</w:t>
      </w:r>
      <w:r w:rsidR="00B662C7" w:rsidRPr="003B16FF">
        <w:rPr>
          <w:szCs w:val="26"/>
        </w:rPr>
        <w:t>ady underway with</w:t>
      </w:r>
      <w:r w:rsidR="002F683C" w:rsidRPr="003B16FF">
        <w:rPr>
          <w:szCs w:val="26"/>
        </w:rPr>
        <w:t>in</w:t>
      </w:r>
      <w:r w:rsidR="00B662C7" w:rsidRPr="003B16FF">
        <w:rPr>
          <w:szCs w:val="26"/>
        </w:rPr>
        <w:t xml:space="preserve"> the CES. The NDA note</w:t>
      </w:r>
      <w:r w:rsidR="00CA4B41" w:rsidRPr="003B16FF">
        <w:rPr>
          <w:szCs w:val="26"/>
        </w:rPr>
        <w:t>s</w:t>
      </w:r>
      <w:r w:rsidR="00B662C7" w:rsidRPr="003B16FF">
        <w:rPr>
          <w:szCs w:val="26"/>
        </w:rPr>
        <w:t xml:space="preserve"> there</w:t>
      </w:r>
      <w:r w:rsidR="005109A0" w:rsidRPr="003B16FF">
        <w:rPr>
          <w:szCs w:val="26"/>
        </w:rPr>
        <w:t xml:space="preserve"> is </w:t>
      </w:r>
      <w:r w:rsidR="00B662C7" w:rsidRPr="003B16FF">
        <w:rPr>
          <w:szCs w:val="26"/>
        </w:rPr>
        <w:t xml:space="preserve">an </w:t>
      </w:r>
      <w:r w:rsidR="005109A0" w:rsidRPr="003B16FF">
        <w:rPr>
          <w:szCs w:val="26"/>
        </w:rPr>
        <w:t xml:space="preserve">interplay between specific areas of </w:t>
      </w:r>
      <w:r w:rsidR="00221E48" w:rsidRPr="003B16FF">
        <w:rPr>
          <w:szCs w:val="26"/>
        </w:rPr>
        <w:t xml:space="preserve">the recovery plan </w:t>
      </w:r>
      <w:r w:rsidR="00CA4B41" w:rsidRPr="003B16FF">
        <w:rPr>
          <w:szCs w:val="26"/>
        </w:rPr>
        <w:t xml:space="preserve">which are set out below </w:t>
      </w:r>
      <w:r w:rsidR="00221E48" w:rsidRPr="003B16FF">
        <w:rPr>
          <w:szCs w:val="26"/>
        </w:rPr>
        <w:t xml:space="preserve">and the CES. </w:t>
      </w:r>
    </w:p>
    <w:p w14:paraId="7EA5392B" w14:textId="77777777" w:rsidR="00614C65" w:rsidRPr="0076300B" w:rsidRDefault="00614C65" w:rsidP="00FC684A">
      <w:pPr>
        <w:pStyle w:val="Heading4"/>
      </w:pPr>
      <w:r w:rsidRPr="0076300B">
        <w:t xml:space="preserve">Regional Enterprise Strategy </w:t>
      </w:r>
    </w:p>
    <w:p w14:paraId="238F2D6B" w14:textId="1EAF6B96" w:rsidR="00614C65" w:rsidRPr="0076300B" w:rsidRDefault="00614C65" w:rsidP="00FC684A">
      <w:pPr>
        <w:rPr>
          <w:szCs w:val="26"/>
        </w:rPr>
      </w:pPr>
      <w:r>
        <w:rPr>
          <w:szCs w:val="26"/>
        </w:rPr>
        <w:t xml:space="preserve">The </w:t>
      </w:r>
      <w:r w:rsidRPr="0076300B">
        <w:rPr>
          <w:szCs w:val="26"/>
        </w:rPr>
        <w:t>Regional Enterprise Strategy</w:t>
      </w:r>
      <w:r>
        <w:rPr>
          <w:szCs w:val="26"/>
        </w:rPr>
        <w:t xml:space="preserve"> 2020</w:t>
      </w:r>
      <w:r>
        <w:rPr>
          <w:rStyle w:val="FootnoteReference"/>
          <w:rFonts w:ascii="Gill Sans MT" w:hAnsi="Gill Sans MT"/>
          <w:sz w:val="26"/>
          <w:szCs w:val="26"/>
        </w:rPr>
        <w:footnoteReference w:id="10"/>
      </w:r>
      <w:r w:rsidRPr="0076300B">
        <w:rPr>
          <w:szCs w:val="26"/>
        </w:rPr>
        <w:t xml:space="preserve"> </w:t>
      </w:r>
      <w:r>
        <w:rPr>
          <w:szCs w:val="26"/>
        </w:rPr>
        <w:t>outlines in objective</w:t>
      </w:r>
      <w:r w:rsidR="00032F6C">
        <w:rPr>
          <w:szCs w:val="26"/>
        </w:rPr>
        <w:t xml:space="preserve"> five</w:t>
      </w:r>
      <w:r w:rsidRPr="0076300B">
        <w:rPr>
          <w:szCs w:val="26"/>
        </w:rPr>
        <w:t xml:space="preserve"> </w:t>
      </w:r>
      <w:r>
        <w:rPr>
          <w:szCs w:val="26"/>
        </w:rPr>
        <w:t xml:space="preserve">the aim </w:t>
      </w:r>
      <w:r w:rsidRPr="0076300B">
        <w:rPr>
          <w:szCs w:val="26"/>
        </w:rPr>
        <w:t>to develop and communicate a pathway to economic activity for a selected cohort(s)</w:t>
      </w:r>
      <w:r w:rsidR="00CA4B41">
        <w:rPr>
          <w:szCs w:val="26"/>
        </w:rPr>
        <w:t>,</w:t>
      </w:r>
      <w:r w:rsidR="00F74AAD">
        <w:rPr>
          <w:szCs w:val="26"/>
        </w:rPr>
        <w:t xml:space="preserve"> </w:t>
      </w:r>
      <w:r w:rsidR="00CA4B41">
        <w:rPr>
          <w:szCs w:val="26"/>
        </w:rPr>
        <w:t>i</w:t>
      </w:r>
      <w:r w:rsidRPr="0076300B">
        <w:rPr>
          <w:szCs w:val="26"/>
        </w:rPr>
        <w:t xml:space="preserve">ncluding:  </w:t>
      </w:r>
    </w:p>
    <w:p w14:paraId="46CE3305" w14:textId="77777777" w:rsidR="00614C65" w:rsidRPr="0076300B" w:rsidRDefault="00614C65" w:rsidP="00FC684A">
      <w:pPr>
        <w:pStyle w:val="ListBullet"/>
        <w:tabs>
          <w:tab w:val="clear" w:pos="360"/>
          <w:tab w:val="num" w:pos="720"/>
        </w:tabs>
        <w:ind w:left="720"/>
      </w:pPr>
      <w:r w:rsidRPr="0076300B">
        <w:t xml:space="preserve">People with Physical &amp; Mental Disabilities </w:t>
      </w:r>
    </w:p>
    <w:p w14:paraId="6F8815CA" w14:textId="63630A4F" w:rsidR="00614C65" w:rsidRPr="0076300B" w:rsidRDefault="00614C65" w:rsidP="00FC684A">
      <w:pPr>
        <w:pStyle w:val="ListBullet"/>
        <w:tabs>
          <w:tab w:val="clear" w:pos="360"/>
          <w:tab w:val="num" w:pos="720"/>
        </w:tabs>
        <w:ind w:left="720"/>
      </w:pPr>
      <w:r w:rsidRPr="0076300B">
        <w:t>Pe</w:t>
      </w:r>
      <w:r w:rsidR="00032F6C">
        <w:t>ople returning to the workplace</w:t>
      </w:r>
      <w:r w:rsidRPr="0076300B">
        <w:t xml:space="preserve"> who may have exited throug</w:t>
      </w:r>
      <w:r w:rsidR="00032F6C">
        <w:t>h choice or illness or other reasons</w:t>
      </w:r>
      <w:r w:rsidRPr="0076300B">
        <w:t xml:space="preserve"> </w:t>
      </w:r>
    </w:p>
    <w:p w14:paraId="49591424" w14:textId="77777777" w:rsidR="00032F6C" w:rsidRPr="003B16FF" w:rsidRDefault="00614C65" w:rsidP="00FC684A">
      <w:pPr>
        <w:rPr>
          <w:szCs w:val="26"/>
        </w:rPr>
      </w:pPr>
      <w:r>
        <w:rPr>
          <w:szCs w:val="26"/>
        </w:rPr>
        <w:t>Fulfilling t</w:t>
      </w:r>
      <w:r w:rsidRPr="0076300B">
        <w:rPr>
          <w:szCs w:val="26"/>
        </w:rPr>
        <w:t xml:space="preserve">his action </w:t>
      </w:r>
      <w:r>
        <w:rPr>
          <w:szCs w:val="26"/>
        </w:rPr>
        <w:t>will be</w:t>
      </w:r>
      <w:r w:rsidRPr="0076300B">
        <w:rPr>
          <w:szCs w:val="26"/>
        </w:rPr>
        <w:t xml:space="preserve"> central to </w:t>
      </w:r>
      <w:r>
        <w:rPr>
          <w:szCs w:val="26"/>
        </w:rPr>
        <w:t xml:space="preserve">the government’s response to </w:t>
      </w:r>
      <w:r w:rsidRPr="0076300B">
        <w:rPr>
          <w:szCs w:val="26"/>
        </w:rPr>
        <w:t>addressing the increased numbers of people with mental health difficulties because of COVID-19. There is now emerging evidence from the World Health Organisation that the i</w:t>
      </w:r>
      <w:r w:rsidR="00032F6C">
        <w:rPr>
          <w:szCs w:val="26"/>
        </w:rPr>
        <w:t xml:space="preserve">mpact of the COVID-19 </w:t>
      </w:r>
      <w:r w:rsidR="00032F6C" w:rsidRPr="003B16FF">
        <w:rPr>
          <w:szCs w:val="26"/>
        </w:rPr>
        <w:t xml:space="preserve">pandemic </w:t>
      </w:r>
      <w:r w:rsidRPr="003B16FF">
        <w:rPr>
          <w:szCs w:val="26"/>
        </w:rPr>
        <w:t>on people’s mental health</w:t>
      </w:r>
      <w:r w:rsidR="00032F6C" w:rsidRPr="003B16FF">
        <w:rPr>
          <w:szCs w:val="26"/>
        </w:rPr>
        <w:t xml:space="preserve"> are serious stating that </w:t>
      </w:r>
    </w:p>
    <w:p w14:paraId="63AF803C" w14:textId="23306BF0" w:rsidR="00032F6C" w:rsidRPr="003B16FF" w:rsidRDefault="00032F6C" w:rsidP="00032F6C">
      <w:pPr>
        <w:pStyle w:val="BlockQuote"/>
      </w:pPr>
      <w:r w:rsidRPr="003B16FF">
        <w:t>“…[mental health]</w:t>
      </w:r>
      <w:r w:rsidR="00614C65" w:rsidRPr="003B16FF">
        <w:t xml:space="preserve"> is already extremely concerning, social isolation, fear of contagion, and loss of family members is compounded by the distress caused by loss of income and often employment.</w:t>
      </w:r>
      <w:r w:rsidRPr="003B16FF">
        <w:t>”</w:t>
      </w:r>
      <w:r w:rsidR="002D0151" w:rsidRPr="003B16FF">
        <w:rPr>
          <w:rStyle w:val="FootnoteReference"/>
          <w:szCs w:val="26"/>
        </w:rPr>
        <w:footnoteReference w:id="11"/>
      </w:r>
      <w:r w:rsidR="00614C65" w:rsidRPr="003B16FF">
        <w:t xml:space="preserve"> </w:t>
      </w:r>
    </w:p>
    <w:p w14:paraId="0D0C3C71" w14:textId="7B16B762" w:rsidR="007B6799" w:rsidRPr="003B16FF" w:rsidRDefault="00614C65" w:rsidP="00FC684A">
      <w:pPr>
        <w:rPr>
          <w:szCs w:val="26"/>
        </w:rPr>
      </w:pPr>
      <w:r w:rsidRPr="003B16FF">
        <w:rPr>
          <w:szCs w:val="26"/>
        </w:rPr>
        <w:t>Th</w:t>
      </w:r>
      <w:r w:rsidR="00CA4B41" w:rsidRPr="003B16FF">
        <w:rPr>
          <w:szCs w:val="26"/>
        </w:rPr>
        <w:t>e NDA advises that th</w:t>
      </w:r>
      <w:r w:rsidRPr="003B16FF">
        <w:rPr>
          <w:szCs w:val="26"/>
        </w:rPr>
        <w:t xml:space="preserve">is </w:t>
      </w:r>
      <w:r w:rsidR="008C707F" w:rsidRPr="003B16FF">
        <w:rPr>
          <w:szCs w:val="26"/>
        </w:rPr>
        <w:t xml:space="preserve">specific </w:t>
      </w:r>
      <w:r w:rsidRPr="003B16FF">
        <w:rPr>
          <w:szCs w:val="26"/>
        </w:rPr>
        <w:t>action</w:t>
      </w:r>
      <w:r w:rsidR="008C707F" w:rsidRPr="003B16FF">
        <w:rPr>
          <w:szCs w:val="26"/>
        </w:rPr>
        <w:t xml:space="preserve"> </w:t>
      </w:r>
      <w:r w:rsidR="00CA4B41" w:rsidRPr="003B16FF">
        <w:rPr>
          <w:szCs w:val="26"/>
        </w:rPr>
        <w:t>is aligned</w:t>
      </w:r>
      <w:r w:rsidR="008C707F" w:rsidRPr="003B16FF">
        <w:rPr>
          <w:szCs w:val="26"/>
        </w:rPr>
        <w:t xml:space="preserve"> with</w:t>
      </w:r>
      <w:r w:rsidRPr="003B16FF">
        <w:rPr>
          <w:szCs w:val="26"/>
        </w:rPr>
        <w:t xml:space="preserve"> CES Strategic Priority </w:t>
      </w:r>
      <w:r w:rsidR="00032F6C" w:rsidRPr="003B16FF">
        <w:rPr>
          <w:szCs w:val="26"/>
        </w:rPr>
        <w:t>four</w:t>
      </w:r>
      <w:r w:rsidRPr="003B16FF">
        <w:rPr>
          <w:szCs w:val="26"/>
        </w:rPr>
        <w:t xml:space="preserve"> </w:t>
      </w:r>
      <w:r w:rsidR="00221E48" w:rsidRPr="003B16FF">
        <w:rPr>
          <w:szCs w:val="26"/>
        </w:rPr>
        <w:t>which</w:t>
      </w:r>
      <w:r w:rsidRPr="003B16FF">
        <w:rPr>
          <w:szCs w:val="26"/>
        </w:rPr>
        <w:t xml:space="preserve"> focuses on return to work for those who have acquired a disability or long-term health condition during their working life. </w:t>
      </w:r>
    </w:p>
    <w:p w14:paraId="6288FDBA" w14:textId="60072466" w:rsidR="00B467AC" w:rsidRDefault="00B467AC" w:rsidP="00FC684A">
      <w:pPr>
        <w:pStyle w:val="Heading4"/>
      </w:pPr>
      <w:r>
        <w:t xml:space="preserve">National Skills Strategy </w:t>
      </w:r>
    </w:p>
    <w:p w14:paraId="09AC0586" w14:textId="1F21FF8B" w:rsidR="005109A0" w:rsidRPr="00B467AC" w:rsidRDefault="005109A0" w:rsidP="00FC684A">
      <w:pPr>
        <w:rPr>
          <w:szCs w:val="26"/>
        </w:rPr>
      </w:pPr>
      <w:r w:rsidRPr="00B467AC">
        <w:rPr>
          <w:szCs w:val="26"/>
        </w:rPr>
        <w:t>The government is committed to supporting, through reskilling and training programmes, people who have lost their jobs to return to the workforce as soon as</w:t>
      </w:r>
      <w:r w:rsidR="00221E48">
        <w:rPr>
          <w:szCs w:val="26"/>
        </w:rPr>
        <w:t xml:space="preserve"> possible</w:t>
      </w:r>
      <w:r w:rsidRPr="00B467AC">
        <w:rPr>
          <w:szCs w:val="26"/>
        </w:rPr>
        <w:t>. These education, training and reskilling programmes will help workers in sectors unlikely to return to full capacity in the next year to avail of opportunities in other more sustainable sectors.</w:t>
      </w:r>
      <w:r w:rsidR="00890B73">
        <w:rPr>
          <w:szCs w:val="26"/>
        </w:rPr>
        <w:t xml:space="preserve"> </w:t>
      </w:r>
      <w:r w:rsidR="00611C4A">
        <w:rPr>
          <w:szCs w:val="26"/>
        </w:rPr>
        <w:t xml:space="preserve">CES strategic priorities </w:t>
      </w:r>
      <w:r w:rsidR="00032F6C">
        <w:rPr>
          <w:szCs w:val="26"/>
        </w:rPr>
        <w:t>one and two</w:t>
      </w:r>
      <w:r w:rsidR="00611C4A">
        <w:rPr>
          <w:szCs w:val="26"/>
        </w:rPr>
        <w:t xml:space="preserve"> are directly related to obtaining skills required for work.</w:t>
      </w:r>
    </w:p>
    <w:p w14:paraId="59B6EC93" w14:textId="77777777" w:rsidR="007F6B78" w:rsidRPr="003B16FF" w:rsidRDefault="007F6B78" w:rsidP="007F6B78">
      <w:pPr>
        <w:pStyle w:val="Heading3"/>
      </w:pPr>
      <w:bookmarkStart w:id="9" w:name="_Toc66782875"/>
      <w:r w:rsidRPr="003B16FF">
        <w:t>Roadmap for Social Inclusion 2020 - 2025</w:t>
      </w:r>
      <w:bookmarkEnd w:id="9"/>
    </w:p>
    <w:p w14:paraId="599EB0CC" w14:textId="0DE6CECB" w:rsidR="007F6B78" w:rsidRPr="003B16FF" w:rsidRDefault="007F6B78" w:rsidP="007F6B78">
      <w:pPr>
        <w:rPr>
          <w:szCs w:val="26"/>
        </w:rPr>
      </w:pPr>
      <w:r w:rsidRPr="003B16FF">
        <w:rPr>
          <w:rFonts w:ascii="Gill Sans" w:hAnsi="Gill Sans"/>
        </w:rPr>
        <w:t xml:space="preserve">In regard to social inclusion and poverty reduction the </w:t>
      </w:r>
      <w:r w:rsidRPr="003B16FF">
        <w:rPr>
          <w:szCs w:val="26"/>
        </w:rPr>
        <w:t xml:space="preserve">NDA welcomes the Department of Social Protections commitments </w:t>
      </w:r>
      <w:r w:rsidRPr="003B16FF">
        <w:rPr>
          <w:rFonts w:ascii="Gill Sans" w:hAnsi="Gill Sans"/>
        </w:rPr>
        <w:t>‘</w:t>
      </w:r>
      <w:r w:rsidRPr="003B16FF">
        <w:rPr>
          <w:rFonts w:ascii="Gill Sans" w:hAnsi="Gill Sans"/>
          <w:bCs/>
        </w:rPr>
        <w:t>To promote active participation and inclusion in society through the provision of income supports, employment services and other services</w:t>
      </w:r>
      <w:r w:rsidRPr="003B16FF">
        <w:rPr>
          <w:rFonts w:ascii="Gill Sans" w:hAnsi="Gill Sans"/>
        </w:rPr>
        <w:t>’.</w:t>
      </w:r>
      <w:r w:rsidRPr="003B16FF">
        <w:rPr>
          <w:szCs w:val="26"/>
        </w:rPr>
        <w:t xml:space="preserve"> </w:t>
      </w:r>
      <w:r w:rsidR="00CA4B41" w:rsidRPr="003B16FF">
        <w:rPr>
          <w:szCs w:val="26"/>
        </w:rPr>
        <w:t>The D</w:t>
      </w:r>
      <w:r w:rsidRPr="003B16FF">
        <w:rPr>
          <w:szCs w:val="26"/>
        </w:rPr>
        <w:t xml:space="preserve">epartment’s </w:t>
      </w:r>
      <w:r w:rsidR="00CA4B41" w:rsidRPr="003B16FF">
        <w:rPr>
          <w:szCs w:val="26"/>
        </w:rPr>
        <w:t xml:space="preserve">targets in relation to </w:t>
      </w:r>
      <w:r w:rsidRPr="003B16FF">
        <w:rPr>
          <w:rFonts w:cs="Calibri"/>
          <w:bCs/>
          <w:szCs w:val="26"/>
        </w:rPr>
        <w:t>poverty reduction and employment</w:t>
      </w:r>
      <w:r w:rsidRPr="003B16FF">
        <w:rPr>
          <w:szCs w:val="26"/>
        </w:rPr>
        <w:t xml:space="preserve"> </w:t>
      </w:r>
      <w:r w:rsidR="00CA4B41" w:rsidRPr="003B16FF">
        <w:rPr>
          <w:szCs w:val="26"/>
        </w:rPr>
        <w:t xml:space="preserve">rates </w:t>
      </w:r>
      <w:r w:rsidRPr="003B16FF">
        <w:rPr>
          <w:rFonts w:cs="Calibri"/>
          <w:szCs w:val="26"/>
        </w:rPr>
        <w:t>for people with disabilities</w:t>
      </w:r>
      <w:r w:rsidR="00CA4B41" w:rsidRPr="003B16FF">
        <w:rPr>
          <w:rFonts w:cs="Calibri"/>
          <w:szCs w:val="26"/>
        </w:rPr>
        <w:t xml:space="preserve"> offers routes to progressing this aim</w:t>
      </w:r>
      <w:r w:rsidRPr="003B16FF">
        <w:rPr>
          <w:rFonts w:cs="Calibri"/>
          <w:szCs w:val="26"/>
        </w:rPr>
        <w:t xml:space="preserve">: </w:t>
      </w:r>
    </w:p>
    <w:p w14:paraId="37F16371" w14:textId="77777777" w:rsidR="007F6B78" w:rsidRPr="003B16FF" w:rsidRDefault="007F6B78" w:rsidP="00FC684A">
      <w:pPr>
        <w:pStyle w:val="ListBullet"/>
      </w:pPr>
      <w:r w:rsidRPr="003B16FF">
        <w:t xml:space="preserve">Reduce the at risk of poverty or social exclusion rate from 36.9% first to 28.7% (2025) and then to 22.7% (2030); </w:t>
      </w:r>
    </w:p>
    <w:p w14:paraId="1AD6C616" w14:textId="66EFAD30" w:rsidR="00BD2B99" w:rsidRPr="003B16FF" w:rsidRDefault="007F6B78" w:rsidP="00FC684A">
      <w:pPr>
        <w:pStyle w:val="ListBullet"/>
      </w:pPr>
      <w:r w:rsidRPr="003B16FF">
        <w:t>Increase the employment rate from 22.3% first to 25% (2021) and then to 33% (2027)’</w:t>
      </w:r>
      <w:r w:rsidRPr="003B16FF">
        <w:rPr>
          <w:rStyle w:val="FootnoteReference"/>
          <w:rFonts w:ascii="Gill Sans MT" w:hAnsi="Gill Sans MT" w:cs="Calibri"/>
          <w:sz w:val="26"/>
          <w:szCs w:val="26"/>
        </w:rPr>
        <w:footnoteReference w:id="12"/>
      </w:r>
    </w:p>
    <w:p w14:paraId="6D5827B4" w14:textId="2795B374" w:rsidR="00796146" w:rsidRDefault="00796146" w:rsidP="007E797D">
      <w:pPr>
        <w:pStyle w:val="Heading3"/>
      </w:pPr>
      <w:bookmarkStart w:id="10" w:name="_Toc66782876"/>
      <w:r>
        <w:t>Specific data collection initiatives</w:t>
      </w:r>
      <w:bookmarkEnd w:id="10"/>
    </w:p>
    <w:p w14:paraId="5DCD4F37" w14:textId="03086B79" w:rsidR="004467DD" w:rsidRPr="00FC684A" w:rsidRDefault="008F56EC" w:rsidP="00904AB0">
      <w:pPr>
        <w:rPr>
          <w:szCs w:val="26"/>
        </w:rPr>
      </w:pPr>
      <w:r>
        <w:rPr>
          <w:szCs w:val="26"/>
        </w:rPr>
        <w:t xml:space="preserve">To </w:t>
      </w:r>
      <w:r w:rsidR="00221E48">
        <w:rPr>
          <w:szCs w:val="26"/>
        </w:rPr>
        <w:t xml:space="preserve">support </w:t>
      </w:r>
      <w:r>
        <w:rPr>
          <w:szCs w:val="26"/>
        </w:rPr>
        <w:t>the work of the CES</w:t>
      </w:r>
      <w:r w:rsidRPr="00F027B3">
        <w:rPr>
          <w:szCs w:val="26"/>
        </w:rPr>
        <w:t>,</w:t>
      </w:r>
      <w:r>
        <w:rPr>
          <w:szCs w:val="26"/>
        </w:rPr>
        <w:t xml:space="preserve"> the NDA prepared</w:t>
      </w:r>
      <w:r w:rsidRPr="00F027B3">
        <w:rPr>
          <w:szCs w:val="26"/>
        </w:rPr>
        <w:t xml:space="preserve"> a report called ‘</w:t>
      </w:r>
      <w:r w:rsidRPr="00ED6F10">
        <w:rPr>
          <w:b/>
          <w:szCs w:val="26"/>
        </w:rPr>
        <w:t>Indicators for Monitoring Progress under the Comprehensive Employment Strategy for Persons with Disabilities 2015-2024</w:t>
      </w:r>
      <w:r w:rsidR="00E15F35">
        <w:rPr>
          <w:rStyle w:val="FootnoteReference"/>
          <w:rFonts w:ascii="Gill Sans MT" w:hAnsi="Gill Sans MT"/>
          <w:b/>
          <w:sz w:val="26"/>
          <w:szCs w:val="26"/>
        </w:rPr>
        <w:footnoteReference w:id="13"/>
      </w:r>
      <w:r w:rsidRPr="00ED6F10">
        <w:rPr>
          <w:b/>
          <w:szCs w:val="26"/>
        </w:rPr>
        <w:t>’</w:t>
      </w:r>
      <w:r>
        <w:rPr>
          <w:szCs w:val="26"/>
        </w:rPr>
        <w:t xml:space="preserve">. This report </w:t>
      </w:r>
      <w:r w:rsidRPr="00E27669">
        <w:t>measure</w:t>
      </w:r>
      <w:r w:rsidR="00796146">
        <w:t>d</w:t>
      </w:r>
      <w:r w:rsidRPr="00E27669">
        <w:t xml:space="preserve"> CES progress against a suite of indicators</w:t>
      </w:r>
      <w:r>
        <w:t xml:space="preserve"> that were </w:t>
      </w:r>
      <w:r w:rsidR="00B3771A">
        <w:t xml:space="preserve">devised by the NDA and </w:t>
      </w:r>
      <w:r>
        <w:t>agreed by the CESIG</w:t>
      </w:r>
      <w:r w:rsidRPr="00E27669">
        <w:t xml:space="preserve">. </w:t>
      </w:r>
      <w:r w:rsidR="00B3771A">
        <w:t xml:space="preserve">The report </w:t>
      </w:r>
      <w:r w:rsidRPr="00E27669">
        <w:t xml:space="preserve">offers a useful snapshot of CES performance </w:t>
      </w:r>
      <w:r w:rsidR="00B3771A">
        <w:t>at its mid-point,</w:t>
      </w:r>
      <w:r w:rsidR="00F74AAD">
        <w:t xml:space="preserve"> </w:t>
      </w:r>
      <w:r w:rsidRPr="00E27669">
        <w:t xml:space="preserve">as the information </w:t>
      </w:r>
      <w:r>
        <w:t>provided was</w:t>
      </w:r>
      <w:r w:rsidRPr="00E27669">
        <w:t xml:space="preserve"> collected</w:t>
      </w:r>
      <w:r>
        <w:t xml:space="preserve"> between 2019</w:t>
      </w:r>
      <w:r w:rsidRPr="00E27669">
        <w:t xml:space="preserve"> </w:t>
      </w:r>
      <w:r>
        <w:t xml:space="preserve">and October </w:t>
      </w:r>
      <w:r w:rsidRPr="00E27669">
        <w:t xml:space="preserve">2020. </w:t>
      </w:r>
      <w:r>
        <w:t>The</w:t>
      </w:r>
      <w:r w:rsidRPr="00E27669">
        <w:t xml:space="preserve"> report contains information on 30 indicators across the six strategic priorities. </w:t>
      </w:r>
      <w:r w:rsidR="005728AC">
        <w:t>Evidence from these Indicators is interwoven through this assessment of CES activity during 2020.</w:t>
      </w:r>
      <w:r w:rsidR="00230D73">
        <w:t xml:space="preserve"> A </w:t>
      </w:r>
      <w:r w:rsidR="00B3771A">
        <w:t xml:space="preserve">limitation </w:t>
      </w:r>
      <w:r w:rsidR="00230D73">
        <w:t>of th</w:t>
      </w:r>
      <w:r w:rsidR="00B3771A">
        <w:t>e</w:t>
      </w:r>
      <w:r w:rsidR="00230D73">
        <w:t xml:space="preserve"> report is that many of the indicators are </w:t>
      </w:r>
      <w:r w:rsidR="00032F6C">
        <w:t>process</w:t>
      </w:r>
      <w:r w:rsidR="00230D73">
        <w:t xml:space="preserve"> indicators and therefore don’t measure real change in terms of outcomes for persons with disabilities in relation to employment. </w:t>
      </w:r>
      <w:r w:rsidR="00E76159" w:rsidRPr="00904AB0">
        <w:rPr>
          <w:szCs w:val="26"/>
        </w:rPr>
        <w:t xml:space="preserve">The NDA </w:t>
      </w:r>
      <w:r w:rsidR="00B3771A">
        <w:rPr>
          <w:szCs w:val="26"/>
        </w:rPr>
        <w:t xml:space="preserve">also </w:t>
      </w:r>
      <w:r w:rsidR="00E76159">
        <w:rPr>
          <w:szCs w:val="26"/>
        </w:rPr>
        <w:t>welcomes the initiative of an</w:t>
      </w:r>
      <w:r w:rsidR="00E76159" w:rsidRPr="00904AB0">
        <w:rPr>
          <w:szCs w:val="26"/>
        </w:rPr>
        <w:t xml:space="preserve"> </w:t>
      </w:r>
      <w:r w:rsidR="00E76159" w:rsidRPr="00904AB0">
        <w:rPr>
          <w:bCs/>
          <w:szCs w:val="26"/>
        </w:rPr>
        <w:t xml:space="preserve">Equality </w:t>
      </w:r>
      <w:r w:rsidR="00E76159">
        <w:rPr>
          <w:bCs/>
          <w:szCs w:val="26"/>
        </w:rPr>
        <w:t>D</w:t>
      </w:r>
      <w:r w:rsidR="00E76159" w:rsidRPr="00904AB0">
        <w:rPr>
          <w:bCs/>
          <w:szCs w:val="26"/>
        </w:rPr>
        <w:t xml:space="preserve">ata </w:t>
      </w:r>
      <w:r w:rsidR="00E76159">
        <w:rPr>
          <w:bCs/>
          <w:szCs w:val="26"/>
        </w:rPr>
        <w:t>Audit</w:t>
      </w:r>
      <w:r w:rsidR="00E76159" w:rsidRPr="00904AB0">
        <w:rPr>
          <w:rStyle w:val="FootnoteReference"/>
          <w:rFonts w:ascii="Gill Sans MT" w:hAnsi="Gill Sans MT"/>
          <w:bCs/>
          <w:sz w:val="26"/>
          <w:szCs w:val="26"/>
        </w:rPr>
        <w:footnoteReference w:id="14"/>
      </w:r>
      <w:r w:rsidR="00E76159" w:rsidRPr="00904AB0">
        <w:rPr>
          <w:szCs w:val="26"/>
        </w:rPr>
        <w:t xml:space="preserve"> which was established to examine all data sets in public bodies and determine the extent of data available on one or more of the nine dimensions of equality</w:t>
      </w:r>
      <w:r w:rsidR="00E76159" w:rsidRPr="00904AB0">
        <w:rPr>
          <w:rStyle w:val="FootnoteReference"/>
          <w:rFonts w:ascii="Gill Sans MT" w:hAnsi="Gill Sans MT"/>
          <w:sz w:val="26"/>
          <w:szCs w:val="26"/>
        </w:rPr>
        <w:footnoteReference w:id="15"/>
      </w:r>
      <w:r w:rsidR="00E76159" w:rsidRPr="00904AB0">
        <w:rPr>
          <w:szCs w:val="26"/>
        </w:rPr>
        <w:t>. This data audit identified a total of 107 datasets on dimensions of equality, 24 of which included a marker on disability. However</w:t>
      </w:r>
      <w:r w:rsidR="00EC235C">
        <w:rPr>
          <w:szCs w:val="26"/>
        </w:rPr>
        <w:t>,</w:t>
      </w:r>
      <w:r w:rsidR="00E76159" w:rsidRPr="00904AB0">
        <w:rPr>
          <w:szCs w:val="26"/>
        </w:rPr>
        <w:t xml:space="preserve"> the key finding of the audit in relation to disability data was that a harmonised approach to collecting and classifying disability in public service data is currently lac</w:t>
      </w:r>
      <w:r w:rsidR="00E76159">
        <w:rPr>
          <w:szCs w:val="26"/>
        </w:rPr>
        <w:t xml:space="preserve">king and should be considered. </w:t>
      </w:r>
      <w:r w:rsidR="005728AC">
        <w:rPr>
          <w:szCs w:val="26"/>
        </w:rPr>
        <w:t>T</w:t>
      </w:r>
      <w:r w:rsidR="00982365">
        <w:rPr>
          <w:szCs w:val="26"/>
        </w:rPr>
        <w:t>he NDA notes that there continue to be gaps in the manner in which data</w:t>
      </w:r>
      <w:r w:rsidR="008D40BF">
        <w:rPr>
          <w:szCs w:val="26"/>
        </w:rPr>
        <w:t xml:space="preserve"> </w:t>
      </w:r>
      <w:r w:rsidR="00230D73">
        <w:rPr>
          <w:szCs w:val="26"/>
        </w:rPr>
        <w:t>are collected and</w:t>
      </w:r>
      <w:r w:rsidR="00982365">
        <w:rPr>
          <w:szCs w:val="26"/>
        </w:rPr>
        <w:t xml:space="preserve"> compiled </w:t>
      </w:r>
      <w:r w:rsidR="00230D73">
        <w:rPr>
          <w:szCs w:val="26"/>
        </w:rPr>
        <w:t xml:space="preserve">in order to facilitate measuring the </w:t>
      </w:r>
      <w:r w:rsidR="00982365">
        <w:rPr>
          <w:szCs w:val="26"/>
        </w:rPr>
        <w:t xml:space="preserve">impact of policy changes. </w:t>
      </w:r>
      <w:r w:rsidR="00E15F35">
        <w:rPr>
          <w:szCs w:val="26"/>
        </w:rPr>
        <w:t xml:space="preserve"> </w:t>
      </w:r>
    </w:p>
    <w:p w14:paraId="4CF5C198" w14:textId="67C03F13" w:rsidR="000A7C3F" w:rsidRPr="00CA1EF1" w:rsidRDefault="000A7C3F" w:rsidP="000A7C3F">
      <w:pPr>
        <w:keepNext/>
        <w:keepLines/>
        <w:pBdr>
          <w:top w:val="single" w:sz="4" w:space="1" w:color="auto"/>
          <w:left w:val="single" w:sz="4" w:space="4" w:color="auto"/>
          <w:bottom w:val="single" w:sz="4" w:space="1" w:color="auto"/>
          <w:right w:val="single" w:sz="4" w:space="4" w:color="auto"/>
        </w:pBdr>
        <w:spacing w:before="240"/>
        <w:outlineLvl w:val="0"/>
        <w:rPr>
          <w:rFonts w:eastAsiaTheme="majorEastAsia" w:cstheme="majorBidi"/>
          <w:sz w:val="32"/>
          <w:szCs w:val="32"/>
        </w:rPr>
      </w:pPr>
      <w:bookmarkStart w:id="11" w:name="_Toc66782877"/>
      <w:r>
        <w:rPr>
          <w:rFonts w:eastAsiaTheme="majorEastAsia" w:cstheme="majorBidi"/>
          <w:b/>
          <w:sz w:val="32"/>
          <w:szCs w:val="32"/>
          <w:lang w:val="en-US"/>
        </w:rPr>
        <w:t>Key findings from 2020 CES activity</w:t>
      </w:r>
      <w:bookmarkEnd w:id="11"/>
    </w:p>
    <w:p w14:paraId="00C87665" w14:textId="53432945" w:rsidR="004B426A" w:rsidRDefault="00BE7C78" w:rsidP="00093770">
      <w:pPr>
        <w:rPr>
          <w:szCs w:val="26"/>
        </w:rPr>
      </w:pPr>
      <w:r>
        <w:rPr>
          <w:szCs w:val="26"/>
        </w:rPr>
        <w:t>T</w:t>
      </w:r>
      <w:r w:rsidRPr="00AB1474">
        <w:rPr>
          <w:szCs w:val="26"/>
        </w:rPr>
        <w:t>h</w:t>
      </w:r>
      <w:r>
        <w:rPr>
          <w:szCs w:val="26"/>
        </w:rPr>
        <w:t>is</w:t>
      </w:r>
      <w:r w:rsidRPr="00AB1474">
        <w:rPr>
          <w:szCs w:val="26"/>
        </w:rPr>
        <w:t xml:space="preserve"> section summarises some of the highlights</w:t>
      </w:r>
      <w:r w:rsidR="00B3771A">
        <w:rPr>
          <w:szCs w:val="26"/>
        </w:rPr>
        <w:t xml:space="preserve"> in relation to the CES in 2020</w:t>
      </w:r>
      <w:r w:rsidRPr="00AB1474">
        <w:rPr>
          <w:szCs w:val="26"/>
        </w:rPr>
        <w:t xml:space="preserve">, </w:t>
      </w:r>
      <w:r w:rsidR="00B3771A">
        <w:rPr>
          <w:szCs w:val="26"/>
        </w:rPr>
        <w:t xml:space="preserve">while noting that </w:t>
      </w:r>
      <w:r>
        <w:rPr>
          <w:szCs w:val="26"/>
        </w:rPr>
        <w:t xml:space="preserve">work is ongoing, and </w:t>
      </w:r>
      <w:r w:rsidR="00EC235C">
        <w:rPr>
          <w:szCs w:val="26"/>
        </w:rPr>
        <w:t xml:space="preserve">that some </w:t>
      </w:r>
      <w:r>
        <w:rPr>
          <w:szCs w:val="26"/>
        </w:rPr>
        <w:t xml:space="preserve">actions </w:t>
      </w:r>
      <w:r w:rsidR="00EC235C">
        <w:rPr>
          <w:szCs w:val="26"/>
        </w:rPr>
        <w:t>will</w:t>
      </w:r>
      <w:r>
        <w:rPr>
          <w:szCs w:val="26"/>
        </w:rPr>
        <w:t xml:space="preserve"> require a more concerted effort in 2021.</w:t>
      </w:r>
      <w:r w:rsidRPr="00AB1474">
        <w:rPr>
          <w:szCs w:val="26"/>
        </w:rPr>
        <w:t xml:space="preserve"> </w:t>
      </w:r>
      <w:r>
        <w:rPr>
          <w:szCs w:val="26"/>
        </w:rPr>
        <w:t>While</w:t>
      </w:r>
      <w:r w:rsidR="00E27669" w:rsidRPr="00AB1474">
        <w:rPr>
          <w:szCs w:val="26"/>
        </w:rPr>
        <w:t xml:space="preserve"> COVID</w:t>
      </w:r>
      <w:r w:rsidR="00B52BF7">
        <w:rPr>
          <w:szCs w:val="26"/>
        </w:rPr>
        <w:t>-</w:t>
      </w:r>
      <w:r w:rsidR="00E27669" w:rsidRPr="00AB1474">
        <w:rPr>
          <w:szCs w:val="26"/>
        </w:rPr>
        <w:t xml:space="preserve">19 </w:t>
      </w:r>
      <w:r w:rsidR="00B3771A">
        <w:rPr>
          <w:szCs w:val="26"/>
        </w:rPr>
        <w:t>gave rise to</w:t>
      </w:r>
      <w:r>
        <w:rPr>
          <w:szCs w:val="26"/>
        </w:rPr>
        <w:t xml:space="preserve"> significant delays to some </w:t>
      </w:r>
      <w:r w:rsidR="00EC235C">
        <w:rPr>
          <w:szCs w:val="26"/>
        </w:rPr>
        <w:t>CES activities</w:t>
      </w:r>
      <w:r w:rsidR="00E27669" w:rsidRPr="00AB1474">
        <w:rPr>
          <w:szCs w:val="26"/>
        </w:rPr>
        <w:t xml:space="preserve"> </w:t>
      </w:r>
      <w:r>
        <w:rPr>
          <w:szCs w:val="26"/>
        </w:rPr>
        <w:t>the NDA notes</w:t>
      </w:r>
      <w:r w:rsidR="00920197">
        <w:rPr>
          <w:szCs w:val="26"/>
        </w:rPr>
        <w:t xml:space="preserve"> that </w:t>
      </w:r>
      <w:r w:rsidR="00B3771A">
        <w:rPr>
          <w:szCs w:val="26"/>
        </w:rPr>
        <w:t xml:space="preserve">in a number of cases the </w:t>
      </w:r>
      <w:r w:rsidR="00446170">
        <w:rPr>
          <w:szCs w:val="26"/>
        </w:rPr>
        <w:t xml:space="preserve">delays </w:t>
      </w:r>
      <w:r w:rsidR="00657CDF">
        <w:rPr>
          <w:szCs w:val="26"/>
        </w:rPr>
        <w:t xml:space="preserve">were </w:t>
      </w:r>
      <w:r w:rsidR="00F74AAD">
        <w:rPr>
          <w:szCs w:val="26"/>
        </w:rPr>
        <w:t>exacerbated rather</w:t>
      </w:r>
      <w:r w:rsidR="00B3771A">
        <w:rPr>
          <w:szCs w:val="26"/>
        </w:rPr>
        <w:t xml:space="preserve"> than</w:t>
      </w:r>
      <w:r w:rsidR="00657CDF">
        <w:rPr>
          <w:szCs w:val="26"/>
        </w:rPr>
        <w:t xml:space="preserve"> caused by the pandemic</w:t>
      </w:r>
      <w:r w:rsidR="00862C87">
        <w:rPr>
          <w:szCs w:val="26"/>
        </w:rPr>
        <w:t xml:space="preserve">. </w:t>
      </w:r>
    </w:p>
    <w:p w14:paraId="7077C7D8" w14:textId="3FB0802D" w:rsidR="00B06E88" w:rsidRPr="00577D95" w:rsidRDefault="00F40160" w:rsidP="00577D95">
      <w:pPr>
        <w:pStyle w:val="Heading2"/>
      </w:pPr>
      <w:bookmarkStart w:id="12" w:name="_Toc66782878"/>
      <w:r w:rsidRPr="00F73030">
        <w:t xml:space="preserve">Achievements </w:t>
      </w:r>
      <w:r w:rsidR="006D7937">
        <w:t>during 2020</w:t>
      </w:r>
      <w:r w:rsidRPr="00F73030">
        <w:t>:</w:t>
      </w:r>
      <w:bookmarkEnd w:id="12"/>
      <w:r w:rsidRPr="00F73030">
        <w:t xml:space="preserve"> </w:t>
      </w:r>
    </w:p>
    <w:p w14:paraId="4A1E9D83" w14:textId="410008BC" w:rsidR="00B06E88" w:rsidRPr="003B16FF" w:rsidRDefault="00EC235C" w:rsidP="00577D95">
      <w:pPr>
        <w:pStyle w:val="ListBullet"/>
      </w:pPr>
      <w:r w:rsidRPr="003B16FF">
        <w:t>DSP</w:t>
      </w:r>
      <w:r w:rsidR="00AE314B" w:rsidRPr="003B16FF">
        <w:t xml:space="preserve"> figures available in October</w:t>
      </w:r>
      <w:r w:rsidR="007064E2" w:rsidRPr="003B16FF">
        <w:rPr>
          <w:rStyle w:val="FootnoteReference"/>
        </w:rPr>
        <w:footnoteReference w:id="16"/>
      </w:r>
      <w:r w:rsidR="00AE314B" w:rsidRPr="003B16FF">
        <w:t xml:space="preserve"> 2020 indicate that approximately 3,570 people have taken up employment whilst on </w:t>
      </w:r>
      <w:r w:rsidR="00812511" w:rsidRPr="003B16FF">
        <w:t xml:space="preserve">disability allowance </w:t>
      </w:r>
      <w:r w:rsidR="00AE314B" w:rsidRPr="003B16FF">
        <w:t>since the Make Work Pay Report was launched in April 2017.</w:t>
      </w:r>
      <w:r w:rsidR="0038775D" w:rsidRPr="003B16FF">
        <w:t xml:space="preserve"> This </w:t>
      </w:r>
      <w:r w:rsidR="007E08E4" w:rsidRPr="003B16FF">
        <w:t xml:space="preserve">modest increase in numbers from 2019 </w:t>
      </w:r>
      <w:r w:rsidR="007E4453" w:rsidRPr="003B16FF">
        <w:t xml:space="preserve">indicates </w:t>
      </w:r>
      <w:r w:rsidR="0038775D" w:rsidRPr="003B16FF">
        <w:t xml:space="preserve">that people on welfare payments </w:t>
      </w:r>
      <w:r w:rsidR="007E08E4" w:rsidRPr="003B16FF">
        <w:t xml:space="preserve">such as </w:t>
      </w:r>
      <w:r w:rsidR="00C509DB" w:rsidRPr="003B16FF">
        <w:rPr>
          <w:rFonts w:cstheme="minorHAnsi"/>
        </w:rPr>
        <w:t>Disability Allowance (DA)</w:t>
      </w:r>
      <w:r w:rsidR="007E08E4" w:rsidRPr="003B16FF">
        <w:t xml:space="preserve"> are interested in </w:t>
      </w:r>
      <w:r w:rsidR="0038775D" w:rsidRPr="003B16FF">
        <w:t>employment</w:t>
      </w:r>
      <w:r w:rsidRPr="003B16FF">
        <w:t>.</w:t>
      </w:r>
    </w:p>
    <w:p w14:paraId="04D69D44" w14:textId="0A5AB6A6" w:rsidR="005D5D54" w:rsidRPr="000018A4" w:rsidRDefault="00E4055C" w:rsidP="000018A4">
      <w:pPr>
        <w:pStyle w:val="ListBullet"/>
        <w:numPr>
          <w:ilvl w:val="0"/>
          <w:numId w:val="0"/>
        </w:numPr>
        <w:ind w:left="360"/>
      </w:pPr>
      <w:r w:rsidRPr="00075DD0">
        <w:rPr>
          <w:rFonts w:cstheme="minorHAnsi"/>
        </w:rPr>
        <w:t>DSP</w:t>
      </w:r>
      <w:r w:rsidR="00AA6520" w:rsidRPr="00075DD0">
        <w:rPr>
          <w:rFonts w:cstheme="minorHAnsi"/>
        </w:rPr>
        <w:t>, through a budget 2021 measure, have</w:t>
      </w:r>
      <w:r w:rsidRPr="00075DD0">
        <w:rPr>
          <w:rFonts w:cstheme="minorHAnsi"/>
        </w:rPr>
        <w:t xml:space="preserve"> increased the </w:t>
      </w:r>
      <w:r w:rsidR="00C509DB" w:rsidRPr="00075DD0">
        <w:rPr>
          <w:rFonts w:cstheme="minorHAnsi"/>
        </w:rPr>
        <w:t>D</w:t>
      </w:r>
      <w:r w:rsidR="00EC235C" w:rsidRPr="00075DD0">
        <w:rPr>
          <w:rFonts w:cstheme="minorHAnsi"/>
        </w:rPr>
        <w:t xml:space="preserve">isability </w:t>
      </w:r>
      <w:r w:rsidR="00C509DB" w:rsidRPr="00075DD0">
        <w:rPr>
          <w:rFonts w:cstheme="minorHAnsi"/>
        </w:rPr>
        <w:t>A</w:t>
      </w:r>
      <w:r w:rsidR="00EC235C" w:rsidRPr="00075DD0">
        <w:rPr>
          <w:rFonts w:cstheme="minorHAnsi"/>
        </w:rPr>
        <w:t>llowance</w:t>
      </w:r>
      <w:r w:rsidR="00C509DB" w:rsidRPr="00075DD0">
        <w:rPr>
          <w:rFonts w:cstheme="minorHAnsi"/>
        </w:rPr>
        <w:t xml:space="preserve"> </w:t>
      </w:r>
      <w:r w:rsidR="00EC235C" w:rsidRPr="00075DD0">
        <w:rPr>
          <w:rFonts w:cstheme="minorHAnsi"/>
        </w:rPr>
        <w:t>and Blind Pension</w:t>
      </w:r>
      <w:r w:rsidR="009A51ED" w:rsidRPr="00075DD0">
        <w:rPr>
          <w:rFonts w:cstheme="minorHAnsi"/>
        </w:rPr>
        <w:t xml:space="preserve"> </w:t>
      </w:r>
      <w:r w:rsidR="00B06E88" w:rsidRPr="00075DD0">
        <w:rPr>
          <w:rFonts w:cstheme="minorHAnsi"/>
        </w:rPr>
        <w:t>earnings disregard</w:t>
      </w:r>
      <w:r w:rsidR="00581F20" w:rsidRPr="00075DD0">
        <w:rPr>
          <w:rStyle w:val="FootnoteReference"/>
          <w:rFonts w:cstheme="minorHAnsi"/>
        </w:rPr>
        <w:footnoteReference w:id="17"/>
      </w:r>
      <w:r w:rsidR="009A51ED" w:rsidRPr="000018A4">
        <w:rPr>
          <w:rFonts w:cstheme="minorHAnsi"/>
        </w:rPr>
        <w:t xml:space="preserve"> </w:t>
      </w:r>
      <w:r w:rsidR="00B06E88" w:rsidRPr="000018A4">
        <w:rPr>
          <w:rFonts w:cstheme="minorHAnsi"/>
        </w:rPr>
        <w:t xml:space="preserve">by €20 </w:t>
      </w:r>
      <w:r w:rsidR="007F474B" w:rsidRPr="000018A4">
        <w:rPr>
          <w:rFonts w:cstheme="minorHAnsi"/>
        </w:rPr>
        <w:t xml:space="preserve">each </w:t>
      </w:r>
      <w:r w:rsidR="00AA6520" w:rsidRPr="000018A4">
        <w:rPr>
          <w:rFonts w:cstheme="minorHAnsi"/>
        </w:rPr>
        <w:t xml:space="preserve">per week </w:t>
      </w:r>
      <w:r w:rsidR="00B06E88" w:rsidRPr="000018A4">
        <w:rPr>
          <w:rFonts w:cstheme="minorHAnsi"/>
        </w:rPr>
        <w:t>from €120 to €140</w:t>
      </w:r>
      <w:r w:rsidR="00AA6520" w:rsidRPr="000018A4">
        <w:rPr>
          <w:rFonts w:cstheme="minorHAnsi"/>
        </w:rPr>
        <w:t>.</w:t>
      </w:r>
      <w:r w:rsidR="00D434E0" w:rsidRPr="00075DD0">
        <w:rPr>
          <w:rStyle w:val="FootnoteReference"/>
          <w:rFonts w:cstheme="minorHAnsi"/>
        </w:rPr>
        <w:footnoteReference w:id="18"/>
      </w:r>
      <w:r w:rsidR="00314FFB" w:rsidRPr="000018A4">
        <w:rPr>
          <w:rFonts w:cstheme="minorHAnsi"/>
        </w:rPr>
        <w:t>.</w:t>
      </w:r>
      <w:r w:rsidRPr="000018A4">
        <w:rPr>
          <w:rFonts w:cstheme="minorHAnsi"/>
        </w:rPr>
        <w:t>DSP</w:t>
      </w:r>
      <w:r w:rsidR="00AA6520" w:rsidRPr="000018A4">
        <w:rPr>
          <w:rFonts w:cstheme="minorHAnsi"/>
        </w:rPr>
        <w:t>,</w:t>
      </w:r>
      <w:r w:rsidRPr="000018A4">
        <w:rPr>
          <w:rFonts w:cstheme="minorHAnsi"/>
        </w:rPr>
        <w:t xml:space="preserve"> </w:t>
      </w:r>
      <w:r w:rsidR="00AA6520" w:rsidRPr="000018A4">
        <w:rPr>
          <w:rFonts w:cstheme="minorHAnsi"/>
        </w:rPr>
        <w:t>through a budget 2021 measure, have prov</w:t>
      </w:r>
      <w:r w:rsidR="000E625C" w:rsidRPr="000018A4">
        <w:rPr>
          <w:rFonts w:cstheme="minorHAnsi"/>
        </w:rPr>
        <w:t>i</w:t>
      </w:r>
      <w:r w:rsidR="00AA6520" w:rsidRPr="000018A4">
        <w:rPr>
          <w:rFonts w:cstheme="minorHAnsi"/>
        </w:rPr>
        <w:t>ded</w:t>
      </w:r>
      <w:r w:rsidRPr="000018A4">
        <w:rPr>
          <w:rFonts w:cstheme="minorHAnsi"/>
        </w:rPr>
        <w:t xml:space="preserve"> additional funding to contractors delivering Employability services on its behalf.  This will see a grant </w:t>
      </w:r>
      <w:r w:rsidR="004B45C2" w:rsidRPr="000018A4">
        <w:rPr>
          <w:rFonts w:cstheme="minorHAnsi"/>
        </w:rPr>
        <w:t xml:space="preserve">being </w:t>
      </w:r>
      <w:r w:rsidRPr="000018A4">
        <w:rPr>
          <w:rFonts w:cstheme="minorHAnsi"/>
        </w:rPr>
        <w:t>available of up to €1,000</w:t>
      </w:r>
      <w:r w:rsidR="00EC235C" w:rsidRPr="000018A4">
        <w:rPr>
          <w:rFonts w:cstheme="minorHAnsi"/>
        </w:rPr>
        <w:t xml:space="preserve"> </w:t>
      </w:r>
      <w:r w:rsidR="00AA6520" w:rsidRPr="000018A4">
        <w:rPr>
          <w:rFonts w:cstheme="minorHAnsi"/>
        </w:rPr>
        <w:t xml:space="preserve">for jobseekers </w:t>
      </w:r>
      <w:r w:rsidR="004B45C2" w:rsidRPr="000018A4">
        <w:rPr>
          <w:rFonts w:cstheme="minorHAnsi"/>
        </w:rPr>
        <w:t>engaging with the services / a Job Coach.</w:t>
      </w:r>
    </w:p>
    <w:p w14:paraId="5A0D6022" w14:textId="2F35B0F7" w:rsidR="00F40160" w:rsidRPr="00FD3F7B" w:rsidRDefault="00F40160" w:rsidP="00577D95">
      <w:pPr>
        <w:pStyle w:val="ListBullet"/>
      </w:pPr>
      <w:r>
        <w:rPr>
          <w:rFonts w:ascii="Gill Sans" w:hAnsi="Gill Sans"/>
        </w:rPr>
        <w:t>The HSE Mental Health teams working on the Ind</w:t>
      </w:r>
      <w:r w:rsidR="007E08E4">
        <w:rPr>
          <w:rFonts w:ascii="Gill Sans" w:hAnsi="Gill Sans"/>
        </w:rPr>
        <w:t xml:space="preserve">ividual Placements and Support </w:t>
      </w:r>
      <w:r w:rsidR="00CC772D">
        <w:rPr>
          <w:rFonts w:ascii="Gill Sans" w:hAnsi="Gill Sans"/>
        </w:rPr>
        <w:t xml:space="preserve">(IPS) </w:t>
      </w:r>
      <w:r w:rsidR="007E08E4">
        <w:rPr>
          <w:rFonts w:ascii="Gill Sans" w:hAnsi="Gill Sans"/>
        </w:rPr>
        <w:t>m</w:t>
      </w:r>
      <w:r>
        <w:rPr>
          <w:rFonts w:ascii="Gill Sans" w:hAnsi="Gill Sans"/>
        </w:rPr>
        <w:t>odel of supported employment continued to deliver training programme</w:t>
      </w:r>
      <w:r w:rsidR="00C509DB">
        <w:rPr>
          <w:rFonts w:ascii="Gill Sans" w:hAnsi="Gill Sans"/>
        </w:rPr>
        <w:t>s</w:t>
      </w:r>
      <w:r>
        <w:rPr>
          <w:rFonts w:ascii="Gill Sans" w:hAnsi="Gill Sans"/>
        </w:rPr>
        <w:t xml:space="preserve"> and national network days. </w:t>
      </w:r>
      <w:r w:rsidR="007E08E4">
        <w:rPr>
          <w:rFonts w:ascii="Gill Sans" w:hAnsi="Gill Sans"/>
        </w:rPr>
        <w:t xml:space="preserve">These days provide an opportunity to share learning from the different IPS sites. </w:t>
      </w:r>
      <w:r>
        <w:rPr>
          <w:rFonts w:ascii="Gill Sans" w:hAnsi="Gill Sans"/>
        </w:rPr>
        <w:t xml:space="preserve">Each site </w:t>
      </w:r>
      <w:r w:rsidR="007E08E4">
        <w:rPr>
          <w:rFonts w:ascii="Gill Sans" w:hAnsi="Gill Sans"/>
        </w:rPr>
        <w:t xml:space="preserve">involved in the IPS programme </w:t>
      </w:r>
      <w:r>
        <w:rPr>
          <w:rFonts w:ascii="Gill Sans" w:hAnsi="Gill Sans"/>
        </w:rPr>
        <w:t xml:space="preserve">commenced </w:t>
      </w:r>
      <w:r w:rsidR="007E24AB">
        <w:rPr>
          <w:rFonts w:ascii="Gill Sans" w:hAnsi="Gill Sans"/>
        </w:rPr>
        <w:t xml:space="preserve">a </w:t>
      </w:r>
      <w:r>
        <w:rPr>
          <w:rFonts w:ascii="Gill Sans" w:hAnsi="Gill Sans"/>
        </w:rPr>
        <w:t>fidelity review</w:t>
      </w:r>
      <w:r w:rsidR="00144D4B">
        <w:rPr>
          <w:rStyle w:val="FootnoteReference"/>
        </w:rPr>
        <w:footnoteReference w:id="19"/>
      </w:r>
      <w:r w:rsidR="00D434E0">
        <w:rPr>
          <w:rStyle w:val="FootnoteReference"/>
        </w:rPr>
        <w:footnoteReference w:id="20"/>
      </w:r>
      <w:r w:rsidR="00C509DB">
        <w:rPr>
          <w:rFonts w:ascii="Gill Sans" w:hAnsi="Gill Sans"/>
        </w:rPr>
        <w:t xml:space="preserve"> </w:t>
      </w:r>
      <w:r w:rsidR="007E08E4">
        <w:rPr>
          <w:rFonts w:ascii="Gill Sans" w:hAnsi="Gill Sans"/>
        </w:rPr>
        <w:t xml:space="preserve">during 2020. </w:t>
      </w:r>
    </w:p>
    <w:p w14:paraId="1B2DD9BB" w14:textId="05645736" w:rsidR="007B589B" w:rsidRPr="00314FFB" w:rsidRDefault="007B589B" w:rsidP="007B589B">
      <w:pPr>
        <w:pStyle w:val="ListBullet"/>
      </w:pPr>
      <w:r w:rsidRPr="00577D95">
        <w:t xml:space="preserve">The National Council for Special Education (NCSE) have commissioned research on post-school education and learning for adults with special educational needs which will </w:t>
      </w:r>
      <w:r>
        <w:t xml:space="preserve">provide further information to </w:t>
      </w:r>
      <w:r w:rsidRPr="00577D95">
        <w:t>raise the awareness of training and education options for school leavers. This research is due Q3 2022</w:t>
      </w:r>
      <w:r w:rsidR="00F019B6">
        <w:t>.</w:t>
      </w:r>
    </w:p>
    <w:p w14:paraId="15F0DED9" w14:textId="1E2FEE66" w:rsidR="0063048D" w:rsidRPr="00C509DB" w:rsidRDefault="008B5174" w:rsidP="0063048D">
      <w:pPr>
        <w:pStyle w:val="ListBullet"/>
        <w:rPr>
          <w:rFonts w:cs="Calibri"/>
        </w:rPr>
      </w:pPr>
      <w:r w:rsidRPr="006720EB">
        <w:rPr>
          <w:rFonts w:cstheme="minorHAnsi"/>
        </w:rPr>
        <w:t xml:space="preserve">During 2020 </w:t>
      </w:r>
      <w:r w:rsidR="00F40160" w:rsidRPr="006720EB">
        <w:rPr>
          <w:rFonts w:cstheme="minorHAnsi"/>
        </w:rPr>
        <w:t xml:space="preserve">SOLAS published </w:t>
      </w:r>
      <w:r w:rsidR="00D473B5" w:rsidRPr="006720EB">
        <w:rPr>
          <w:rFonts w:cstheme="minorHAnsi"/>
        </w:rPr>
        <w:t xml:space="preserve">a conceptual framework </w:t>
      </w:r>
      <w:r w:rsidR="00812511" w:rsidRPr="006720EB">
        <w:rPr>
          <w:rFonts w:cstheme="minorHAnsi"/>
        </w:rPr>
        <w:t>on</w:t>
      </w:r>
      <w:r w:rsidR="00F40160" w:rsidRPr="006720EB">
        <w:rPr>
          <w:rFonts w:cstheme="minorHAnsi"/>
        </w:rPr>
        <w:t xml:space="preserve"> </w:t>
      </w:r>
      <w:r w:rsidR="007E4453" w:rsidRPr="006720EB">
        <w:rPr>
          <w:rFonts w:cstheme="minorHAnsi"/>
        </w:rPr>
        <w:t>U</w:t>
      </w:r>
      <w:r w:rsidR="00F40160" w:rsidRPr="006720EB">
        <w:rPr>
          <w:rFonts w:cstheme="minorHAnsi"/>
        </w:rPr>
        <w:t xml:space="preserve">niversal </w:t>
      </w:r>
      <w:r w:rsidR="007E4453" w:rsidRPr="006720EB">
        <w:rPr>
          <w:rFonts w:cstheme="minorHAnsi"/>
        </w:rPr>
        <w:t>D</w:t>
      </w:r>
      <w:r w:rsidR="00F40160" w:rsidRPr="006720EB">
        <w:rPr>
          <w:rFonts w:cstheme="minorHAnsi"/>
        </w:rPr>
        <w:t>esign</w:t>
      </w:r>
      <w:r w:rsidR="00D473B5" w:rsidRPr="006720EB">
        <w:rPr>
          <w:rFonts w:cstheme="minorHAnsi"/>
        </w:rPr>
        <w:t xml:space="preserve"> for </w:t>
      </w:r>
      <w:r w:rsidR="007E4453" w:rsidRPr="006720EB">
        <w:rPr>
          <w:rFonts w:cstheme="minorHAnsi"/>
        </w:rPr>
        <w:t>L</w:t>
      </w:r>
      <w:r w:rsidR="00D473B5" w:rsidRPr="006720EB">
        <w:rPr>
          <w:rFonts w:cstheme="minorHAnsi"/>
        </w:rPr>
        <w:t>earning</w:t>
      </w:r>
      <w:r w:rsidR="00F40160" w:rsidRPr="006720EB">
        <w:rPr>
          <w:rFonts w:cstheme="minorHAnsi"/>
        </w:rPr>
        <w:t xml:space="preserve"> in further education and training</w:t>
      </w:r>
      <w:r w:rsidR="00C509DB" w:rsidRPr="006720EB">
        <w:rPr>
          <w:rFonts w:cstheme="minorHAnsi"/>
        </w:rPr>
        <w:t xml:space="preserve"> (FET).</w:t>
      </w:r>
      <w:r w:rsidR="0063048D" w:rsidRPr="006720EB">
        <w:rPr>
          <w:rStyle w:val="FootnoteReference"/>
          <w:rFonts w:ascii="Gill Sans MT" w:hAnsi="Gill Sans MT" w:cstheme="minorHAnsi"/>
          <w:sz w:val="26"/>
          <w:szCs w:val="26"/>
        </w:rPr>
        <w:footnoteReference w:id="21"/>
      </w:r>
      <w:r w:rsidR="00F40160" w:rsidRPr="006720EB">
        <w:t xml:space="preserve"> </w:t>
      </w:r>
      <w:r w:rsidR="00D473B5" w:rsidRPr="006720EB">
        <w:t>This framework</w:t>
      </w:r>
      <w:r w:rsidR="005208D1" w:rsidRPr="006720EB">
        <w:t xml:space="preserve"> </w:t>
      </w:r>
      <w:r w:rsidR="00D473B5" w:rsidRPr="006720EB">
        <w:t>is</w:t>
      </w:r>
      <w:r w:rsidR="005208D1" w:rsidRPr="006720EB">
        <w:t xml:space="preserve"> </w:t>
      </w:r>
      <w:r w:rsidR="0063048D" w:rsidRPr="006720EB">
        <w:t xml:space="preserve">consistent </w:t>
      </w:r>
      <w:r w:rsidR="00221E48" w:rsidRPr="006720EB">
        <w:t>with</w:t>
      </w:r>
      <w:r w:rsidR="00D473B5" w:rsidRPr="006720EB">
        <w:t xml:space="preserve"> the</w:t>
      </w:r>
      <w:r w:rsidR="0063048D" w:rsidRPr="006720EB">
        <w:t xml:space="preserve"> FET sectors </w:t>
      </w:r>
      <w:r w:rsidR="005208D1" w:rsidRPr="006720EB">
        <w:t>commitment</w:t>
      </w:r>
      <w:r w:rsidR="0063048D" w:rsidRPr="006720EB">
        <w:t xml:space="preserve"> to tailor</w:t>
      </w:r>
      <w:r w:rsidR="00221E48" w:rsidRPr="006720EB">
        <w:t>ed</w:t>
      </w:r>
      <w:r w:rsidR="0063048D" w:rsidRPr="006720EB">
        <w:t xml:space="preserve"> learning and appropriate supports</w:t>
      </w:r>
      <w:r w:rsidR="00221E48" w:rsidRPr="006720EB">
        <w:t>,</w:t>
      </w:r>
      <w:r w:rsidR="0063048D" w:rsidRPr="006720EB">
        <w:t xml:space="preserve"> in order to meet the needs of </w:t>
      </w:r>
      <w:r w:rsidR="00581F20" w:rsidRPr="006720EB">
        <w:t xml:space="preserve">all </w:t>
      </w:r>
      <w:r w:rsidR="0063048D" w:rsidRPr="006720EB">
        <w:t>learners</w:t>
      </w:r>
      <w:r w:rsidR="00F019B6" w:rsidRPr="006720EB">
        <w:t>.</w:t>
      </w:r>
      <w:r w:rsidR="006720EB" w:rsidRPr="006720EB">
        <w:t xml:space="preserve"> </w:t>
      </w:r>
      <w:r w:rsidR="006720EB" w:rsidRPr="006720EB">
        <w:rPr>
          <w:rFonts w:cs="Arial"/>
          <w:lang w:eastAsia="en-IE"/>
        </w:rPr>
        <w:t xml:space="preserve">An accompanying guide </w:t>
      </w:r>
      <w:r w:rsidR="006720EB" w:rsidRPr="00DA7FFD">
        <w:rPr>
          <w:rFonts w:cs="Arial"/>
          <w:iCs/>
          <w:lang w:eastAsia="en-IE"/>
        </w:rPr>
        <w:t xml:space="preserve">UDL for FET Practitioners: Guidance for Implementing UDL in Irish Further Education and Training, </w:t>
      </w:r>
      <w:r w:rsidR="006720EB" w:rsidRPr="006720EB">
        <w:rPr>
          <w:rFonts w:cs="Arial"/>
          <w:lang w:eastAsia="en-IE"/>
        </w:rPr>
        <w:t>providing practitioners with the knowledge they need to implement universal design for learning will be published by SOLAS in 2021.</w:t>
      </w:r>
      <w:r w:rsidR="00F40160" w:rsidRPr="00C509DB">
        <w:t xml:space="preserve">SOLAS </w:t>
      </w:r>
      <w:r w:rsidR="00EC7C9A" w:rsidRPr="00C509DB">
        <w:t xml:space="preserve">developed a new </w:t>
      </w:r>
      <w:hyperlink r:id="rId9" w:history="1">
        <w:r w:rsidR="00C567A0">
          <w:rPr>
            <w:rStyle w:val="Hyperlink"/>
            <w:rFonts w:cstheme="minorHAnsi"/>
            <w:color w:val="auto"/>
            <w:u w:val="none"/>
          </w:rPr>
          <w:t xml:space="preserve">FET </w:t>
        </w:r>
        <w:r w:rsidR="0053101E" w:rsidRPr="00C509DB">
          <w:rPr>
            <w:rStyle w:val="Hyperlink"/>
            <w:rFonts w:cstheme="minorHAnsi"/>
            <w:color w:val="auto"/>
            <w:u w:val="none"/>
          </w:rPr>
          <w:t>course hub</w:t>
        </w:r>
      </w:hyperlink>
      <w:r w:rsidR="00C509DB">
        <w:rPr>
          <w:rStyle w:val="Hyperlink"/>
          <w:rFonts w:cstheme="minorHAnsi"/>
          <w:color w:val="auto"/>
          <w:u w:val="none"/>
        </w:rPr>
        <w:t xml:space="preserve"> website</w:t>
      </w:r>
      <w:r w:rsidR="0063048D" w:rsidRPr="00C509DB">
        <w:rPr>
          <w:rStyle w:val="FootnoteReference"/>
          <w:rFonts w:cstheme="minorHAnsi"/>
        </w:rPr>
        <w:footnoteReference w:id="22"/>
      </w:r>
      <w:r w:rsidR="0053101E" w:rsidRPr="00C509DB">
        <w:rPr>
          <w:rFonts w:cstheme="minorHAnsi"/>
        </w:rPr>
        <w:t xml:space="preserve"> </w:t>
      </w:r>
      <w:r w:rsidR="00EC7C9A" w:rsidRPr="00C509DB">
        <w:rPr>
          <w:rFonts w:cstheme="minorHAnsi"/>
        </w:rPr>
        <w:t xml:space="preserve">which describes requirements for </w:t>
      </w:r>
      <w:r w:rsidR="0063048D" w:rsidRPr="007E797D">
        <w:rPr>
          <w:rFonts w:cs="Arial"/>
          <w:shd w:val="clear" w:color="auto" w:fill="FFFFFF"/>
        </w:rPr>
        <w:t>apprenticeships, traineeship</w:t>
      </w:r>
      <w:r w:rsidR="00C567A0">
        <w:rPr>
          <w:rFonts w:cs="Arial"/>
          <w:shd w:val="clear" w:color="auto" w:fill="FFFFFF"/>
        </w:rPr>
        <w:t>s, post leaving cert</w:t>
      </w:r>
      <w:r w:rsidR="0063048D" w:rsidRPr="007E797D">
        <w:rPr>
          <w:rFonts w:cs="Arial"/>
          <w:shd w:val="clear" w:color="auto" w:fill="FFFFFF"/>
        </w:rPr>
        <w:t xml:space="preserve"> courses, community and adult education as well as core literacy and numeracy services</w:t>
      </w:r>
      <w:r w:rsidR="007B6DF4" w:rsidRPr="007E797D">
        <w:rPr>
          <w:rFonts w:cs="Arial"/>
          <w:shd w:val="clear" w:color="auto" w:fill="FFFFFF"/>
        </w:rPr>
        <w:t>. This website is a useful resource for students examining and planning for their post school options or returning to education.</w:t>
      </w:r>
    </w:p>
    <w:p w14:paraId="599847A3" w14:textId="3247FA19" w:rsidR="008B5174" w:rsidRDefault="008B5174" w:rsidP="00C567A0">
      <w:pPr>
        <w:pStyle w:val="ListBullet"/>
      </w:pPr>
      <w:r w:rsidRPr="00BC706B">
        <w:t>The</w:t>
      </w:r>
      <w:r>
        <w:t xml:space="preserve"> SOLAS</w:t>
      </w:r>
      <w:r w:rsidRPr="00BC706B">
        <w:t xml:space="preserve"> </w:t>
      </w:r>
      <w:r w:rsidRPr="00BC706B">
        <w:rPr>
          <w:lang w:val="en-US"/>
        </w:rPr>
        <w:t>Skills and</w:t>
      </w:r>
      <w:r w:rsidRPr="00137A8B">
        <w:t xml:space="preserve"> Labour</w:t>
      </w:r>
      <w:r w:rsidRPr="00BC706B">
        <w:rPr>
          <w:lang w:val="en-US"/>
        </w:rPr>
        <w:t xml:space="preserve"> Market Research Unit </w:t>
      </w:r>
      <w:r w:rsidRPr="00C567A0">
        <w:rPr>
          <w:lang w:val="en-US"/>
        </w:rPr>
        <w:t xml:space="preserve">collated and </w:t>
      </w:r>
      <w:r>
        <w:t>published their annual</w:t>
      </w:r>
      <w:r w:rsidRPr="00BC706B">
        <w:t xml:space="preserve"> report on the numbers of pe</w:t>
      </w:r>
      <w:r w:rsidR="00581F20">
        <w:t>rsons</w:t>
      </w:r>
      <w:r w:rsidRPr="00BC706B">
        <w:t xml:space="preserve"> with disabilities involved in </w:t>
      </w:r>
      <w:r w:rsidR="00D473B5">
        <w:t>FET</w:t>
      </w:r>
      <w:r>
        <w:t>.</w:t>
      </w:r>
      <w:r w:rsidR="00F51E2B" w:rsidRPr="00C567A0">
        <w:rPr>
          <w:rStyle w:val="FootnoteReference"/>
          <w:rFonts w:cs="Brown-Regular"/>
        </w:rPr>
        <w:t xml:space="preserve"> </w:t>
      </w:r>
      <w:r w:rsidR="00F51E2B">
        <w:rPr>
          <w:rStyle w:val="FootnoteReference"/>
          <w:rFonts w:cs="Brown-Regular"/>
        </w:rPr>
        <w:footnoteReference w:id="23"/>
      </w:r>
      <w:r>
        <w:t xml:space="preserve"> Data shows that in</w:t>
      </w:r>
      <w:r w:rsidRPr="00C1435A">
        <w:t xml:space="preserve"> 2019, there were </w:t>
      </w:r>
      <w:r w:rsidRPr="00C567A0">
        <w:rPr>
          <w:b/>
        </w:rPr>
        <w:t>13,098</w:t>
      </w:r>
      <w:r w:rsidRPr="00C1435A">
        <w:t xml:space="preserve"> learners enrolled in further education and training</w:t>
      </w:r>
      <w:r>
        <w:t xml:space="preserve"> programmes</w:t>
      </w:r>
      <w:r w:rsidRPr="00C1435A">
        <w:t xml:space="preserve"> who reported having at least one type of disability</w:t>
      </w:r>
      <w:r w:rsidR="00C567A0">
        <w:t xml:space="preserve">, an increase of just over 4,000 on 2018 figures. </w:t>
      </w:r>
    </w:p>
    <w:p w14:paraId="48BF2720" w14:textId="77777777" w:rsidR="000018A4" w:rsidRDefault="0063048D" w:rsidP="0063048D">
      <w:pPr>
        <w:pStyle w:val="ListBullet"/>
      </w:pPr>
      <w:r>
        <w:t>The Higher Education Authority (HEA) reported</w:t>
      </w:r>
    </w:p>
    <w:p w14:paraId="543B0354" w14:textId="124FC562" w:rsidR="000018A4" w:rsidRDefault="000018A4" w:rsidP="000018A4">
      <w:pPr>
        <w:pStyle w:val="ListBullet"/>
        <w:numPr>
          <w:ilvl w:val="0"/>
          <w:numId w:val="44"/>
        </w:numPr>
      </w:pPr>
      <w:r>
        <w:t>A</w:t>
      </w:r>
      <w:r w:rsidR="0063048D" w:rsidRPr="00CB0A17">
        <w:t>n 88% increase in participation by students with physical or mobility disabilities</w:t>
      </w:r>
      <w:r w:rsidR="0063048D">
        <w:t xml:space="preserve"> in higher education</w:t>
      </w:r>
      <w:r w:rsidR="00C567A0">
        <w:t xml:space="preserve">. </w:t>
      </w:r>
    </w:p>
    <w:p w14:paraId="22D32526" w14:textId="77777777" w:rsidR="000018A4" w:rsidRDefault="0063048D" w:rsidP="000018A4">
      <w:pPr>
        <w:pStyle w:val="ListBullet"/>
        <w:numPr>
          <w:ilvl w:val="0"/>
          <w:numId w:val="44"/>
        </w:numPr>
      </w:pPr>
      <w:r w:rsidRPr="00CB0A17">
        <w:t xml:space="preserve">Participation by students that are blind or </w:t>
      </w:r>
      <w:r w:rsidR="001E3B66">
        <w:t xml:space="preserve">who </w:t>
      </w:r>
      <w:r w:rsidRPr="00CB0A17">
        <w:t xml:space="preserve">have a vision </w:t>
      </w:r>
      <w:r>
        <w:t>impairment increased by 53%</w:t>
      </w:r>
      <w:r w:rsidR="00E04BD9">
        <w:t xml:space="preserve"> and </w:t>
      </w:r>
    </w:p>
    <w:p w14:paraId="56254E32" w14:textId="65F97D66" w:rsidR="0063048D" w:rsidRDefault="000018A4" w:rsidP="000018A4">
      <w:pPr>
        <w:pStyle w:val="ListBullet"/>
        <w:numPr>
          <w:ilvl w:val="0"/>
          <w:numId w:val="44"/>
        </w:numPr>
      </w:pPr>
      <w:r>
        <w:t>P</w:t>
      </w:r>
      <w:r w:rsidR="00E04BD9">
        <w:t>articipation by students who are deaf or hard of hearing increased by 48%</w:t>
      </w:r>
      <w:r w:rsidR="0063048D">
        <w:t>.</w:t>
      </w:r>
    </w:p>
    <w:p w14:paraId="3E3EF5C5" w14:textId="373E33FA" w:rsidR="00607649" w:rsidRPr="00492BAF" w:rsidRDefault="00607649" w:rsidP="00607649">
      <w:pPr>
        <w:pStyle w:val="ListBullet"/>
        <w:numPr>
          <w:ilvl w:val="0"/>
          <w:numId w:val="0"/>
        </w:numPr>
        <w:ind w:left="360"/>
        <w:rPr>
          <w:lang w:eastAsia="en-IE"/>
        </w:rPr>
      </w:pPr>
      <w:r w:rsidRPr="00492BAF">
        <w:t>There has also been continued growth in the number of students in specific disability categories:</w:t>
      </w:r>
    </w:p>
    <w:tbl>
      <w:tblPr>
        <w:tblW w:w="0" w:type="auto"/>
        <w:tblInd w:w="360" w:type="dxa"/>
        <w:tblCellMar>
          <w:left w:w="0" w:type="dxa"/>
          <w:right w:w="0" w:type="dxa"/>
        </w:tblCellMar>
        <w:tblLook w:val="04A0" w:firstRow="1" w:lastRow="0" w:firstColumn="1" w:lastColumn="0" w:noHBand="0" w:noVBand="1"/>
        <w:tblCaption w:val="Numbers of students with disabilities for years 2018 to 2020"/>
        <w:tblDescription w:val="Table showing figures for students with disabilities in academic years 2018/19 and 2019/20"/>
      </w:tblPr>
      <w:tblGrid>
        <w:gridCol w:w="2744"/>
        <w:gridCol w:w="2591"/>
        <w:gridCol w:w="2591"/>
      </w:tblGrid>
      <w:tr w:rsidR="00607649" w:rsidRPr="00492BAF" w14:paraId="32C9AD01" w14:textId="77777777" w:rsidTr="00125AEC">
        <w:trPr>
          <w:tblHeader/>
        </w:trPr>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0675A44" w14:textId="77777777" w:rsidR="00607649" w:rsidRPr="00492BAF" w:rsidRDefault="00607649" w:rsidP="00607649">
            <w:pPr>
              <w:spacing w:before="120" w:after="120"/>
              <w:rPr>
                <w:rFonts w:cs="Arial"/>
                <w:b/>
                <w:bCs/>
                <w:sz w:val="24"/>
              </w:rPr>
            </w:pP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FE920E" w14:textId="77777777" w:rsidR="00607649" w:rsidRPr="00492BAF" w:rsidRDefault="00607649" w:rsidP="00075DD0">
            <w:pPr>
              <w:spacing w:before="120" w:after="120"/>
              <w:jc w:val="right"/>
              <w:rPr>
                <w:rFonts w:cs="Arial"/>
                <w:b/>
                <w:bCs/>
                <w:sz w:val="24"/>
              </w:rPr>
            </w:pPr>
            <w:r w:rsidRPr="00492BAF">
              <w:rPr>
                <w:rFonts w:cs="Arial"/>
                <w:b/>
                <w:bCs/>
                <w:sz w:val="24"/>
              </w:rPr>
              <w:t>2018/19 academic year</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361B7F" w14:textId="77777777" w:rsidR="00607649" w:rsidRPr="00492BAF" w:rsidRDefault="00607649" w:rsidP="00075DD0">
            <w:pPr>
              <w:spacing w:before="120" w:after="120"/>
              <w:jc w:val="right"/>
              <w:rPr>
                <w:rFonts w:cs="Arial"/>
                <w:b/>
                <w:bCs/>
                <w:sz w:val="24"/>
              </w:rPr>
            </w:pPr>
            <w:r w:rsidRPr="00492BAF">
              <w:rPr>
                <w:rFonts w:cs="Arial"/>
                <w:b/>
                <w:bCs/>
                <w:sz w:val="24"/>
              </w:rPr>
              <w:t>2019/20 academic year</w:t>
            </w:r>
          </w:p>
        </w:tc>
      </w:tr>
      <w:tr w:rsidR="00607649" w:rsidRPr="00492BAF" w14:paraId="6A25CA3E" w14:textId="77777777" w:rsidTr="0060764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FEDF58" w14:textId="77777777" w:rsidR="00607649" w:rsidRPr="00492BAF" w:rsidRDefault="00607649" w:rsidP="00607649">
            <w:pPr>
              <w:spacing w:before="120" w:after="120"/>
              <w:rPr>
                <w:rFonts w:cs="Arial"/>
                <w:b/>
                <w:bCs/>
                <w:sz w:val="24"/>
              </w:rPr>
            </w:pPr>
            <w:r w:rsidRPr="00492BAF">
              <w:rPr>
                <w:rFonts w:cs="Arial"/>
                <w:color w:val="000000"/>
                <w:sz w:val="24"/>
                <w:lang w:val="en-US"/>
              </w:rPr>
              <w:t>Number of students with physical/mobility disability</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5CB26F5" w14:textId="77777777" w:rsidR="00607649" w:rsidRPr="00492BAF" w:rsidRDefault="00607649" w:rsidP="00075DD0">
            <w:pPr>
              <w:spacing w:before="120" w:after="120"/>
              <w:jc w:val="right"/>
              <w:rPr>
                <w:rFonts w:cs="Arial"/>
                <w:b/>
                <w:bCs/>
                <w:sz w:val="24"/>
              </w:rPr>
            </w:pPr>
            <w:r w:rsidRPr="00492BAF">
              <w:rPr>
                <w:rFonts w:cs="Arial"/>
                <w:b/>
                <w:bCs/>
                <w:sz w:val="24"/>
              </w:rPr>
              <w:t>827</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DA265BC" w14:textId="77777777" w:rsidR="00607649" w:rsidRPr="00492BAF" w:rsidRDefault="00607649" w:rsidP="00075DD0">
            <w:pPr>
              <w:spacing w:before="120" w:after="120"/>
              <w:jc w:val="right"/>
              <w:rPr>
                <w:rFonts w:cs="Arial"/>
                <w:b/>
                <w:bCs/>
                <w:sz w:val="24"/>
              </w:rPr>
            </w:pPr>
            <w:r w:rsidRPr="00492BAF">
              <w:rPr>
                <w:rFonts w:cs="Arial"/>
                <w:b/>
                <w:bCs/>
                <w:sz w:val="24"/>
              </w:rPr>
              <w:t>867</w:t>
            </w:r>
          </w:p>
        </w:tc>
      </w:tr>
      <w:tr w:rsidR="00607649" w:rsidRPr="00492BAF" w14:paraId="4DE46E5E" w14:textId="77777777" w:rsidTr="0060764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CC8A69" w14:textId="77777777" w:rsidR="00607649" w:rsidRPr="00492BAF" w:rsidRDefault="00607649" w:rsidP="00607649">
            <w:pPr>
              <w:spacing w:before="120" w:after="120"/>
              <w:rPr>
                <w:rFonts w:cs="Arial"/>
                <w:b/>
                <w:bCs/>
                <w:sz w:val="24"/>
              </w:rPr>
            </w:pPr>
            <w:r w:rsidRPr="00492BAF">
              <w:rPr>
                <w:rFonts w:cs="Arial"/>
                <w:color w:val="000000"/>
                <w:sz w:val="24"/>
                <w:lang w:val="en-US"/>
              </w:rPr>
              <w:t>Number of students who are deaf/hard of hearing</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FE6A87A" w14:textId="77777777" w:rsidR="00607649" w:rsidRPr="00492BAF" w:rsidRDefault="00607649" w:rsidP="00075DD0">
            <w:pPr>
              <w:spacing w:before="120" w:after="120"/>
              <w:jc w:val="right"/>
              <w:rPr>
                <w:rFonts w:cs="Arial"/>
                <w:b/>
                <w:bCs/>
                <w:sz w:val="24"/>
              </w:rPr>
            </w:pPr>
            <w:r w:rsidRPr="00492BAF">
              <w:rPr>
                <w:rFonts w:cs="Arial"/>
                <w:b/>
                <w:bCs/>
                <w:sz w:val="24"/>
              </w:rPr>
              <w:t>358</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EDA0AFD" w14:textId="77777777" w:rsidR="00607649" w:rsidRPr="00492BAF" w:rsidRDefault="00607649" w:rsidP="00075DD0">
            <w:pPr>
              <w:spacing w:before="120" w:after="120"/>
              <w:jc w:val="right"/>
              <w:rPr>
                <w:rFonts w:cs="Arial"/>
                <w:b/>
                <w:bCs/>
                <w:sz w:val="24"/>
              </w:rPr>
            </w:pPr>
            <w:r w:rsidRPr="00492BAF">
              <w:rPr>
                <w:rFonts w:cs="Arial"/>
                <w:b/>
                <w:bCs/>
                <w:sz w:val="24"/>
              </w:rPr>
              <w:t>364</w:t>
            </w:r>
          </w:p>
        </w:tc>
      </w:tr>
      <w:tr w:rsidR="00607649" w:rsidRPr="00492BAF" w14:paraId="2EFC5FE2" w14:textId="77777777" w:rsidTr="0060764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6AD98C" w14:textId="77777777" w:rsidR="00607649" w:rsidRPr="00492BAF" w:rsidRDefault="00607649" w:rsidP="00607649">
            <w:pPr>
              <w:spacing w:before="120" w:after="120"/>
              <w:rPr>
                <w:rFonts w:cs="Arial"/>
                <w:b/>
                <w:bCs/>
                <w:sz w:val="24"/>
              </w:rPr>
            </w:pPr>
            <w:r w:rsidRPr="00492BAF">
              <w:rPr>
                <w:rFonts w:cs="Arial"/>
                <w:color w:val="000000"/>
                <w:sz w:val="24"/>
                <w:lang w:val="en-US"/>
              </w:rPr>
              <w:t>Number of students who are blind/have a visual impairment</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128C20D" w14:textId="77777777" w:rsidR="00607649" w:rsidRPr="00492BAF" w:rsidRDefault="00607649" w:rsidP="00075DD0">
            <w:pPr>
              <w:spacing w:before="120" w:after="120"/>
              <w:jc w:val="right"/>
              <w:rPr>
                <w:rFonts w:cs="Arial"/>
                <w:b/>
                <w:bCs/>
                <w:sz w:val="24"/>
              </w:rPr>
            </w:pPr>
            <w:r w:rsidRPr="00492BAF">
              <w:rPr>
                <w:rFonts w:cs="Arial"/>
                <w:b/>
                <w:bCs/>
                <w:sz w:val="24"/>
              </w:rPr>
              <w:t>221</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3A93FAC" w14:textId="77777777" w:rsidR="00607649" w:rsidRPr="00492BAF" w:rsidRDefault="00607649" w:rsidP="00075DD0">
            <w:pPr>
              <w:spacing w:before="120" w:after="120"/>
              <w:jc w:val="right"/>
              <w:rPr>
                <w:rFonts w:cs="Arial"/>
                <w:b/>
                <w:bCs/>
                <w:sz w:val="24"/>
              </w:rPr>
            </w:pPr>
            <w:r w:rsidRPr="00492BAF">
              <w:rPr>
                <w:rFonts w:cs="Arial"/>
                <w:b/>
                <w:bCs/>
                <w:sz w:val="24"/>
              </w:rPr>
              <w:t>234</w:t>
            </w:r>
          </w:p>
        </w:tc>
      </w:tr>
    </w:tbl>
    <w:p w14:paraId="403B41F0" w14:textId="6EC6AE0F" w:rsidR="00607649" w:rsidRPr="008B5174" w:rsidRDefault="00607649" w:rsidP="00607649">
      <w:pPr>
        <w:pStyle w:val="ListBullet"/>
        <w:numPr>
          <w:ilvl w:val="0"/>
          <w:numId w:val="0"/>
        </w:numPr>
      </w:pPr>
    </w:p>
    <w:p w14:paraId="26F7E8BE" w14:textId="1CE22A7E" w:rsidR="00F40160" w:rsidRPr="00CB0A17" w:rsidRDefault="00F40160" w:rsidP="00577D95">
      <w:pPr>
        <w:pStyle w:val="ListBullet"/>
      </w:pPr>
      <w:r>
        <w:t xml:space="preserve">The HSE </w:t>
      </w:r>
      <w:r w:rsidR="00812511">
        <w:t>reported</w:t>
      </w:r>
      <w:r w:rsidR="00812511" w:rsidRPr="00CB0A17">
        <w:t xml:space="preserve"> </w:t>
      </w:r>
      <w:r w:rsidRPr="00CB0A17">
        <w:t xml:space="preserve">that many young </w:t>
      </w:r>
      <w:r w:rsidR="00B07513">
        <w:t>persons</w:t>
      </w:r>
      <w:r w:rsidR="00B07513" w:rsidRPr="00CB0A17">
        <w:t xml:space="preserve"> </w:t>
      </w:r>
      <w:r w:rsidRPr="00CB0A17">
        <w:t>with disabil</w:t>
      </w:r>
      <w:r w:rsidR="00E04BD9">
        <w:t>ities continued to defer their adult d</w:t>
      </w:r>
      <w:r w:rsidRPr="00CB0A17">
        <w:t xml:space="preserve">ay </w:t>
      </w:r>
      <w:r w:rsidR="00E04BD9">
        <w:t>s</w:t>
      </w:r>
      <w:r w:rsidR="008B5174">
        <w:t xml:space="preserve">ervice </w:t>
      </w:r>
      <w:r w:rsidRPr="00CB0A17">
        <w:t xml:space="preserve">places and </w:t>
      </w:r>
      <w:r w:rsidR="001E3B66">
        <w:t>take up</w:t>
      </w:r>
      <w:r w:rsidR="001E3B66" w:rsidRPr="00CB0A17">
        <w:t xml:space="preserve"> </w:t>
      </w:r>
      <w:r w:rsidRPr="00CB0A17">
        <w:t>mainstream options in education and training</w:t>
      </w:r>
      <w:r w:rsidR="007064E2">
        <w:rPr>
          <w:rStyle w:val="FootnoteReference"/>
        </w:rPr>
        <w:footnoteReference w:id="24"/>
      </w:r>
      <w:r w:rsidRPr="00CB0A17">
        <w:t xml:space="preserve">. </w:t>
      </w:r>
      <w:r w:rsidR="00D01127">
        <w:t xml:space="preserve"> </w:t>
      </w:r>
      <w:r w:rsidR="00D473B5">
        <w:t>This give</w:t>
      </w:r>
      <w:r w:rsidR="00581F20">
        <w:t>s</w:t>
      </w:r>
      <w:r w:rsidR="00D473B5">
        <w:t xml:space="preserve"> school leaver</w:t>
      </w:r>
      <w:r w:rsidR="00581F20">
        <w:t>s</w:t>
      </w:r>
      <w:r w:rsidR="00D473B5">
        <w:t xml:space="preserve"> the opportunity to</w:t>
      </w:r>
      <w:r w:rsidR="008B5174">
        <w:t xml:space="preserve"> access </w:t>
      </w:r>
      <w:r w:rsidR="001E3B66">
        <w:t xml:space="preserve">and explore the suitability of </w:t>
      </w:r>
      <w:r w:rsidR="008B5174">
        <w:t>mainstream progression options bef</w:t>
      </w:r>
      <w:r w:rsidR="00757F23">
        <w:t>ore deciding on</w:t>
      </w:r>
      <w:r w:rsidR="008B5174">
        <w:t xml:space="preserve"> </w:t>
      </w:r>
      <w:r w:rsidR="00D473B5">
        <w:t xml:space="preserve">taking an </w:t>
      </w:r>
      <w:r w:rsidR="00E04BD9">
        <w:t>adult day service</w:t>
      </w:r>
      <w:r w:rsidR="008B5174">
        <w:t xml:space="preserve"> place.</w:t>
      </w:r>
      <w:r w:rsidR="004C3EB2">
        <w:t xml:space="preserve"> </w:t>
      </w:r>
    </w:p>
    <w:p w14:paraId="0FA879E6" w14:textId="72DC878D" w:rsidR="00F40160" w:rsidRPr="000B160C" w:rsidRDefault="00F40160" w:rsidP="00577D95">
      <w:pPr>
        <w:pStyle w:val="ListBullet"/>
        <w:tabs>
          <w:tab w:val="clear" w:pos="360"/>
          <w:tab w:val="num" w:pos="720"/>
        </w:tabs>
        <w:ind w:left="720"/>
      </w:pPr>
      <w:r w:rsidRPr="000B160C">
        <w:t xml:space="preserve">2018 – 51 deferrals – </w:t>
      </w:r>
      <w:r w:rsidR="00E04BD9">
        <w:t>seven</w:t>
      </w:r>
      <w:r w:rsidRPr="000B160C">
        <w:t xml:space="preserve"> returned and commenced is service</w:t>
      </w:r>
    </w:p>
    <w:p w14:paraId="4D591ADC" w14:textId="502C74B0" w:rsidR="00F40160" w:rsidRPr="000B160C" w:rsidRDefault="00F40160" w:rsidP="00577D95">
      <w:pPr>
        <w:pStyle w:val="ListBullet"/>
        <w:tabs>
          <w:tab w:val="clear" w:pos="360"/>
          <w:tab w:val="num" w:pos="720"/>
        </w:tabs>
        <w:ind w:left="720"/>
      </w:pPr>
      <w:r w:rsidRPr="000B160C">
        <w:t xml:space="preserve">2019 – 73 deferrals – </w:t>
      </w:r>
      <w:r w:rsidR="00E04BD9">
        <w:t>four</w:t>
      </w:r>
      <w:r w:rsidRPr="000B160C">
        <w:t xml:space="preserve"> returned and commenced in service</w:t>
      </w:r>
    </w:p>
    <w:p w14:paraId="327210B3" w14:textId="27A539DE" w:rsidR="00F40160" w:rsidRPr="00577D95" w:rsidRDefault="00F40160" w:rsidP="00577D95">
      <w:pPr>
        <w:pStyle w:val="ListBullet"/>
        <w:tabs>
          <w:tab w:val="clear" w:pos="360"/>
          <w:tab w:val="num" w:pos="720"/>
        </w:tabs>
        <w:ind w:left="720"/>
        <w:rPr>
          <w:rFonts w:cs="Calibri"/>
        </w:rPr>
      </w:pPr>
      <w:r w:rsidRPr="000B160C">
        <w:t>2020 – 73 deferrals</w:t>
      </w:r>
    </w:p>
    <w:p w14:paraId="7B1DDE5E" w14:textId="1BC9AED1" w:rsidR="00F40160" w:rsidRPr="00577D95" w:rsidRDefault="004C3EB2" w:rsidP="00577D95">
      <w:pPr>
        <w:pStyle w:val="ListBullet"/>
      </w:pPr>
      <w:r>
        <w:rPr>
          <w:rFonts w:cs="Calibri"/>
        </w:rPr>
        <w:t xml:space="preserve">With grant </w:t>
      </w:r>
      <w:r w:rsidR="00F40160" w:rsidRPr="00CB0A17">
        <w:rPr>
          <w:rFonts w:cs="Calibri"/>
        </w:rPr>
        <w:t>funding from the NDA</w:t>
      </w:r>
      <w:r w:rsidR="00F40160">
        <w:rPr>
          <w:rFonts w:cs="Calibri"/>
        </w:rPr>
        <w:t>,</w:t>
      </w:r>
      <w:r w:rsidR="00F40160" w:rsidRPr="00CB0A17">
        <w:rPr>
          <w:rFonts w:cs="Calibri"/>
        </w:rPr>
        <w:t xml:space="preserve"> four organisations, Not So Different, Walk, </w:t>
      </w:r>
      <w:hyperlink r:id="rId10" w:history="1">
        <w:r w:rsidR="00F40160" w:rsidRPr="00CB0A17">
          <w:rPr>
            <w:rFonts w:cs="Calibri"/>
          </w:rPr>
          <w:t>Rehab Group</w:t>
        </w:r>
      </w:hyperlink>
      <w:r w:rsidR="00152A13">
        <w:rPr>
          <w:rFonts w:cs="Calibri"/>
        </w:rPr>
        <w:t xml:space="preserve"> </w:t>
      </w:r>
      <w:r w:rsidR="00F40160" w:rsidRPr="00CB0A17">
        <w:rPr>
          <w:rFonts w:cs="Calibri"/>
        </w:rPr>
        <w:t>and AsIAm,</w:t>
      </w:r>
      <w:r w:rsidR="006E0A7E">
        <w:rPr>
          <w:rFonts w:cs="Calibri"/>
        </w:rPr>
        <w:t xml:space="preserve"> </w:t>
      </w:r>
      <w:r w:rsidR="00812511">
        <w:rPr>
          <w:rFonts w:cs="Calibri"/>
        </w:rPr>
        <w:t>collaborated to</w:t>
      </w:r>
      <w:r w:rsidR="00B06E88">
        <w:rPr>
          <w:rFonts w:cs="Calibri"/>
        </w:rPr>
        <w:t xml:space="preserve"> create</w:t>
      </w:r>
      <w:r w:rsidR="00F40160" w:rsidRPr="00CB0A17">
        <w:rPr>
          <w:rFonts w:cs="Calibri"/>
        </w:rPr>
        <w:t xml:space="preserve"> </w:t>
      </w:r>
      <w:r w:rsidR="001E3B66">
        <w:rPr>
          <w:rFonts w:cs="Calibri"/>
        </w:rPr>
        <w:t xml:space="preserve">and launch </w:t>
      </w:r>
      <w:r w:rsidR="00F40160" w:rsidRPr="00CB0A17">
        <w:rPr>
          <w:rFonts w:cs="Calibri"/>
        </w:rPr>
        <w:t xml:space="preserve">an online training programme to support employers in </w:t>
      </w:r>
      <w:r w:rsidR="007F2377">
        <w:rPr>
          <w:rFonts w:cs="Calibri"/>
        </w:rPr>
        <w:t>becoming “disability confident</w:t>
      </w:r>
      <w:r w:rsidR="0033726A">
        <w:rPr>
          <w:rFonts w:cs="Calibri"/>
        </w:rPr>
        <w:t>”</w:t>
      </w:r>
      <w:r w:rsidR="002D2475">
        <w:rPr>
          <w:rStyle w:val="FootnoteReference"/>
          <w:rFonts w:cs="Calibri"/>
        </w:rPr>
        <w:footnoteReference w:id="25"/>
      </w:r>
      <w:r w:rsidR="0033726A">
        <w:rPr>
          <w:rFonts w:cs="Calibri"/>
        </w:rPr>
        <w:t>.</w:t>
      </w:r>
      <w:r>
        <w:rPr>
          <w:rFonts w:cs="Calibri"/>
        </w:rPr>
        <w:t xml:space="preserve"> </w:t>
      </w:r>
    </w:p>
    <w:p w14:paraId="4FDCB97B" w14:textId="528A39A0" w:rsidR="00F40160" w:rsidRPr="0033726A" w:rsidRDefault="00F40160" w:rsidP="00577D95">
      <w:pPr>
        <w:pStyle w:val="ListBullet"/>
      </w:pPr>
      <w:r w:rsidRPr="003B724F">
        <w:rPr>
          <w:rFonts w:cs="Calibri"/>
        </w:rPr>
        <w:t>In Q</w:t>
      </w:r>
      <w:r w:rsidR="0033726A">
        <w:rPr>
          <w:rFonts w:cs="Calibri"/>
        </w:rPr>
        <w:t xml:space="preserve">uarter </w:t>
      </w:r>
      <w:r w:rsidRPr="003B724F">
        <w:rPr>
          <w:rFonts w:cs="Calibri"/>
        </w:rPr>
        <w:t xml:space="preserve">4 </w:t>
      </w:r>
      <w:r w:rsidR="001E3B66">
        <w:rPr>
          <w:rFonts w:cs="Calibri"/>
        </w:rPr>
        <w:t xml:space="preserve">2020, </w:t>
      </w:r>
      <w:r w:rsidR="0033726A">
        <w:rPr>
          <w:rFonts w:cs="Calibri"/>
        </w:rPr>
        <w:t>DCEDIY</w:t>
      </w:r>
      <w:r w:rsidRPr="003B724F">
        <w:t xml:space="preserve"> </w:t>
      </w:r>
      <w:r w:rsidRPr="003B724F">
        <w:rPr>
          <w:rFonts w:cs="Calibri"/>
        </w:rPr>
        <w:t>commissioned the Open Doors Initiative to develop a programme of awareness raising among employers</w:t>
      </w:r>
      <w:r w:rsidR="00D01127">
        <w:rPr>
          <w:rFonts w:cs="Calibri"/>
        </w:rPr>
        <w:t xml:space="preserve"> of </w:t>
      </w:r>
      <w:r>
        <w:rPr>
          <w:rFonts w:cs="Calibri"/>
        </w:rPr>
        <w:t>the benefits to business o</w:t>
      </w:r>
      <w:r w:rsidR="0033726A">
        <w:rPr>
          <w:rFonts w:cs="Calibri"/>
        </w:rPr>
        <w:t>f</w:t>
      </w:r>
      <w:r>
        <w:rPr>
          <w:rFonts w:cs="Calibri"/>
        </w:rPr>
        <w:t xml:space="preserve"> </w:t>
      </w:r>
      <w:r w:rsidR="001E3B66">
        <w:rPr>
          <w:rFonts w:cs="Calibri"/>
        </w:rPr>
        <w:t>recruiting and retaining st</w:t>
      </w:r>
      <w:r>
        <w:rPr>
          <w:rFonts w:cs="Calibri"/>
        </w:rPr>
        <w:t>aff with disabilities</w:t>
      </w:r>
      <w:r w:rsidR="00960B4C">
        <w:rPr>
          <w:rFonts w:cs="Calibri"/>
        </w:rPr>
        <w:t>. The Employers for</w:t>
      </w:r>
      <w:r w:rsidR="004C3EB2">
        <w:rPr>
          <w:rFonts w:cs="Calibri"/>
        </w:rPr>
        <w:t xml:space="preserve"> Change information service </w:t>
      </w:r>
      <w:r w:rsidR="006A6E80">
        <w:rPr>
          <w:rFonts w:cs="Calibri"/>
        </w:rPr>
        <w:t>was</w:t>
      </w:r>
      <w:r w:rsidR="00960B4C">
        <w:rPr>
          <w:rFonts w:cs="Calibri"/>
        </w:rPr>
        <w:t xml:space="preserve"> launched </w:t>
      </w:r>
      <w:r w:rsidR="006A6E80">
        <w:rPr>
          <w:rFonts w:cs="Calibri"/>
        </w:rPr>
        <w:t>on 11</w:t>
      </w:r>
      <w:r w:rsidR="00960B4C">
        <w:rPr>
          <w:rFonts w:cs="Calibri"/>
        </w:rPr>
        <w:t xml:space="preserve"> March</w:t>
      </w:r>
      <w:r w:rsidR="0033726A">
        <w:rPr>
          <w:rFonts w:cs="Calibri"/>
        </w:rPr>
        <w:t xml:space="preserve"> 2021</w:t>
      </w:r>
      <w:r w:rsidR="00960B4C">
        <w:rPr>
          <w:rFonts w:cs="Calibri"/>
        </w:rPr>
        <w:t>.</w:t>
      </w:r>
    </w:p>
    <w:p w14:paraId="04B419DE" w14:textId="0DCD5287" w:rsidR="0018548A" w:rsidRPr="00577D95" w:rsidRDefault="00F40160" w:rsidP="00577D95">
      <w:pPr>
        <w:pStyle w:val="ListBullet"/>
        <w:rPr>
          <w:rStyle w:val="Hyperlink"/>
          <w:color w:val="auto"/>
          <w:u w:val="none"/>
        </w:rPr>
      </w:pPr>
      <w:r w:rsidRPr="00634096">
        <w:rPr>
          <w:color w:val="000000"/>
        </w:rPr>
        <w:t xml:space="preserve"> </w:t>
      </w:r>
      <w:r w:rsidRPr="00152A13">
        <w:rPr>
          <w:color w:val="000000"/>
        </w:rPr>
        <w:t>A</w:t>
      </w:r>
      <w:r w:rsidR="00960B4C" w:rsidRPr="00152A13">
        <w:rPr>
          <w:color w:val="000000"/>
        </w:rPr>
        <w:t xml:space="preserve"> joint </w:t>
      </w:r>
      <w:r w:rsidR="00960B4C" w:rsidRPr="00152A13">
        <w:rPr>
          <w:bCs/>
          <w:color w:val="000000"/>
        </w:rPr>
        <w:t>Enterprise Ireland/IDA Ireland</w:t>
      </w:r>
      <w:r w:rsidR="00960B4C" w:rsidRPr="00152A13">
        <w:rPr>
          <w:color w:val="000000"/>
        </w:rPr>
        <w:t xml:space="preserve"> </w:t>
      </w:r>
      <w:r w:rsidRPr="00152A13">
        <w:rPr>
          <w:color w:val="000000"/>
        </w:rPr>
        <w:t xml:space="preserve">webinar entitled “Recruiting for Ability” was held in December 2020. This event focused on highlighting opportunities to recruit people with differing abilities, and shared examples of the work of </w:t>
      </w:r>
      <w:r w:rsidRPr="00152A13">
        <w:rPr>
          <w:bCs/>
          <w:color w:val="000000"/>
        </w:rPr>
        <w:t>Specialisterne Ireland</w:t>
      </w:r>
      <w:r w:rsidRPr="00152A13">
        <w:rPr>
          <w:color w:val="000000"/>
        </w:rPr>
        <w:t xml:space="preserve"> and two client organisations from EI &amp; IDA. </w:t>
      </w:r>
    </w:p>
    <w:p w14:paraId="5A3CB533" w14:textId="4F368F1C" w:rsidR="0033726A" w:rsidRPr="00577D95" w:rsidRDefault="00F40160" w:rsidP="00577D95">
      <w:pPr>
        <w:pStyle w:val="ListBullet"/>
        <w:rPr>
          <w:rFonts w:cs="Arial"/>
          <w:sz w:val="24"/>
        </w:rPr>
      </w:pPr>
      <w:r w:rsidRPr="008F2E23">
        <w:rPr>
          <w:rFonts w:cstheme="minorHAnsi"/>
        </w:rPr>
        <w:t xml:space="preserve">In collaboration with the Houses of the Oireachtas and DPER, and drawing on the experiences of the </w:t>
      </w:r>
      <w:r w:rsidR="002D2475">
        <w:rPr>
          <w:rFonts w:cstheme="minorHAnsi"/>
        </w:rPr>
        <w:t>Oireachtas Work Learning (</w:t>
      </w:r>
      <w:r w:rsidRPr="008F2E23">
        <w:rPr>
          <w:rFonts w:cstheme="minorHAnsi"/>
        </w:rPr>
        <w:t>OWL</w:t>
      </w:r>
      <w:r w:rsidR="002D2475">
        <w:rPr>
          <w:rFonts w:cstheme="minorHAnsi"/>
        </w:rPr>
        <w:t>)</w:t>
      </w:r>
      <w:r w:rsidR="002D2475">
        <w:rPr>
          <w:rStyle w:val="FootnoteReference"/>
          <w:rFonts w:cstheme="minorHAnsi"/>
        </w:rPr>
        <w:footnoteReference w:id="26"/>
      </w:r>
      <w:r w:rsidR="00F51E2B">
        <w:rPr>
          <w:rFonts w:cstheme="minorHAnsi"/>
        </w:rPr>
        <w:t xml:space="preserve"> </w:t>
      </w:r>
      <w:r w:rsidRPr="008F2E23">
        <w:rPr>
          <w:rFonts w:cstheme="minorHAnsi"/>
        </w:rPr>
        <w:t xml:space="preserve">Programme, </w:t>
      </w:r>
      <w:r w:rsidR="00960B4C">
        <w:rPr>
          <w:rFonts w:cstheme="minorHAnsi"/>
        </w:rPr>
        <w:t>the Public Appointment</w:t>
      </w:r>
      <w:r w:rsidR="009A71C7">
        <w:rPr>
          <w:rFonts w:cstheme="minorHAnsi"/>
        </w:rPr>
        <w:t>s</w:t>
      </w:r>
      <w:r w:rsidR="00960B4C">
        <w:rPr>
          <w:rFonts w:cstheme="minorHAnsi"/>
        </w:rPr>
        <w:t xml:space="preserve"> Service </w:t>
      </w:r>
      <w:r w:rsidRPr="008F2E23">
        <w:rPr>
          <w:rFonts w:cstheme="minorHAnsi"/>
        </w:rPr>
        <w:t xml:space="preserve">has published </w:t>
      </w:r>
      <w:r w:rsidRPr="00757F23">
        <w:rPr>
          <w:rFonts w:cstheme="minorHAnsi"/>
        </w:rPr>
        <w:t xml:space="preserve">a Guide to Promoting Inclusive </w:t>
      </w:r>
      <w:r w:rsidR="00E04BD9">
        <w:rPr>
          <w:rFonts w:cstheme="minorHAnsi"/>
        </w:rPr>
        <w:t>Employment</w:t>
      </w:r>
      <w:r w:rsidR="00F51E2B">
        <w:rPr>
          <w:rFonts w:cstheme="minorHAnsi"/>
        </w:rPr>
        <w:t>.</w:t>
      </w:r>
      <w:r w:rsidR="002D2475">
        <w:rPr>
          <w:rStyle w:val="FootnoteReference"/>
          <w:rFonts w:cstheme="minorHAnsi"/>
        </w:rPr>
        <w:footnoteReference w:id="27"/>
      </w:r>
    </w:p>
    <w:p w14:paraId="118D74A7" w14:textId="49F4F39C" w:rsidR="0033726A" w:rsidRPr="00153F69" w:rsidRDefault="006A6E80" w:rsidP="00153F69">
      <w:pPr>
        <w:pStyle w:val="ListBullet"/>
        <w:rPr>
          <w:sz w:val="24"/>
        </w:rPr>
      </w:pPr>
      <w:r>
        <w:t xml:space="preserve">The </w:t>
      </w:r>
      <w:r w:rsidR="0033726A">
        <w:t>National Transport Authority (</w:t>
      </w:r>
      <w:r w:rsidR="0033726A" w:rsidRPr="001A1BC8">
        <w:t>NTA</w:t>
      </w:r>
      <w:r w:rsidR="0033726A">
        <w:t>)</w:t>
      </w:r>
      <w:r w:rsidR="0033726A" w:rsidRPr="00CB0A17">
        <w:t xml:space="preserve"> </w:t>
      </w:r>
      <w:r w:rsidR="00153F69">
        <w:t>ha</w:t>
      </w:r>
      <w:r>
        <w:t>s</w:t>
      </w:r>
      <w:r w:rsidR="00153F69">
        <w:t xml:space="preserve"> introduced </w:t>
      </w:r>
      <w:r w:rsidR="00153F69" w:rsidRPr="00C45D70">
        <w:t>a number of improvements in public transport accessibility in recent years, including the introduction of apps to make journeys for those with disabilities easier, improvements to the accessibility of transport stops, and an increase in the number of wheelchair accessible taxis.</w:t>
      </w:r>
      <w:r w:rsidR="00153F69">
        <w:rPr>
          <w:sz w:val="24"/>
        </w:rPr>
        <w:t xml:space="preserve"> During 2020 they </w:t>
      </w:r>
      <w:r w:rsidR="0033726A">
        <w:t>reported that</w:t>
      </w:r>
      <w:r w:rsidR="001777B6">
        <w:t xml:space="preserve"> additional accessibility </w:t>
      </w:r>
      <w:r w:rsidR="002203B9">
        <w:t>options</w:t>
      </w:r>
      <w:r w:rsidR="001777B6">
        <w:t xml:space="preserve"> were introduced </w:t>
      </w:r>
      <w:r w:rsidR="00DA1687">
        <w:t>including</w:t>
      </w:r>
      <w:r w:rsidR="001777B6">
        <w:t>:</w:t>
      </w:r>
      <w:r w:rsidR="0033726A">
        <w:t xml:space="preserve"> </w:t>
      </w:r>
    </w:p>
    <w:p w14:paraId="46292922" w14:textId="7C4707FF" w:rsidR="0033726A" w:rsidRPr="00B06E88" w:rsidRDefault="001777B6" w:rsidP="00577D95">
      <w:pPr>
        <w:pStyle w:val="ListBullet"/>
        <w:tabs>
          <w:tab w:val="clear" w:pos="360"/>
          <w:tab w:val="num" w:pos="720"/>
        </w:tabs>
        <w:ind w:left="720"/>
      </w:pPr>
      <w:r>
        <w:t>T</w:t>
      </w:r>
      <w:r w:rsidR="0033726A">
        <w:t>he Wheelchair Accessible Vehicle (</w:t>
      </w:r>
      <w:r w:rsidR="0033726A" w:rsidRPr="00CB0A17">
        <w:t>WAV</w:t>
      </w:r>
      <w:r w:rsidR="0033726A">
        <w:t xml:space="preserve">) </w:t>
      </w:r>
      <w:r w:rsidR="00D01127">
        <w:t>2020 Grant Scheme</w:t>
      </w:r>
      <w:r w:rsidR="0033726A" w:rsidRPr="00CB0A17">
        <w:t xml:space="preserve"> </w:t>
      </w:r>
      <w:r w:rsidR="0033726A">
        <w:t>had</w:t>
      </w:r>
      <w:r w:rsidR="0033726A" w:rsidRPr="00CB0A17">
        <w:t xml:space="preserve"> issued 263 grants: 220 new WAV licences, </w:t>
      </w:r>
      <w:r w:rsidR="00E04BD9">
        <w:t>five</w:t>
      </w:r>
      <w:r w:rsidR="0033726A" w:rsidRPr="00CB0A17">
        <w:t xml:space="preserve"> change of vehicles (i.e. from an existing standard vehicle to a WAV) and 38 upgrades to older WAVs in the fleet.</w:t>
      </w:r>
    </w:p>
    <w:p w14:paraId="18EE4DF7" w14:textId="5DCA85E7" w:rsidR="00B06E88" w:rsidRPr="007F2377" w:rsidRDefault="00B06E88" w:rsidP="00577D95">
      <w:pPr>
        <w:pStyle w:val="ListBullet"/>
        <w:tabs>
          <w:tab w:val="clear" w:pos="360"/>
          <w:tab w:val="num" w:pos="720"/>
        </w:tabs>
        <w:ind w:left="720"/>
      </w:pPr>
      <w:r w:rsidRPr="00577D95">
        <w:t xml:space="preserve">168 new WAV licences, which were not grant aided, brought into the fleet during 2020 brought the total increase to </w:t>
      </w:r>
      <w:r w:rsidRPr="00577D95">
        <w:rPr>
          <w:b/>
        </w:rPr>
        <w:t>393</w:t>
      </w:r>
      <w:r w:rsidRPr="00577D95">
        <w:t xml:space="preserve"> to mid-November 2020.</w:t>
      </w:r>
      <w:r w:rsidR="00216506">
        <w:t xml:space="preserve"> </w:t>
      </w:r>
      <w:r w:rsidR="00216506" w:rsidRPr="000018A4">
        <w:t>The percentage of WAV’s has now increased to 16% of the fleet compared to 4% in 2014.</w:t>
      </w:r>
    </w:p>
    <w:p w14:paraId="6AB36BEB" w14:textId="1D3DEE80" w:rsidR="00CC0EB4" w:rsidRPr="00577D95" w:rsidRDefault="00E04BD9" w:rsidP="00577D95">
      <w:pPr>
        <w:pStyle w:val="ListBullet"/>
        <w:tabs>
          <w:tab w:val="clear" w:pos="360"/>
          <w:tab w:val="num" w:pos="720"/>
        </w:tabs>
        <w:ind w:left="720"/>
      </w:pPr>
      <w:r>
        <w:rPr>
          <w:lang w:val="en-GB"/>
        </w:rPr>
        <w:t>Six</w:t>
      </w:r>
      <w:r w:rsidR="00B06E88" w:rsidRPr="00FC6350">
        <w:rPr>
          <w:lang w:val="en-GB"/>
        </w:rPr>
        <w:t xml:space="preserve"> pilot community car schemes </w:t>
      </w:r>
      <w:r w:rsidR="00216506" w:rsidRPr="000018A4">
        <w:rPr>
          <w:lang w:val="en-GB"/>
        </w:rPr>
        <w:t>for local link</w:t>
      </w:r>
      <w:r w:rsidR="00216506">
        <w:rPr>
          <w:lang w:val="en-GB"/>
        </w:rPr>
        <w:t xml:space="preserve"> </w:t>
      </w:r>
      <w:r w:rsidR="00B06E88" w:rsidRPr="00FC6350">
        <w:rPr>
          <w:lang w:val="en-GB"/>
        </w:rPr>
        <w:t xml:space="preserve">were approved for 2020 in the following counties Cork, Kerry x </w:t>
      </w:r>
      <w:r>
        <w:rPr>
          <w:lang w:val="en-GB"/>
        </w:rPr>
        <w:t>two</w:t>
      </w:r>
      <w:r w:rsidR="00B06E88" w:rsidRPr="00FC6350">
        <w:rPr>
          <w:lang w:val="en-GB"/>
        </w:rPr>
        <w:t xml:space="preserve">, </w:t>
      </w:r>
      <w:r w:rsidR="00B06E88">
        <w:rPr>
          <w:lang w:val="en-GB"/>
        </w:rPr>
        <w:t>Offaly, Longford and Mayo.</w:t>
      </w:r>
    </w:p>
    <w:p w14:paraId="5FC49C7E" w14:textId="4FEEDFDF" w:rsidR="00CB0A17" w:rsidRDefault="00CB0A17" w:rsidP="00632A4E">
      <w:pPr>
        <w:pStyle w:val="Heading2"/>
      </w:pPr>
      <w:bookmarkStart w:id="13" w:name="_Toc66782879"/>
      <w:r w:rsidRPr="000A6BF0">
        <w:t>A</w:t>
      </w:r>
      <w:r w:rsidR="004637CA" w:rsidRPr="000A6BF0">
        <w:t xml:space="preserve">ctions </w:t>
      </w:r>
      <w:r w:rsidR="006D7937">
        <w:t>advanced during 2020</w:t>
      </w:r>
      <w:r w:rsidR="00C60CF9">
        <w:t>:</w:t>
      </w:r>
      <w:bookmarkEnd w:id="13"/>
    </w:p>
    <w:p w14:paraId="13CA7747" w14:textId="3729B776" w:rsidR="00C60CF9" w:rsidRPr="00577D95" w:rsidRDefault="00C60CF9" w:rsidP="00577D95">
      <w:pPr>
        <w:rPr>
          <w:szCs w:val="26"/>
        </w:rPr>
      </w:pPr>
      <w:r w:rsidRPr="00632A4E">
        <w:rPr>
          <w:szCs w:val="26"/>
        </w:rPr>
        <w:t xml:space="preserve">There are a </w:t>
      </w:r>
      <w:r w:rsidR="00E170CE">
        <w:rPr>
          <w:szCs w:val="26"/>
        </w:rPr>
        <w:t>few</w:t>
      </w:r>
      <w:r w:rsidRPr="00632A4E">
        <w:rPr>
          <w:szCs w:val="26"/>
        </w:rPr>
        <w:t xml:space="preserve"> areas where committed actions </w:t>
      </w:r>
      <w:r w:rsidR="006A6E80">
        <w:rPr>
          <w:szCs w:val="26"/>
        </w:rPr>
        <w:t xml:space="preserve">were </w:t>
      </w:r>
      <w:r w:rsidRPr="00632A4E">
        <w:rPr>
          <w:szCs w:val="26"/>
        </w:rPr>
        <w:t>advanced but were not completed during 2020</w:t>
      </w:r>
      <w:r w:rsidR="008E4130">
        <w:rPr>
          <w:szCs w:val="26"/>
        </w:rPr>
        <w:t>.</w:t>
      </w:r>
      <w:r w:rsidR="00F16EF1">
        <w:rPr>
          <w:szCs w:val="26"/>
        </w:rPr>
        <w:t xml:space="preserve"> T</w:t>
      </w:r>
      <w:r w:rsidRPr="00632A4E">
        <w:rPr>
          <w:szCs w:val="26"/>
        </w:rPr>
        <w:t>he NDA recommend</w:t>
      </w:r>
      <w:r w:rsidR="008E4130">
        <w:rPr>
          <w:szCs w:val="26"/>
        </w:rPr>
        <w:t>s</w:t>
      </w:r>
      <w:r w:rsidR="006A6E80">
        <w:rPr>
          <w:szCs w:val="26"/>
        </w:rPr>
        <w:t xml:space="preserve"> </w:t>
      </w:r>
      <w:r w:rsidR="008E4130">
        <w:rPr>
          <w:szCs w:val="26"/>
        </w:rPr>
        <w:t xml:space="preserve">continued focus </w:t>
      </w:r>
      <w:r w:rsidR="006A6E80">
        <w:rPr>
          <w:szCs w:val="26"/>
        </w:rPr>
        <w:t xml:space="preserve">be given to </w:t>
      </w:r>
      <w:r w:rsidR="008E4130">
        <w:rPr>
          <w:szCs w:val="26"/>
        </w:rPr>
        <w:t xml:space="preserve">delivering these commitments during </w:t>
      </w:r>
      <w:r w:rsidRPr="00632A4E">
        <w:rPr>
          <w:szCs w:val="26"/>
        </w:rPr>
        <w:t>2021. These actions include:</w:t>
      </w:r>
    </w:p>
    <w:p w14:paraId="7E0B3DD3" w14:textId="6FC1970E" w:rsidR="00BE7029" w:rsidRPr="00E04BD9" w:rsidRDefault="00BE7029" w:rsidP="00E04BD9">
      <w:pPr>
        <w:pStyle w:val="ListBullet"/>
        <w:rPr>
          <w:rFonts w:cstheme="minorHAnsi"/>
        </w:rPr>
      </w:pPr>
      <w:r w:rsidRPr="00FD002A">
        <w:rPr>
          <w:rFonts w:cstheme="minorHAnsi"/>
          <w:szCs w:val="26"/>
        </w:rPr>
        <w:t>The</w:t>
      </w:r>
      <w:r w:rsidRPr="00332870">
        <w:rPr>
          <w:rFonts w:cstheme="minorHAnsi"/>
        </w:rPr>
        <w:t xml:space="preserve"> Ability programme has </w:t>
      </w:r>
      <w:r w:rsidR="00E154EB">
        <w:rPr>
          <w:rFonts w:cstheme="minorHAnsi"/>
        </w:rPr>
        <w:t xml:space="preserve">seen </w:t>
      </w:r>
      <w:r w:rsidRPr="00332870">
        <w:rPr>
          <w:rFonts w:cstheme="minorHAnsi"/>
        </w:rPr>
        <w:t>over</w:t>
      </w:r>
      <w:r>
        <w:rPr>
          <w:rFonts w:cstheme="minorHAnsi"/>
        </w:rPr>
        <w:t xml:space="preserve"> 1,560</w:t>
      </w:r>
      <w:r w:rsidRPr="00332870">
        <w:rPr>
          <w:rFonts w:cstheme="minorHAnsi"/>
        </w:rPr>
        <w:t xml:space="preserve"> young people with disabilities accessing </w:t>
      </w:r>
      <w:r w:rsidR="00E154EB">
        <w:rPr>
          <w:rFonts w:cstheme="minorHAnsi"/>
        </w:rPr>
        <w:t xml:space="preserve">various </w:t>
      </w:r>
      <w:r w:rsidRPr="00332870">
        <w:rPr>
          <w:rFonts w:cstheme="minorHAnsi"/>
        </w:rPr>
        <w:t>pre activation supports</w:t>
      </w:r>
      <w:r w:rsidR="00E154EB">
        <w:rPr>
          <w:rFonts w:cstheme="minorHAnsi"/>
        </w:rPr>
        <w:t xml:space="preserve"> / providers services</w:t>
      </w:r>
      <w:r w:rsidRPr="00332870">
        <w:rPr>
          <w:rFonts w:cstheme="minorHAnsi"/>
        </w:rPr>
        <w:t xml:space="preserve">. </w:t>
      </w:r>
      <w:r w:rsidR="00E04BD9">
        <w:rPr>
          <w:rFonts w:cstheme="minorHAnsi"/>
        </w:rPr>
        <w:t>The</w:t>
      </w:r>
      <w:r w:rsidRPr="007E797D">
        <w:rPr>
          <w:rFonts w:cstheme="minorHAnsi"/>
        </w:rPr>
        <w:t xml:space="preserve"> NDA welcome DSP</w:t>
      </w:r>
      <w:r w:rsidR="00F019B6">
        <w:rPr>
          <w:rFonts w:cstheme="minorHAnsi"/>
        </w:rPr>
        <w:t>’</w:t>
      </w:r>
      <w:r w:rsidRPr="007E797D">
        <w:rPr>
          <w:rFonts w:cstheme="minorHAnsi"/>
        </w:rPr>
        <w:t>s commitment to co</w:t>
      </w:r>
      <w:r>
        <w:rPr>
          <w:rFonts w:cstheme="minorHAnsi"/>
        </w:rPr>
        <w:t>ntinue funding these projects until August</w:t>
      </w:r>
      <w:r w:rsidRPr="007E797D">
        <w:rPr>
          <w:rFonts w:cstheme="minorHAnsi"/>
        </w:rPr>
        <w:t xml:space="preserve"> 2021</w:t>
      </w:r>
      <w:r w:rsidR="00E101BF">
        <w:rPr>
          <w:rFonts w:cstheme="minorHAnsi"/>
        </w:rPr>
        <w:t>.</w:t>
      </w:r>
      <w:r w:rsidR="00E170CE">
        <w:rPr>
          <w:rFonts w:cstheme="minorHAnsi"/>
        </w:rPr>
        <w:t xml:space="preserve"> </w:t>
      </w:r>
      <w:r w:rsidR="00E101BF">
        <w:rPr>
          <w:rFonts w:cstheme="minorHAnsi"/>
        </w:rPr>
        <w:t xml:space="preserve"> It is noted that C</w:t>
      </w:r>
      <w:r w:rsidR="00C17A4A">
        <w:rPr>
          <w:rFonts w:cstheme="minorHAnsi"/>
        </w:rPr>
        <w:t>OVID-19</w:t>
      </w:r>
      <w:r w:rsidR="00E101BF">
        <w:rPr>
          <w:rFonts w:cstheme="minorHAnsi"/>
        </w:rPr>
        <w:t xml:space="preserve"> had an impact both in terms of the providers and mid- term evaluation in 2020. However</w:t>
      </w:r>
      <w:r w:rsidR="00846D3B">
        <w:rPr>
          <w:rFonts w:cstheme="minorHAnsi"/>
        </w:rPr>
        <w:t>, the findings of a mid-term evaluation process, presented in early 2021, can be of benefit in ensuring that the learning from these initiatives</w:t>
      </w:r>
      <w:r w:rsidR="00E101BF">
        <w:rPr>
          <w:rFonts w:cstheme="minorHAnsi"/>
        </w:rPr>
        <w:t xml:space="preserve"> </w:t>
      </w:r>
      <w:r w:rsidR="00E170CE">
        <w:rPr>
          <w:rFonts w:cstheme="minorHAnsi"/>
        </w:rPr>
        <w:t>is</w:t>
      </w:r>
      <w:r>
        <w:rPr>
          <w:rFonts w:cstheme="minorHAnsi"/>
        </w:rPr>
        <w:t xml:space="preserve"> mainstreamed</w:t>
      </w:r>
      <w:r w:rsidRPr="00332870">
        <w:rPr>
          <w:rFonts w:cstheme="minorHAnsi"/>
        </w:rPr>
        <w:t xml:space="preserve"> across the system</w:t>
      </w:r>
      <w:r w:rsidR="00E170CE">
        <w:rPr>
          <w:rFonts w:cstheme="minorHAnsi"/>
        </w:rPr>
        <w:t xml:space="preserve"> and informs the future of the Ability programme</w:t>
      </w:r>
      <w:r w:rsidR="004629FE">
        <w:rPr>
          <w:rStyle w:val="FootnoteReference"/>
          <w:rFonts w:cstheme="minorHAnsi"/>
        </w:rPr>
        <w:footnoteReference w:id="28"/>
      </w:r>
      <w:r w:rsidRPr="00332870">
        <w:rPr>
          <w:rFonts w:cstheme="minorHAnsi"/>
        </w:rPr>
        <w:t>.</w:t>
      </w:r>
    </w:p>
    <w:p w14:paraId="18C0C65C" w14:textId="268ED4B0" w:rsidR="00E06722" w:rsidRDefault="00F82A77" w:rsidP="00E170CE">
      <w:pPr>
        <w:pStyle w:val="ListBullet"/>
      </w:pPr>
      <w:r w:rsidRPr="00B41E3B">
        <w:t xml:space="preserve">SOLAS review of Specialist Training Provision </w:t>
      </w:r>
      <w:r w:rsidR="00935CA2" w:rsidRPr="00B41E3B">
        <w:t xml:space="preserve">(STP) </w:t>
      </w:r>
      <w:r w:rsidRPr="00B41E3B">
        <w:t>commenced in 2019</w:t>
      </w:r>
      <w:r w:rsidR="00924653">
        <w:t xml:space="preserve"> in line with the SOLAS </w:t>
      </w:r>
      <w:r w:rsidR="001E6AEE">
        <w:t xml:space="preserve">plan of continuous evaluation and development of </w:t>
      </w:r>
      <w:r w:rsidR="002203B9">
        <w:t xml:space="preserve">all </w:t>
      </w:r>
      <w:r w:rsidR="001E6AEE">
        <w:t>FET programmes. The</w:t>
      </w:r>
      <w:r w:rsidRPr="00B41E3B">
        <w:t xml:space="preserve"> review is well </w:t>
      </w:r>
      <w:r w:rsidR="008E4130">
        <w:t>advanced</w:t>
      </w:r>
      <w:r w:rsidR="008E4130" w:rsidRPr="00B41E3B">
        <w:t xml:space="preserve"> </w:t>
      </w:r>
      <w:r w:rsidRPr="00B41E3B">
        <w:t>with consultants visiting</w:t>
      </w:r>
      <w:r w:rsidR="00935CA2" w:rsidRPr="00B41E3B">
        <w:t xml:space="preserve"> (online)</w:t>
      </w:r>
      <w:r w:rsidRPr="00B41E3B">
        <w:t xml:space="preserve"> each STP centre during 2020</w:t>
      </w:r>
      <w:r w:rsidR="008E4130">
        <w:t>.</w:t>
      </w:r>
      <w:r w:rsidRPr="00B41E3B">
        <w:t xml:space="preserve"> </w:t>
      </w:r>
      <w:r w:rsidR="008E4130">
        <w:t>A</w:t>
      </w:r>
      <w:r w:rsidR="008E4130" w:rsidRPr="00B41E3B">
        <w:t xml:space="preserve"> </w:t>
      </w:r>
      <w:r w:rsidRPr="00B41E3B">
        <w:t>consultation exercise with current and p</w:t>
      </w:r>
      <w:r w:rsidR="00F16EF1" w:rsidRPr="00B41E3B">
        <w:t>a</w:t>
      </w:r>
      <w:r w:rsidRPr="00B41E3B">
        <w:t>st students should be completed in 2021</w:t>
      </w:r>
      <w:r w:rsidR="00542CC4">
        <w:t xml:space="preserve"> and</w:t>
      </w:r>
      <w:r w:rsidR="00CB00FB">
        <w:t xml:space="preserve"> this will</w:t>
      </w:r>
      <w:r w:rsidR="008E4130">
        <w:t xml:space="preserve"> further inform the review findings</w:t>
      </w:r>
      <w:r w:rsidRPr="00B41E3B">
        <w:t xml:space="preserve">. </w:t>
      </w:r>
      <w:r w:rsidR="002203B9">
        <w:t xml:space="preserve">This review </w:t>
      </w:r>
      <w:r w:rsidR="00542CC4">
        <w:t>will be</w:t>
      </w:r>
      <w:r w:rsidR="002203B9">
        <w:t xml:space="preserve"> an important contribution to the post school options for learners with disabilities.</w:t>
      </w:r>
    </w:p>
    <w:p w14:paraId="5084D77D" w14:textId="6786894E" w:rsidR="006D7937" w:rsidRPr="006D7937" w:rsidRDefault="006D7937" w:rsidP="006D7937">
      <w:pPr>
        <w:pStyle w:val="Heading2"/>
      </w:pPr>
      <w:bookmarkStart w:id="14" w:name="_Toc66782880"/>
      <w:r>
        <w:t>Actions requiring further focus during 2021</w:t>
      </w:r>
      <w:bookmarkEnd w:id="14"/>
    </w:p>
    <w:p w14:paraId="14B468BD" w14:textId="3F9128FB" w:rsidR="00CB0A17" w:rsidRDefault="00632A4E" w:rsidP="00CB0A17">
      <w:pPr>
        <w:spacing w:after="264"/>
        <w:ind w:right="1"/>
        <w:rPr>
          <w:szCs w:val="26"/>
        </w:rPr>
      </w:pPr>
      <w:r>
        <w:rPr>
          <w:szCs w:val="26"/>
        </w:rPr>
        <w:t xml:space="preserve">While </w:t>
      </w:r>
      <w:r w:rsidR="006A0377">
        <w:rPr>
          <w:szCs w:val="26"/>
        </w:rPr>
        <w:t>COVID</w:t>
      </w:r>
      <w:r>
        <w:rPr>
          <w:szCs w:val="26"/>
        </w:rPr>
        <w:t xml:space="preserve">-19 </w:t>
      </w:r>
      <w:r w:rsidR="00254181">
        <w:rPr>
          <w:szCs w:val="26"/>
        </w:rPr>
        <w:t xml:space="preserve">has </w:t>
      </w:r>
      <w:r>
        <w:rPr>
          <w:szCs w:val="26"/>
        </w:rPr>
        <w:t>had an impact o</w:t>
      </w:r>
      <w:r w:rsidR="006A0377">
        <w:rPr>
          <w:szCs w:val="26"/>
        </w:rPr>
        <w:t>n</w:t>
      </w:r>
      <w:r>
        <w:rPr>
          <w:szCs w:val="26"/>
        </w:rPr>
        <w:t xml:space="preserve"> </w:t>
      </w:r>
      <w:r w:rsidR="002056E6">
        <w:rPr>
          <w:szCs w:val="26"/>
        </w:rPr>
        <w:t xml:space="preserve">the timelines for delivery of </w:t>
      </w:r>
      <w:r>
        <w:rPr>
          <w:szCs w:val="26"/>
        </w:rPr>
        <w:t>many actions,</w:t>
      </w:r>
      <w:r w:rsidR="002056E6">
        <w:rPr>
          <w:szCs w:val="26"/>
        </w:rPr>
        <w:t xml:space="preserve"> the NDA notes that</w:t>
      </w:r>
      <w:r>
        <w:rPr>
          <w:szCs w:val="26"/>
        </w:rPr>
        <w:t xml:space="preserve"> there </w:t>
      </w:r>
      <w:r w:rsidR="006A0377">
        <w:rPr>
          <w:szCs w:val="26"/>
        </w:rPr>
        <w:t xml:space="preserve">are also </w:t>
      </w:r>
      <w:r>
        <w:rPr>
          <w:szCs w:val="26"/>
        </w:rPr>
        <w:t xml:space="preserve">actions that </w:t>
      </w:r>
      <w:r w:rsidR="002056E6">
        <w:rPr>
          <w:szCs w:val="26"/>
        </w:rPr>
        <w:t xml:space="preserve">have been </w:t>
      </w:r>
      <w:r>
        <w:rPr>
          <w:szCs w:val="26"/>
        </w:rPr>
        <w:t xml:space="preserve">delayed </w:t>
      </w:r>
      <w:r w:rsidR="002056E6">
        <w:rPr>
          <w:szCs w:val="26"/>
        </w:rPr>
        <w:t xml:space="preserve">since before the </w:t>
      </w:r>
      <w:r w:rsidR="006A6E80">
        <w:rPr>
          <w:szCs w:val="26"/>
        </w:rPr>
        <w:t xml:space="preserve">onset of the </w:t>
      </w:r>
      <w:r w:rsidR="002056E6">
        <w:rPr>
          <w:szCs w:val="26"/>
        </w:rPr>
        <w:t>pandemic</w:t>
      </w:r>
      <w:r>
        <w:rPr>
          <w:szCs w:val="26"/>
        </w:rPr>
        <w:t>. The NDA suggest</w:t>
      </w:r>
      <w:r w:rsidR="002056E6">
        <w:rPr>
          <w:szCs w:val="26"/>
        </w:rPr>
        <w:t>s</w:t>
      </w:r>
      <w:r>
        <w:rPr>
          <w:szCs w:val="26"/>
        </w:rPr>
        <w:t xml:space="preserve"> that while there are many areas that </w:t>
      </w:r>
      <w:r w:rsidR="006B5BB5">
        <w:rPr>
          <w:szCs w:val="26"/>
        </w:rPr>
        <w:t xml:space="preserve">require </w:t>
      </w:r>
      <w:r w:rsidR="00CB0A17" w:rsidRPr="00CB0A17">
        <w:rPr>
          <w:szCs w:val="26"/>
        </w:rPr>
        <w:t xml:space="preserve">further consideration and focus </w:t>
      </w:r>
      <w:r w:rsidR="006B5BB5">
        <w:rPr>
          <w:szCs w:val="26"/>
        </w:rPr>
        <w:t>in 2021, those requiring immediate</w:t>
      </w:r>
      <w:r w:rsidR="006A0377">
        <w:rPr>
          <w:szCs w:val="26"/>
        </w:rPr>
        <w:t xml:space="preserve"> focus</w:t>
      </w:r>
      <w:r w:rsidR="006B5BB5">
        <w:rPr>
          <w:szCs w:val="26"/>
        </w:rPr>
        <w:t xml:space="preserve"> </w:t>
      </w:r>
      <w:r w:rsidR="00CB0A17" w:rsidRPr="00CB0A17">
        <w:rPr>
          <w:szCs w:val="26"/>
        </w:rPr>
        <w:t>include</w:t>
      </w:r>
      <w:r w:rsidR="006A6E80">
        <w:rPr>
          <w:szCs w:val="26"/>
        </w:rPr>
        <w:t xml:space="preserve"> the following</w:t>
      </w:r>
      <w:r w:rsidR="00CB0A17" w:rsidRPr="00CB0A17">
        <w:rPr>
          <w:szCs w:val="26"/>
        </w:rPr>
        <w:t xml:space="preserve">: </w:t>
      </w:r>
    </w:p>
    <w:p w14:paraId="0CAE9933" w14:textId="23EC9318" w:rsidR="001374F5" w:rsidRPr="00F74AAD" w:rsidRDefault="00CB66CB" w:rsidP="005E1AB6">
      <w:pPr>
        <w:pStyle w:val="ListBullet"/>
        <w:rPr>
          <w:rFonts w:cstheme="minorHAnsi"/>
          <w:szCs w:val="26"/>
        </w:rPr>
      </w:pPr>
      <w:r w:rsidRPr="00F74AAD">
        <w:rPr>
          <w:szCs w:val="26"/>
        </w:rPr>
        <w:t xml:space="preserve">As </w:t>
      </w:r>
      <w:r w:rsidR="001374F5" w:rsidRPr="00F74AAD">
        <w:rPr>
          <w:szCs w:val="26"/>
        </w:rPr>
        <w:t>2021 is the final year of t</w:t>
      </w:r>
      <w:r w:rsidR="00FD002A" w:rsidRPr="00F74AAD">
        <w:rPr>
          <w:szCs w:val="26"/>
        </w:rPr>
        <w:t>he second 3-</w:t>
      </w:r>
      <w:r w:rsidRPr="00F74AAD">
        <w:rPr>
          <w:szCs w:val="26"/>
        </w:rPr>
        <w:t>year action plan,</w:t>
      </w:r>
      <w:r w:rsidR="001374F5" w:rsidRPr="00F74AAD">
        <w:rPr>
          <w:szCs w:val="26"/>
        </w:rPr>
        <w:t xml:space="preserve"> </w:t>
      </w:r>
      <w:r w:rsidR="005E1AB6" w:rsidRPr="00F74AAD">
        <w:rPr>
          <w:szCs w:val="26"/>
          <w:lang w:val="en-GB"/>
        </w:rPr>
        <w:t>there is an opportunity to consider progress and activity to date, in order to inform the next stage</w:t>
      </w:r>
      <w:r w:rsidR="005E1AB6" w:rsidRPr="00F74AAD">
        <w:rPr>
          <w:szCs w:val="26"/>
        </w:rPr>
        <w:t xml:space="preserve"> </w:t>
      </w:r>
      <w:r w:rsidR="001374F5" w:rsidRPr="00F74AAD">
        <w:rPr>
          <w:szCs w:val="26"/>
        </w:rPr>
        <w:t>of implementation of this strategy. It is important that a third action plan is finalised and published by year end</w:t>
      </w:r>
      <w:r w:rsidRPr="00F74AAD">
        <w:rPr>
          <w:szCs w:val="26"/>
        </w:rPr>
        <w:t xml:space="preserve"> and that it is aligned with the post pandemic national </w:t>
      </w:r>
      <w:r w:rsidR="006A6E80" w:rsidRPr="00F74AAD">
        <w:rPr>
          <w:szCs w:val="26"/>
        </w:rPr>
        <w:t xml:space="preserve">recovery </w:t>
      </w:r>
      <w:r w:rsidRPr="00F74AAD">
        <w:rPr>
          <w:szCs w:val="26"/>
        </w:rPr>
        <w:t>plan</w:t>
      </w:r>
      <w:r w:rsidR="00F019B6">
        <w:rPr>
          <w:szCs w:val="26"/>
        </w:rPr>
        <w:t>.</w:t>
      </w:r>
    </w:p>
    <w:p w14:paraId="30F90755" w14:textId="1D8B992D" w:rsidR="000B1CAC" w:rsidRPr="00577D95" w:rsidRDefault="009F0F16" w:rsidP="00FD002A">
      <w:pPr>
        <w:pStyle w:val="ListBullet"/>
        <w:rPr>
          <w:rFonts w:cstheme="minorHAnsi"/>
        </w:rPr>
      </w:pPr>
      <w:r w:rsidRPr="00577D95">
        <w:rPr>
          <w:rFonts w:cstheme="minorHAnsi"/>
        </w:rPr>
        <w:t>Addressing the</w:t>
      </w:r>
      <w:r w:rsidR="00936514" w:rsidRPr="00577D95">
        <w:rPr>
          <w:rFonts w:cstheme="minorHAnsi"/>
        </w:rPr>
        <w:t xml:space="preserve"> lack of progress on the provision of </w:t>
      </w:r>
      <w:r w:rsidR="001B27BC" w:rsidRPr="00577D95">
        <w:rPr>
          <w:rFonts w:cstheme="minorHAnsi"/>
        </w:rPr>
        <w:t>Career Guidance</w:t>
      </w:r>
      <w:r w:rsidR="00936514" w:rsidRPr="00577D95">
        <w:rPr>
          <w:rFonts w:cstheme="minorHAnsi"/>
        </w:rPr>
        <w:t xml:space="preserve"> for learners with disabilities in special and mainstream </w:t>
      </w:r>
      <w:r w:rsidR="001E0C8E" w:rsidRPr="00577D95">
        <w:rPr>
          <w:rFonts w:cstheme="minorHAnsi"/>
        </w:rPr>
        <w:t xml:space="preserve">school </w:t>
      </w:r>
      <w:r w:rsidR="00936514" w:rsidRPr="00577D95">
        <w:rPr>
          <w:rFonts w:cstheme="minorHAnsi"/>
        </w:rPr>
        <w:t>settings</w:t>
      </w:r>
      <w:r w:rsidR="00F019B6">
        <w:rPr>
          <w:rFonts w:cstheme="minorHAnsi"/>
        </w:rPr>
        <w:t>.</w:t>
      </w:r>
    </w:p>
    <w:p w14:paraId="7EDF27C8" w14:textId="543AA4FC" w:rsidR="0014592A" w:rsidRPr="00FD3F7B" w:rsidRDefault="009867D9" w:rsidP="00FD002A">
      <w:pPr>
        <w:pStyle w:val="ListBullet"/>
        <w:rPr>
          <w:rFonts w:cstheme="minorHAnsi"/>
        </w:rPr>
      </w:pPr>
      <w:r>
        <w:rPr>
          <w:rFonts w:cstheme="minorHAnsi"/>
          <w:szCs w:val="26"/>
        </w:rPr>
        <w:t xml:space="preserve">Implementation of the agreed policy developed under </w:t>
      </w:r>
      <w:r w:rsidR="00936514" w:rsidRPr="00FD002A">
        <w:rPr>
          <w:rFonts w:cstheme="minorHAnsi"/>
          <w:szCs w:val="26"/>
        </w:rPr>
        <w:t xml:space="preserve">CES action </w:t>
      </w:r>
      <w:r w:rsidR="000B1CAC" w:rsidRPr="00FD002A">
        <w:rPr>
          <w:rFonts w:cstheme="minorHAnsi"/>
          <w:szCs w:val="26"/>
        </w:rPr>
        <w:t>5.1</w:t>
      </w:r>
      <w:r w:rsidR="00542CC4" w:rsidRPr="00FD002A">
        <w:rPr>
          <w:rFonts w:cstheme="minorHAnsi"/>
          <w:szCs w:val="26"/>
        </w:rPr>
        <w:t xml:space="preserve">. </w:t>
      </w:r>
      <w:r>
        <w:rPr>
          <w:rFonts w:cstheme="minorHAnsi"/>
          <w:szCs w:val="26"/>
        </w:rPr>
        <w:t xml:space="preserve">to develop </w:t>
      </w:r>
      <w:r w:rsidR="0014592A">
        <w:rPr>
          <w:rFonts w:cstheme="minorHAnsi"/>
          <w:szCs w:val="26"/>
        </w:rPr>
        <w:t>a national programme of coordinated employment supports for persons with disabilities who wish to work,</w:t>
      </w:r>
      <w:r w:rsidR="00542CC4" w:rsidRPr="00FD002A">
        <w:rPr>
          <w:rFonts w:cs="GillSans-Condensed"/>
          <w:szCs w:val="26"/>
          <w:lang w:eastAsia="en-IE"/>
        </w:rPr>
        <w:t xml:space="preserve"> including those who require a high level of support, to obtain and retain employment. </w:t>
      </w:r>
      <w:r w:rsidR="0014592A">
        <w:rPr>
          <w:rFonts w:cs="GillSans-Condensed"/>
          <w:szCs w:val="26"/>
          <w:lang w:eastAsia="en-IE"/>
        </w:rPr>
        <w:t>Despite the policy being agreed across relevant departments and agencies, implementation of same has not progressed.</w:t>
      </w:r>
    </w:p>
    <w:p w14:paraId="6371BDD8" w14:textId="12374243" w:rsidR="00BF565A" w:rsidRPr="00577D95" w:rsidRDefault="00602024" w:rsidP="00FD002A">
      <w:pPr>
        <w:pStyle w:val="ListBullet"/>
        <w:rPr>
          <w:rFonts w:cstheme="minorHAnsi"/>
        </w:rPr>
      </w:pPr>
      <w:r>
        <w:rPr>
          <w:rFonts w:cstheme="minorHAnsi"/>
        </w:rPr>
        <w:t>Commencement of the early engagement process as recommended</w:t>
      </w:r>
      <w:r w:rsidR="002056E6">
        <w:rPr>
          <w:rFonts w:cstheme="minorHAnsi"/>
        </w:rPr>
        <w:t xml:space="preserve"> in the </w:t>
      </w:r>
      <w:r>
        <w:rPr>
          <w:rFonts w:cstheme="minorHAnsi"/>
        </w:rPr>
        <w:t xml:space="preserve">2017 </w:t>
      </w:r>
      <w:r w:rsidR="00D01127">
        <w:rPr>
          <w:rFonts w:cstheme="minorHAnsi"/>
        </w:rPr>
        <w:t xml:space="preserve">Make Work Pay Report. </w:t>
      </w:r>
      <w:r>
        <w:rPr>
          <w:rFonts w:cstheme="minorHAnsi"/>
        </w:rPr>
        <w:t xml:space="preserve">The </w:t>
      </w:r>
      <w:r w:rsidR="00763B53">
        <w:rPr>
          <w:rFonts w:cstheme="minorHAnsi"/>
        </w:rPr>
        <w:t xml:space="preserve">national </w:t>
      </w:r>
      <w:r>
        <w:rPr>
          <w:rFonts w:cstheme="minorHAnsi"/>
        </w:rPr>
        <w:t>consultation</w:t>
      </w:r>
      <w:r w:rsidR="00763B53">
        <w:rPr>
          <w:rFonts w:cstheme="minorHAnsi"/>
        </w:rPr>
        <w:t xml:space="preserve"> process,</w:t>
      </w:r>
      <w:r>
        <w:rPr>
          <w:rFonts w:cstheme="minorHAnsi"/>
        </w:rPr>
        <w:t xml:space="preserve"> with people with disabilities</w:t>
      </w:r>
      <w:r w:rsidR="00763B53">
        <w:rPr>
          <w:rFonts w:cstheme="minorHAnsi"/>
        </w:rPr>
        <w:t>, their famili</w:t>
      </w:r>
      <w:r w:rsidR="00680B9F">
        <w:rPr>
          <w:rFonts w:cstheme="minorHAnsi"/>
        </w:rPr>
        <w:t>es and</w:t>
      </w:r>
      <w:r w:rsidR="00763B53">
        <w:rPr>
          <w:rFonts w:cstheme="minorHAnsi"/>
        </w:rPr>
        <w:t xml:space="preserve"> disability </w:t>
      </w:r>
      <w:r w:rsidR="00680B9F">
        <w:rPr>
          <w:rFonts w:cstheme="minorHAnsi"/>
        </w:rPr>
        <w:t>representative</w:t>
      </w:r>
      <w:r w:rsidR="00763B53">
        <w:rPr>
          <w:rFonts w:cstheme="minorHAnsi"/>
        </w:rPr>
        <w:t xml:space="preserve"> groups, to gain general agreement to the introduction of ‘</w:t>
      </w:r>
      <w:r>
        <w:rPr>
          <w:rFonts w:cstheme="minorHAnsi"/>
        </w:rPr>
        <w:t>early engagement</w:t>
      </w:r>
      <w:r w:rsidR="00140572">
        <w:rPr>
          <w:rFonts w:cstheme="minorHAnsi"/>
        </w:rPr>
        <w:t xml:space="preserve">’ </w:t>
      </w:r>
      <w:r>
        <w:rPr>
          <w:rFonts w:cstheme="minorHAnsi"/>
        </w:rPr>
        <w:t>was</w:t>
      </w:r>
      <w:r w:rsidR="00E170CE">
        <w:rPr>
          <w:rFonts w:cstheme="minorHAnsi"/>
        </w:rPr>
        <w:t xml:space="preserve"> </w:t>
      </w:r>
      <w:r w:rsidR="00753474">
        <w:rPr>
          <w:rFonts w:cstheme="minorHAnsi"/>
        </w:rPr>
        <w:t>completed in 2018</w:t>
      </w:r>
      <w:r w:rsidR="00332870">
        <w:rPr>
          <w:rFonts w:cstheme="minorHAnsi"/>
        </w:rPr>
        <w:t>.</w:t>
      </w:r>
      <w:r w:rsidR="002056E6">
        <w:rPr>
          <w:rFonts w:cstheme="minorHAnsi"/>
        </w:rPr>
        <w:t xml:space="preserve"> </w:t>
      </w:r>
    </w:p>
    <w:p w14:paraId="6BA1FFAB" w14:textId="7587D711" w:rsidR="00782E94" w:rsidRPr="00577D95" w:rsidRDefault="009F0F16" w:rsidP="00FD002A">
      <w:pPr>
        <w:pStyle w:val="ListBullet"/>
        <w:rPr>
          <w:rFonts w:cstheme="minorHAnsi"/>
        </w:rPr>
      </w:pPr>
      <w:r w:rsidRPr="00577D95">
        <w:rPr>
          <w:rFonts w:cstheme="minorHAnsi"/>
        </w:rPr>
        <w:t xml:space="preserve">Conducting </w:t>
      </w:r>
      <w:r w:rsidR="00936514" w:rsidRPr="00577D95">
        <w:rPr>
          <w:rFonts w:cstheme="minorHAnsi"/>
        </w:rPr>
        <w:t>a f</w:t>
      </w:r>
      <w:r w:rsidR="00860DA0" w:rsidRPr="00577D95">
        <w:rPr>
          <w:rFonts w:cstheme="minorHAnsi"/>
        </w:rPr>
        <w:t>ull review of the Make Work Pay actions</w:t>
      </w:r>
      <w:r w:rsidR="002056E6">
        <w:rPr>
          <w:rFonts w:cstheme="minorHAnsi"/>
        </w:rPr>
        <w:t>, as per a commitment within the report</w:t>
      </w:r>
      <w:r w:rsidRPr="00577D95">
        <w:rPr>
          <w:rFonts w:cstheme="minorHAnsi"/>
        </w:rPr>
        <w:t xml:space="preserve">. </w:t>
      </w:r>
    </w:p>
    <w:p w14:paraId="54B57156" w14:textId="77529757" w:rsidR="000A7C3F" w:rsidRPr="00CA1EF1" w:rsidRDefault="002056E6" w:rsidP="000A7C3F">
      <w:pPr>
        <w:keepNext/>
        <w:keepLines/>
        <w:pBdr>
          <w:top w:val="single" w:sz="4" w:space="1" w:color="auto"/>
          <w:left w:val="single" w:sz="4" w:space="4" w:color="auto"/>
          <w:bottom w:val="single" w:sz="4" w:space="1" w:color="auto"/>
          <w:right w:val="single" w:sz="4" w:space="4" w:color="auto"/>
        </w:pBdr>
        <w:spacing w:before="240"/>
        <w:outlineLvl w:val="0"/>
        <w:rPr>
          <w:rFonts w:eastAsiaTheme="majorEastAsia" w:cstheme="majorBidi"/>
          <w:sz w:val="32"/>
          <w:szCs w:val="32"/>
        </w:rPr>
      </w:pPr>
      <w:bookmarkStart w:id="15" w:name="_Toc66782881"/>
      <w:r>
        <w:rPr>
          <w:rFonts w:eastAsiaTheme="majorEastAsia" w:cstheme="majorBidi"/>
          <w:b/>
          <w:sz w:val="32"/>
          <w:szCs w:val="32"/>
          <w:lang w:val="en-US"/>
        </w:rPr>
        <w:t>Key themes from 2020</w:t>
      </w:r>
      <w:bookmarkEnd w:id="15"/>
    </w:p>
    <w:p w14:paraId="70C17D99" w14:textId="21C65482" w:rsidR="00EA45E1" w:rsidRPr="003F693F" w:rsidRDefault="0022229C" w:rsidP="00CB0A17">
      <w:pPr>
        <w:spacing w:after="228"/>
        <w:ind w:right="1"/>
        <w:rPr>
          <w:szCs w:val="26"/>
        </w:rPr>
      </w:pPr>
      <w:r w:rsidRPr="003F693F">
        <w:rPr>
          <w:szCs w:val="26"/>
        </w:rPr>
        <w:t>The purpose of this section is to present in more detail some of the deve</w:t>
      </w:r>
      <w:r w:rsidR="004637CA" w:rsidRPr="003F693F">
        <w:rPr>
          <w:szCs w:val="26"/>
        </w:rPr>
        <w:t>lopments</w:t>
      </w:r>
      <w:r w:rsidR="00BB7A2E">
        <w:rPr>
          <w:szCs w:val="26"/>
        </w:rPr>
        <w:t xml:space="preserve"> </w:t>
      </w:r>
      <w:r w:rsidR="00935CA2">
        <w:rPr>
          <w:szCs w:val="26"/>
        </w:rPr>
        <w:t xml:space="preserve">during </w:t>
      </w:r>
      <w:r w:rsidR="004637CA" w:rsidRPr="003F693F">
        <w:rPr>
          <w:szCs w:val="26"/>
        </w:rPr>
        <w:t>2020</w:t>
      </w:r>
      <w:r w:rsidRPr="003F693F">
        <w:rPr>
          <w:szCs w:val="26"/>
        </w:rPr>
        <w:t xml:space="preserve">, which may be helpful in guiding the next phase of </w:t>
      </w:r>
      <w:r w:rsidR="00FD76FB" w:rsidRPr="003F693F">
        <w:rPr>
          <w:szCs w:val="26"/>
        </w:rPr>
        <w:t xml:space="preserve">implementation of </w:t>
      </w:r>
      <w:r w:rsidR="006B5BB5">
        <w:rPr>
          <w:szCs w:val="26"/>
        </w:rPr>
        <w:t>the s</w:t>
      </w:r>
      <w:r w:rsidRPr="003F693F">
        <w:rPr>
          <w:szCs w:val="26"/>
        </w:rPr>
        <w:t xml:space="preserve">trategy. </w:t>
      </w:r>
      <w:r w:rsidR="009D5837">
        <w:rPr>
          <w:szCs w:val="26"/>
        </w:rPr>
        <w:t xml:space="preserve">The approach presented this year is </w:t>
      </w:r>
      <w:r w:rsidR="006763F4">
        <w:rPr>
          <w:szCs w:val="26"/>
        </w:rPr>
        <w:t xml:space="preserve">to examine activity under thematic </w:t>
      </w:r>
      <w:r w:rsidR="00994C14">
        <w:rPr>
          <w:szCs w:val="26"/>
        </w:rPr>
        <w:t>headings</w:t>
      </w:r>
      <w:r w:rsidR="00F16EF1">
        <w:rPr>
          <w:szCs w:val="26"/>
        </w:rPr>
        <w:t>. T</w:t>
      </w:r>
      <w:r w:rsidR="002E22C6">
        <w:rPr>
          <w:szCs w:val="26"/>
        </w:rPr>
        <w:t xml:space="preserve">his allows for an analysis of actions in a cross cutting manner and in doing so describes the impact of these actions on the lives of </w:t>
      </w:r>
      <w:r w:rsidR="00BB7A2E">
        <w:rPr>
          <w:szCs w:val="26"/>
        </w:rPr>
        <w:t xml:space="preserve">persons </w:t>
      </w:r>
      <w:r w:rsidR="002E22C6">
        <w:rPr>
          <w:szCs w:val="26"/>
        </w:rPr>
        <w:t>with disabilities.</w:t>
      </w:r>
      <w:r w:rsidR="00332870">
        <w:rPr>
          <w:szCs w:val="26"/>
        </w:rPr>
        <w:t xml:space="preserve"> </w:t>
      </w:r>
      <w:r w:rsidR="00FD002A">
        <w:rPr>
          <w:szCs w:val="26"/>
        </w:rPr>
        <w:t>Four</w:t>
      </w:r>
      <w:r w:rsidR="00332870">
        <w:rPr>
          <w:szCs w:val="26"/>
        </w:rPr>
        <w:t xml:space="preserve"> themes are explored in detail</w:t>
      </w:r>
      <w:r w:rsidR="00FD002A">
        <w:rPr>
          <w:szCs w:val="26"/>
        </w:rPr>
        <w:t xml:space="preserve"> below</w:t>
      </w:r>
      <w:r w:rsidR="00332870">
        <w:rPr>
          <w:szCs w:val="26"/>
        </w:rPr>
        <w:t>, Transitions</w:t>
      </w:r>
      <w:r w:rsidR="00D9116E">
        <w:rPr>
          <w:szCs w:val="26"/>
        </w:rPr>
        <w:t>,</w:t>
      </w:r>
      <w:r w:rsidR="00332870">
        <w:rPr>
          <w:szCs w:val="26"/>
        </w:rPr>
        <w:t xml:space="preserve"> Supp</w:t>
      </w:r>
      <w:r w:rsidR="00FD002A">
        <w:rPr>
          <w:szCs w:val="26"/>
        </w:rPr>
        <w:t>orts to work and return to work</w:t>
      </w:r>
      <w:r w:rsidR="00D9116E">
        <w:rPr>
          <w:szCs w:val="26"/>
        </w:rPr>
        <w:t>,</w:t>
      </w:r>
      <w:r w:rsidR="00FD002A">
        <w:rPr>
          <w:szCs w:val="26"/>
        </w:rPr>
        <w:t xml:space="preserve"> </w:t>
      </w:r>
      <w:r w:rsidR="00332870">
        <w:rPr>
          <w:szCs w:val="26"/>
        </w:rPr>
        <w:t>Engaging employers</w:t>
      </w:r>
      <w:r w:rsidR="00FD002A">
        <w:rPr>
          <w:szCs w:val="26"/>
        </w:rPr>
        <w:t xml:space="preserve"> and </w:t>
      </w:r>
      <w:r w:rsidR="00994C14">
        <w:rPr>
          <w:szCs w:val="26"/>
        </w:rPr>
        <w:t xml:space="preserve">Public </w:t>
      </w:r>
      <w:r w:rsidR="00FD002A">
        <w:rPr>
          <w:szCs w:val="26"/>
        </w:rPr>
        <w:t>Transport</w:t>
      </w:r>
      <w:r w:rsidR="00332870">
        <w:rPr>
          <w:szCs w:val="26"/>
        </w:rPr>
        <w:t xml:space="preserve">. </w:t>
      </w:r>
    </w:p>
    <w:p w14:paraId="449117CF" w14:textId="3FD5A134" w:rsidR="0057014D" w:rsidRPr="000A6BF0" w:rsidRDefault="002E22C6" w:rsidP="00577D95">
      <w:pPr>
        <w:pStyle w:val="Heading2"/>
      </w:pPr>
      <w:bookmarkStart w:id="16" w:name="_Toc66782882"/>
      <w:r>
        <w:t>Theme</w:t>
      </w:r>
      <w:r w:rsidR="003A10FC">
        <w:t xml:space="preserve"> 1</w:t>
      </w:r>
      <w:r>
        <w:t xml:space="preserve">: </w:t>
      </w:r>
      <w:r w:rsidR="0057014D" w:rsidRPr="000A6BF0">
        <w:t>Transitions</w:t>
      </w:r>
      <w:bookmarkEnd w:id="16"/>
      <w:r w:rsidR="0057014D" w:rsidRPr="000A6BF0">
        <w:t xml:space="preserve">  </w:t>
      </w:r>
    </w:p>
    <w:p w14:paraId="5FE2F169" w14:textId="56663D37" w:rsidR="003518CA" w:rsidRDefault="0048006B" w:rsidP="003518CA">
      <w:pPr>
        <w:spacing w:after="267"/>
        <w:ind w:right="1"/>
        <w:rPr>
          <w:rFonts w:eastAsiaTheme="minorHAnsi" w:cstheme="minorHAnsi"/>
          <w:color w:val="000000" w:themeColor="text1"/>
          <w:szCs w:val="26"/>
        </w:rPr>
      </w:pPr>
      <w:r w:rsidRPr="00FD6E18">
        <w:rPr>
          <w:szCs w:val="26"/>
        </w:rPr>
        <w:t xml:space="preserve">Young </w:t>
      </w:r>
      <w:r w:rsidR="00332870">
        <w:rPr>
          <w:szCs w:val="26"/>
        </w:rPr>
        <w:t>persons with a disability</w:t>
      </w:r>
      <w:r w:rsidR="00332870" w:rsidRPr="00FD6E18">
        <w:rPr>
          <w:szCs w:val="26"/>
        </w:rPr>
        <w:t xml:space="preserve"> </w:t>
      </w:r>
      <w:r w:rsidRPr="00FD6E18">
        <w:rPr>
          <w:szCs w:val="26"/>
        </w:rPr>
        <w:t>at school have similar employment and earnings aspirations as their non-disabled counterparts, but their experiences diverge when they have completed their full-time education</w:t>
      </w:r>
      <w:r w:rsidR="007B711F">
        <w:rPr>
          <w:szCs w:val="26"/>
        </w:rPr>
        <w:t>.</w:t>
      </w:r>
      <w:r w:rsidRPr="00FD6E18">
        <w:rPr>
          <w:rStyle w:val="FootnoteReference"/>
          <w:rFonts w:ascii="Gill Sans MT" w:hAnsi="Gill Sans MT"/>
          <w:sz w:val="26"/>
          <w:szCs w:val="26"/>
        </w:rPr>
        <w:footnoteReference w:id="29"/>
      </w:r>
      <w:r w:rsidRPr="00FD6E18">
        <w:rPr>
          <w:szCs w:val="26"/>
        </w:rPr>
        <w:t xml:space="preserve"> </w:t>
      </w:r>
      <w:r w:rsidR="00DE2B54" w:rsidRPr="00DE2B54">
        <w:rPr>
          <w:rFonts w:eastAsiaTheme="minorHAnsi" w:cstheme="minorHAnsi"/>
          <w:color w:val="000000" w:themeColor="text1"/>
          <w:szCs w:val="26"/>
        </w:rPr>
        <w:t>National and international research has highlighted that outcomes for adults with disabilities are poor across a range of domains, including employment and learning</w:t>
      </w:r>
      <w:r w:rsidR="007B711F">
        <w:rPr>
          <w:rFonts w:eastAsiaTheme="minorHAnsi" w:cstheme="minorHAnsi"/>
          <w:color w:val="000000" w:themeColor="text1"/>
          <w:szCs w:val="26"/>
        </w:rPr>
        <w:t>.</w:t>
      </w:r>
      <w:r w:rsidR="00DE2B54">
        <w:rPr>
          <w:rStyle w:val="FootnoteReference"/>
          <w:rFonts w:ascii="Gill Sans MT" w:eastAsiaTheme="minorHAnsi" w:hAnsi="Gill Sans MT" w:cstheme="minorHAnsi"/>
          <w:color w:val="000000" w:themeColor="text1"/>
          <w:sz w:val="26"/>
          <w:szCs w:val="26"/>
        </w:rPr>
        <w:footnoteReference w:id="30"/>
      </w:r>
      <w:r w:rsidR="009C274B">
        <w:rPr>
          <w:rFonts w:eastAsiaTheme="minorHAnsi" w:cstheme="minorHAnsi"/>
          <w:color w:val="000000" w:themeColor="text1"/>
          <w:szCs w:val="26"/>
        </w:rPr>
        <w:t xml:space="preserve"> Longitudinal data illustrates</w:t>
      </w:r>
      <w:r w:rsidR="00DE2B54" w:rsidRPr="00DE2B54">
        <w:rPr>
          <w:rFonts w:eastAsiaTheme="minorHAnsi" w:cstheme="minorHAnsi"/>
          <w:color w:val="000000" w:themeColor="text1"/>
          <w:szCs w:val="26"/>
        </w:rPr>
        <w:t xml:space="preserve"> that students with disabilities are less likely to be prepared to progress beyond school into further education, training and employment than </w:t>
      </w:r>
      <w:r w:rsidR="00332870">
        <w:rPr>
          <w:rFonts w:eastAsiaTheme="minorHAnsi" w:cstheme="minorHAnsi"/>
          <w:color w:val="000000" w:themeColor="text1"/>
          <w:szCs w:val="26"/>
        </w:rPr>
        <w:t>students without a disability</w:t>
      </w:r>
      <w:r w:rsidR="00DE2B54" w:rsidRPr="00DE2B54">
        <w:rPr>
          <w:rFonts w:eastAsiaTheme="minorHAnsi" w:cstheme="minorHAnsi"/>
          <w:color w:val="000000" w:themeColor="text1"/>
          <w:szCs w:val="26"/>
        </w:rPr>
        <w:t>, and are also less likely to actually progress to post-school options</w:t>
      </w:r>
      <w:r w:rsidR="007B711F">
        <w:rPr>
          <w:rFonts w:eastAsiaTheme="minorHAnsi" w:cstheme="minorHAnsi"/>
          <w:color w:val="000000" w:themeColor="text1"/>
          <w:szCs w:val="26"/>
        </w:rPr>
        <w:t>.</w:t>
      </w:r>
      <w:r w:rsidR="00DE2B54">
        <w:rPr>
          <w:rStyle w:val="FootnoteReference"/>
          <w:rFonts w:ascii="Gill Sans MT" w:eastAsiaTheme="minorHAnsi" w:hAnsi="Gill Sans MT" w:cstheme="minorHAnsi"/>
          <w:color w:val="000000" w:themeColor="text1"/>
          <w:sz w:val="26"/>
          <w:szCs w:val="26"/>
        </w:rPr>
        <w:footnoteReference w:id="31"/>
      </w:r>
      <w:r w:rsidR="003518CA">
        <w:rPr>
          <w:rFonts w:eastAsiaTheme="minorHAnsi" w:cstheme="minorHAnsi"/>
          <w:color w:val="000000" w:themeColor="text1"/>
          <w:szCs w:val="26"/>
        </w:rPr>
        <w:t xml:space="preserve"> Therefore preparing for post</w:t>
      </w:r>
      <w:r w:rsidR="00D9116E">
        <w:rPr>
          <w:rFonts w:eastAsiaTheme="minorHAnsi" w:cstheme="minorHAnsi"/>
          <w:color w:val="000000" w:themeColor="text1"/>
          <w:szCs w:val="26"/>
        </w:rPr>
        <w:t>-</w:t>
      </w:r>
      <w:r w:rsidR="003518CA">
        <w:rPr>
          <w:rFonts w:eastAsiaTheme="minorHAnsi" w:cstheme="minorHAnsi"/>
          <w:color w:val="000000" w:themeColor="text1"/>
          <w:szCs w:val="26"/>
        </w:rPr>
        <w:t xml:space="preserve">school life </w:t>
      </w:r>
      <w:r w:rsidR="00994C14">
        <w:rPr>
          <w:rFonts w:eastAsiaTheme="minorHAnsi" w:cstheme="minorHAnsi"/>
          <w:color w:val="000000" w:themeColor="text1"/>
          <w:szCs w:val="26"/>
        </w:rPr>
        <w:t xml:space="preserve">as early as possible </w:t>
      </w:r>
      <w:r w:rsidR="003518CA">
        <w:rPr>
          <w:rFonts w:eastAsiaTheme="minorHAnsi" w:cstheme="minorHAnsi"/>
          <w:color w:val="000000" w:themeColor="text1"/>
          <w:szCs w:val="26"/>
        </w:rPr>
        <w:t xml:space="preserve">is key for learners with disabilities. </w:t>
      </w:r>
    </w:p>
    <w:p w14:paraId="4694A882" w14:textId="67C475DE" w:rsidR="00EC033C" w:rsidRPr="003518CA" w:rsidRDefault="00292043" w:rsidP="003518CA">
      <w:pPr>
        <w:spacing w:after="267"/>
        <w:ind w:right="1"/>
        <w:rPr>
          <w:rFonts w:eastAsiaTheme="minorHAnsi" w:cstheme="minorHAnsi"/>
          <w:color w:val="000000" w:themeColor="text1"/>
          <w:szCs w:val="26"/>
        </w:rPr>
      </w:pPr>
      <w:r>
        <w:rPr>
          <w:szCs w:val="26"/>
        </w:rPr>
        <w:t xml:space="preserve">Over the course of 2020 </w:t>
      </w:r>
      <w:r w:rsidR="00207401">
        <w:rPr>
          <w:szCs w:val="26"/>
        </w:rPr>
        <w:t xml:space="preserve">many of </w:t>
      </w:r>
      <w:r>
        <w:rPr>
          <w:szCs w:val="26"/>
        </w:rPr>
        <w:t xml:space="preserve">those involved in education provision were focused on managing the response to COVID-19. Significant resources were diverted to </w:t>
      </w:r>
      <w:r w:rsidR="00D9116E">
        <w:rPr>
          <w:szCs w:val="26"/>
        </w:rPr>
        <w:t>keeping</w:t>
      </w:r>
      <w:r>
        <w:rPr>
          <w:szCs w:val="26"/>
        </w:rPr>
        <w:t xml:space="preserve"> schools</w:t>
      </w:r>
      <w:r w:rsidR="00D9116E">
        <w:rPr>
          <w:szCs w:val="26"/>
        </w:rPr>
        <w:t xml:space="preserve"> open</w:t>
      </w:r>
      <w:r>
        <w:rPr>
          <w:szCs w:val="26"/>
        </w:rPr>
        <w:t xml:space="preserve"> and to deliver online education. </w:t>
      </w:r>
      <w:r w:rsidR="006730CE">
        <w:rPr>
          <w:szCs w:val="26"/>
        </w:rPr>
        <w:t>To date the CES has had a</w:t>
      </w:r>
      <w:r w:rsidR="003B2961" w:rsidRPr="003F693F">
        <w:rPr>
          <w:szCs w:val="26"/>
        </w:rPr>
        <w:t xml:space="preserve"> collaborative approach </w:t>
      </w:r>
      <w:r w:rsidR="00AF7CFF">
        <w:rPr>
          <w:szCs w:val="26"/>
        </w:rPr>
        <w:t>with</w:t>
      </w:r>
      <w:r w:rsidR="00DE2B54">
        <w:rPr>
          <w:szCs w:val="26"/>
        </w:rPr>
        <w:t xml:space="preserve"> d</w:t>
      </w:r>
      <w:r w:rsidR="003B2961" w:rsidRPr="003F693F">
        <w:rPr>
          <w:szCs w:val="26"/>
        </w:rPr>
        <w:t xml:space="preserve">epartments and agencies involved in preparing young people to </w:t>
      </w:r>
      <w:r w:rsidR="0057014D" w:rsidRPr="003F693F">
        <w:rPr>
          <w:szCs w:val="26"/>
        </w:rPr>
        <w:t>transition</w:t>
      </w:r>
      <w:r w:rsidR="003B2961" w:rsidRPr="003F693F">
        <w:rPr>
          <w:szCs w:val="26"/>
        </w:rPr>
        <w:t xml:space="preserve"> from school to post</w:t>
      </w:r>
      <w:r w:rsidR="00546D1E">
        <w:rPr>
          <w:szCs w:val="26"/>
        </w:rPr>
        <w:t>-</w:t>
      </w:r>
      <w:r w:rsidR="003B2961" w:rsidRPr="003F693F">
        <w:rPr>
          <w:szCs w:val="26"/>
        </w:rPr>
        <w:t>school options</w:t>
      </w:r>
      <w:r w:rsidR="007B711F">
        <w:rPr>
          <w:szCs w:val="26"/>
        </w:rPr>
        <w:t xml:space="preserve"> although progress has been slow in some areas as outlined below</w:t>
      </w:r>
      <w:r w:rsidR="00F16EF1">
        <w:rPr>
          <w:szCs w:val="26"/>
        </w:rPr>
        <w:t>.</w:t>
      </w:r>
      <w:r w:rsidR="0057014D" w:rsidRPr="003F693F">
        <w:rPr>
          <w:szCs w:val="26"/>
          <w:vertAlign w:val="superscript"/>
        </w:rPr>
        <w:footnoteReference w:id="32"/>
      </w:r>
      <w:r w:rsidR="0057014D" w:rsidRPr="003F693F">
        <w:rPr>
          <w:szCs w:val="26"/>
        </w:rPr>
        <w:t xml:space="preserve"> </w:t>
      </w:r>
    </w:p>
    <w:p w14:paraId="2578A2AF" w14:textId="2C722BBD" w:rsidR="00B4174E" w:rsidRPr="008B6047" w:rsidRDefault="009D5837" w:rsidP="008B6047">
      <w:pPr>
        <w:pStyle w:val="Heading3"/>
      </w:pPr>
      <w:bookmarkStart w:id="17" w:name="_Toc66782883"/>
      <w:r w:rsidRPr="000A6BF0">
        <w:t>Career guidance</w:t>
      </w:r>
      <w:bookmarkEnd w:id="17"/>
    </w:p>
    <w:p w14:paraId="19D2238F" w14:textId="2D5407A3" w:rsidR="00207401" w:rsidRDefault="00207401" w:rsidP="00FD3F7B">
      <w:r>
        <w:t xml:space="preserve">The </w:t>
      </w:r>
      <w:r w:rsidR="00731C81">
        <w:t>NDA has previously advised that</w:t>
      </w:r>
      <w:r>
        <w:t xml:space="preserve"> the Indecon review of career guidance</w:t>
      </w:r>
      <w:r w:rsidR="00731C81">
        <w:t xml:space="preserve">, </w:t>
      </w:r>
      <w:r w:rsidR="00F019B6">
        <w:t xml:space="preserve">commissioned by the Department of Education and published in late 2019, </w:t>
      </w:r>
      <w:r>
        <w:t>did not sufficiently address the particular needs of students with disabilities, particularly those in special schools in relation to career guidance and advised that the Department’s internal Taskforce should a</w:t>
      </w:r>
      <w:r w:rsidR="00731C81">
        <w:t xml:space="preserve">ddress these issues. The NDA would welcome an update on the work of this Taskforce. In addition the NDA is </w:t>
      </w:r>
      <w:r>
        <w:t>exploring options for a virtual workshop to take place in 2021, to showcase learning from other jurisdictions and to inform future considerations.</w:t>
      </w:r>
    </w:p>
    <w:p w14:paraId="5A617A3E" w14:textId="77777777" w:rsidR="003F693F" w:rsidRPr="000A6BF0" w:rsidRDefault="003F693F" w:rsidP="00577D95">
      <w:pPr>
        <w:pStyle w:val="Heading3"/>
      </w:pPr>
      <w:bookmarkStart w:id="18" w:name="_Toc66782884"/>
      <w:r w:rsidRPr="000A6BF0">
        <w:t>School leavers</w:t>
      </w:r>
      <w:bookmarkEnd w:id="18"/>
      <w:r w:rsidRPr="000A6BF0">
        <w:t xml:space="preserve"> </w:t>
      </w:r>
    </w:p>
    <w:p w14:paraId="374781AF" w14:textId="22D1F061" w:rsidR="00B10BF3" w:rsidRPr="00154CBF" w:rsidRDefault="003F693F" w:rsidP="00154CBF">
      <w:pPr>
        <w:rPr>
          <w:szCs w:val="26"/>
        </w:rPr>
      </w:pPr>
      <w:r w:rsidRPr="00154CBF">
        <w:rPr>
          <w:szCs w:val="26"/>
        </w:rPr>
        <w:t>Within the CES</w:t>
      </w:r>
      <w:r w:rsidR="00AD265C" w:rsidRPr="00154CBF">
        <w:rPr>
          <w:szCs w:val="26"/>
        </w:rPr>
        <w:t>,</w:t>
      </w:r>
      <w:r w:rsidRPr="00154CBF">
        <w:rPr>
          <w:szCs w:val="26"/>
        </w:rPr>
        <w:t xml:space="preserve"> creating an awareness of post</w:t>
      </w:r>
      <w:r w:rsidR="00546D1E" w:rsidRPr="00154CBF">
        <w:rPr>
          <w:szCs w:val="26"/>
        </w:rPr>
        <w:t>-</w:t>
      </w:r>
      <w:r w:rsidRPr="00154CBF">
        <w:rPr>
          <w:szCs w:val="26"/>
        </w:rPr>
        <w:t xml:space="preserve">school education and employment options for </w:t>
      </w:r>
      <w:r w:rsidR="00AD265C" w:rsidRPr="00154CBF">
        <w:rPr>
          <w:szCs w:val="26"/>
        </w:rPr>
        <w:t xml:space="preserve">persons </w:t>
      </w:r>
      <w:r w:rsidRPr="00154CBF">
        <w:rPr>
          <w:szCs w:val="26"/>
        </w:rPr>
        <w:t>with disabilities has specific and targeted actions</w:t>
      </w:r>
      <w:r w:rsidR="001C53A2">
        <w:rPr>
          <w:szCs w:val="26"/>
        </w:rPr>
        <w:t>:</w:t>
      </w:r>
      <w:r w:rsidRPr="00154CBF">
        <w:rPr>
          <w:szCs w:val="26"/>
        </w:rPr>
        <w:t xml:space="preserve"> </w:t>
      </w:r>
    </w:p>
    <w:p w14:paraId="45282C5A" w14:textId="7A052076" w:rsidR="00905993" w:rsidRPr="00905993" w:rsidRDefault="00905993" w:rsidP="00905993">
      <w:pPr>
        <w:pStyle w:val="ListParagraph"/>
        <w:numPr>
          <w:ilvl w:val="0"/>
          <w:numId w:val="19"/>
        </w:numPr>
        <w:rPr>
          <w:szCs w:val="26"/>
        </w:rPr>
      </w:pPr>
      <w:r>
        <w:rPr>
          <w:szCs w:val="26"/>
        </w:rPr>
        <w:t>A steering group</w:t>
      </w:r>
      <w:r w:rsidR="00731C81">
        <w:rPr>
          <w:szCs w:val="26"/>
        </w:rPr>
        <w:t xml:space="preserve"> comprised of HSE</w:t>
      </w:r>
      <w:r w:rsidR="00F019B6">
        <w:rPr>
          <w:szCs w:val="26"/>
        </w:rPr>
        <w:t>,</w:t>
      </w:r>
      <w:r w:rsidR="00731C81">
        <w:rPr>
          <w:szCs w:val="26"/>
        </w:rPr>
        <w:t xml:space="preserve"> NCSE and DoE</w:t>
      </w:r>
      <w:r>
        <w:rPr>
          <w:szCs w:val="26"/>
        </w:rPr>
        <w:t>, established to develop a new Transition Programme for students with special educational needs</w:t>
      </w:r>
      <w:r w:rsidR="00D9116E">
        <w:rPr>
          <w:szCs w:val="26"/>
        </w:rPr>
        <w:t>,</w:t>
      </w:r>
      <w:r>
        <w:rPr>
          <w:szCs w:val="26"/>
        </w:rPr>
        <w:t xml:space="preserve"> met in November 2020 and </w:t>
      </w:r>
      <w:r>
        <w:rPr>
          <w:b/>
          <w:bCs/>
          <w:szCs w:val="26"/>
        </w:rPr>
        <w:t>reactivated planning around this action</w:t>
      </w:r>
      <w:r>
        <w:rPr>
          <w:szCs w:val="26"/>
        </w:rPr>
        <w:t>. This action will lead to the development of a transition programme for those requiring specialist support post-school. Terms of reference for the</w:t>
      </w:r>
      <w:r w:rsidR="00D9116E">
        <w:rPr>
          <w:szCs w:val="26"/>
        </w:rPr>
        <w:t xml:space="preserve"> project have been established although these are currently being reviewed to ensure that this project is well linked with other transition activities across the strategy and that there is no duplication of effort. </w:t>
      </w:r>
      <w:r w:rsidR="00D1407A">
        <w:rPr>
          <w:szCs w:val="26"/>
        </w:rPr>
        <w:t xml:space="preserve">The NDA </w:t>
      </w:r>
      <w:r w:rsidR="00D9116E">
        <w:rPr>
          <w:szCs w:val="26"/>
        </w:rPr>
        <w:t xml:space="preserve">welcomes this coordinated approach. </w:t>
      </w:r>
      <w:r w:rsidR="00A141FE">
        <w:rPr>
          <w:szCs w:val="26"/>
        </w:rPr>
        <w:t xml:space="preserve"> </w:t>
      </w:r>
    </w:p>
    <w:p w14:paraId="147D8C6A" w14:textId="65E065D3" w:rsidR="003F693F" w:rsidRPr="00154CBF" w:rsidRDefault="00192056" w:rsidP="00154CBF">
      <w:pPr>
        <w:pStyle w:val="ListParagraph"/>
        <w:numPr>
          <w:ilvl w:val="0"/>
          <w:numId w:val="19"/>
        </w:numPr>
        <w:rPr>
          <w:rFonts w:cstheme="minorHAnsi"/>
          <w:szCs w:val="26"/>
        </w:rPr>
      </w:pPr>
      <w:r w:rsidRPr="00154CBF">
        <w:rPr>
          <w:rFonts w:cstheme="minorHAnsi"/>
          <w:szCs w:val="26"/>
        </w:rPr>
        <w:t xml:space="preserve">Action was also </w:t>
      </w:r>
      <w:r w:rsidR="003F693F" w:rsidRPr="00154CBF">
        <w:rPr>
          <w:rFonts w:cstheme="minorHAnsi"/>
          <w:szCs w:val="26"/>
        </w:rPr>
        <w:t xml:space="preserve">advanced between </w:t>
      </w:r>
      <w:r w:rsidR="00D1407A">
        <w:rPr>
          <w:rFonts w:cstheme="minorHAnsi"/>
          <w:szCs w:val="26"/>
        </w:rPr>
        <w:t>Department of Education (Do</w:t>
      </w:r>
      <w:r w:rsidR="003F693F" w:rsidRPr="00154CBF">
        <w:rPr>
          <w:rFonts w:cstheme="minorHAnsi"/>
          <w:szCs w:val="26"/>
        </w:rPr>
        <w:t>E</w:t>
      </w:r>
      <w:r w:rsidR="00D1407A">
        <w:rPr>
          <w:rFonts w:cstheme="minorHAnsi"/>
          <w:szCs w:val="26"/>
        </w:rPr>
        <w:t>)</w:t>
      </w:r>
      <w:r w:rsidR="003F693F" w:rsidRPr="00154CBF">
        <w:rPr>
          <w:rFonts w:cstheme="minorHAnsi"/>
          <w:szCs w:val="26"/>
        </w:rPr>
        <w:t>, D</w:t>
      </w:r>
      <w:r w:rsidR="00D1407A">
        <w:rPr>
          <w:rFonts w:cstheme="minorHAnsi"/>
          <w:szCs w:val="26"/>
        </w:rPr>
        <w:t>epartment of Health (Do</w:t>
      </w:r>
      <w:r w:rsidR="003F693F" w:rsidRPr="00154CBF">
        <w:rPr>
          <w:rFonts w:cstheme="minorHAnsi"/>
          <w:szCs w:val="26"/>
        </w:rPr>
        <w:t>H</w:t>
      </w:r>
      <w:r w:rsidR="00D1407A">
        <w:rPr>
          <w:rFonts w:cstheme="minorHAnsi"/>
          <w:szCs w:val="26"/>
        </w:rPr>
        <w:t>)</w:t>
      </w:r>
      <w:r w:rsidR="003F693F" w:rsidRPr="00154CBF">
        <w:rPr>
          <w:rFonts w:cstheme="minorHAnsi"/>
          <w:szCs w:val="26"/>
        </w:rPr>
        <w:t xml:space="preserve"> and HSE to address COVID</w:t>
      </w:r>
      <w:r w:rsidR="00F17C01" w:rsidRPr="00154CBF">
        <w:rPr>
          <w:rFonts w:cstheme="minorHAnsi"/>
          <w:szCs w:val="26"/>
        </w:rPr>
        <w:t>-19</w:t>
      </w:r>
      <w:r w:rsidR="003F693F" w:rsidRPr="00154CBF">
        <w:rPr>
          <w:rFonts w:cstheme="minorHAnsi"/>
          <w:szCs w:val="26"/>
        </w:rPr>
        <w:t xml:space="preserve"> related issues. School Leavers that were due to commence HSE funded day services in September 2020 had been out of formal educational services since March</w:t>
      </w:r>
      <w:r w:rsidR="00B10BF3" w:rsidRPr="00B76226">
        <w:rPr>
          <w:rStyle w:val="FootnoteReference"/>
          <w:rFonts w:ascii="Gill Sans MT" w:hAnsi="Gill Sans MT"/>
          <w:sz w:val="26"/>
          <w:szCs w:val="26"/>
        </w:rPr>
        <w:footnoteReference w:id="33"/>
      </w:r>
      <w:r w:rsidR="00B10BF3" w:rsidRPr="00154CBF">
        <w:rPr>
          <w:szCs w:val="26"/>
        </w:rPr>
        <w:t>.</w:t>
      </w:r>
      <w:r w:rsidR="003F693F" w:rsidRPr="00154CBF">
        <w:rPr>
          <w:rFonts w:cstheme="minorHAnsi"/>
          <w:szCs w:val="26"/>
        </w:rPr>
        <w:t>The DoE supported their transition through the provision of a substitute teacher scheme</w:t>
      </w:r>
      <w:r w:rsidR="00F17C01" w:rsidRPr="00154CBF">
        <w:rPr>
          <w:rFonts w:cstheme="minorHAnsi"/>
          <w:szCs w:val="26"/>
        </w:rPr>
        <w:t>. T</w:t>
      </w:r>
      <w:r w:rsidR="003F693F" w:rsidRPr="00154CBF">
        <w:rPr>
          <w:rFonts w:cstheme="minorHAnsi"/>
          <w:szCs w:val="26"/>
        </w:rPr>
        <w:t>his enabled school staff to liaise with disability day service providers when these young people were commencing in service. The substitute teacher was able to share all relevant information and support a smoother transition for the student.</w:t>
      </w:r>
      <w:r w:rsidR="000F62F0">
        <w:rPr>
          <w:rFonts w:cstheme="minorHAnsi"/>
          <w:szCs w:val="26"/>
        </w:rPr>
        <w:t xml:space="preserve"> The NDA </w:t>
      </w:r>
      <w:r w:rsidR="00F019B6">
        <w:rPr>
          <w:rFonts w:cstheme="minorHAnsi"/>
          <w:szCs w:val="26"/>
        </w:rPr>
        <w:t>advises that it would be helpful to see this</w:t>
      </w:r>
      <w:r w:rsidR="000F62F0">
        <w:rPr>
          <w:rFonts w:cstheme="minorHAnsi"/>
          <w:szCs w:val="26"/>
        </w:rPr>
        <w:t xml:space="preserve"> innovation evaluated with learning for subsequent years. </w:t>
      </w:r>
    </w:p>
    <w:p w14:paraId="3CE94114" w14:textId="788B3351" w:rsidR="00A8349B" w:rsidRPr="000A6BF0" w:rsidRDefault="00A8349B" w:rsidP="00577D95">
      <w:pPr>
        <w:pStyle w:val="Heading3"/>
      </w:pPr>
      <w:bookmarkStart w:id="19" w:name="_Toc66782885"/>
      <w:r w:rsidRPr="000A6BF0">
        <w:t>Post</w:t>
      </w:r>
      <w:r w:rsidR="00546D1E">
        <w:t>-</w:t>
      </w:r>
      <w:r w:rsidRPr="000A6BF0">
        <w:t>school options</w:t>
      </w:r>
      <w:bookmarkEnd w:id="19"/>
    </w:p>
    <w:p w14:paraId="2CF48CB0" w14:textId="722F2BC1" w:rsidR="006741E4" w:rsidRPr="00546D1E" w:rsidRDefault="00A8349B" w:rsidP="00154CBF">
      <w:r w:rsidRPr="00154CBF">
        <w:rPr>
          <w:szCs w:val="26"/>
        </w:rPr>
        <w:t>A smooth transition to post</w:t>
      </w:r>
      <w:r w:rsidR="00546D1E" w:rsidRPr="00154CBF">
        <w:rPr>
          <w:szCs w:val="26"/>
        </w:rPr>
        <w:t>-</w:t>
      </w:r>
      <w:r w:rsidRPr="00154CBF">
        <w:rPr>
          <w:szCs w:val="26"/>
        </w:rPr>
        <w:t xml:space="preserve">school options requires a clear pathway for a student and </w:t>
      </w:r>
      <w:r w:rsidR="001C53A2">
        <w:rPr>
          <w:szCs w:val="26"/>
        </w:rPr>
        <w:t>should</w:t>
      </w:r>
      <w:r w:rsidR="001C53A2" w:rsidRPr="00154CBF">
        <w:rPr>
          <w:szCs w:val="26"/>
        </w:rPr>
        <w:t xml:space="preserve"> </w:t>
      </w:r>
      <w:r w:rsidRPr="00154CBF">
        <w:rPr>
          <w:szCs w:val="26"/>
        </w:rPr>
        <w:t>be offered in a person</w:t>
      </w:r>
      <w:r w:rsidR="00F17C01" w:rsidRPr="00154CBF">
        <w:rPr>
          <w:szCs w:val="26"/>
        </w:rPr>
        <w:t>-</w:t>
      </w:r>
      <w:r w:rsidRPr="00154CBF">
        <w:rPr>
          <w:szCs w:val="26"/>
        </w:rPr>
        <w:t>centred way. To fully understand this landscape</w:t>
      </w:r>
      <w:r w:rsidR="00A97BA9" w:rsidRPr="00154CBF">
        <w:rPr>
          <w:szCs w:val="26"/>
        </w:rPr>
        <w:t xml:space="preserve"> for learners with special education needs,</w:t>
      </w:r>
      <w:r w:rsidRPr="00154CBF">
        <w:rPr>
          <w:szCs w:val="26"/>
        </w:rPr>
        <w:t xml:space="preserve"> the NCSE has commissioned two pieces of research focussed on </w:t>
      </w:r>
      <w:r w:rsidR="00A97BA9" w:rsidRPr="00154CBF">
        <w:rPr>
          <w:szCs w:val="26"/>
        </w:rPr>
        <w:t xml:space="preserve">their </w:t>
      </w:r>
      <w:r w:rsidRPr="00154CBF">
        <w:rPr>
          <w:szCs w:val="26"/>
        </w:rPr>
        <w:t xml:space="preserve">post-school education </w:t>
      </w:r>
      <w:r w:rsidR="00A97BA9" w:rsidRPr="00154CBF">
        <w:rPr>
          <w:szCs w:val="26"/>
        </w:rPr>
        <w:t xml:space="preserve">experience. </w:t>
      </w:r>
      <w:r w:rsidR="00DE2B54">
        <w:rPr>
          <w:szCs w:val="26"/>
        </w:rPr>
        <w:t xml:space="preserve">These reports aim to </w:t>
      </w:r>
      <w:r w:rsidR="00DE2B54">
        <w:rPr>
          <w:rFonts w:cstheme="minorHAnsi"/>
          <w:color w:val="000000" w:themeColor="text1"/>
          <w:szCs w:val="26"/>
        </w:rPr>
        <w:t>reveal</w:t>
      </w:r>
      <w:r w:rsidR="00DE2B54" w:rsidRPr="00765AA0">
        <w:rPr>
          <w:rFonts w:cstheme="minorHAnsi"/>
          <w:color w:val="000000" w:themeColor="text1"/>
          <w:szCs w:val="26"/>
        </w:rPr>
        <w:t xml:space="preserve"> the </w:t>
      </w:r>
      <w:r w:rsidR="00DE2B54">
        <w:rPr>
          <w:rFonts w:cstheme="minorHAnsi"/>
          <w:color w:val="000000" w:themeColor="text1"/>
          <w:szCs w:val="26"/>
        </w:rPr>
        <w:t xml:space="preserve">actual </w:t>
      </w:r>
      <w:r w:rsidR="00DE2B54" w:rsidRPr="00765AA0">
        <w:rPr>
          <w:rFonts w:cstheme="minorHAnsi"/>
          <w:color w:val="000000" w:themeColor="text1"/>
          <w:szCs w:val="26"/>
        </w:rPr>
        <w:t>post-school options for students with special educational needs</w:t>
      </w:r>
      <w:r w:rsidR="00DE2B54">
        <w:rPr>
          <w:rFonts w:cstheme="minorHAnsi"/>
          <w:color w:val="000000" w:themeColor="text1"/>
          <w:szCs w:val="26"/>
        </w:rPr>
        <w:t xml:space="preserve">. In doing so they will assist the development of pathways as they will capture where </w:t>
      </w:r>
      <w:r w:rsidR="00DE2B54" w:rsidRPr="00765AA0">
        <w:rPr>
          <w:rFonts w:cstheme="minorHAnsi"/>
          <w:color w:val="000000" w:themeColor="text1"/>
          <w:szCs w:val="26"/>
        </w:rPr>
        <w:t xml:space="preserve">students go once they leave school, their reasons for choosing particular paths and their experiences of these paths. </w:t>
      </w:r>
      <w:r w:rsidRPr="00154CBF">
        <w:rPr>
          <w:szCs w:val="26"/>
        </w:rPr>
        <w:t>It is worth noting the focus of these projects:</w:t>
      </w:r>
    </w:p>
    <w:p w14:paraId="36E998FB" w14:textId="211EA191" w:rsidR="00A8349B" w:rsidRPr="00577D95" w:rsidRDefault="00A8349B" w:rsidP="00FD002A">
      <w:pPr>
        <w:pStyle w:val="ListBullet"/>
      </w:pPr>
      <w:r w:rsidRPr="006B5BB5">
        <w:t xml:space="preserve">The first project examines educational provision and life-long learning in adult day services. The study developed a framework of principles and indicators of good practice. It then reviewed educational provision available to adults with disabilities accessing these services, how it was delivered, </w:t>
      </w:r>
      <w:r w:rsidR="00192056" w:rsidRPr="006B5BB5">
        <w:t>and the</w:t>
      </w:r>
      <w:r w:rsidRPr="006B5BB5">
        <w:t xml:space="preserve"> expected outcomes from this provision and whether they were being achieved by adults. The study report is expected to be finalised by the end of 202</w:t>
      </w:r>
      <w:r w:rsidR="00445FF3">
        <w:t>1</w:t>
      </w:r>
      <w:r w:rsidRPr="006B5BB5">
        <w:t>.</w:t>
      </w:r>
    </w:p>
    <w:p w14:paraId="6CA89757" w14:textId="02F90673" w:rsidR="00A8349B" w:rsidRPr="00577D95" w:rsidRDefault="00A8349B" w:rsidP="00FD002A">
      <w:pPr>
        <w:pStyle w:val="ListBullet"/>
        <w:rPr>
          <w:rFonts w:cstheme="minorHAnsi"/>
        </w:rPr>
      </w:pPr>
      <w:r w:rsidRPr="006B5BB5">
        <w:t>The second project will map what is known about students with special educational needs after they finish school and track a cohort into their post-school life. The study will map and examine existing data sources about young people with special educational needs when the</w:t>
      </w:r>
      <w:r w:rsidR="001A4A45">
        <w:t>y</w:t>
      </w:r>
      <w:r w:rsidRPr="006B5BB5">
        <w:t xml:space="preserve"> leave school, identifying (a) who they are (b) what educational settings they come from (c) where they go after scho</w:t>
      </w:r>
      <w:r w:rsidR="00A97BA9" w:rsidRPr="006B5BB5">
        <w:t xml:space="preserve">ol and (d) why they go there. </w:t>
      </w:r>
      <w:r w:rsidRPr="006B5BB5">
        <w:t>The tracking element will focus on a cohort of students about whom less is known as they leave school, identifying and examining the reasons for their post-school destination choices and their experiences of them. The study is at an initial stage with an expected completion date of mid-2022.</w:t>
      </w:r>
    </w:p>
    <w:p w14:paraId="6DB14A9A" w14:textId="7202BB4D" w:rsidR="008E5BA7" w:rsidRDefault="00985C03" w:rsidP="00154CBF">
      <w:r>
        <w:rPr>
          <w:rFonts w:cstheme="minorHAnsi"/>
          <w:szCs w:val="26"/>
        </w:rPr>
        <w:t>Further developments in the post school landscape include pre-activation projects operating under</w:t>
      </w:r>
      <w:r w:rsidR="001E0C8E" w:rsidRPr="00154CBF">
        <w:rPr>
          <w:rFonts w:cstheme="minorHAnsi"/>
          <w:szCs w:val="26"/>
        </w:rPr>
        <w:t xml:space="preserve"> the Ability Programme</w:t>
      </w:r>
      <w:r>
        <w:rPr>
          <w:rFonts w:cstheme="minorHAnsi"/>
          <w:szCs w:val="26"/>
        </w:rPr>
        <w:t>.</w:t>
      </w:r>
      <w:r w:rsidR="00A97BA9" w:rsidRPr="00154CBF">
        <w:rPr>
          <w:rFonts w:cstheme="minorHAnsi"/>
          <w:szCs w:val="26"/>
        </w:rPr>
        <w:t xml:space="preserve"> </w:t>
      </w:r>
      <w:r w:rsidR="000C1FF2">
        <w:rPr>
          <w:rFonts w:cstheme="minorHAnsi"/>
          <w:szCs w:val="26"/>
        </w:rPr>
        <w:t>The NDA recommend</w:t>
      </w:r>
      <w:r w:rsidR="000E6E17">
        <w:rPr>
          <w:rFonts w:cstheme="minorHAnsi"/>
          <w:szCs w:val="26"/>
        </w:rPr>
        <w:t>s</w:t>
      </w:r>
      <w:r w:rsidR="000C1FF2">
        <w:rPr>
          <w:rFonts w:cstheme="minorHAnsi"/>
          <w:szCs w:val="26"/>
        </w:rPr>
        <w:t xml:space="preserve"> that the NSCE </w:t>
      </w:r>
      <w:r w:rsidR="00A97BA9" w:rsidRPr="00154CBF">
        <w:rPr>
          <w:rFonts w:cstheme="minorHAnsi"/>
          <w:szCs w:val="26"/>
        </w:rPr>
        <w:t xml:space="preserve">liaise with </w:t>
      </w:r>
      <w:r w:rsidR="0081379D">
        <w:rPr>
          <w:rFonts w:cstheme="minorHAnsi"/>
          <w:szCs w:val="26"/>
        </w:rPr>
        <w:t xml:space="preserve">DSP on </w:t>
      </w:r>
      <w:r w:rsidR="00DB1A48">
        <w:rPr>
          <w:rFonts w:cstheme="minorHAnsi"/>
          <w:szCs w:val="26"/>
        </w:rPr>
        <w:t xml:space="preserve">the </w:t>
      </w:r>
      <w:r w:rsidR="0081379D">
        <w:rPr>
          <w:rFonts w:cstheme="minorHAnsi"/>
          <w:szCs w:val="26"/>
        </w:rPr>
        <w:t xml:space="preserve">evaluation of the </w:t>
      </w:r>
      <w:r w:rsidR="00DB1A48">
        <w:rPr>
          <w:rFonts w:cstheme="minorHAnsi"/>
          <w:szCs w:val="26"/>
        </w:rPr>
        <w:t>Ability Programme</w:t>
      </w:r>
      <w:r w:rsidR="00F72951">
        <w:rPr>
          <w:rFonts w:cstheme="minorHAnsi"/>
          <w:szCs w:val="26"/>
        </w:rPr>
        <w:t xml:space="preserve"> and with </w:t>
      </w:r>
      <w:r w:rsidR="00DB1A48">
        <w:rPr>
          <w:rFonts w:cstheme="minorHAnsi"/>
          <w:szCs w:val="26"/>
        </w:rPr>
        <w:t>SOLAS on</w:t>
      </w:r>
      <w:r w:rsidR="00A97BA9" w:rsidRPr="00154CBF">
        <w:rPr>
          <w:rFonts w:cstheme="minorHAnsi"/>
          <w:szCs w:val="26"/>
        </w:rPr>
        <w:t xml:space="preserve"> their ongoing review of specialist t</w:t>
      </w:r>
      <w:r w:rsidR="00B24554" w:rsidRPr="00154CBF">
        <w:rPr>
          <w:rFonts w:cstheme="minorHAnsi"/>
          <w:szCs w:val="26"/>
        </w:rPr>
        <w:t>raining provision. Both</w:t>
      </w:r>
      <w:r w:rsidR="00A97BA9" w:rsidRPr="00154CBF">
        <w:rPr>
          <w:rFonts w:cstheme="minorHAnsi"/>
          <w:szCs w:val="26"/>
        </w:rPr>
        <w:t xml:space="preserve"> initiatives will offer insights regarding local provision of post</w:t>
      </w:r>
      <w:r w:rsidR="00546D1E" w:rsidRPr="00154CBF">
        <w:rPr>
          <w:rFonts w:cstheme="minorHAnsi"/>
          <w:szCs w:val="26"/>
        </w:rPr>
        <w:t>-</w:t>
      </w:r>
      <w:r w:rsidR="00A97BA9" w:rsidRPr="00154CBF">
        <w:rPr>
          <w:rFonts w:cstheme="minorHAnsi"/>
          <w:szCs w:val="26"/>
        </w:rPr>
        <w:t>school options for learners with special education needs.</w:t>
      </w:r>
      <w:r w:rsidR="001E0C8E" w:rsidRPr="00154CBF">
        <w:rPr>
          <w:rFonts w:cstheme="minorHAnsi"/>
          <w:szCs w:val="26"/>
        </w:rPr>
        <w:t xml:space="preserve"> </w:t>
      </w:r>
      <w:r w:rsidR="00F72951">
        <w:rPr>
          <w:rFonts w:cstheme="minorHAnsi"/>
          <w:szCs w:val="26"/>
        </w:rPr>
        <w:t>Similarly</w:t>
      </w:r>
      <w:r w:rsidR="00DB1A48">
        <w:rPr>
          <w:rFonts w:cstheme="minorHAnsi"/>
          <w:szCs w:val="26"/>
        </w:rPr>
        <w:t>,</w:t>
      </w:r>
      <w:r w:rsidR="00F72951">
        <w:rPr>
          <w:rFonts w:cstheme="minorHAnsi"/>
          <w:szCs w:val="26"/>
        </w:rPr>
        <w:t xml:space="preserve"> the NCSE and SOLAS can</w:t>
      </w:r>
      <w:r w:rsidR="001E0C8E" w:rsidRPr="00154CBF">
        <w:rPr>
          <w:rFonts w:cstheme="minorHAnsi"/>
          <w:szCs w:val="26"/>
        </w:rPr>
        <w:t xml:space="preserve"> provide </w:t>
      </w:r>
      <w:r w:rsidR="00DB1A48">
        <w:rPr>
          <w:rFonts w:cstheme="minorHAnsi"/>
          <w:szCs w:val="26"/>
        </w:rPr>
        <w:t>DSP</w:t>
      </w:r>
      <w:r w:rsidR="001E0C8E" w:rsidRPr="00154CBF">
        <w:rPr>
          <w:rFonts w:cstheme="minorHAnsi"/>
          <w:szCs w:val="26"/>
        </w:rPr>
        <w:t xml:space="preserve"> with good practice regarding early engagement as </w:t>
      </w:r>
      <w:r w:rsidR="00F72951">
        <w:rPr>
          <w:rFonts w:cstheme="minorHAnsi"/>
          <w:szCs w:val="26"/>
        </w:rPr>
        <w:t>it</w:t>
      </w:r>
      <w:r w:rsidR="00200546" w:rsidRPr="00154CBF">
        <w:rPr>
          <w:rFonts w:cstheme="minorHAnsi"/>
          <w:szCs w:val="26"/>
        </w:rPr>
        <w:t xml:space="preserve"> implements </w:t>
      </w:r>
      <w:r w:rsidR="008B6047">
        <w:rPr>
          <w:rFonts w:cstheme="minorHAnsi"/>
          <w:szCs w:val="26"/>
        </w:rPr>
        <w:t>relevant Make</w:t>
      </w:r>
      <w:r w:rsidR="0091284C">
        <w:rPr>
          <w:rFonts w:cstheme="minorHAnsi"/>
          <w:szCs w:val="26"/>
        </w:rPr>
        <w:t xml:space="preserve"> Work Pay commitment</w:t>
      </w:r>
      <w:r w:rsidR="000E6E17">
        <w:rPr>
          <w:rFonts w:cstheme="minorHAnsi"/>
          <w:szCs w:val="26"/>
        </w:rPr>
        <w:t>s</w:t>
      </w:r>
      <w:r w:rsidR="00200546" w:rsidRPr="00154CBF">
        <w:rPr>
          <w:rFonts w:cstheme="minorHAnsi"/>
          <w:szCs w:val="26"/>
        </w:rPr>
        <w:t>.</w:t>
      </w:r>
    </w:p>
    <w:p w14:paraId="73D6D2BB" w14:textId="3799E603" w:rsidR="008F7EB7" w:rsidRPr="003D4622" w:rsidRDefault="0057014D" w:rsidP="00F4169B">
      <w:pPr>
        <w:spacing w:after="269" w:line="248" w:lineRule="auto"/>
        <w:ind w:right="1"/>
        <w:rPr>
          <w:szCs w:val="26"/>
        </w:rPr>
      </w:pPr>
      <w:r w:rsidRPr="00B71C3F">
        <w:rPr>
          <w:szCs w:val="26"/>
        </w:rPr>
        <w:t xml:space="preserve">The NDA believes that in addition to the above, the Department of Education </w:t>
      </w:r>
      <w:r w:rsidR="00CA73E7">
        <w:rPr>
          <w:szCs w:val="26"/>
        </w:rPr>
        <w:t xml:space="preserve">(DoE) </w:t>
      </w:r>
      <w:r w:rsidRPr="00B71C3F">
        <w:rPr>
          <w:szCs w:val="26"/>
        </w:rPr>
        <w:t xml:space="preserve">could take the lead on the development of a suite of protocols that ensure </w:t>
      </w:r>
      <w:r w:rsidR="00B07513">
        <w:rPr>
          <w:szCs w:val="26"/>
        </w:rPr>
        <w:t>persons</w:t>
      </w:r>
      <w:r w:rsidR="00B07513" w:rsidRPr="00B71C3F">
        <w:rPr>
          <w:szCs w:val="26"/>
        </w:rPr>
        <w:t xml:space="preserve"> </w:t>
      </w:r>
      <w:r w:rsidRPr="00B71C3F">
        <w:rPr>
          <w:szCs w:val="26"/>
        </w:rPr>
        <w:t>with disabilities successfully transition from education to the next phase of their pathway</w:t>
      </w:r>
      <w:r w:rsidR="00FD44F9">
        <w:rPr>
          <w:szCs w:val="26"/>
        </w:rPr>
        <w:t xml:space="preserve"> to work</w:t>
      </w:r>
      <w:r w:rsidRPr="00B71C3F">
        <w:rPr>
          <w:szCs w:val="26"/>
        </w:rPr>
        <w:t xml:space="preserve">. The NDA advises that </w:t>
      </w:r>
      <w:r w:rsidR="006741E4" w:rsidRPr="00B71C3F">
        <w:rPr>
          <w:szCs w:val="26"/>
        </w:rPr>
        <w:t xml:space="preserve">in developing these protocols the DoE could examine the </w:t>
      </w:r>
      <w:r w:rsidR="005466B0">
        <w:rPr>
          <w:szCs w:val="26"/>
        </w:rPr>
        <w:t xml:space="preserve">useful </w:t>
      </w:r>
      <w:r w:rsidR="006741E4" w:rsidRPr="00B71C3F">
        <w:rPr>
          <w:szCs w:val="26"/>
        </w:rPr>
        <w:t xml:space="preserve">content of </w:t>
      </w:r>
      <w:r w:rsidR="008F201B">
        <w:rPr>
          <w:szCs w:val="26"/>
        </w:rPr>
        <w:t>the UK Code of Practice for s</w:t>
      </w:r>
      <w:r w:rsidR="006741E4" w:rsidRPr="00B71C3F">
        <w:rPr>
          <w:szCs w:val="26"/>
        </w:rPr>
        <w:t>pecial educational needs and disability for those aged 0 to 25 years</w:t>
      </w:r>
      <w:r w:rsidR="00B24554">
        <w:rPr>
          <w:rStyle w:val="FootnoteReference"/>
          <w:rFonts w:ascii="Gill Sans MT" w:hAnsi="Gill Sans MT"/>
          <w:sz w:val="26"/>
          <w:szCs w:val="26"/>
        </w:rPr>
        <w:footnoteReference w:id="34"/>
      </w:r>
      <w:r w:rsidR="006741E4" w:rsidRPr="00B71C3F">
        <w:rPr>
          <w:szCs w:val="26"/>
        </w:rPr>
        <w:t>.</w:t>
      </w:r>
      <w:r w:rsidR="00B71C3F" w:rsidRPr="00B71C3F">
        <w:rPr>
          <w:szCs w:val="26"/>
        </w:rPr>
        <w:t xml:space="preserve"> </w:t>
      </w:r>
      <w:r w:rsidR="005466B0">
        <w:rPr>
          <w:szCs w:val="26"/>
        </w:rPr>
        <w:t xml:space="preserve">This approach ensures </w:t>
      </w:r>
      <w:r w:rsidR="00FC610A">
        <w:rPr>
          <w:szCs w:val="26"/>
        </w:rPr>
        <w:t xml:space="preserve">relevant stakeholders and providers of services provide </w:t>
      </w:r>
      <w:r w:rsidR="005466B0">
        <w:rPr>
          <w:szCs w:val="26"/>
        </w:rPr>
        <w:t xml:space="preserve">age related support measures </w:t>
      </w:r>
      <w:r w:rsidR="00FC610A">
        <w:rPr>
          <w:szCs w:val="26"/>
        </w:rPr>
        <w:t>when necessary</w:t>
      </w:r>
      <w:r w:rsidR="005466B0">
        <w:rPr>
          <w:szCs w:val="26"/>
        </w:rPr>
        <w:t xml:space="preserve"> for the learner. Following such an approach in the Irish setting would</w:t>
      </w:r>
      <w:r w:rsidR="00677D7E" w:rsidRPr="00B71C3F">
        <w:rPr>
          <w:szCs w:val="26"/>
        </w:rPr>
        <w:t xml:space="preserve"> ensure that </w:t>
      </w:r>
      <w:r w:rsidR="00B71C3F" w:rsidRPr="00B71C3F">
        <w:rPr>
          <w:szCs w:val="26"/>
        </w:rPr>
        <w:t xml:space="preserve">clear transition </w:t>
      </w:r>
      <w:r w:rsidR="00677D7E" w:rsidRPr="00B71C3F">
        <w:rPr>
          <w:szCs w:val="26"/>
        </w:rPr>
        <w:t>protocols</w:t>
      </w:r>
      <w:r w:rsidRPr="00B71C3F">
        <w:rPr>
          <w:szCs w:val="26"/>
        </w:rPr>
        <w:t xml:space="preserve"> </w:t>
      </w:r>
      <w:r w:rsidR="00B71C3F" w:rsidRPr="00B71C3F">
        <w:rPr>
          <w:szCs w:val="26"/>
        </w:rPr>
        <w:t>and necessary supports are</w:t>
      </w:r>
      <w:r w:rsidR="005466B0">
        <w:rPr>
          <w:szCs w:val="26"/>
        </w:rPr>
        <w:t xml:space="preserve"> delivered by the relevant stakeholder</w:t>
      </w:r>
      <w:r w:rsidR="00FC610A">
        <w:rPr>
          <w:szCs w:val="26"/>
        </w:rPr>
        <w:t>s including HSE, NCSE, ETB</w:t>
      </w:r>
      <w:r w:rsidR="008B6047">
        <w:rPr>
          <w:szCs w:val="26"/>
        </w:rPr>
        <w:t>’</w:t>
      </w:r>
      <w:r w:rsidR="00FC610A">
        <w:rPr>
          <w:szCs w:val="26"/>
        </w:rPr>
        <w:t>s National Council for Guidance in Education (NCGE)</w:t>
      </w:r>
      <w:r w:rsidR="00DB1A48">
        <w:rPr>
          <w:szCs w:val="26"/>
        </w:rPr>
        <w:t>,</w:t>
      </w:r>
      <w:r w:rsidR="00FC610A">
        <w:rPr>
          <w:szCs w:val="26"/>
        </w:rPr>
        <w:t xml:space="preserve"> and others such as disability service providers</w:t>
      </w:r>
      <w:r w:rsidR="005466B0">
        <w:rPr>
          <w:szCs w:val="26"/>
        </w:rPr>
        <w:t>.</w:t>
      </w:r>
      <w:r w:rsidR="00B71C3F" w:rsidRPr="00B71C3F">
        <w:rPr>
          <w:szCs w:val="26"/>
        </w:rPr>
        <w:t xml:space="preserve"> </w:t>
      </w:r>
    </w:p>
    <w:p w14:paraId="3A79DDE5" w14:textId="7E7BDEE0" w:rsidR="003D4622" w:rsidRDefault="003D4622" w:rsidP="00577D95">
      <w:pPr>
        <w:pStyle w:val="Heading3"/>
      </w:pPr>
      <w:bookmarkStart w:id="20" w:name="_Toc66782886"/>
      <w:r w:rsidRPr="004D6A22">
        <w:t>Further &amp; Higher Education</w:t>
      </w:r>
      <w:bookmarkEnd w:id="20"/>
    </w:p>
    <w:p w14:paraId="033A1C9D" w14:textId="084AEB85" w:rsidR="003D4622" w:rsidRDefault="000543BD" w:rsidP="00154CBF">
      <w:pPr>
        <w:autoSpaceDE w:val="0"/>
        <w:autoSpaceDN w:val="0"/>
        <w:adjustRightInd w:val="0"/>
        <w:rPr>
          <w:rFonts w:cs="Brown-Regular"/>
          <w:szCs w:val="26"/>
        </w:rPr>
      </w:pPr>
      <w:r>
        <w:rPr>
          <w:color w:val="000000"/>
          <w:szCs w:val="26"/>
          <w:lang w:val="en"/>
        </w:rPr>
        <w:t>During 2020, a</w:t>
      </w:r>
      <w:r w:rsidR="00A45CAE">
        <w:rPr>
          <w:color w:val="000000"/>
          <w:szCs w:val="26"/>
          <w:lang w:val="en"/>
        </w:rPr>
        <w:t xml:space="preserve"> new Department Further Higher Education Research Innovation and Science (DFHERIS)</w:t>
      </w:r>
      <w:r w:rsidR="00FB7210">
        <w:rPr>
          <w:color w:val="000000"/>
          <w:szCs w:val="26"/>
          <w:lang w:val="en"/>
        </w:rPr>
        <w:t xml:space="preserve"> </w:t>
      </w:r>
      <w:r w:rsidR="003702D7">
        <w:rPr>
          <w:color w:val="000000"/>
          <w:szCs w:val="26"/>
          <w:lang w:val="en"/>
        </w:rPr>
        <w:t xml:space="preserve">was established, </w:t>
      </w:r>
      <w:r w:rsidR="00A45CAE">
        <w:rPr>
          <w:color w:val="000000"/>
          <w:szCs w:val="26"/>
          <w:lang w:val="en"/>
        </w:rPr>
        <w:t xml:space="preserve">with SOLAS as one of the public bodies under its remit. </w:t>
      </w:r>
      <w:r w:rsidR="003D4622">
        <w:rPr>
          <w:szCs w:val="26"/>
        </w:rPr>
        <w:t xml:space="preserve">Apprenticeships, employer based training and </w:t>
      </w:r>
      <w:r w:rsidR="00DB1A48">
        <w:rPr>
          <w:szCs w:val="26"/>
        </w:rPr>
        <w:t>FET</w:t>
      </w:r>
      <w:r w:rsidR="003D4622">
        <w:rPr>
          <w:szCs w:val="26"/>
        </w:rPr>
        <w:t xml:space="preserve"> continue to provide pathways to employment for </w:t>
      </w:r>
      <w:r w:rsidR="00C552A6">
        <w:rPr>
          <w:szCs w:val="26"/>
        </w:rPr>
        <w:t xml:space="preserve">persons </w:t>
      </w:r>
      <w:r w:rsidR="003D4622">
        <w:rPr>
          <w:szCs w:val="26"/>
        </w:rPr>
        <w:t xml:space="preserve">with disabilities. </w:t>
      </w:r>
      <w:r w:rsidR="003D4622">
        <w:rPr>
          <w:rFonts w:cs="Brown-Regular"/>
          <w:szCs w:val="26"/>
        </w:rPr>
        <w:t>SOLAS data for</w:t>
      </w:r>
      <w:r w:rsidR="003D4622" w:rsidRPr="00731216">
        <w:rPr>
          <w:rFonts w:cs="Brown-Regular"/>
          <w:szCs w:val="26"/>
        </w:rPr>
        <w:t xml:space="preserve"> 2019 </w:t>
      </w:r>
      <w:r w:rsidR="003D4622">
        <w:rPr>
          <w:rFonts w:cs="Brown-Regular"/>
          <w:szCs w:val="26"/>
        </w:rPr>
        <w:t>indicated that</w:t>
      </w:r>
      <w:r w:rsidR="003D4622" w:rsidRPr="00731216">
        <w:rPr>
          <w:rFonts w:cs="Brown-Regular"/>
          <w:szCs w:val="26"/>
        </w:rPr>
        <w:t xml:space="preserve"> 13,098 learners enrolled </w:t>
      </w:r>
      <w:r w:rsidR="003D4622">
        <w:rPr>
          <w:rFonts w:cs="Brown-Regular"/>
          <w:szCs w:val="26"/>
        </w:rPr>
        <w:t>i</w:t>
      </w:r>
      <w:r w:rsidR="00DB1A48">
        <w:rPr>
          <w:rFonts w:cs="Brown-Regular"/>
          <w:szCs w:val="26"/>
        </w:rPr>
        <w:t>n FET</w:t>
      </w:r>
      <w:r w:rsidR="003D4622">
        <w:rPr>
          <w:rFonts w:cs="Brown-Regular"/>
          <w:szCs w:val="26"/>
        </w:rPr>
        <w:t xml:space="preserve"> </w:t>
      </w:r>
      <w:r w:rsidR="003D4622" w:rsidRPr="00731216">
        <w:rPr>
          <w:rFonts w:cs="Brown-Regular"/>
          <w:szCs w:val="26"/>
        </w:rPr>
        <w:t>reported having at least one type of disability</w:t>
      </w:r>
      <w:r w:rsidR="003D4622">
        <w:rPr>
          <w:rFonts w:cs="Brown-Regular"/>
          <w:szCs w:val="26"/>
        </w:rPr>
        <w:t>.</w:t>
      </w:r>
      <w:r w:rsidR="00445FF3">
        <w:rPr>
          <w:rFonts w:cs="Brown-Regular"/>
          <w:szCs w:val="26"/>
        </w:rPr>
        <w:t xml:space="preserve"> </w:t>
      </w:r>
      <w:r w:rsidR="003D4622">
        <w:rPr>
          <w:rFonts w:cs="Brown-Regular"/>
          <w:szCs w:val="26"/>
        </w:rPr>
        <w:t>This</w:t>
      </w:r>
      <w:r w:rsidR="003D4622" w:rsidRPr="00731216">
        <w:rPr>
          <w:rFonts w:cs="Brown-Regular"/>
          <w:szCs w:val="26"/>
        </w:rPr>
        <w:t xml:space="preserve"> figure constitutes </w:t>
      </w:r>
      <w:r w:rsidR="003D4622" w:rsidRPr="00881AD0">
        <w:rPr>
          <w:rFonts w:cs="Brown-Regular"/>
          <w:b/>
          <w:szCs w:val="26"/>
        </w:rPr>
        <w:t>7.3%</w:t>
      </w:r>
      <w:r w:rsidR="003702D7">
        <w:rPr>
          <w:rFonts w:cs="Brown-Regular"/>
          <w:szCs w:val="26"/>
        </w:rPr>
        <w:t xml:space="preserve"> of all learners enrolled and is an increase of </w:t>
      </w:r>
      <w:r w:rsidR="006A355D">
        <w:rPr>
          <w:rFonts w:cs="Brown-Regular"/>
          <w:szCs w:val="26"/>
        </w:rPr>
        <w:t>more than</w:t>
      </w:r>
      <w:r w:rsidR="003702D7">
        <w:rPr>
          <w:rFonts w:cs="Brown-Regular"/>
          <w:szCs w:val="26"/>
        </w:rPr>
        <w:t xml:space="preserve"> 4,00</w:t>
      </w:r>
      <w:r w:rsidR="00C44F0A">
        <w:rPr>
          <w:rFonts w:cs="Brown-Regular"/>
          <w:szCs w:val="26"/>
        </w:rPr>
        <w:t xml:space="preserve">0 </w:t>
      </w:r>
      <w:r w:rsidR="008F2ED6">
        <w:rPr>
          <w:rFonts w:cs="Brown-Regular"/>
          <w:szCs w:val="26"/>
        </w:rPr>
        <w:t>when compared to</w:t>
      </w:r>
      <w:r w:rsidR="00C44F0A">
        <w:rPr>
          <w:rFonts w:cs="Brown-Regular"/>
          <w:szCs w:val="26"/>
        </w:rPr>
        <w:t xml:space="preserve"> 2018. </w:t>
      </w:r>
      <w:r w:rsidR="008F2ED6">
        <w:rPr>
          <w:rFonts w:cs="Brown-Regular"/>
          <w:szCs w:val="26"/>
        </w:rPr>
        <w:t>While</w:t>
      </w:r>
      <w:r w:rsidR="00C44F0A">
        <w:rPr>
          <w:rFonts w:cs="Brown-Regular"/>
          <w:szCs w:val="26"/>
        </w:rPr>
        <w:t xml:space="preserve"> </w:t>
      </w:r>
      <w:r w:rsidR="003702D7">
        <w:rPr>
          <w:rFonts w:cs="Brown-Regular"/>
          <w:szCs w:val="26"/>
        </w:rPr>
        <w:t xml:space="preserve">this could reflect increased </w:t>
      </w:r>
      <w:r w:rsidR="003B0754">
        <w:rPr>
          <w:rFonts w:cs="Brown-Regular"/>
          <w:szCs w:val="26"/>
        </w:rPr>
        <w:t xml:space="preserve">sharing </w:t>
      </w:r>
      <w:r w:rsidR="00DB1A48">
        <w:rPr>
          <w:rFonts w:cs="Brown-Regular"/>
          <w:szCs w:val="26"/>
        </w:rPr>
        <w:t xml:space="preserve">by students </w:t>
      </w:r>
      <w:r w:rsidR="003B0754">
        <w:rPr>
          <w:rFonts w:cs="Brown-Regular"/>
          <w:szCs w:val="26"/>
        </w:rPr>
        <w:t xml:space="preserve">of their disability status </w:t>
      </w:r>
      <w:r w:rsidR="003702D7">
        <w:rPr>
          <w:rFonts w:cs="Brown-Regular"/>
          <w:szCs w:val="26"/>
        </w:rPr>
        <w:t>rather than an increase in the</w:t>
      </w:r>
      <w:r w:rsidR="008F2ED6">
        <w:rPr>
          <w:rFonts w:cs="Brown-Regular"/>
          <w:szCs w:val="26"/>
        </w:rPr>
        <w:t xml:space="preserve"> actual</w:t>
      </w:r>
      <w:r w:rsidR="003702D7">
        <w:rPr>
          <w:rFonts w:cs="Brown-Regular"/>
          <w:szCs w:val="26"/>
        </w:rPr>
        <w:t xml:space="preserve"> number of learners</w:t>
      </w:r>
      <w:r w:rsidR="008F2ED6">
        <w:rPr>
          <w:rFonts w:cs="Brown-Regular"/>
          <w:szCs w:val="26"/>
        </w:rPr>
        <w:t xml:space="preserve"> with a disability is it still a positive development</w:t>
      </w:r>
      <w:r w:rsidR="003702D7">
        <w:rPr>
          <w:rFonts w:cs="Brown-Regular"/>
          <w:szCs w:val="26"/>
        </w:rPr>
        <w:t>.</w:t>
      </w:r>
      <w:r w:rsidR="003D4622" w:rsidRPr="00731216">
        <w:rPr>
          <w:rFonts w:cs="Brown-Regular"/>
          <w:szCs w:val="26"/>
        </w:rPr>
        <w:t xml:space="preserve"> </w:t>
      </w:r>
      <w:r w:rsidR="001A4A45">
        <w:rPr>
          <w:rFonts w:cs="Brown-Regular"/>
          <w:szCs w:val="26"/>
        </w:rPr>
        <w:t>In addition:</w:t>
      </w:r>
    </w:p>
    <w:p w14:paraId="67685487" w14:textId="180563EA" w:rsidR="003D4622" w:rsidRPr="00154CBF" w:rsidRDefault="003D4622" w:rsidP="007E797D">
      <w:pPr>
        <w:pStyle w:val="ListBullet"/>
      </w:pPr>
      <w:r w:rsidRPr="00154CBF">
        <w:t>Of the learner</w:t>
      </w:r>
      <w:r w:rsidR="0086057A">
        <w:t>s</w:t>
      </w:r>
      <w:r w:rsidRPr="00154CBF">
        <w:t xml:space="preserve"> enro</w:t>
      </w:r>
      <w:r w:rsidR="003B0754">
        <w:t xml:space="preserve">lled </w:t>
      </w:r>
      <w:r w:rsidRPr="00154CBF">
        <w:t xml:space="preserve">that reported a disability, 45.5% were men and 54.5% were women. </w:t>
      </w:r>
    </w:p>
    <w:p w14:paraId="48FA8523" w14:textId="1538E483" w:rsidR="003D4622" w:rsidRDefault="003D4622" w:rsidP="007E797D">
      <w:pPr>
        <w:pStyle w:val="ListBullet"/>
      </w:pPr>
      <w:r w:rsidRPr="00154CBF">
        <w:t xml:space="preserve">The majority (66%) of these learners </w:t>
      </w:r>
      <w:r w:rsidR="00D63701">
        <w:t xml:space="preserve">were older than 25 years of age, </w:t>
      </w:r>
    </w:p>
    <w:p w14:paraId="7F76DF1E" w14:textId="2A4E8998" w:rsidR="00D63701" w:rsidRPr="00D63701" w:rsidRDefault="00D63701" w:rsidP="007E797D">
      <w:pPr>
        <w:pStyle w:val="ListBullet"/>
      </w:pPr>
      <w:r w:rsidRPr="00D63701">
        <w:t>Approximately 49.2% of the learners had</w:t>
      </w:r>
      <w:r w:rsidR="008F2ED6">
        <w:t xml:space="preserve"> an education level of </w:t>
      </w:r>
      <w:r w:rsidRPr="00D63701">
        <w:t xml:space="preserve">lower secondary or </w:t>
      </w:r>
      <w:r w:rsidR="008F2ED6">
        <w:t>below</w:t>
      </w:r>
      <w:r w:rsidRPr="00D63701">
        <w:t xml:space="preserve"> prior to joining further education and training.</w:t>
      </w:r>
    </w:p>
    <w:p w14:paraId="02B58240" w14:textId="1BB0D545" w:rsidR="003D4622" w:rsidRPr="002E5919" w:rsidRDefault="003D4622" w:rsidP="007E797D">
      <w:pPr>
        <w:pStyle w:val="ListBullet"/>
      </w:pPr>
      <w:r w:rsidRPr="00731216">
        <w:t xml:space="preserve">The certification rate for those learners who reported a disability and completed certified courses </w:t>
      </w:r>
      <w:r w:rsidRPr="001F45D0">
        <w:rPr>
          <w:b/>
        </w:rPr>
        <w:t>was 62.4% in 2019</w:t>
      </w:r>
      <w:r w:rsidRPr="00731216">
        <w:t>,</w:t>
      </w:r>
      <w:r>
        <w:t xml:space="preserve"> </w:t>
      </w:r>
      <w:r w:rsidRPr="00731216">
        <w:t>up from 56.4% in 2018</w:t>
      </w:r>
    </w:p>
    <w:p w14:paraId="29DA00E8" w14:textId="3ED36A74" w:rsidR="003D4622" w:rsidRPr="00154CBF" w:rsidRDefault="002E5919" w:rsidP="007E797D">
      <w:pPr>
        <w:pStyle w:val="ListBullet"/>
        <w:rPr>
          <w:rFonts w:cs="Brown-Regular"/>
          <w:szCs w:val="26"/>
        </w:rPr>
      </w:pPr>
      <w:r w:rsidRPr="00154CBF">
        <w:rPr>
          <w:rFonts w:cs="Brown-Regular"/>
          <w:szCs w:val="26"/>
        </w:rPr>
        <w:t xml:space="preserve">91.2% of learners that reported a disability partially or fully completed a course in 2019. </w:t>
      </w:r>
    </w:p>
    <w:p w14:paraId="45B8DED4" w14:textId="0E4B0DBF" w:rsidR="00AE314B" w:rsidRPr="0016156E" w:rsidRDefault="00881AD0" w:rsidP="0016156E">
      <w:pPr>
        <w:autoSpaceDE w:val="0"/>
        <w:autoSpaceDN w:val="0"/>
        <w:adjustRightInd w:val="0"/>
        <w:rPr>
          <w:rFonts w:cs="Brown-Regular"/>
          <w:szCs w:val="26"/>
        </w:rPr>
      </w:pPr>
      <w:r w:rsidRPr="00881AD0">
        <w:rPr>
          <w:rFonts w:cs="Brown-Regular"/>
          <w:szCs w:val="26"/>
        </w:rPr>
        <w:t>The NDA welcome</w:t>
      </w:r>
      <w:r w:rsidR="003B0754">
        <w:rPr>
          <w:rFonts w:cs="Brown-Regular"/>
          <w:szCs w:val="26"/>
        </w:rPr>
        <w:t>s</w:t>
      </w:r>
      <w:r w:rsidRPr="00881AD0">
        <w:rPr>
          <w:rFonts w:cs="Brown-Regular"/>
          <w:szCs w:val="26"/>
        </w:rPr>
        <w:t xml:space="preserve"> the SOLAS commitment to ‘address the ne</w:t>
      </w:r>
      <w:r w:rsidR="001A4A45">
        <w:rPr>
          <w:rFonts w:cs="Brown-Regular"/>
          <w:szCs w:val="26"/>
        </w:rPr>
        <w:t>eds of people with disabilities</w:t>
      </w:r>
      <w:r w:rsidR="00A45CAE">
        <w:rPr>
          <w:rFonts w:cs="Brown-Regular"/>
          <w:szCs w:val="26"/>
        </w:rPr>
        <w:t>’ with</w:t>
      </w:r>
      <w:r w:rsidR="00154CBF">
        <w:rPr>
          <w:rFonts w:cs="Brown-Regular"/>
          <w:szCs w:val="26"/>
        </w:rPr>
        <w:t xml:space="preserve"> </w:t>
      </w:r>
      <w:r w:rsidRPr="00881AD0">
        <w:rPr>
          <w:rFonts w:cs="Brown-Regular"/>
          <w:szCs w:val="26"/>
        </w:rPr>
        <w:t xml:space="preserve">more consistent support to this cohort </w:t>
      </w:r>
      <w:r w:rsidR="004E78B5">
        <w:rPr>
          <w:rFonts w:cs="Brown-Regular"/>
          <w:szCs w:val="26"/>
        </w:rPr>
        <w:t>of learners</w:t>
      </w:r>
      <w:r w:rsidR="00BA0510">
        <w:rPr>
          <w:rFonts w:cs="Brown-Regular"/>
          <w:szCs w:val="26"/>
        </w:rPr>
        <w:t xml:space="preserve"> </w:t>
      </w:r>
      <w:r w:rsidRPr="00881AD0">
        <w:rPr>
          <w:rFonts w:cs="Brown-Regular"/>
          <w:szCs w:val="26"/>
        </w:rPr>
        <w:t>across FET</w:t>
      </w:r>
      <w:r w:rsidR="00D63701">
        <w:rPr>
          <w:rFonts w:cs="Brown-Regular"/>
          <w:szCs w:val="26"/>
        </w:rPr>
        <w:t xml:space="preserve">. If SOLAS is to </w:t>
      </w:r>
      <w:r w:rsidR="00A45CAE">
        <w:rPr>
          <w:rFonts w:cs="Brown-Regular"/>
          <w:szCs w:val="26"/>
        </w:rPr>
        <w:t>e</w:t>
      </w:r>
      <w:r w:rsidR="00D63701">
        <w:rPr>
          <w:rFonts w:cs="Brown-Regular"/>
          <w:szCs w:val="26"/>
        </w:rPr>
        <w:t>xpand its</w:t>
      </w:r>
      <w:r w:rsidRPr="00881AD0">
        <w:rPr>
          <w:rFonts w:cs="Brown-Regular"/>
          <w:szCs w:val="26"/>
        </w:rPr>
        <w:t xml:space="preserve"> approach </w:t>
      </w:r>
      <w:r w:rsidR="002C4D9E">
        <w:rPr>
          <w:rFonts w:cs="Brown-Regular"/>
          <w:szCs w:val="26"/>
        </w:rPr>
        <w:t>to include these learners</w:t>
      </w:r>
      <w:r w:rsidR="008F2ED6">
        <w:rPr>
          <w:rFonts w:cs="Brown-Regular"/>
          <w:szCs w:val="26"/>
        </w:rPr>
        <w:t xml:space="preserve"> who are generally older and have a low level of education</w:t>
      </w:r>
      <w:r w:rsidR="002C4D9E">
        <w:rPr>
          <w:rFonts w:cs="Brown-Regular"/>
          <w:szCs w:val="26"/>
        </w:rPr>
        <w:t xml:space="preserve">, it will need to </w:t>
      </w:r>
      <w:r w:rsidR="003B0754">
        <w:rPr>
          <w:rFonts w:cs="Brown-Regular"/>
          <w:szCs w:val="26"/>
        </w:rPr>
        <w:t xml:space="preserve">review how </w:t>
      </w:r>
      <w:r w:rsidR="002C4D9E">
        <w:rPr>
          <w:rFonts w:cs="Brown-Regular"/>
          <w:szCs w:val="26"/>
        </w:rPr>
        <w:t>its</w:t>
      </w:r>
      <w:r w:rsidR="00D63701">
        <w:rPr>
          <w:rFonts w:cs="Brown-Regular"/>
          <w:szCs w:val="26"/>
        </w:rPr>
        <w:t xml:space="preserve"> funding supports </w:t>
      </w:r>
      <w:r w:rsidR="003B0754">
        <w:rPr>
          <w:rFonts w:cs="Brown-Regular"/>
          <w:szCs w:val="26"/>
        </w:rPr>
        <w:t>can be used by</w:t>
      </w:r>
      <w:r w:rsidRPr="00881AD0">
        <w:rPr>
          <w:rFonts w:cs="Brown-Regular"/>
          <w:szCs w:val="26"/>
        </w:rPr>
        <w:t xml:space="preserve"> students with disabilities</w:t>
      </w:r>
      <w:r w:rsidR="002C4D9E">
        <w:rPr>
          <w:rFonts w:cs="Brown-Regular"/>
          <w:szCs w:val="26"/>
        </w:rPr>
        <w:t>.  C</w:t>
      </w:r>
      <w:r w:rsidRPr="00881AD0">
        <w:rPr>
          <w:rFonts w:cs="Brown-Regular"/>
          <w:szCs w:val="26"/>
        </w:rPr>
        <w:t xml:space="preserve">urrently </w:t>
      </w:r>
      <w:r w:rsidR="002C4D9E">
        <w:rPr>
          <w:rFonts w:cs="Brown-Regular"/>
          <w:szCs w:val="26"/>
        </w:rPr>
        <w:t xml:space="preserve">the funding available </w:t>
      </w:r>
      <w:r w:rsidRPr="00881AD0">
        <w:rPr>
          <w:rFonts w:cs="Brown-Regular"/>
          <w:szCs w:val="26"/>
        </w:rPr>
        <w:t xml:space="preserve">only covers </w:t>
      </w:r>
      <w:r w:rsidR="00C567A0">
        <w:rPr>
          <w:rFonts w:cs="Brown-Regular"/>
          <w:szCs w:val="26"/>
        </w:rPr>
        <w:t>post leaving certificate</w:t>
      </w:r>
      <w:r w:rsidR="00A45CAE">
        <w:rPr>
          <w:rFonts w:cs="Brown-Regular"/>
          <w:szCs w:val="26"/>
        </w:rPr>
        <w:t xml:space="preserve"> course</w:t>
      </w:r>
      <w:r w:rsidR="00A45CAE" w:rsidRPr="00881AD0">
        <w:rPr>
          <w:rFonts w:cs="Brown-Regular"/>
          <w:szCs w:val="26"/>
        </w:rPr>
        <w:t xml:space="preserve"> </w:t>
      </w:r>
      <w:r w:rsidRPr="00881AD0">
        <w:rPr>
          <w:rFonts w:cs="Brown-Regular"/>
          <w:szCs w:val="26"/>
        </w:rPr>
        <w:t>provision</w:t>
      </w:r>
      <w:r w:rsidR="00A45CAE">
        <w:rPr>
          <w:rFonts w:cs="Brown-Regular"/>
          <w:szCs w:val="26"/>
        </w:rPr>
        <w:t xml:space="preserve"> and</w:t>
      </w:r>
      <w:r w:rsidR="002C4D9E">
        <w:rPr>
          <w:rFonts w:cs="Brown-Regular"/>
          <w:szCs w:val="26"/>
        </w:rPr>
        <w:t xml:space="preserve"> therefore is adding to the marginalisation of early school leavers</w:t>
      </w:r>
      <w:r w:rsidR="008F201B">
        <w:rPr>
          <w:rFonts w:cs="Brown-Regular"/>
          <w:szCs w:val="26"/>
        </w:rPr>
        <w:t xml:space="preserve"> who return to education later</w:t>
      </w:r>
      <w:r w:rsidR="002C4D9E">
        <w:rPr>
          <w:rFonts w:cs="Brown-Regular"/>
          <w:szCs w:val="26"/>
        </w:rPr>
        <w:t>.</w:t>
      </w:r>
      <w:r w:rsidRPr="00881AD0">
        <w:rPr>
          <w:rFonts w:cs="Brown-Regular"/>
          <w:szCs w:val="26"/>
        </w:rPr>
        <w:t xml:space="preserve"> </w:t>
      </w:r>
      <w:r w:rsidR="008F201B">
        <w:rPr>
          <w:rFonts w:cs="Brown-Regular"/>
          <w:szCs w:val="26"/>
        </w:rPr>
        <w:t>Funding for post school provision requires adaptions that can support more part</w:t>
      </w:r>
      <w:r w:rsidR="008F2ED6">
        <w:rPr>
          <w:rFonts w:cs="Brown-Regular"/>
          <w:szCs w:val="26"/>
        </w:rPr>
        <w:t>-</w:t>
      </w:r>
      <w:r w:rsidR="008F201B">
        <w:rPr>
          <w:rFonts w:cs="Brown-Regular"/>
          <w:szCs w:val="26"/>
        </w:rPr>
        <w:t>time and flexible studying arrangements.</w:t>
      </w:r>
      <w:r w:rsidR="00BF5F82">
        <w:rPr>
          <w:rFonts w:cs="Brown-Regular"/>
          <w:szCs w:val="26"/>
        </w:rPr>
        <w:t xml:space="preserve"> The NDA welcome</w:t>
      </w:r>
      <w:r w:rsidR="00042EF0">
        <w:rPr>
          <w:rFonts w:cs="Brown-Regular"/>
          <w:szCs w:val="26"/>
        </w:rPr>
        <w:t>s</w:t>
      </w:r>
      <w:r w:rsidR="003B0754">
        <w:rPr>
          <w:rFonts w:cs="Brown-Regular"/>
          <w:szCs w:val="26"/>
        </w:rPr>
        <w:t xml:space="preserve"> the commitment of </w:t>
      </w:r>
      <w:r w:rsidR="00042EF0">
        <w:rPr>
          <w:rFonts w:cs="Brown-Regular"/>
          <w:szCs w:val="26"/>
        </w:rPr>
        <w:t>SOLAS</w:t>
      </w:r>
      <w:r w:rsidR="00BF5F82">
        <w:rPr>
          <w:rFonts w:cs="Brown-Regular"/>
          <w:szCs w:val="26"/>
        </w:rPr>
        <w:t xml:space="preserve"> </w:t>
      </w:r>
      <w:r w:rsidR="000B49B4">
        <w:rPr>
          <w:rFonts w:cs="Brown-Regular"/>
          <w:szCs w:val="26"/>
        </w:rPr>
        <w:t>in their new strategy</w:t>
      </w:r>
      <w:r w:rsidR="008F2ED6">
        <w:rPr>
          <w:rFonts w:cs="Brown-Regular"/>
          <w:szCs w:val="26"/>
        </w:rPr>
        <w:t xml:space="preserve"> </w:t>
      </w:r>
      <w:r w:rsidR="0016156E">
        <w:rPr>
          <w:rFonts w:cs="Brown-Regular"/>
          <w:szCs w:val="26"/>
        </w:rPr>
        <w:t xml:space="preserve">to </w:t>
      </w:r>
      <w:r w:rsidR="0016156E" w:rsidRPr="0016156E">
        <w:rPr>
          <w:rFonts w:cs="Brown-Regular"/>
          <w:szCs w:val="26"/>
        </w:rPr>
        <w:t>conduct ‘ongoing reform of the funding system, and</w:t>
      </w:r>
      <w:r w:rsidR="0016156E">
        <w:rPr>
          <w:rFonts w:ascii="Brown-Regular" w:hAnsi="Brown-Regular" w:cs="Brown-Regular"/>
          <w:sz w:val="20"/>
          <w:szCs w:val="20"/>
        </w:rPr>
        <w:t xml:space="preserve"> </w:t>
      </w:r>
      <w:r w:rsidRPr="00881AD0">
        <w:rPr>
          <w:rFonts w:cs="Brown-Regular"/>
          <w:szCs w:val="26"/>
        </w:rPr>
        <w:t>roll-out of good practice guidelines, including those in relation to universal design for learning</w:t>
      </w:r>
      <w:r w:rsidR="008F2ED6">
        <w:rPr>
          <w:rFonts w:cs="Brown-Regular"/>
          <w:szCs w:val="26"/>
        </w:rPr>
        <w:t>’</w:t>
      </w:r>
      <w:r w:rsidRPr="00881AD0">
        <w:rPr>
          <w:rFonts w:cs="Brown-Regular"/>
          <w:szCs w:val="26"/>
        </w:rPr>
        <w:t>.</w:t>
      </w:r>
      <w:r w:rsidRPr="00881AD0">
        <w:rPr>
          <w:rStyle w:val="FootnoteReference"/>
          <w:rFonts w:ascii="Gill Sans MT" w:hAnsi="Gill Sans MT" w:cs="Brown-Regular"/>
          <w:sz w:val="26"/>
          <w:szCs w:val="26"/>
        </w:rPr>
        <w:footnoteReference w:id="35"/>
      </w:r>
      <w:r w:rsidR="008F201B">
        <w:rPr>
          <w:rFonts w:cs="Brown-Regular"/>
          <w:szCs w:val="26"/>
        </w:rPr>
        <w:t xml:space="preserve"> </w:t>
      </w:r>
      <w:r w:rsidR="009E0458">
        <w:rPr>
          <w:color w:val="000000"/>
          <w:szCs w:val="26"/>
          <w:lang w:val="en"/>
        </w:rPr>
        <w:t xml:space="preserve">The NDA has previously advised that this </w:t>
      </w:r>
      <w:r w:rsidR="004E78B5">
        <w:rPr>
          <w:color w:val="000000"/>
          <w:szCs w:val="26"/>
          <w:lang w:val="en"/>
        </w:rPr>
        <w:t>commitment by SOLAS can be achieved through the inclusion of a target for persons with disabilities in accessing and progressing through apprenticeships</w:t>
      </w:r>
      <w:r w:rsidR="0016156E">
        <w:rPr>
          <w:color w:val="000000"/>
          <w:szCs w:val="26"/>
          <w:lang w:val="en"/>
        </w:rPr>
        <w:t xml:space="preserve"> and other FET options</w:t>
      </w:r>
      <w:r w:rsidR="002E4355" w:rsidRPr="002E4355">
        <w:rPr>
          <w:color w:val="000000"/>
          <w:szCs w:val="26"/>
          <w:lang w:val="en"/>
        </w:rPr>
        <w:t>. The target of 1</w:t>
      </w:r>
      <w:r w:rsidR="009E0458">
        <w:rPr>
          <w:color w:val="000000"/>
          <w:szCs w:val="26"/>
          <w:lang w:val="en"/>
        </w:rPr>
        <w:t>,</w:t>
      </w:r>
      <w:r w:rsidR="002E4355" w:rsidRPr="002E4355">
        <w:rPr>
          <w:color w:val="000000"/>
          <w:szCs w:val="26"/>
          <w:lang w:val="en"/>
        </w:rPr>
        <w:t xml:space="preserve">000 women </w:t>
      </w:r>
      <w:r w:rsidR="007662F0">
        <w:rPr>
          <w:color w:val="000000"/>
          <w:szCs w:val="26"/>
          <w:lang w:val="en"/>
        </w:rPr>
        <w:t xml:space="preserve">in </w:t>
      </w:r>
      <w:r w:rsidR="002E4355" w:rsidRPr="002E4355">
        <w:rPr>
          <w:color w:val="000000"/>
          <w:szCs w:val="26"/>
          <w:lang w:val="en"/>
        </w:rPr>
        <w:t>apprenticeships was achieved in 2020</w:t>
      </w:r>
      <w:r w:rsidR="007662F0">
        <w:rPr>
          <w:color w:val="000000"/>
          <w:szCs w:val="26"/>
          <w:lang w:val="en"/>
        </w:rPr>
        <w:t>,</w:t>
      </w:r>
      <w:r w:rsidR="002E4355" w:rsidRPr="002E4355">
        <w:rPr>
          <w:color w:val="000000"/>
          <w:szCs w:val="26"/>
          <w:lang w:val="en"/>
        </w:rPr>
        <w:t xml:space="preserve"> </w:t>
      </w:r>
      <w:r w:rsidR="004E78B5">
        <w:rPr>
          <w:color w:val="000000"/>
          <w:szCs w:val="26"/>
          <w:lang w:val="en"/>
        </w:rPr>
        <w:t xml:space="preserve">and </w:t>
      </w:r>
      <w:r w:rsidR="002E4355" w:rsidRPr="002E4355">
        <w:rPr>
          <w:color w:val="000000"/>
          <w:szCs w:val="26"/>
          <w:lang w:val="en"/>
        </w:rPr>
        <w:t>is to be welcome</w:t>
      </w:r>
      <w:r w:rsidR="007662F0">
        <w:rPr>
          <w:color w:val="000000"/>
          <w:szCs w:val="26"/>
          <w:lang w:val="en"/>
        </w:rPr>
        <w:t xml:space="preserve">d. </w:t>
      </w:r>
      <w:r w:rsidR="0016156E">
        <w:rPr>
          <w:color w:val="000000"/>
          <w:szCs w:val="26"/>
          <w:lang w:val="en"/>
        </w:rPr>
        <w:t>However</w:t>
      </w:r>
      <w:r w:rsidR="009A6FDD">
        <w:rPr>
          <w:color w:val="000000"/>
          <w:szCs w:val="26"/>
          <w:lang w:val="en"/>
        </w:rPr>
        <w:t>,</w:t>
      </w:r>
      <w:r w:rsidR="0016156E">
        <w:rPr>
          <w:color w:val="000000"/>
          <w:szCs w:val="26"/>
          <w:lang w:val="en"/>
        </w:rPr>
        <w:t xml:space="preserve"> it is important to</w:t>
      </w:r>
      <w:r w:rsidR="00F452CC">
        <w:rPr>
          <w:color w:val="000000"/>
          <w:szCs w:val="26"/>
          <w:lang w:val="en"/>
        </w:rPr>
        <w:t xml:space="preserve"> </w:t>
      </w:r>
      <w:r w:rsidR="0016156E">
        <w:rPr>
          <w:color w:val="000000"/>
          <w:szCs w:val="26"/>
          <w:lang w:val="en"/>
        </w:rPr>
        <w:t>establish</w:t>
      </w:r>
      <w:r w:rsidR="00291E92">
        <w:rPr>
          <w:color w:val="000000"/>
          <w:szCs w:val="26"/>
          <w:lang w:val="en"/>
        </w:rPr>
        <w:t xml:space="preserve"> a</w:t>
      </w:r>
      <w:r w:rsidR="002E4355" w:rsidRPr="002E4355">
        <w:rPr>
          <w:color w:val="000000"/>
          <w:szCs w:val="26"/>
          <w:lang w:val="en"/>
        </w:rPr>
        <w:t xml:space="preserve"> target </w:t>
      </w:r>
      <w:r w:rsidR="00291E92">
        <w:rPr>
          <w:color w:val="000000"/>
          <w:szCs w:val="26"/>
          <w:lang w:val="en"/>
        </w:rPr>
        <w:t xml:space="preserve">for </w:t>
      </w:r>
      <w:r w:rsidR="000257B5">
        <w:rPr>
          <w:color w:val="000000"/>
          <w:szCs w:val="26"/>
          <w:lang w:val="en"/>
        </w:rPr>
        <w:t>persons with disabilities</w:t>
      </w:r>
      <w:r w:rsidR="000B49B4">
        <w:rPr>
          <w:color w:val="000000"/>
          <w:szCs w:val="26"/>
          <w:lang w:val="en"/>
        </w:rPr>
        <w:t>. Such a</w:t>
      </w:r>
      <w:r w:rsidR="0016156E">
        <w:rPr>
          <w:color w:val="000000"/>
          <w:szCs w:val="26"/>
          <w:lang w:val="en"/>
        </w:rPr>
        <w:t xml:space="preserve"> target </w:t>
      </w:r>
      <w:r w:rsidR="000B49B4">
        <w:rPr>
          <w:color w:val="000000"/>
          <w:szCs w:val="26"/>
          <w:lang w:val="en"/>
        </w:rPr>
        <w:t xml:space="preserve">will </w:t>
      </w:r>
      <w:r w:rsidR="0016156E">
        <w:rPr>
          <w:color w:val="000000"/>
          <w:szCs w:val="26"/>
          <w:lang w:val="en"/>
        </w:rPr>
        <w:t xml:space="preserve">require </w:t>
      </w:r>
      <w:r w:rsidR="00D74D22">
        <w:rPr>
          <w:color w:val="000000"/>
          <w:szCs w:val="26"/>
          <w:lang w:val="en"/>
        </w:rPr>
        <w:t>a</w:t>
      </w:r>
      <w:r w:rsidR="002E4355" w:rsidRPr="002E4355">
        <w:rPr>
          <w:color w:val="000000"/>
          <w:szCs w:val="26"/>
          <w:lang w:val="en"/>
        </w:rPr>
        <w:t xml:space="preserve"> clear and ambitious roadmap </w:t>
      </w:r>
      <w:r w:rsidR="00291E92">
        <w:rPr>
          <w:color w:val="000000"/>
          <w:szCs w:val="26"/>
          <w:lang w:val="en"/>
        </w:rPr>
        <w:t>t</w:t>
      </w:r>
      <w:r w:rsidR="000257B5">
        <w:rPr>
          <w:color w:val="000000"/>
          <w:szCs w:val="26"/>
          <w:lang w:val="en"/>
        </w:rPr>
        <w:t xml:space="preserve">o ensure </w:t>
      </w:r>
      <w:r w:rsidR="000B49B4">
        <w:rPr>
          <w:color w:val="000000"/>
          <w:szCs w:val="26"/>
          <w:lang w:val="en"/>
        </w:rPr>
        <w:t>it</w:t>
      </w:r>
      <w:r w:rsidR="009A6FDD">
        <w:rPr>
          <w:color w:val="000000"/>
          <w:szCs w:val="26"/>
          <w:lang w:val="en"/>
        </w:rPr>
        <w:t xml:space="preserve"> </w:t>
      </w:r>
      <w:r w:rsidR="000257B5">
        <w:rPr>
          <w:color w:val="000000"/>
          <w:szCs w:val="26"/>
          <w:lang w:val="en"/>
        </w:rPr>
        <w:t>is obtained</w:t>
      </w:r>
      <w:r w:rsidR="0016156E">
        <w:rPr>
          <w:color w:val="000000"/>
          <w:szCs w:val="26"/>
          <w:lang w:val="en"/>
        </w:rPr>
        <w:t>. The NDA suggest</w:t>
      </w:r>
      <w:r w:rsidR="00042EF0">
        <w:rPr>
          <w:color w:val="000000"/>
          <w:szCs w:val="26"/>
          <w:lang w:val="en"/>
        </w:rPr>
        <w:t>s</w:t>
      </w:r>
      <w:r w:rsidR="0016156E">
        <w:rPr>
          <w:color w:val="000000"/>
          <w:szCs w:val="26"/>
          <w:lang w:val="en"/>
        </w:rPr>
        <w:t xml:space="preserve"> that </w:t>
      </w:r>
      <w:r w:rsidR="00D74D22">
        <w:rPr>
          <w:color w:val="000000"/>
          <w:szCs w:val="26"/>
          <w:lang w:val="en"/>
        </w:rPr>
        <w:t>o</w:t>
      </w:r>
      <w:r w:rsidR="004E78B5">
        <w:rPr>
          <w:color w:val="000000"/>
          <w:szCs w:val="26"/>
          <w:lang w:val="en"/>
        </w:rPr>
        <w:t>fficials working to achieve the new apprenticeship</w:t>
      </w:r>
      <w:r w:rsidR="00D74D22">
        <w:rPr>
          <w:color w:val="000000"/>
          <w:szCs w:val="26"/>
          <w:lang w:val="en"/>
        </w:rPr>
        <w:t xml:space="preserve"> action plan </w:t>
      </w:r>
      <w:r w:rsidR="004E78B5">
        <w:rPr>
          <w:color w:val="000000"/>
          <w:szCs w:val="26"/>
          <w:lang w:val="en"/>
        </w:rPr>
        <w:t>c</w:t>
      </w:r>
      <w:r w:rsidR="00D74D22">
        <w:rPr>
          <w:color w:val="000000"/>
          <w:szCs w:val="26"/>
          <w:lang w:val="en"/>
        </w:rPr>
        <w:t>ould</w:t>
      </w:r>
      <w:r w:rsidR="00042EF0">
        <w:rPr>
          <w:color w:val="000000"/>
          <w:szCs w:val="26"/>
          <w:lang w:val="en"/>
        </w:rPr>
        <w:t xml:space="preserve"> provide an update</w:t>
      </w:r>
      <w:r w:rsidR="00D74D22">
        <w:rPr>
          <w:color w:val="000000"/>
          <w:szCs w:val="26"/>
          <w:lang w:val="en"/>
        </w:rPr>
        <w:t xml:space="preserve"> to the CESIG </w:t>
      </w:r>
      <w:r w:rsidR="000257B5">
        <w:rPr>
          <w:color w:val="000000"/>
          <w:szCs w:val="26"/>
          <w:lang w:val="en"/>
        </w:rPr>
        <w:t>in 2021.</w:t>
      </w:r>
    </w:p>
    <w:p w14:paraId="06F99EE7" w14:textId="5BDE7677" w:rsidR="00A76058" w:rsidRDefault="0016156E" w:rsidP="006E0A7E">
      <w:pPr>
        <w:shd w:val="clear" w:color="auto" w:fill="FFFFFF"/>
        <w:rPr>
          <w:rFonts w:cstheme="minorHAnsi"/>
          <w:szCs w:val="26"/>
        </w:rPr>
      </w:pPr>
      <w:r>
        <w:rPr>
          <w:rFonts w:cstheme="minorHAnsi"/>
          <w:szCs w:val="26"/>
        </w:rPr>
        <w:t xml:space="preserve">An important new feature of the </w:t>
      </w:r>
      <w:r>
        <w:rPr>
          <w:color w:val="000000"/>
          <w:szCs w:val="26"/>
          <w:lang w:val="en"/>
        </w:rPr>
        <w:t>Department</w:t>
      </w:r>
      <w:r w:rsidR="00597C5C">
        <w:rPr>
          <w:color w:val="000000"/>
          <w:szCs w:val="26"/>
          <w:lang w:val="en"/>
        </w:rPr>
        <w:t xml:space="preserve"> of</w:t>
      </w:r>
      <w:r>
        <w:rPr>
          <w:color w:val="000000"/>
          <w:szCs w:val="26"/>
          <w:lang w:val="en"/>
        </w:rPr>
        <w:t xml:space="preserve"> Further </w:t>
      </w:r>
      <w:r w:rsidR="00597C5C">
        <w:rPr>
          <w:color w:val="000000"/>
          <w:szCs w:val="26"/>
          <w:lang w:val="en"/>
        </w:rPr>
        <w:t xml:space="preserve">and </w:t>
      </w:r>
      <w:r>
        <w:rPr>
          <w:color w:val="000000"/>
          <w:szCs w:val="26"/>
          <w:lang w:val="en"/>
        </w:rPr>
        <w:t>Higher Education</w:t>
      </w:r>
      <w:r w:rsidR="00597C5C">
        <w:rPr>
          <w:color w:val="000000"/>
          <w:szCs w:val="26"/>
          <w:lang w:val="en"/>
        </w:rPr>
        <w:t>,</w:t>
      </w:r>
      <w:r>
        <w:rPr>
          <w:color w:val="000000"/>
          <w:szCs w:val="26"/>
          <w:lang w:val="en"/>
        </w:rPr>
        <w:t xml:space="preserve"> Research</w:t>
      </w:r>
      <w:r w:rsidR="00597C5C">
        <w:rPr>
          <w:color w:val="000000"/>
          <w:szCs w:val="26"/>
          <w:lang w:val="en"/>
        </w:rPr>
        <w:t>,</w:t>
      </w:r>
      <w:r>
        <w:rPr>
          <w:color w:val="000000"/>
          <w:szCs w:val="26"/>
          <w:lang w:val="en"/>
        </w:rPr>
        <w:t xml:space="preserve"> Innovation and Science is the commitment to examine and develop transitions from FET to higher education. </w:t>
      </w:r>
      <w:r w:rsidR="00DE2969">
        <w:rPr>
          <w:color w:val="000000"/>
          <w:szCs w:val="26"/>
          <w:lang w:val="en"/>
        </w:rPr>
        <w:t>‘</w:t>
      </w:r>
      <w:r w:rsidR="00AE314B" w:rsidRPr="00AE314B">
        <w:rPr>
          <w:rFonts w:cstheme="minorHAnsi"/>
          <w:szCs w:val="26"/>
        </w:rPr>
        <w:t>A Further Education – Higher Education</w:t>
      </w:r>
      <w:r w:rsidR="007662F0">
        <w:rPr>
          <w:rFonts w:cstheme="minorHAnsi"/>
          <w:szCs w:val="26"/>
        </w:rPr>
        <w:t xml:space="preserve"> (FE-HE)</w:t>
      </w:r>
      <w:r w:rsidR="00AE314B" w:rsidRPr="00AE314B">
        <w:rPr>
          <w:rFonts w:cstheme="minorHAnsi"/>
          <w:szCs w:val="26"/>
        </w:rPr>
        <w:t xml:space="preserve"> Transitions Working Paper</w:t>
      </w:r>
      <w:r w:rsidR="00DE2969">
        <w:rPr>
          <w:rFonts w:cstheme="minorHAnsi"/>
          <w:szCs w:val="26"/>
        </w:rPr>
        <w:t>’</w:t>
      </w:r>
      <w:r w:rsidR="00AE314B" w:rsidRPr="00AE314B">
        <w:rPr>
          <w:rFonts w:cstheme="minorHAnsi"/>
          <w:szCs w:val="26"/>
        </w:rPr>
        <w:t xml:space="preserve"> was published in </w:t>
      </w:r>
      <w:r w:rsidR="00FD002A">
        <w:rPr>
          <w:rFonts w:cstheme="minorHAnsi"/>
          <w:szCs w:val="26"/>
        </w:rPr>
        <w:t>June</w:t>
      </w:r>
      <w:r w:rsidR="00AE314B" w:rsidRPr="00AE314B">
        <w:rPr>
          <w:rFonts w:cstheme="minorHAnsi"/>
          <w:szCs w:val="26"/>
        </w:rPr>
        <w:t xml:space="preserve"> 2020. This paper highlights where further development is required to support FE-HE transitions under areas such as strategic approach, reviewing provisions, and developing consistent approaches</w:t>
      </w:r>
      <w:r w:rsidR="009A6FDD">
        <w:rPr>
          <w:rFonts w:cstheme="minorHAnsi"/>
          <w:szCs w:val="26"/>
        </w:rPr>
        <w:t>.</w:t>
      </w:r>
      <w:r w:rsidR="00AE314B">
        <w:rPr>
          <w:rStyle w:val="FootnoteReference"/>
          <w:rFonts w:ascii="Gill Sans MT" w:hAnsi="Gill Sans MT" w:cstheme="minorHAnsi"/>
          <w:sz w:val="26"/>
          <w:szCs w:val="26"/>
        </w:rPr>
        <w:footnoteReference w:id="36"/>
      </w:r>
      <w:r w:rsidR="00DE2969">
        <w:rPr>
          <w:rFonts w:cstheme="minorHAnsi"/>
          <w:szCs w:val="26"/>
        </w:rPr>
        <w:t xml:space="preserve"> The NDA suggest</w:t>
      </w:r>
      <w:r w:rsidR="003B0754">
        <w:rPr>
          <w:rFonts w:cstheme="minorHAnsi"/>
          <w:szCs w:val="26"/>
        </w:rPr>
        <w:t>s</w:t>
      </w:r>
      <w:r w:rsidR="00DE2969">
        <w:rPr>
          <w:rFonts w:cstheme="minorHAnsi"/>
          <w:szCs w:val="26"/>
        </w:rPr>
        <w:t xml:space="preserve"> that approaches that suit </w:t>
      </w:r>
      <w:r w:rsidR="009A6FDD">
        <w:rPr>
          <w:rFonts w:cstheme="minorHAnsi"/>
          <w:szCs w:val="26"/>
        </w:rPr>
        <w:t>persons</w:t>
      </w:r>
      <w:r w:rsidR="00DE2969">
        <w:rPr>
          <w:rFonts w:cstheme="minorHAnsi"/>
          <w:szCs w:val="26"/>
        </w:rPr>
        <w:t xml:space="preserve"> with disabilities include alternative access pathways and more streamlined funding to support part-time and flexible provision. </w:t>
      </w:r>
    </w:p>
    <w:p w14:paraId="4EE8B793" w14:textId="788DE2E6" w:rsidR="0078372A" w:rsidRPr="008A45A0" w:rsidRDefault="0078372A" w:rsidP="00FD002A">
      <w:pPr>
        <w:pStyle w:val="Heading3"/>
        <w:rPr>
          <w:rFonts w:cs="Brown-Regular"/>
        </w:rPr>
      </w:pPr>
      <w:bookmarkStart w:id="21" w:name="_Toc66782887"/>
      <w:r>
        <w:t>Disability Consultative Committee</w:t>
      </w:r>
      <w:bookmarkEnd w:id="21"/>
    </w:p>
    <w:p w14:paraId="3A2E94AC" w14:textId="77777777" w:rsidR="00A94B47" w:rsidRDefault="00A76058" w:rsidP="00FB7210">
      <w:pPr>
        <w:autoSpaceDE w:val="0"/>
        <w:autoSpaceDN w:val="0"/>
        <w:adjustRightInd w:val="0"/>
        <w:rPr>
          <w:szCs w:val="26"/>
        </w:rPr>
      </w:pPr>
      <w:r w:rsidRPr="00D21E1A">
        <w:rPr>
          <w:szCs w:val="26"/>
        </w:rPr>
        <w:t xml:space="preserve">The NDA </w:t>
      </w:r>
      <w:r w:rsidR="00CA73E7" w:rsidRPr="00D21E1A">
        <w:rPr>
          <w:szCs w:val="26"/>
        </w:rPr>
        <w:t>welcome</w:t>
      </w:r>
      <w:r w:rsidR="00597C5C">
        <w:rPr>
          <w:szCs w:val="26"/>
        </w:rPr>
        <w:t>s</w:t>
      </w:r>
      <w:r w:rsidR="00CA73E7" w:rsidRPr="00D21E1A">
        <w:rPr>
          <w:szCs w:val="26"/>
        </w:rPr>
        <w:t xml:space="preserve"> the progress made in the further and higher education </w:t>
      </w:r>
      <w:r w:rsidR="000257B5" w:rsidRPr="00D21E1A">
        <w:rPr>
          <w:szCs w:val="26"/>
        </w:rPr>
        <w:t xml:space="preserve">settings </w:t>
      </w:r>
      <w:r w:rsidR="00CA73E7" w:rsidRPr="00D21E1A">
        <w:rPr>
          <w:szCs w:val="26"/>
        </w:rPr>
        <w:t xml:space="preserve">and </w:t>
      </w:r>
      <w:r w:rsidR="009E0458" w:rsidRPr="00D21E1A">
        <w:rPr>
          <w:szCs w:val="26"/>
        </w:rPr>
        <w:t xml:space="preserve">advises </w:t>
      </w:r>
      <w:r w:rsidRPr="00D21E1A">
        <w:rPr>
          <w:szCs w:val="26"/>
        </w:rPr>
        <w:t xml:space="preserve">that DFHERIS establishes its own Disability </w:t>
      </w:r>
      <w:r w:rsidR="00CA73E7" w:rsidRPr="00D21E1A">
        <w:rPr>
          <w:szCs w:val="26"/>
        </w:rPr>
        <w:t xml:space="preserve">Consultative Committee (DCC). </w:t>
      </w:r>
      <w:r w:rsidR="00294478" w:rsidRPr="00D21E1A">
        <w:rPr>
          <w:szCs w:val="26"/>
        </w:rPr>
        <w:t xml:space="preserve">The NDA notes the value of </w:t>
      </w:r>
      <w:r w:rsidR="0078372A">
        <w:rPr>
          <w:szCs w:val="26"/>
        </w:rPr>
        <w:t>DCCs</w:t>
      </w:r>
      <w:r w:rsidR="00294478" w:rsidRPr="00D21E1A">
        <w:rPr>
          <w:szCs w:val="26"/>
        </w:rPr>
        <w:t xml:space="preserve"> in the implementation, coordination and reporting of CES actions, and particularly those actions where inter-departmental or cross-departmental work is required to develop joined-up public services. The NDA advises that membership of the </w:t>
      </w:r>
      <w:r w:rsidR="0078372A">
        <w:rPr>
          <w:szCs w:val="26"/>
        </w:rPr>
        <w:t>DCC</w:t>
      </w:r>
      <w:r w:rsidR="00294478" w:rsidRPr="00D21E1A">
        <w:rPr>
          <w:szCs w:val="26"/>
        </w:rPr>
        <w:t xml:space="preserve"> should include engagement from all relevant units of that Department and agencies under i</w:t>
      </w:r>
      <w:r w:rsidR="00FC45A5" w:rsidRPr="00D21E1A">
        <w:rPr>
          <w:szCs w:val="26"/>
        </w:rPr>
        <w:t xml:space="preserve">ts remit, as for example SOLAS, the Higher Education Authority, Adult Education Guidance Service, </w:t>
      </w:r>
      <w:r w:rsidR="00D21E1A">
        <w:rPr>
          <w:szCs w:val="26"/>
        </w:rPr>
        <w:t>and departmental business units invo</w:t>
      </w:r>
      <w:r w:rsidR="00A94B47">
        <w:rPr>
          <w:szCs w:val="26"/>
        </w:rPr>
        <w:t>lved in governance and policy. The NDA also advises that r</w:t>
      </w:r>
      <w:r w:rsidR="00D21E1A">
        <w:rPr>
          <w:szCs w:val="26"/>
        </w:rPr>
        <w:t xml:space="preserve">epresentation on this DCC </w:t>
      </w:r>
      <w:r w:rsidR="00A94B47">
        <w:rPr>
          <w:szCs w:val="26"/>
        </w:rPr>
        <w:t>could</w:t>
      </w:r>
      <w:r w:rsidR="00D21E1A">
        <w:rPr>
          <w:szCs w:val="26"/>
        </w:rPr>
        <w:t xml:space="preserve"> also include membership from the NDA, </w:t>
      </w:r>
      <w:r w:rsidR="00597C5C">
        <w:rPr>
          <w:szCs w:val="26"/>
        </w:rPr>
        <w:t xml:space="preserve">the </w:t>
      </w:r>
      <w:r w:rsidR="00D21E1A">
        <w:rPr>
          <w:szCs w:val="26"/>
        </w:rPr>
        <w:t>Disability Stakeholders Group and</w:t>
      </w:r>
      <w:r w:rsidR="00A94B47">
        <w:rPr>
          <w:szCs w:val="26"/>
        </w:rPr>
        <w:t xml:space="preserve"> consideration should be given to including additional representatives from</w:t>
      </w:r>
      <w:r w:rsidR="00D21E1A">
        <w:rPr>
          <w:szCs w:val="26"/>
        </w:rPr>
        <w:t xml:space="preserve"> Disabled Pe</w:t>
      </w:r>
      <w:r w:rsidR="00597C5C">
        <w:rPr>
          <w:szCs w:val="26"/>
        </w:rPr>
        <w:t>rsons</w:t>
      </w:r>
      <w:r w:rsidR="00D21E1A">
        <w:rPr>
          <w:szCs w:val="26"/>
        </w:rPr>
        <w:t xml:space="preserve"> </w:t>
      </w:r>
      <w:r w:rsidR="00597C5C">
        <w:rPr>
          <w:szCs w:val="26"/>
        </w:rPr>
        <w:t>O</w:t>
      </w:r>
      <w:r w:rsidR="00D21E1A">
        <w:rPr>
          <w:szCs w:val="26"/>
        </w:rPr>
        <w:t>rganisations</w:t>
      </w:r>
      <w:r w:rsidR="00DD0B5F">
        <w:rPr>
          <w:szCs w:val="26"/>
        </w:rPr>
        <w:t xml:space="preserve">. </w:t>
      </w:r>
    </w:p>
    <w:p w14:paraId="454F2021" w14:textId="46E7158A" w:rsidR="003D4622" w:rsidRPr="00756B0C" w:rsidRDefault="008419E0" w:rsidP="00FB7210">
      <w:pPr>
        <w:autoSpaceDE w:val="0"/>
        <w:autoSpaceDN w:val="0"/>
        <w:adjustRightInd w:val="0"/>
        <w:rPr>
          <w:bCs/>
          <w:color w:val="000000"/>
          <w:szCs w:val="26"/>
        </w:rPr>
      </w:pPr>
      <w:r>
        <w:rPr>
          <w:bCs/>
          <w:color w:val="000000"/>
          <w:szCs w:val="26"/>
        </w:rPr>
        <w:t xml:space="preserve">Issues that will be relevant to this </w:t>
      </w:r>
      <w:r w:rsidR="00DD0B5F">
        <w:rPr>
          <w:bCs/>
          <w:color w:val="000000"/>
          <w:szCs w:val="26"/>
        </w:rPr>
        <w:t>DCC</w:t>
      </w:r>
      <w:r>
        <w:rPr>
          <w:bCs/>
          <w:color w:val="000000"/>
          <w:szCs w:val="26"/>
        </w:rPr>
        <w:t xml:space="preserve"> include</w:t>
      </w:r>
      <w:r w:rsidR="00564FB4">
        <w:rPr>
          <w:bCs/>
          <w:color w:val="000000"/>
          <w:szCs w:val="26"/>
        </w:rPr>
        <w:t xml:space="preserve"> </w:t>
      </w:r>
      <w:r w:rsidR="00DD0B5F">
        <w:rPr>
          <w:bCs/>
          <w:color w:val="000000"/>
          <w:szCs w:val="26"/>
        </w:rPr>
        <w:t xml:space="preserve">commitments agreed to in the National Disability Inclusion Strategy and the CES. During 2021 this newly established DCC should inform the department’s work in development of targets for </w:t>
      </w:r>
      <w:r w:rsidR="009A6FDD">
        <w:rPr>
          <w:bCs/>
          <w:color w:val="000000"/>
          <w:szCs w:val="26"/>
        </w:rPr>
        <w:t>persons</w:t>
      </w:r>
      <w:r w:rsidR="00DD0B5F">
        <w:rPr>
          <w:bCs/>
          <w:color w:val="000000"/>
          <w:szCs w:val="26"/>
        </w:rPr>
        <w:t xml:space="preserve"> with disabilities in apprenticeship</w:t>
      </w:r>
      <w:r w:rsidR="00597C5C">
        <w:rPr>
          <w:bCs/>
          <w:color w:val="000000"/>
          <w:szCs w:val="26"/>
        </w:rPr>
        <w:t>s</w:t>
      </w:r>
      <w:r w:rsidR="00DD0B5F">
        <w:rPr>
          <w:bCs/>
          <w:color w:val="000000"/>
          <w:szCs w:val="26"/>
        </w:rPr>
        <w:t>, the emerging findings from the review of specialist training provision, support of people with disabilities in the national skills strategy,</w:t>
      </w:r>
      <w:r w:rsidR="0078372A">
        <w:rPr>
          <w:bCs/>
          <w:color w:val="000000"/>
          <w:szCs w:val="26"/>
        </w:rPr>
        <w:t xml:space="preserve"> and</w:t>
      </w:r>
      <w:r w:rsidR="00DD0B5F">
        <w:rPr>
          <w:bCs/>
          <w:color w:val="000000"/>
          <w:szCs w:val="26"/>
        </w:rPr>
        <w:t xml:space="preserve"> </w:t>
      </w:r>
      <w:r w:rsidR="009A6FDD">
        <w:rPr>
          <w:bCs/>
          <w:color w:val="000000"/>
          <w:szCs w:val="26"/>
        </w:rPr>
        <w:t xml:space="preserve">the </w:t>
      </w:r>
      <w:r w:rsidR="00DD0B5F">
        <w:rPr>
          <w:bCs/>
          <w:color w:val="000000"/>
          <w:szCs w:val="26"/>
        </w:rPr>
        <w:t xml:space="preserve">availability of funding for part time students in FET and HE. It would also be useful for </w:t>
      </w:r>
      <w:r w:rsidR="00597C5C">
        <w:rPr>
          <w:bCs/>
          <w:color w:val="000000"/>
          <w:szCs w:val="26"/>
        </w:rPr>
        <w:t>the department to consider</w:t>
      </w:r>
      <w:r w:rsidR="00DD0B5F">
        <w:rPr>
          <w:bCs/>
          <w:color w:val="000000"/>
          <w:szCs w:val="26"/>
        </w:rPr>
        <w:t xml:space="preserve"> its responsibility with regard to the </w:t>
      </w:r>
      <w:r w:rsidR="0078372A">
        <w:rPr>
          <w:bCs/>
          <w:color w:val="000000"/>
          <w:szCs w:val="26"/>
        </w:rPr>
        <w:t>UNCRPD</w:t>
      </w:r>
      <w:r w:rsidR="00756B0C">
        <w:rPr>
          <w:bCs/>
          <w:color w:val="000000"/>
          <w:szCs w:val="26"/>
        </w:rPr>
        <w:t>, specifically</w:t>
      </w:r>
      <w:r w:rsidR="0078372A">
        <w:rPr>
          <w:bCs/>
          <w:color w:val="000000"/>
          <w:szCs w:val="26"/>
        </w:rPr>
        <w:t xml:space="preserve"> Article 24</w:t>
      </w:r>
      <w:r w:rsidR="00756B0C">
        <w:rPr>
          <w:bCs/>
          <w:color w:val="000000"/>
          <w:szCs w:val="26"/>
        </w:rPr>
        <w:t xml:space="preserve"> </w:t>
      </w:r>
      <w:r>
        <w:rPr>
          <w:rFonts w:cs="Gill Sans MT"/>
          <w:szCs w:val="26"/>
        </w:rPr>
        <w:t>to</w:t>
      </w:r>
      <w:r w:rsidR="00A76058" w:rsidRPr="008A45A0">
        <w:rPr>
          <w:rFonts w:cs="Gill Sans MT"/>
          <w:szCs w:val="26"/>
        </w:rPr>
        <w:t xml:space="preserve"> protect the right to inclusive education</w:t>
      </w:r>
      <w:r w:rsidR="0078372A">
        <w:rPr>
          <w:rFonts w:cs="Gill Sans MT"/>
          <w:szCs w:val="26"/>
        </w:rPr>
        <w:t>,</w:t>
      </w:r>
      <w:r w:rsidR="00FD002A">
        <w:rPr>
          <w:rFonts w:cs="Gill Sans MT"/>
          <w:szCs w:val="26"/>
        </w:rPr>
        <w:t xml:space="preserve"> </w:t>
      </w:r>
      <w:r w:rsidR="00A76058" w:rsidRPr="008A45A0">
        <w:rPr>
          <w:rFonts w:cs="Gill Sans MT"/>
          <w:szCs w:val="26"/>
        </w:rPr>
        <w:t>Article 9 on accessibility, and Article 27 on work and employment which contains provisions on vocational guidance.</w:t>
      </w:r>
      <w:r w:rsidR="00756B0C">
        <w:rPr>
          <w:rFonts w:cs="Gill Sans MT"/>
          <w:szCs w:val="26"/>
        </w:rPr>
        <w:t xml:space="preserve"> </w:t>
      </w:r>
    </w:p>
    <w:p w14:paraId="492AC99D" w14:textId="77777777" w:rsidR="001B0CCC" w:rsidRPr="001B0CCC" w:rsidRDefault="001B0CCC" w:rsidP="007E797D">
      <w:pPr>
        <w:pStyle w:val="Heading2"/>
        <w:rPr>
          <w:rFonts w:eastAsiaTheme="majorEastAsia"/>
        </w:rPr>
      </w:pPr>
      <w:bookmarkStart w:id="22" w:name="_Toc66782888"/>
      <w:r w:rsidRPr="001B0CCC">
        <w:rPr>
          <w:rFonts w:eastAsiaTheme="majorEastAsia"/>
        </w:rPr>
        <w:t>Theme 2: Supports to work and return to work</w:t>
      </w:r>
      <w:bookmarkEnd w:id="22"/>
      <w:r w:rsidRPr="001B0CCC">
        <w:rPr>
          <w:rFonts w:eastAsiaTheme="majorEastAsia"/>
        </w:rPr>
        <w:t xml:space="preserve"> </w:t>
      </w:r>
    </w:p>
    <w:p w14:paraId="27D64514" w14:textId="64350B7A" w:rsidR="001B0CCC" w:rsidRPr="001B0CCC" w:rsidRDefault="001B0CCC" w:rsidP="00221BF6">
      <w:pPr>
        <w:pStyle w:val="Heading3"/>
        <w:rPr>
          <w:rFonts w:eastAsiaTheme="majorEastAsia"/>
        </w:rPr>
      </w:pPr>
      <w:bookmarkStart w:id="23" w:name="_Toc66782889"/>
      <w:r w:rsidRPr="001B0CCC">
        <w:rPr>
          <w:rFonts w:eastAsiaTheme="majorEastAsia"/>
        </w:rPr>
        <w:t>Capacity of Intreo to support pe</w:t>
      </w:r>
      <w:r w:rsidR="00B200CF">
        <w:rPr>
          <w:rFonts w:eastAsiaTheme="majorEastAsia"/>
        </w:rPr>
        <w:t>rsons</w:t>
      </w:r>
      <w:r w:rsidRPr="001B0CCC">
        <w:rPr>
          <w:rFonts w:eastAsiaTheme="majorEastAsia"/>
        </w:rPr>
        <w:t xml:space="preserve"> with disabilities</w:t>
      </w:r>
      <w:bookmarkEnd w:id="23"/>
    </w:p>
    <w:p w14:paraId="53E4A541" w14:textId="0ECDC647" w:rsidR="00E2543A" w:rsidRDefault="001B0CCC" w:rsidP="001B0CCC">
      <w:pPr>
        <w:spacing w:after="230"/>
        <w:ind w:left="-5" w:right="4"/>
        <w:rPr>
          <w:szCs w:val="26"/>
        </w:rPr>
      </w:pPr>
      <w:r w:rsidRPr="001B0CCC">
        <w:rPr>
          <w:szCs w:val="26"/>
        </w:rPr>
        <w:t>The employment support options available to many different groups of people will be through their local Intreo office. This public employment service</w:t>
      </w:r>
      <w:r w:rsidR="001E4085">
        <w:rPr>
          <w:rStyle w:val="FootnoteReference"/>
          <w:szCs w:val="26"/>
        </w:rPr>
        <w:footnoteReference w:id="37"/>
      </w:r>
      <w:r w:rsidRPr="001B0CCC">
        <w:rPr>
          <w:szCs w:val="26"/>
        </w:rPr>
        <w:t xml:space="preserve"> is the mainstream gateway for persons with disabilities and others who want to explore their employment options and find employment. During 2020 the actions to build capacity of staff to support job seekers with a disability in Intreo were delayed as staff were redirected to work on the upsurge in demand for social welfare payments</w:t>
      </w:r>
      <w:r w:rsidR="00B200CF">
        <w:rPr>
          <w:szCs w:val="26"/>
        </w:rPr>
        <w:t xml:space="preserve"> arising because of the COVID-19 pandemic</w:t>
      </w:r>
      <w:r w:rsidR="003D6EC9">
        <w:rPr>
          <w:szCs w:val="26"/>
        </w:rPr>
        <w:t xml:space="preserve">. </w:t>
      </w:r>
      <w:r w:rsidRPr="001B0CCC">
        <w:rPr>
          <w:szCs w:val="26"/>
        </w:rPr>
        <w:t xml:space="preserve">While the public employment system </w:t>
      </w:r>
      <w:r w:rsidR="00E2543A">
        <w:rPr>
          <w:szCs w:val="26"/>
        </w:rPr>
        <w:t xml:space="preserve">(PES) </w:t>
      </w:r>
      <w:r w:rsidRPr="001B0CCC">
        <w:rPr>
          <w:szCs w:val="26"/>
        </w:rPr>
        <w:t xml:space="preserve">is preparing for its approach to services in the </w:t>
      </w:r>
      <w:r w:rsidR="003D6EC9">
        <w:rPr>
          <w:szCs w:val="26"/>
        </w:rPr>
        <w:t>post-</w:t>
      </w:r>
      <w:r w:rsidRPr="001B0CCC">
        <w:rPr>
          <w:szCs w:val="26"/>
        </w:rPr>
        <w:t>pandemic world, it can enact measures that ensure that its service is accessible and relevant for Intreo customers with disabilities</w:t>
      </w:r>
      <w:r w:rsidR="00902173">
        <w:rPr>
          <w:szCs w:val="26"/>
        </w:rPr>
        <w:t xml:space="preserve">. The public employment service and Intreo centrally will require </w:t>
      </w:r>
      <w:r w:rsidR="00E2543A">
        <w:rPr>
          <w:szCs w:val="26"/>
        </w:rPr>
        <w:t xml:space="preserve">in 2021 </w:t>
      </w:r>
      <w:r w:rsidR="00902173">
        <w:rPr>
          <w:szCs w:val="26"/>
        </w:rPr>
        <w:t xml:space="preserve">a concentrated </w:t>
      </w:r>
      <w:r w:rsidR="00E2543A">
        <w:rPr>
          <w:szCs w:val="26"/>
        </w:rPr>
        <w:t xml:space="preserve">proactive and deliberate effort to ensure that </w:t>
      </w:r>
      <w:r w:rsidR="00902173">
        <w:rPr>
          <w:szCs w:val="26"/>
        </w:rPr>
        <w:t xml:space="preserve">persons with disabilities </w:t>
      </w:r>
      <w:r w:rsidR="00E2543A">
        <w:rPr>
          <w:szCs w:val="26"/>
        </w:rPr>
        <w:t>are supported to access employment. The NDA recommend that the effort to support persons with disabilities is reflected in the prioritisation of this group in the PES system.</w:t>
      </w:r>
    </w:p>
    <w:p w14:paraId="6224CB4F" w14:textId="2044C264" w:rsidR="001B0CCC" w:rsidRPr="001B0CCC" w:rsidRDefault="001B0CCC" w:rsidP="001B0CCC">
      <w:pPr>
        <w:spacing w:after="230"/>
        <w:ind w:left="-5" w:right="4"/>
        <w:rPr>
          <w:szCs w:val="26"/>
        </w:rPr>
      </w:pPr>
      <w:r w:rsidRPr="001B0CCC">
        <w:rPr>
          <w:szCs w:val="26"/>
        </w:rPr>
        <w:t xml:space="preserve">From the </w:t>
      </w:r>
      <w:r w:rsidR="00B4758A">
        <w:rPr>
          <w:szCs w:val="26"/>
        </w:rPr>
        <w:t xml:space="preserve">data </w:t>
      </w:r>
      <w:r w:rsidR="00221BF6">
        <w:rPr>
          <w:szCs w:val="26"/>
        </w:rPr>
        <w:t>available</w:t>
      </w:r>
      <w:r w:rsidR="00B4758A" w:rsidRPr="001B0CCC">
        <w:rPr>
          <w:szCs w:val="26"/>
        </w:rPr>
        <w:t xml:space="preserve"> </w:t>
      </w:r>
      <w:r w:rsidRPr="001B0CCC">
        <w:rPr>
          <w:szCs w:val="26"/>
        </w:rPr>
        <w:t>we know that an Intreo system must be able to cater for people with disabilities that represent:</w:t>
      </w:r>
    </w:p>
    <w:p w14:paraId="389874A2" w14:textId="66FD66E9" w:rsidR="001B0CCC" w:rsidRPr="001B0CCC" w:rsidRDefault="001B0CCC" w:rsidP="00221BF6">
      <w:pPr>
        <w:pStyle w:val="ListBullet"/>
        <w:rPr>
          <w:rFonts w:eastAsiaTheme="minorHAnsi"/>
        </w:rPr>
      </w:pPr>
      <w:r w:rsidRPr="001B0CCC">
        <w:rPr>
          <w:rFonts w:eastAsiaTheme="minorHAnsi"/>
        </w:rPr>
        <w:t>Those not in employment, education, or training</w:t>
      </w:r>
      <w:r w:rsidR="003719E1">
        <w:rPr>
          <w:rFonts w:eastAsiaTheme="minorHAnsi"/>
        </w:rPr>
        <w:t xml:space="preserve"> </w:t>
      </w:r>
      <w:r w:rsidRPr="001B0CCC">
        <w:rPr>
          <w:rFonts w:eastAsiaTheme="minorHAnsi"/>
        </w:rPr>
        <w:t>(NEET)</w:t>
      </w:r>
      <w:r w:rsidR="00B4758A">
        <w:rPr>
          <w:rFonts w:eastAsiaTheme="minorHAnsi"/>
        </w:rPr>
        <w:t xml:space="preserve">; </w:t>
      </w:r>
      <w:r w:rsidR="00B200CF">
        <w:rPr>
          <w:rFonts w:eastAsiaTheme="minorHAnsi"/>
        </w:rPr>
        <w:t xml:space="preserve">the percentage of </w:t>
      </w:r>
      <w:r w:rsidR="00B4758A">
        <w:rPr>
          <w:rFonts w:eastAsiaTheme="minorHAnsi"/>
        </w:rPr>
        <w:t>y</w:t>
      </w:r>
      <w:r w:rsidRPr="001B0CCC">
        <w:rPr>
          <w:rFonts w:eastAsiaTheme="minorHAnsi"/>
        </w:rPr>
        <w:t>oung persons with a disability</w:t>
      </w:r>
      <w:r w:rsidR="003719E1">
        <w:rPr>
          <w:rFonts w:eastAsiaTheme="minorHAnsi"/>
        </w:rPr>
        <w:t xml:space="preserve"> that are NEET is</w:t>
      </w:r>
      <w:r w:rsidRPr="001B0CCC">
        <w:rPr>
          <w:rFonts w:eastAsiaTheme="minorHAnsi"/>
        </w:rPr>
        <w:t xml:space="preserve"> 23 %, over twice the rate of young persons without a disability </w:t>
      </w:r>
      <w:r w:rsidR="009B1530">
        <w:rPr>
          <w:rFonts w:eastAsiaTheme="minorHAnsi"/>
        </w:rPr>
        <w:t>which is</w:t>
      </w:r>
      <w:r w:rsidRPr="001B0CCC">
        <w:rPr>
          <w:rFonts w:eastAsiaTheme="minorHAnsi"/>
        </w:rPr>
        <w:t xml:space="preserve"> 10%. </w:t>
      </w:r>
    </w:p>
    <w:p w14:paraId="12A11975" w14:textId="7A219B03" w:rsidR="001B0CCC" w:rsidRPr="001B0CCC" w:rsidRDefault="009B1530" w:rsidP="00221BF6">
      <w:pPr>
        <w:pStyle w:val="ListBullet"/>
      </w:pPr>
      <w:r>
        <w:rPr>
          <w:rFonts w:eastAsiaTheme="minorHAnsi"/>
        </w:rPr>
        <w:t xml:space="preserve">Those with a low level of education; </w:t>
      </w:r>
      <w:r w:rsidR="001B0CCC" w:rsidRPr="001B0CCC">
        <w:rPr>
          <w:rFonts w:eastAsiaTheme="minorHAnsi"/>
        </w:rPr>
        <w:t xml:space="preserve">13.7% of persons with a disability aged 15-50 had completed no higher than primary level education, compared with 4.2% of the general population.  </w:t>
      </w:r>
      <w:r w:rsidR="00B4758A">
        <w:rPr>
          <w:rFonts w:eastAsiaTheme="minorHAnsi"/>
        </w:rPr>
        <w:t>In addition</w:t>
      </w:r>
      <w:r w:rsidR="003D6EC9">
        <w:rPr>
          <w:rFonts w:eastAsiaTheme="minorHAnsi"/>
        </w:rPr>
        <w:t>,</w:t>
      </w:r>
      <w:r w:rsidR="00B4758A">
        <w:rPr>
          <w:rFonts w:eastAsiaTheme="minorHAnsi"/>
        </w:rPr>
        <w:t xml:space="preserve"> 3</w:t>
      </w:r>
      <w:r w:rsidR="001B0CCC" w:rsidRPr="007E797D">
        <w:rPr>
          <w:rFonts w:eastAsiaTheme="minorHAnsi"/>
        </w:rPr>
        <w:t>7.0% of persons with a disability had completed third level education compared with 53.4% of the general population.</w:t>
      </w:r>
    </w:p>
    <w:p w14:paraId="495A5566" w14:textId="0490B527" w:rsidR="001B0CCC" w:rsidRPr="001B0CCC" w:rsidRDefault="001B0CCC" w:rsidP="001B0CCC">
      <w:pPr>
        <w:spacing w:after="230"/>
        <w:ind w:right="4"/>
        <w:rPr>
          <w:szCs w:val="26"/>
        </w:rPr>
      </w:pPr>
      <w:r w:rsidRPr="001B0CCC">
        <w:rPr>
          <w:szCs w:val="26"/>
        </w:rPr>
        <w:t xml:space="preserve">A key factor in the success of supporting these different groups of persons with disabilities is the role of a case officer. Intreo had </w:t>
      </w:r>
      <w:r w:rsidR="00B200CF">
        <w:rPr>
          <w:szCs w:val="26"/>
        </w:rPr>
        <w:t>previously</w:t>
      </w:r>
      <w:r w:rsidR="00CD7007">
        <w:rPr>
          <w:szCs w:val="26"/>
        </w:rPr>
        <w:t xml:space="preserve"> (2016)</w:t>
      </w:r>
      <w:r w:rsidR="00B200CF">
        <w:rPr>
          <w:szCs w:val="26"/>
        </w:rPr>
        <w:t xml:space="preserve"> </w:t>
      </w:r>
      <w:r w:rsidRPr="001B0CCC">
        <w:rPr>
          <w:szCs w:val="26"/>
        </w:rPr>
        <w:t xml:space="preserve">commenced training of case officers with a blend of internal training and development and commissioned delivery with the National College of Ireland. The NDA advises it would be helpful for the CESIG to have a practical update on this training </w:t>
      </w:r>
      <w:r w:rsidR="00B200CF">
        <w:rPr>
          <w:szCs w:val="26"/>
        </w:rPr>
        <w:t xml:space="preserve">and </w:t>
      </w:r>
      <w:r w:rsidRPr="001B0CCC">
        <w:rPr>
          <w:szCs w:val="26"/>
        </w:rPr>
        <w:t xml:space="preserve">on how </w:t>
      </w:r>
      <w:r w:rsidR="00B200CF">
        <w:rPr>
          <w:szCs w:val="26"/>
        </w:rPr>
        <w:t xml:space="preserve">the </w:t>
      </w:r>
      <w:r w:rsidR="003D6EC9">
        <w:rPr>
          <w:szCs w:val="26"/>
        </w:rPr>
        <w:t>post COVID</w:t>
      </w:r>
      <w:r w:rsidRPr="001B0CCC">
        <w:rPr>
          <w:szCs w:val="26"/>
        </w:rPr>
        <w:t xml:space="preserve">-19 responses </w:t>
      </w:r>
      <w:r w:rsidR="00F436D5">
        <w:rPr>
          <w:szCs w:val="26"/>
        </w:rPr>
        <w:t>of</w:t>
      </w:r>
      <w:r w:rsidRPr="001B0CCC">
        <w:rPr>
          <w:szCs w:val="26"/>
        </w:rPr>
        <w:t xml:space="preserve"> these case officer</w:t>
      </w:r>
      <w:r w:rsidR="00F436D5">
        <w:rPr>
          <w:szCs w:val="26"/>
        </w:rPr>
        <w:t>s</w:t>
      </w:r>
      <w:r w:rsidRPr="001B0CCC">
        <w:rPr>
          <w:szCs w:val="26"/>
        </w:rPr>
        <w:t xml:space="preserve"> is being shaped for clients with disabilities. In particular</w:t>
      </w:r>
      <w:r w:rsidR="003D6EC9">
        <w:rPr>
          <w:szCs w:val="26"/>
        </w:rPr>
        <w:t>,</w:t>
      </w:r>
      <w:r w:rsidRPr="001B0CCC">
        <w:rPr>
          <w:szCs w:val="26"/>
        </w:rPr>
        <w:t xml:space="preserve"> a key question for the CESIG is how Intreo staff </w:t>
      </w:r>
      <w:r w:rsidR="00CD7007">
        <w:rPr>
          <w:szCs w:val="26"/>
        </w:rPr>
        <w:t xml:space="preserve">can </w:t>
      </w:r>
      <w:r w:rsidRPr="001B0CCC">
        <w:rPr>
          <w:szCs w:val="26"/>
        </w:rPr>
        <w:t>refer persons with disabilities directly to employment opportunities and/or to the range of individual interventions required, be it supported employment options such as EmployAbility, the Indivi</w:t>
      </w:r>
      <w:r w:rsidR="003D6EC9">
        <w:rPr>
          <w:szCs w:val="26"/>
        </w:rPr>
        <w:t>dual Placement and Support</w:t>
      </w:r>
      <w:r w:rsidRPr="001B0CCC">
        <w:rPr>
          <w:szCs w:val="26"/>
        </w:rPr>
        <w:t xml:space="preserve"> model or other further education and training options. The local connections that can be made by Intreo case officer staff can lead to positive outcomes for persons with disabilities wishing to work. Of interest is the capacity of Intreo staff to develop plans with suggested activation measures and identified next steps suitable for the client with a disability to access employment. </w:t>
      </w:r>
    </w:p>
    <w:p w14:paraId="298B173A" w14:textId="0E539BF4" w:rsidR="001B0CCC" w:rsidRPr="001B0CCC" w:rsidRDefault="001B0CCC" w:rsidP="001B0CCC">
      <w:pPr>
        <w:rPr>
          <w:szCs w:val="26"/>
        </w:rPr>
      </w:pPr>
      <w:r w:rsidRPr="001B0CCC">
        <w:rPr>
          <w:szCs w:val="26"/>
        </w:rPr>
        <w:t>Early in 2020 the DSP employer engagement unit presented on their activities to the CESIG. Briefly</w:t>
      </w:r>
      <w:r w:rsidR="003D6EC9">
        <w:rPr>
          <w:szCs w:val="26"/>
        </w:rPr>
        <w:t>,</w:t>
      </w:r>
      <w:r w:rsidRPr="001B0CCC">
        <w:rPr>
          <w:szCs w:val="26"/>
        </w:rPr>
        <w:t xml:space="preserve"> these activities included the following:</w:t>
      </w:r>
    </w:p>
    <w:p w14:paraId="5806D87F" w14:textId="7D73DBF4" w:rsidR="001B0CCC" w:rsidRPr="001B0CCC" w:rsidRDefault="0077287D" w:rsidP="00221BF6">
      <w:pPr>
        <w:pStyle w:val="ListBullet"/>
      </w:pPr>
      <w:r>
        <w:t xml:space="preserve">Provision of </w:t>
      </w:r>
      <w:r w:rsidR="001B0CCC" w:rsidRPr="001B0CCC">
        <w:t>EmployAbility service</w:t>
      </w:r>
      <w:r>
        <w:t>s</w:t>
      </w:r>
      <w:r w:rsidR="009B442B">
        <w:t>.</w:t>
      </w:r>
      <w:r w:rsidR="001B0CCC" w:rsidRPr="001B0CCC">
        <w:t xml:space="preserve"> </w:t>
      </w:r>
      <w:r w:rsidR="009B442B">
        <w:t xml:space="preserve">There </w:t>
      </w:r>
      <w:r w:rsidR="00324EA3">
        <w:t>are</w:t>
      </w:r>
      <w:r w:rsidR="00324EA3" w:rsidRPr="001B0CCC">
        <w:t xml:space="preserve"> 3,000</w:t>
      </w:r>
      <w:r w:rsidR="001B0CCC" w:rsidRPr="001B0CCC">
        <w:t xml:space="preserve"> </w:t>
      </w:r>
      <w:r>
        <w:t xml:space="preserve">jobseekers availing of the services at any one time </w:t>
      </w:r>
      <w:r w:rsidR="009B442B">
        <w:t>(</w:t>
      </w:r>
      <w:r>
        <w:t>with</w:t>
      </w:r>
      <w:r w:rsidR="001B0CCC" w:rsidRPr="001B0CCC">
        <w:t xml:space="preserve"> 24 </w:t>
      </w:r>
      <w:r>
        <w:t xml:space="preserve">contracted providers) </w:t>
      </w:r>
      <w:r w:rsidR="001B0CCC" w:rsidRPr="001B0CCC">
        <w:t xml:space="preserve">at various stages on their employment journey. </w:t>
      </w:r>
      <w:r w:rsidR="002425D6">
        <w:t>Average</w:t>
      </w:r>
      <w:r w:rsidR="009B442B">
        <w:t xml:space="preserve"> p</w:t>
      </w:r>
      <w:r w:rsidR="001B0CCC" w:rsidRPr="001B0CCC">
        <w:t>lacement rate</w:t>
      </w:r>
      <w:r w:rsidR="009B442B">
        <w:t>s</w:t>
      </w:r>
      <w:r w:rsidR="00122B00">
        <w:rPr>
          <w:rStyle w:val="FootnoteReference"/>
        </w:rPr>
        <w:footnoteReference w:id="38"/>
      </w:r>
      <w:r w:rsidR="001B0CCC" w:rsidRPr="001B0CCC">
        <w:t xml:space="preserve"> into employment</w:t>
      </w:r>
      <w:r w:rsidR="009B442B">
        <w:t xml:space="preserve">, across all providers </w:t>
      </w:r>
      <w:r w:rsidR="001B0CCC" w:rsidRPr="001B0CCC">
        <w:t>i</w:t>
      </w:r>
      <w:r>
        <w:t>s</w:t>
      </w:r>
      <w:r w:rsidR="001B0CCC" w:rsidRPr="001B0CCC">
        <w:t xml:space="preserve"> </w:t>
      </w:r>
      <w:r w:rsidR="009B442B">
        <w:t>in the order of</w:t>
      </w:r>
      <w:r w:rsidR="001B0CCC" w:rsidRPr="001B0CCC">
        <w:t xml:space="preserve"> 40%;</w:t>
      </w:r>
    </w:p>
    <w:p w14:paraId="460617C9" w14:textId="6F606B97" w:rsidR="00B4758A" w:rsidRDefault="00F436D5" w:rsidP="00221BF6">
      <w:pPr>
        <w:pStyle w:val="ListBullet"/>
      </w:pPr>
      <w:r>
        <w:t>Continuation of the</w:t>
      </w:r>
      <w:r w:rsidRPr="001B0CCC">
        <w:t xml:space="preserve"> </w:t>
      </w:r>
      <w:r w:rsidR="001B0CCC" w:rsidRPr="001B0CCC">
        <w:t>Youth Employer Support Scheme</w:t>
      </w:r>
      <w:r w:rsidR="00F858A9">
        <w:t xml:space="preserve"> (YESS)</w:t>
      </w:r>
      <w:r w:rsidR="001B0CCC" w:rsidRPr="001B0CCC">
        <w:t xml:space="preserve"> </w:t>
      </w:r>
      <w:r>
        <w:t xml:space="preserve">with 19 </w:t>
      </w:r>
      <w:r w:rsidR="003D6EC9" w:rsidRPr="001B0CCC">
        <w:t>out of 713</w:t>
      </w:r>
      <w:r w:rsidR="003D6EC9">
        <w:t xml:space="preserve"> </w:t>
      </w:r>
      <w:r>
        <w:t>participants</w:t>
      </w:r>
      <w:r w:rsidR="001B0CCC" w:rsidRPr="001B0CCC">
        <w:t xml:space="preserve"> in receipt of a disability related payment. </w:t>
      </w:r>
    </w:p>
    <w:p w14:paraId="3B6CF575" w14:textId="692B973F" w:rsidR="00EC6881" w:rsidRPr="001B0CCC" w:rsidRDefault="001B0CCC" w:rsidP="007E797D">
      <w:pPr>
        <w:shd w:val="clear" w:color="auto" w:fill="FFFFFF"/>
        <w:spacing w:before="100" w:beforeAutospacing="1" w:after="100" w:afterAutospacing="1"/>
        <w:contextualSpacing/>
        <w:rPr>
          <w:szCs w:val="26"/>
        </w:rPr>
      </w:pPr>
      <w:r w:rsidRPr="001B0CCC">
        <w:rPr>
          <w:szCs w:val="26"/>
        </w:rPr>
        <w:t xml:space="preserve">The NDA </w:t>
      </w:r>
      <w:r w:rsidR="00F858A9">
        <w:rPr>
          <w:szCs w:val="26"/>
        </w:rPr>
        <w:t>notes the limited participation of young people in receipt of a disability payment in the YESS</w:t>
      </w:r>
      <w:r w:rsidR="003D6EC9">
        <w:rPr>
          <w:szCs w:val="26"/>
        </w:rPr>
        <w:t xml:space="preserve"> and </w:t>
      </w:r>
      <w:r w:rsidRPr="001B0CCC">
        <w:rPr>
          <w:szCs w:val="26"/>
        </w:rPr>
        <w:t>recommend</w:t>
      </w:r>
      <w:r w:rsidR="003D6EC9">
        <w:rPr>
          <w:szCs w:val="26"/>
        </w:rPr>
        <w:t>s</w:t>
      </w:r>
      <w:r w:rsidRPr="001B0CCC">
        <w:rPr>
          <w:szCs w:val="26"/>
        </w:rPr>
        <w:t xml:space="preserve"> that </w:t>
      </w:r>
      <w:r w:rsidR="00A85C25">
        <w:rPr>
          <w:szCs w:val="26"/>
        </w:rPr>
        <w:t xml:space="preserve">consideration be given to how </w:t>
      </w:r>
      <w:r w:rsidRPr="001B0CCC">
        <w:rPr>
          <w:szCs w:val="26"/>
        </w:rPr>
        <w:t xml:space="preserve">the scheme </w:t>
      </w:r>
      <w:r w:rsidR="00A85C25">
        <w:rPr>
          <w:szCs w:val="26"/>
        </w:rPr>
        <w:t>may be</w:t>
      </w:r>
      <w:r w:rsidRPr="001B0CCC">
        <w:rPr>
          <w:szCs w:val="26"/>
        </w:rPr>
        <w:t xml:space="preserve"> adapted to improve access for young people with disabilities, such as </w:t>
      </w:r>
      <w:r w:rsidR="00F858A9">
        <w:rPr>
          <w:szCs w:val="26"/>
        </w:rPr>
        <w:t>more flexibility in the</w:t>
      </w:r>
      <w:r w:rsidRPr="001B0CCC">
        <w:rPr>
          <w:szCs w:val="26"/>
        </w:rPr>
        <w:t xml:space="preserve"> hours of work</w:t>
      </w:r>
      <w:r w:rsidR="00F858A9">
        <w:rPr>
          <w:szCs w:val="26"/>
        </w:rPr>
        <w:t xml:space="preserve"> required to participate</w:t>
      </w:r>
      <w:r w:rsidRPr="001B0CCC">
        <w:rPr>
          <w:szCs w:val="26"/>
        </w:rPr>
        <w:t>.</w:t>
      </w:r>
      <w:r w:rsidR="001F7949">
        <w:rPr>
          <w:szCs w:val="26"/>
        </w:rPr>
        <w:t xml:space="preserve"> </w:t>
      </w:r>
      <w:r w:rsidR="00EC6881">
        <w:rPr>
          <w:szCs w:val="26"/>
        </w:rPr>
        <w:t xml:space="preserve"> While YESS is one option as discussed in previous assessments DSP </w:t>
      </w:r>
      <w:r w:rsidR="00EC6881" w:rsidRPr="00EC6881">
        <w:rPr>
          <w:rFonts w:eastAsia="Gill Sans Ultra Bold"/>
          <w:szCs w:val="26"/>
          <w:lang w:val="en-US"/>
        </w:rPr>
        <w:t>funding of the WAM</w:t>
      </w:r>
      <w:r w:rsidR="00EC6881" w:rsidRPr="00EC6881">
        <w:rPr>
          <w:rFonts w:eastAsia="Gill Sans Ultra Bold"/>
        </w:rPr>
        <w:t xml:space="preserve"> programme</w:t>
      </w:r>
      <w:r w:rsidR="00EC6881" w:rsidRPr="00EC6881">
        <w:rPr>
          <w:rFonts w:eastAsia="Gill Sans Ultra Bold"/>
          <w:szCs w:val="26"/>
          <w:lang w:val="en-US"/>
        </w:rPr>
        <w:t xml:space="preserve"> has created opportunities for work experience in both the public and private sectors – in particular supporting graduates with disabilities in their transition from third level into the world of work. </w:t>
      </w:r>
    </w:p>
    <w:p w14:paraId="0E9CACDC" w14:textId="77777777" w:rsidR="001B0CCC" w:rsidRPr="001B0CCC" w:rsidRDefault="001B0CCC" w:rsidP="00221BF6">
      <w:pPr>
        <w:pStyle w:val="Heading3"/>
        <w:rPr>
          <w:rFonts w:eastAsiaTheme="majorEastAsia"/>
        </w:rPr>
      </w:pPr>
      <w:bookmarkStart w:id="24" w:name="_Toc66782890"/>
      <w:r w:rsidRPr="001B0CCC">
        <w:rPr>
          <w:rFonts w:eastAsiaTheme="majorEastAsia"/>
        </w:rPr>
        <w:t>Review of existing protocols</w:t>
      </w:r>
      <w:bookmarkEnd w:id="24"/>
    </w:p>
    <w:p w14:paraId="2BA029DF" w14:textId="660CCECB" w:rsidR="001B0CCC" w:rsidRPr="001B0CCC" w:rsidRDefault="001B0CCC" w:rsidP="001B0CCC">
      <w:pPr>
        <w:spacing w:after="230"/>
        <w:ind w:right="4"/>
        <w:rPr>
          <w:rFonts w:cstheme="minorHAnsi"/>
          <w:szCs w:val="26"/>
        </w:rPr>
      </w:pPr>
      <w:r w:rsidRPr="001B0CCC">
        <w:rPr>
          <w:szCs w:val="26"/>
        </w:rPr>
        <w:t>For Intreo Case officers to suppor</w:t>
      </w:r>
      <w:r w:rsidR="003D6EC9">
        <w:rPr>
          <w:szCs w:val="26"/>
        </w:rPr>
        <w:t>t job seekers with disabilities</w:t>
      </w:r>
      <w:r w:rsidRPr="001B0CCC">
        <w:rPr>
          <w:szCs w:val="26"/>
        </w:rPr>
        <w:t xml:space="preserve"> they require a knowledge of local FET</w:t>
      </w:r>
      <w:r w:rsidR="00BA0510">
        <w:rPr>
          <w:szCs w:val="26"/>
        </w:rPr>
        <w:t>,</w:t>
      </w:r>
      <w:r w:rsidR="00E36A35">
        <w:rPr>
          <w:szCs w:val="26"/>
        </w:rPr>
        <w:t xml:space="preserve"> higher education</w:t>
      </w:r>
      <w:r w:rsidRPr="001B0CCC">
        <w:rPr>
          <w:szCs w:val="26"/>
        </w:rPr>
        <w:t xml:space="preserve"> and </w:t>
      </w:r>
      <w:r w:rsidR="00F858A9">
        <w:rPr>
          <w:szCs w:val="26"/>
        </w:rPr>
        <w:t>other education and training avenues</w:t>
      </w:r>
      <w:r w:rsidRPr="001B0CCC">
        <w:rPr>
          <w:szCs w:val="26"/>
        </w:rPr>
        <w:t xml:space="preserve">. The current CES action plan requests a </w:t>
      </w:r>
      <w:r w:rsidRPr="001B0CCC">
        <w:rPr>
          <w:rFonts w:ascii="Gill Sans" w:hAnsi="Gill Sans"/>
        </w:rPr>
        <w:t>closer referral mechanisms between Intreo and their local ETB, HSE and NCSE offering</w:t>
      </w:r>
      <w:r w:rsidR="00F858A9">
        <w:rPr>
          <w:rFonts w:ascii="Gill Sans" w:hAnsi="Gill Sans"/>
        </w:rPr>
        <w:t>s</w:t>
      </w:r>
      <w:r w:rsidRPr="001B0CCC">
        <w:rPr>
          <w:rFonts w:ascii="Gill Sans" w:hAnsi="Gill Sans"/>
        </w:rPr>
        <w:t xml:space="preserve">. This action requires a </w:t>
      </w:r>
      <w:r w:rsidRPr="001B0CCC">
        <w:rPr>
          <w:rFonts w:cstheme="minorHAnsi"/>
          <w:szCs w:val="26"/>
        </w:rPr>
        <w:t>review</w:t>
      </w:r>
      <w:r w:rsidR="00F858A9">
        <w:rPr>
          <w:rFonts w:cstheme="minorHAnsi"/>
          <w:szCs w:val="26"/>
        </w:rPr>
        <w:t xml:space="preserve"> of</w:t>
      </w:r>
      <w:r w:rsidRPr="001B0CCC">
        <w:rPr>
          <w:rFonts w:cstheme="minorHAnsi"/>
          <w:szCs w:val="26"/>
        </w:rPr>
        <w:t xml:space="preserve"> existing protocols between DSP and relevant departments and agencies and</w:t>
      </w:r>
      <w:r w:rsidR="00E36A35">
        <w:rPr>
          <w:rFonts w:cstheme="minorHAnsi"/>
          <w:szCs w:val="26"/>
        </w:rPr>
        <w:t>,</w:t>
      </w:r>
      <w:r w:rsidRPr="001B0CCC">
        <w:rPr>
          <w:rFonts w:cstheme="minorHAnsi"/>
          <w:szCs w:val="26"/>
        </w:rPr>
        <w:t xml:space="preserve"> if necessary</w:t>
      </w:r>
      <w:r w:rsidR="00E36A35">
        <w:rPr>
          <w:rFonts w:cstheme="minorHAnsi"/>
          <w:szCs w:val="26"/>
        </w:rPr>
        <w:t>,</w:t>
      </w:r>
      <w:r w:rsidRPr="001B0CCC">
        <w:rPr>
          <w:rFonts w:cstheme="minorHAnsi"/>
          <w:szCs w:val="26"/>
        </w:rPr>
        <w:t xml:space="preserve"> </w:t>
      </w:r>
      <w:r w:rsidR="00F858A9">
        <w:rPr>
          <w:rFonts w:cstheme="minorHAnsi"/>
          <w:szCs w:val="26"/>
        </w:rPr>
        <w:t>the development and implementation of</w:t>
      </w:r>
      <w:r w:rsidRPr="001B0CCC">
        <w:rPr>
          <w:rFonts w:cstheme="minorHAnsi"/>
          <w:szCs w:val="26"/>
        </w:rPr>
        <w:t xml:space="preserve"> new protocols with the range of state-funded disability service providers to work in partnership with Intreo offices. </w:t>
      </w:r>
    </w:p>
    <w:p w14:paraId="3A732176" w14:textId="24B2DB4E" w:rsidR="001B0CCC" w:rsidRDefault="001B0CCC" w:rsidP="001B0CCC">
      <w:pPr>
        <w:spacing w:after="230"/>
        <w:ind w:right="4"/>
        <w:rPr>
          <w:rFonts w:cstheme="minorHAnsi"/>
          <w:szCs w:val="26"/>
        </w:rPr>
      </w:pPr>
      <w:r w:rsidRPr="001B0CCC">
        <w:rPr>
          <w:rFonts w:cstheme="minorHAnsi"/>
          <w:szCs w:val="26"/>
        </w:rPr>
        <w:t xml:space="preserve">It is also worth noting that as DSP develops further </w:t>
      </w:r>
      <w:r w:rsidR="00F858A9">
        <w:rPr>
          <w:rFonts w:cstheme="minorHAnsi"/>
          <w:szCs w:val="26"/>
        </w:rPr>
        <w:t xml:space="preserve">measures to </w:t>
      </w:r>
      <w:r w:rsidRPr="001B0CCC">
        <w:rPr>
          <w:rFonts w:cstheme="minorHAnsi"/>
          <w:szCs w:val="26"/>
        </w:rPr>
        <w:t xml:space="preserve">support </w:t>
      </w:r>
      <w:r w:rsidR="00F858A9">
        <w:rPr>
          <w:rFonts w:cstheme="minorHAnsi"/>
          <w:szCs w:val="26"/>
        </w:rPr>
        <w:t>persons</w:t>
      </w:r>
      <w:r w:rsidRPr="001B0CCC">
        <w:rPr>
          <w:rFonts w:cstheme="minorHAnsi"/>
          <w:szCs w:val="26"/>
        </w:rPr>
        <w:t xml:space="preserve"> with disabilities wishing to work, it will be important for t</w:t>
      </w:r>
      <w:r w:rsidR="000272B7">
        <w:rPr>
          <w:rFonts w:cstheme="minorHAnsi"/>
          <w:szCs w:val="26"/>
        </w:rPr>
        <w:t>he department</w:t>
      </w:r>
      <w:r w:rsidRPr="001B0CCC">
        <w:rPr>
          <w:rFonts w:cstheme="minorHAnsi"/>
          <w:szCs w:val="26"/>
        </w:rPr>
        <w:t xml:space="preserve"> to </w:t>
      </w:r>
      <w:r w:rsidRPr="001B0CCC">
        <w:rPr>
          <w:szCs w:val="26"/>
        </w:rPr>
        <w:t xml:space="preserve">develop plans that provide for long-term sustainability for programmes that have demonstrated their efficacy </w:t>
      </w:r>
      <w:r w:rsidRPr="00B14092">
        <w:rPr>
          <w:szCs w:val="26"/>
        </w:rPr>
        <w:t xml:space="preserve">such as </w:t>
      </w:r>
      <w:r w:rsidRPr="00B14092">
        <w:rPr>
          <w:rFonts w:cstheme="minorHAnsi"/>
          <w:szCs w:val="26"/>
        </w:rPr>
        <w:t>the IPS programme</w:t>
      </w:r>
      <w:r w:rsidRPr="001B0CCC">
        <w:rPr>
          <w:rFonts w:cstheme="minorHAnsi"/>
          <w:szCs w:val="26"/>
        </w:rPr>
        <w:t xml:space="preserve"> or the Ability projects.</w:t>
      </w:r>
    </w:p>
    <w:p w14:paraId="2A76270A" w14:textId="77777777" w:rsidR="008F7EB7" w:rsidRPr="001B0CCC" w:rsidRDefault="008F7EB7" w:rsidP="00221BF6">
      <w:pPr>
        <w:pStyle w:val="Heading3"/>
        <w:rPr>
          <w:rFonts w:eastAsiaTheme="majorEastAsia" w:cs="Calibri"/>
        </w:rPr>
      </w:pPr>
      <w:bookmarkStart w:id="25" w:name="_Toc66782891"/>
      <w:r w:rsidRPr="001B0CCC">
        <w:rPr>
          <w:rFonts w:eastAsiaTheme="majorEastAsia"/>
        </w:rPr>
        <w:t>Seamless pathways for those with high support needs</w:t>
      </w:r>
      <w:bookmarkEnd w:id="25"/>
    </w:p>
    <w:p w14:paraId="4A75C68A" w14:textId="77777777" w:rsidR="00E36A35" w:rsidRDefault="008F7EB7" w:rsidP="00A94B47">
      <w:pPr>
        <w:autoSpaceDE w:val="0"/>
        <w:autoSpaceDN w:val="0"/>
        <w:adjustRightInd w:val="0"/>
        <w:spacing w:after="0"/>
        <w:rPr>
          <w:szCs w:val="26"/>
          <w:lang w:val="en-GB"/>
        </w:rPr>
      </w:pPr>
      <w:r w:rsidRPr="001B0CCC">
        <w:rPr>
          <w:szCs w:val="26"/>
        </w:rPr>
        <w:t xml:space="preserve">Collaborative working across government is necessary to ensure that the CES is delivered. In the first </w:t>
      </w:r>
      <w:r w:rsidR="00A94B47">
        <w:rPr>
          <w:szCs w:val="26"/>
        </w:rPr>
        <w:t>three</w:t>
      </w:r>
      <w:r w:rsidRPr="001B0CCC">
        <w:rPr>
          <w:szCs w:val="26"/>
        </w:rPr>
        <w:t xml:space="preserve"> year action plan (2015 to 2018) an </w:t>
      </w:r>
      <w:r w:rsidRPr="00A94B47">
        <w:rPr>
          <w:szCs w:val="26"/>
        </w:rPr>
        <w:t xml:space="preserve">interdepartmental working group was established to </w:t>
      </w:r>
      <w:r w:rsidR="00A94B47" w:rsidRPr="00A94B47">
        <w:rPr>
          <w:szCs w:val="26"/>
          <w:lang w:val="en-GB"/>
        </w:rPr>
        <w:t>progress action 5.1</w:t>
      </w:r>
      <w:r w:rsidR="00E36A35">
        <w:rPr>
          <w:szCs w:val="26"/>
          <w:lang w:val="en-GB"/>
        </w:rPr>
        <w:t xml:space="preserve">. This action is: </w:t>
      </w:r>
    </w:p>
    <w:p w14:paraId="36E94E57" w14:textId="0F2FEC3F" w:rsidR="00E36A35" w:rsidRDefault="00A94B47" w:rsidP="00E36A35">
      <w:pPr>
        <w:pStyle w:val="BlockQuote"/>
      </w:pPr>
      <w:r w:rsidRPr="00A94B47">
        <w:rPr>
          <w:lang w:eastAsia="en-IE"/>
        </w:rPr>
        <w:t>To work together to develop an effective co-ordinated policy approach (and draw up an implementation plan based on that approach), to assist individuals with disabilities, including those who require a high level of support, to obtain and retain employment having due regard to the implementation of New Directions</w:t>
      </w:r>
      <w:r w:rsidR="008F7EB7" w:rsidRPr="00A94B47">
        <w:t xml:space="preserve">. </w:t>
      </w:r>
    </w:p>
    <w:p w14:paraId="7AA8AA01" w14:textId="5984703B" w:rsidR="008F7EB7" w:rsidRPr="001B0CCC" w:rsidRDefault="008F7EB7" w:rsidP="00E36A35">
      <w:pPr>
        <w:autoSpaceDE w:val="0"/>
        <w:autoSpaceDN w:val="0"/>
        <w:adjustRightInd w:val="0"/>
        <w:rPr>
          <w:szCs w:val="26"/>
        </w:rPr>
      </w:pPr>
      <w:r w:rsidRPr="00A94B47">
        <w:rPr>
          <w:szCs w:val="26"/>
        </w:rPr>
        <w:t xml:space="preserve">The report from this group describes the steps necessary to develop </w:t>
      </w:r>
      <w:r w:rsidR="00A85C25" w:rsidRPr="00A94B47">
        <w:rPr>
          <w:szCs w:val="26"/>
        </w:rPr>
        <w:t xml:space="preserve">a coordinated approach to the provision of employment supports while </w:t>
      </w:r>
      <w:r w:rsidRPr="00A94B47">
        <w:rPr>
          <w:szCs w:val="26"/>
        </w:rPr>
        <w:t>recommending the introduction of a national supported employment programme. This recommendation echoes an</w:t>
      </w:r>
      <w:r w:rsidRPr="001B0CCC">
        <w:rPr>
          <w:szCs w:val="26"/>
        </w:rPr>
        <w:t xml:space="preserve"> OECD report that showed ‘unequivocal evidence’ of the effectiveness of supported employment in helping persons with disabilities gain and retain work.</w:t>
      </w:r>
      <w:r w:rsidR="00E36A35" w:rsidRPr="00E36A35">
        <w:rPr>
          <w:szCs w:val="26"/>
          <w:vertAlign w:val="superscript"/>
        </w:rPr>
        <w:t xml:space="preserve"> </w:t>
      </w:r>
      <w:r w:rsidR="00E36A35" w:rsidRPr="001B0CCC">
        <w:rPr>
          <w:szCs w:val="26"/>
          <w:vertAlign w:val="superscript"/>
        </w:rPr>
        <w:footnoteReference w:id="39"/>
      </w:r>
      <w:r w:rsidRPr="001B0CCC">
        <w:rPr>
          <w:szCs w:val="26"/>
        </w:rPr>
        <w:t xml:space="preserve"> </w:t>
      </w:r>
      <w:r w:rsidR="00E36A35">
        <w:rPr>
          <w:szCs w:val="26"/>
        </w:rPr>
        <w:t xml:space="preserve"> </w:t>
      </w:r>
      <w:r w:rsidRPr="001B0CCC">
        <w:rPr>
          <w:szCs w:val="26"/>
        </w:rPr>
        <w:t>The working group report set out an agreed policy approach and an implementation plan was delivered to the Minister in Q1 2018. However, this action has not proceeded to an implementation phase. While the development of the policy by the worki</w:t>
      </w:r>
      <w:r w:rsidR="00E36A35">
        <w:rPr>
          <w:szCs w:val="26"/>
        </w:rPr>
        <w:t>ng group illustrated that cross-</w:t>
      </w:r>
      <w:r w:rsidRPr="001B0CCC">
        <w:rPr>
          <w:szCs w:val="26"/>
        </w:rPr>
        <w:t>departmental work is achievable</w:t>
      </w:r>
      <w:r w:rsidRPr="001B0CCC">
        <w:rPr>
          <w:szCs w:val="26"/>
          <w:vertAlign w:val="superscript"/>
        </w:rPr>
        <w:footnoteReference w:id="40"/>
      </w:r>
      <w:r w:rsidRPr="001B0CCC">
        <w:rPr>
          <w:szCs w:val="26"/>
        </w:rPr>
        <w:t>, a further impetus at senior official level in the relevant government agencies is necessary to ensure implementation of this intrinsic part of the CES.</w:t>
      </w:r>
    </w:p>
    <w:p w14:paraId="6DD77059" w14:textId="77777777" w:rsidR="001B0CCC" w:rsidRPr="001B0CCC" w:rsidRDefault="001B0CCC" w:rsidP="00221BF6">
      <w:pPr>
        <w:pStyle w:val="Heading3"/>
        <w:rPr>
          <w:rFonts w:eastAsia="Gill Sans MT"/>
        </w:rPr>
      </w:pPr>
      <w:bookmarkStart w:id="26" w:name="_Toc66782892"/>
      <w:r w:rsidRPr="001B0CCC">
        <w:rPr>
          <w:rFonts w:eastAsia="Gill Sans MT"/>
        </w:rPr>
        <w:t>Enhancing pathway to work through Early Engagement</w:t>
      </w:r>
      <w:bookmarkEnd w:id="26"/>
      <w:r w:rsidRPr="001B0CCC">
        <w:rPr>
          <w:rFonts w:eastAsia="Gill Sans MT"/>
        </w:rPr>
        <w:t xml:space="preserve"> </w:t>
      </w:r>
    </w:p>
    <w:p w14:paraId="789D086F" w14:textId="2DFADFAA" w:rsidR="00BA0B20" w:rsidRDefault="00BA0B20" w:rsidP="007E797D">
      <w:pPr>
        <w:spacing w:line="247" w:lineRule="auto"/>
        <w:ind w:left="11" w:hanging="11"/>
        <w:rPr>
          <w:rFonts w:eastAsia="Gill Sans MT" w:cs="Gill Sans MT"/>
          <w:color w:val="000000"/>
          <w:szCs w:val="22"/>
        </w:rPr>
      </w:pPr>
      <w:r w:rsidRPr="001B0CCC">
        <w:rPr>
          <w:rFonts w:eastAsia="Gill Sans MT" w:cs="Gill Sans MT"/>
          <w:color w:val="000000"/>
          <w:szCs w:val="22"/>
        </w:rPr>
        <w:t>It is estimated that approximately one in every four students in the Irish education system has special educational or learning needs</w:t>
      </w:r>
      <w:r w:rsidR="00E36A35">
        <w:rPr>
          <w:rFonts w:eastAsia="Gill Sans MT" w:cs="Gill Sans MT"/>
          <w:color w:val="000000"/>
          <w:szCs w:val="22"/>
        </w:rPr>
        <w:t>.</w:t>
      </w:r>
      <w:r w:rsidRPr="001B0CCC">
        <w:rPr>
          <w:rFonts w:eastAsia="Gill Sans MT" w:cs="Gill Sans MT"/>
          <w:color w:val="000000"/>
          <w:szCs w:val="22"/>
          <w:vertAlign w:val="superscript"/>
        </w:rPr>
        <w:footnoteReference w:id="41"/>
      </w:r>
      <w:r w:rsidRPr="001B0CCC">
        <w:rPr>
          <w:rFonts w:eastAsia="Gill Sans MT" w:cs="Gill Sans MT"/>
          <w:color w:val="000000"/>
          <w:szCs w:val="22"/>
        </w:rPr>
        <w:t xml:space="preserve"> This figure includes students with a wide range of disabilities and/or differing levels of need, and in different settings on the continuum of provision: mainstream classes, special classes in mainstream schools; and special schools. </w:t>
      </w:r>
      <w:r w:rsidRPr="003E085C">
        <w:rPr>
          <w:rFonts w:eastAsia="Gill Sans MT" w:cs="Gill Sans MT"/>
          <w:color w:val="000000"/>
          <w:szCs w:val="22"/>
        </w:rPr>
        <w:t xml:space="preserve">There were </w:t>
      </w:r>
      <w:r w:rsidRPr="003E085C">
        <w:rPr>
          <w:rFonts w:eastAsia="Gill Sans MT" w:cs="Gill Sans MT"/>
          <w:bCs/>
          <w:color w:val="000000"/>
          <w:szCs w:val="22"/>
        </w:rPr>
        <w:t>over 370,000</w:t>
      </w:r>
      <w:r w:rsidRPr="003E085C">
        <w:rPr>
          <w:rFonts w:eastAsia="Gill Sans MT" w:cs="Gill Sans MT"/>
          <w:color w:val="000000"/>
          <w:szCs w:val="22"/>
        </w:rPr>
        <w:t xml:space="preserve"> pupils enrolled in post-primary schools at the beginning of the 2019-20 school year (Department of Education and Skills, 2019).  </w:t>
      </w:r>
      <w:r w:rsidRPr="003E085C">
        <w:rPr>
          <w:rFonts w:eastAsia="Gill Sans MT" w:cs="Gill Sans MT"/>
          <w:bCs/>
          <w:color w:val="000000"/>
          <w:szCs w:val="22"/>
        </w:rPr>
        <w:t>Based on a 1:4 ratio, over 90,000</w:t>
      </w:r>
      <w:r w:rsidRPr="003E085C">
        <w:rPr>
          <w:rFonts w:eastAsia="Gill Sans MT" w:cs="Gill Sans MT"/>
          <w:color w:val="000000"/>
          <w:szCs w:val="22"/>
        </w:rPr>
        <w:t xml:space="preserve"> of these pupils have some form of special educational or learning need. In addition, there are </w:t>
      </w:r>
      <w:r w:rsidRPr="003E085C">
        <w:rPr>
          <w:rFonts w:eastAsia="Gill Sans MT" w:cs="Gill Sans MT"/>
          <w:bCs/>
          <w:color w:val="000000"/>
          <w:szCs w:val="22"/>
        </w:rPr>
        <w:t>approximately 8,000 students</w:t>
      </w:r>
      <w:r w:rsidR="00E36A35">
        <w:rPr>
          <w:rFonts w:eastAsia="Gill Sans MT" w:cs="Gill Sans MT"/>
          <w:color w:val="000000"/>
          <w:szCs w:val="22"/>
        </w:rPr>
        <w:t xml:space="preserve"> in special schools. Many students in these schools</w:t>
      </w:r>
      <w:r w:rsidR="00FF0DD4">
        <w:rPr>
          <w:rFonts w:eastAsia="Gill Sans MT" w:cs="Gill Sans MT"/>
          <w:color w:val="000000"/>
          <w:szCs w:val="22"/>
        </w:rPr>
        <w:t>, who</w:t>
      </w:r>
      <w:r w:rsidR="00E36A35">
        <w:rPr>
          <w:rFonts w:eastAsia="Gill Sans MT" w:cs="Gill Sans MT"/>
          <w:color w:val="000000"/>
          <w:szCs w:val="22"/>
        </w:rPr>
        <w:t xml:space="preserve"> </w:t>
      </w:r>
      <w:r w:rsidRPr="001B0CCC">
        <w:rPr>
          <w:rFonts w:eastAsia="Gill Sans MT" w:cs="Gill Sans MT"/>
          <w:color w:val="000000"/>
          <w:szCs w:val="22"/>
        </w:rPr>
        <w:t>are</w:t>
      </w:r>
      <w:r w:rsidR="00FF0DD4">
        <w:rPr>
          <w:rFonts w:eastAsia="Gill Sans MT" w:cs="Gill Sans MT"/>
          <w:color w:val="000000"/>
          <w:szCs w:val="22"/>
        </w:rPr>
        <w:t xml:space="preserve"> approaching school-leaving age, </w:t>
      </w:r>
      <w:r w:rsidRPr="001B0CCC">
        <w:rPr>
          <w:rFonts w:eastAsia="Gill Sans MT" w:cs="Gill Sans MT"/>
          <w:color w:val="000000"/>
          <w:szCs w:val="22"/>
        </w:rPr>
        <w:t xml:space="preserve">will require an early engagement process to ensure that a post school life is one that involves education training and support. </w:t>
      </w:r>
    </w:p>
    <w:p w14:paraId="688FBAB4" w14:textId="6D9E0853" w:rsidR="00BA0B20" w:rsidRDefault="000272B7" w:rsidP="007E797D">
      <w:pPr>
        <w:spacing w:line="247" w:lineRule="auto"/>
        <w:ind w:left="11" w:hanging="11"/>
        <w:rPr>
          <w:rFonts w:eastAsia="Gill Sans MT" w:cs="Gill Sans MT"/>
          <w:color w:val="000000"/>
          <w:szCs w:val="22"/>
        </w:rPr>
      </w:pPr>
      <w:r w:rsidRPr="001B0CCC">
        <w:rPr>
          <w:rFonts w:eastAsia="Gill Sans MT" w:cs="Gill Sans MT"/>
          <w:color w:val="000000"/>
          <w:szCs w:val="22"/>
        </w:rPr>
        <w:t xml:space="preserve">As part of the </w:t>
      </w:r>
      <w:r>
        <w:rPr>
          <w:rFonts w:eastAsia="Gill Sans MT" w:cs="Gill Sans MT"/>
          <w:color w:val="000000"/>
          <w:szCs w:val="22"/>
        </w:rPr>
        <w:t>2017 Make Work Pay (</w:t>
      </w:r>
      <w:r w:rsidRPr="001B0CCC">
        <w:rPr>
          <w:rFonts w:eastAsia="Gill Sans MT" w:cs="Gill Sans MT"/>
          <w:color w:val="000000"/>
          <w:szCs w:val="22"/>
        </w:rPr>
        <w:t>MWP</w:t>
      </w:r>
      <w:r>
        <w:rPr>
          <w:rFonts w:eastAsia="Gill Sans MT" w:cs="Gill Sans MT"/>
          <w:color w:val="000000"/>
          <w:szCs w:val="22"/>
        </w:rPr>
        <w:t>)</w:t>
      </w:r>
      <w:r w:rsidRPr="001B0CCC">
        <w:rPr>
          <w:rFonts w:eastAsia="Gill Sans MT" w:cs="Gill Sans MT"/>
          <w:color w:val="000000"/>
          <w:szCs w:val="22"/>
        </w:rPr>
        <w:t xml:space="preserve"> report</w:t>
      </w:r>
      <w:r w:rsidR="003E085C">
        <w:rPr>
          <w:rFonts w:eastAsia="Gill Sans MT" w:cs="Gill Sans MT"/>
          <w:color w:val="000000"/>
          <w:szCs w:val="22"/>
        </w:rPr>
        <w:t>,</w:t>
      </w:r>
      <w:r w:rsidRPr="001B0CCC">
        <w:rPr>
          <w:rFonts w:eastAsia="Gill Sans MT" w:cs="Gill Sans MT"/>
          <w:color w:val="000000"/>
          <w:szCs w:val="22"/>
        </w:rPr>
        <w:t xml:space="preserve"> DSP </w:t>
      </w:r>
      <w:r w:rsidR="000C34D5">
        <w:rPr>
          <w:rFonts w:eastAsia="Gill Sans MT" w:cs="Gill Sans MT"/>
          <w:color w:val="000000"/>
          <w:szCs w:val="22"/>
        </w:rPr>
        <w:t xml:space="preserve">committed to </w:t>
      </w:r>
      <w:r w:rsidRPr="001B0CCC">
        <w:rPr>
          <w:rFonts w:eastAsia="Gill Sans MT" w:cs="Gill Sans MT"/>
          <w:color w:val="000000"/>
          <w:szCs w:val="22"/>
        </w:rPr>
        <w:t xml:space="preserve">developing a process that will </w:t>
      </w:r>
      <w:r w:rsidR="007B3948">
        <w:rPr>
          <w:rFonts w:eastAsia="Gill Sans MT" w:cs="Gill Sans MT"/>
          <w:color w:val="000000"/>
          <w:szCs w:val="22"/>
        </w:rPr>
        <w:t xml:space="preserve">invite </w:t>
      </w:r>
      <w:r w:rsidR="00BA0B20">
        <w:rPr>
          <w:rFonts w:eastAsia="Gill Sans MT" w:cs="Gill Sans MT"/>
          <w:color w:val="000000"/>
          <w:szCs w:val="22"/>
        </w:rPr>
        <w:t>young people (</w:t>
      </w:r>
      <w:r w:rsidR="007B3948">
        <w:rPr>
          <w:rFonts w:eastAsia="Gill Sans MT" w:cs="Gill Sans MT"/>
          <w:color w:val="000000"/>
          <w:szCs w:val="22"/>
        </w:rPr>
        <w:t>the MWP report identified those in the age group 18 – 22 yrs)</w:t>
      </w:r>
      <w:r w:rsidR="00F858A9">
        <w:rPr>
          <w:rFonts w:eastAsia="Gill Sans MT" w:cs="Gill Sans MT"/>
          <w:color w:val="000000"/>
          <w:szCs w:val="22"/>
        </w:rPr>
        <w:t xml:space="preserve"> </w:t>
      </w:r>
      <w:r w:rsidR="007B3948">
        <w:rPr>
          <w:rFonts w:eastAsia="Gill Sans MT" w:cs="Gill Sans MT"/>
          <w:color w:val="000000"/>
          <w:szCs w:val="22"/>
        </w:rPr>
        <w:t xml:space="preserve">to </w:t>
      </w:r>
      <w:r w:rsidR="00324EA3">
        <w:rPr>
          <w:rFonts w:eastAsia="Gill Sans MT" w:cs="Gill Sans MT"/>
          <w:color w:val="000000"/>
          <w:szCs w:val="22"/>
        </w:rPr>
        <w:t>engage</w:t>
      </w:r>
      <w:r w:rsidR="007B3948">
        <w:rPr>
          <w:rFonts w:eastAsia="Gill Sans MT" w:cs="Gill Sans MT"/>
          <w:color w:val="000000"/>
          <w:szCs w:val="22"/>
        </w:rPr>
        <w:t xml:space="preserve"> with the public employment service. </w:t>
      </w:r>
      <w:r w:rsidR="00F858A9">
        <w:rPr>
          <w:rFonts w:eastAsia="Gill Sans MT" w:cs="Gill Sans MT"/>
          <w:color w:val="000000"/>
          <w:szCs w:val="22"/>
        </w:rPr>
        <w:t>This</w:t>
      </w:r>
      <w:r w:rsidRPr="001B0CCC">
        <w:rPr>
          <w:rFonts w:eastAsia="Gill Sans MT" w:cs="Gill Sans MT"/>
          <w:color w:val="000000"/>
          <w:szCs w:val="22"/>
        </w:rPr>
        <w:t xml:space="preserve"> process is referred to as early engagement. To inform what this engagement process will look like</w:t>
      </w:r>
      <w:r w:rsidR="003E085C">
        <w:rPr>
          <w:rFonts w:eastAsia="Gill Sans MT" w:cs="Gill Sans MT"/>
          <w:color w:val="000000"/>
          <w:szCs w:val="22"/>
        </w:rPr>
        <w:t>,</w:t>
      </w:r>
      <w:r w:rsidRPr="001B0CCC">
        <w:rPr>
          <w:rFonts w:eastAsia="Gill Sans MT" w:cs="Gill Sans MT"/>
          <w:color w:val="000000"/>
          <w:szCs w:val="22"/>
        </w:rPr>
        <w:t xml:space="preserve"> a unique consultation process was </w:t>
      </w:r>
      <w:r w:rsidR="00BA0B20">
        <w:rPr>
          <w:rFonts w:eastAsia="Gill Sans MT" w:cs="Gill Sans MT"/>
          <w:color w:val="000000"/>
          <w:szCs w:val="22"/>
        </w:rPr>
        <w:t>undertaken</w:t>
      </w:r>
      <w:r w:rsidRPr="001B0CCC">
        <w:rPr>
          <w:rFonts w:eastAsia="Gill Sans MT" w:cs="Gill Sans MT"/>
          <w:color w:val="000000"/>
          <w:szCs w:val="22"/>
        </w:rPr>
        <w:t xml:space="preserve"> </w:t>
      </w:r>
      <w:r w:rsidR="003E085C">
        <w:rPr>
          <w:rFonts w:eastAsia="Gill Sans MT" w:cs="Gill Sans MT"/>
          <w:color w:val="000000"/>
          <w:szCs w:val="22"/>
        </w:rPr>
        <w:t xml:space="preserve">in </w:t>
      </w:r>
      <w:r w:rsidRPr="001B0CCC">
        <w:rPr>
          <w:rFonts w:eastAsia="Gill Sans MT" w:cs="Gill Sans MT"/>
          <w:color w:val="000000"/>
          <w:szCs w:val="22"/>
        </w:rPr>
        <w:t>2018</w:t>
      </w:r>
      <w:r w:rsidR="000C34D5">
        <w:rPr>
          <w:rFonts w:eastAsia="Gill Sans MT" w:cs="Gill Sans MT"/>
          <w:color w:val="000000"/>
          <w:szCs w:val="22"/>
        </w:rPr>
        <w:t>,</w:t>
      </w:r>
      <w:r w:rsidR="00BA0B20">
        <w:rPr>
          <w:rFonts w:eastAsia="Gill Sans MT" w:cs="Gill Sans MT"/>
          <w:color w:val="000000"/>
          <w:szCs w:val="22"/>
        </w:rPr>
        <w:t xml:space="preserve"> although the results </w:t>
      </w:r>
      <w:r w:rsidR="000C34D5">
        <w:rPr>
          <w:rFonts w:eastAsia="Gill Sans MT" w:cs="Gill Sans MT"/>
          <w:color w:val="000000"/>
          <w:szCs w:val="22"/>
        </w:rPr>
        <w:t xml:space="preserve">of same </w:t>
      </w:r>
      <w:r w:rsidR="00BA0B20">
        <w:rPr>
          <w:rFonts w:eastAsia="Gill Sans MT" w:cs="Gill Sans MT"/>
          <w:color w:val="000000"/>
          <w:szCs w:val="22"/>
        </w:rPr>
        <w:t>have not yet been published</w:t>
      </w:r>
      <w:r w:rsidRPr="001B0CCC">
        <w:rPr>
          <w:rFonts w:eastAsia="Gill Sans MT" w:cs="Gill Sans MT"/>
          <w:color w:val="000000"/>
          <w:szCs w:val="22"/>
        </w:rPr>
        <w:t xml:space="preserve">. </w:t>
      </w:r>
    </w:p>
    <w:p w14:paraId="733ADA89" w14:textId="734B7766" w:rsidR="003E085C" w:rsidRDefault="001B0CCC" w:rsidP="007E797D">
      <w:pPr>
        <w:spacing w:line="247" w:lineRule="auto"/>
        <w:ind w:left="11" w:hanging="11"/>
        <w:rPr>
          <w:rFonts w:asciiTheme="majorHAnsi" w:eastAsiaTheme="majorEastAsia" w:hAnsiTheme="majorHAnsi" w:cstheme="majorBidi"/>
          <w:color w:val="243F60" w:themeColor="accent1" w:themeShade="7F"/>
        </w:rPr>
      </w:pPr>
      <w:r w:rsidRPr="001B0CCC">
        <w:rPr>
          <w:rFonts w:eastAsia="Gill Sans MT" w:cs="Gill Sans MT"/>
          <w:color w:val="000000"/>
          <w:szCs w:val="22"/>
        </w:rPr>
        <w:t>The NDA recommends that</w:t>
      </w:r>
      <w:r w:rsidR="00BA0B20">
        <w:rPr>
          <w:rFonts w:eastAsia="Gill Sans MT" w:cs="Gill Sans MT"/>
          <w:color w:val="000000"/>
          <w:szCs w:val="22"/>
        </w:rPr>
        <w:t xml:space="preserve"> DSP</w:t>
      </w:r>
      <w:r w:rsidR="00750407">
        <w:rPr>
          <w:rFonts w:eastAsia="Gill Sans MT" w:cs="Gill Sans MT"/>
          <w:color w:val="000000"/>
          <w:szCs w:val="22"/>
        </w:rPr>
        <w:t xml:space="preserve"> could take </w:t>
      </w:r>
      <w:r w:rsidR="008F7EB7">
        <w:rPr>
          <w:rFonts w:eastAsia="Gill Sans MT" w:cs="Gill Sans MT"/>
          <w:color w:val="000000"/>
          <w:szCs w:val="22"/>
        </w:rPr>
        <w:t>learn</w:t>
      </w:r>
      <w:r w:rsidR="00750407">
        <w:rPr>
          <w:rFonts w:eastAsia="Gill Sans MT" w:cs="Gill Sans MT"/>
          <w:color w:val="000000"/>
          <w:szCs w:val="22"/>
        </w:rPr>
        <w:t>ings</w:t>
      </w:r>
      <w:r w:rsidR="008F7EB7">
        <w:rPr>
          <w:rFonts w:eastAsia="Gill Sans MT" w:cs="Gill Sans MT"/>
          <w:color w:val="000000"/>
          <w:szCs w:val="22"/>
        </w:rPr>
        <w:t xml:space="preserve"> from </w:t>
      </w:r>
      <w:r w:rsidR="00750407">
        <w:rPr>
          <w:rFonts w:eastAsia="Gill Sans MT" w:cs="Gill Sans MT"/>
          <w:color w:val="000000"/>
          <w:szCs w:val="22"/>
        </w:rPr>
        <w:t xml:space="preserve">some of its existing </w:t>
      </w:r>
      <w:r w:rsidR="008F7EB7">
        <w:rPr>
          <w:rFonts w:eastAsia="Gill Sans MT" w:cs="Gill Sans MT"/>
          <w:color w:val="000000"/>
          <w:szCs w:val="22"/>
        </w:rPr>
        <w:t xml:space="preserve">initiatives and expand them nationwide in order to </w:t>
      </w:r>
      <w:r w:rsidRPr="001B0CCC">
        <w:rPr>
          <w:rFonts w:eastAsia="Gill Sans MT" w:cs="Gill Sans MT"/>
          <w:color w:val="000000"/>
          <w:szCs w:val="22"/>
        </w:rPr>
        <w:t>develop a useful and effective early engagement process</w:t>
      </w:r>
      <w:r w:rsidR="008F7EB7">
        <w:rPr>
          <w:rFonts w:eastAsia="Gill Sans MT" w:cs="Gill Sans MT"/>
          <w:color w:val="000000"/>
          <w:szCs w:val="22"/>
        </w:rPr>
        <w:t xml:space="preserve">. </w:t>
      </w:r>
      <w:r w:rsidR="00750407">
        <w:rPr>
          <w:rFonts w:eastAsia="Gill Sans MT" w:cs="Gill Sans MT"/>
          <w:color w:val="000000"/>
          <w:szCs w:val="22"/>
        </w:rPr>
        <w:t xml:space="preserve">Such as its </w:t>
      </w:r>
      <w:r w:rsidR="00FF0DD4">
        <w:rPr>
          <w:szCs w:val="26"/>
        </w:rPr>
        <w:t>third</w:t>
      </w:r>
      <w:r w:rsidRPr="001B0CCC">
        <w:rPr>
          <w:szCs w:val="26"/>
        </w:rPr>
        <w:t xml:space="preserve"> annual Progressive Pathways event in Tralee Co Kerry in Jan 2020</w:t>
      </w:r>
      <w:r w:rsidR="008F7EB7">
        <w:rPr>
          <w:szCs w:val="26"/>
        </w:rPr>
        <w:t xml:space="preserve"> </w:t>
      </w:r>
      <w:r w:rsidR="00324EA3">
        <w:rPr>
          <w:szCs w:val="26"/>
        </w:rPr>
        <w:t>which</w:t>
      </w:r>
      <w:r w:rsidR="00324EA3" w:rsidRPr="001B0CCC">
        <w:rPr>
          <w:szCs w:val="26"/>
        </w:rPr>
        <w:t xml:space="preserve"> was</w:t>
      </w:r>
      <w:r w:rsidRPr="001B0CCC">
        <w:rPr>
          <w:szCs w:val="26"/>
        </w:rPr>
        <w:t xml:space="preserve"> a collaborative exercise between the DSP regional Intreo office and </w:t>
      </w:r>
      <w:r w:rsidR="00750407">
        <w:rPr>
          <w:szCs w:val="26"/>
        </w:rPr>
        <w:t>it</w:t>
      </w:r>
      <w:r w:rsidR="00324EA3">
        <w:rPr>
          <w:szCs w:val="26"/>
        </w:rPr>
        <w:t>’</w:t>
      </w:r>
      <w:r w:rsidR="00750407">
        <w:rPr>
          <w:szCs w:val="26"/>
        </w:rPr>
        <w:t xml:space="preserve">s contracted </w:t>
      </w:r>
      <w:r w:rsidRPr="001B0CCC">
        <w:rPr>
          <w:szCs w:val="26"/>
        </w:rPr>
        <w:t>local EmployAbility service</w:t>
      </w:r>
      <w:r w:rsidR="00750407">
        <w:rPr>
          <w:szCs w:val="26"/>
        </w:rPr>
        <w:t xml:space="preserve"> provider</w:t>
      </w:r>
      <w:r w:rsidRPr="001B0CCC">
        <w:rPr>
          <w:szCs w:val="26"/>
        </w:rPr>
        <w:t>. The day was proactively promoted to young pe</w:t>
      </w:r>
      <w:r w:rsidR="00971ABF">
        <w:rPr>
          <w:szCs w:val="26"/>
        </w:rPr>
        <w:t>rsons</w:t>
      </w:r>
      <w:r w:rsidRPr="001B0CCC">
        <w:rPr>
          <w:szCs w:val="26"/>
        </w:rPr>
        <w:t xml:space="preserve"> with disabilities from across the region</w:t>
      </w:r>
      <w:r w:rsidR="008F7EB7">
        <w:rPr>
          <w:szCs w:val="26"/>
        </w:rPr>
        <w:t xml:space="preserve"> and </w:t>
      </w:r>
      <w:r w:rsidR="00FF0DD4">
        <w:rPr>
          <w:szCs w:val="26"/>
        </w:rPr>
        <w:t>provided information on post-</w:t>
      </w:r>
      <w:r w:rsidRPr="001B0CCC">
        <w:rPr>
          <w:szCs w:val="26"/>
        </w:rPr>
        <w:t xml:space="preserve">school options in </w:t>
      </w:r>
      <w:r w:rsidR="00FF0DD4">
        <w:rPr>
          <w:szCs w:val="26"/>
        </w:rPr>
        <w:t>FET</w:t>
      </w:r>
      <w:r w:rsidRPr="001B0CCC">
        <w:rPr>
          <w:szCs w:val="26"/>
        </w:rPr>
        <w:t>. Over300</w:t>
      </w:r>
      <w:r w:rsidR="00FF0DD4">
        <w:rPr>
          <w:szCs w:val="26"/>
        </w:rPr>
        <w:t xml:space="preserve"> </w:t>
      </w:r>
      <w:r w:rsidRPr="001B0CCC">
        <w:rPr>
          <w:szCs w:val="26"/>
        </w:rPr>
        <w:t xml:space="preserve">people attended the panel discussion, with representation from both mainstream and special education students, parents and teachers. </w:t>
      </w:r>
    </w:p>
    <w:p w14:paraId="6014D64A" w14:textId="251D61BA" w:rsidR="001B0CCC" w:rsidRPr="001B0CCC" w:rsidRDefault="001B0CCC" w:rsidP="00221BF6">
      <w:pPr>
        <w:pStyle w:val="Heading3"/>
        <w:rPr>
          <w:rFonts w:eastAsiaTheme="majorEastAsia"/>
        </w:rPr>
      </w:pPr>
      <w:bookmarkStart w:id="27" w:name="_Toc66782893"/>
      <w:r w:rsidRPr="001B0CCC">
        <w:rPr>
          <w:rFonts w:eastAsiaTheme="majorEastAsia"/>
        </w:rPr>
        <w:t>Review of the reasonable accommodation fund</w:t>
      </w:r>
      <w:bookmarkEnd w:id="27"/>
    </w:p>
    <w:p w14:paraId="1A6DD011" w14:textId="1A525636" w:rsidR="001B0CCC" w:rsidRPr="001B0CCC" w:rsidRDefault="001B0CCC" w:rsidP="001B0CCC">
      <w:pPr>
        <w:spacing w:after="230"/>
        <w:ind w:right="4"/>
        <w:rPr>
          <w:szCs w:val="26"/>
        </w:rPr>
      </w:pPr>
      <w:r w:rsidRPr="001B0CCC">
        <w:rPr>
          <w:rFonts w:eastAsiaTheme="majorEastAsia" w:cstheme="majorBidi"/>
          <w:szCs w:val="26"/>
        </w:rPr>
        <w:t>The DSP</w:t>
      </w:r>
      <w:r w:rsidR="008F7EB7">
        <w:rPr>
          <w:szCs w:val="26"/>
        </w:rPr>
        <w:t xml:space="preserve"> have committed to reviewing the</w:t>
      </w:r>
      <w:r w:rsidRPr="001B0CCC">
        <w:rPr>
          <w:szCs w:val="26"/>
        </w:rPr>
        <w:t xml:space="preserve"> operation of the Reasonable Accommodation Fund</w:t>
      </w:r>
      <w:r w:rsidR="008F7EB7">
        <w:rPr>
          <w:szCs w:val="26"/>
        </w:rPr>
        <w:t xml:space="preserve">. This review </w:t>
      </w:r>
      <w:r w:rsidRPr="001B0CCC">
        <w:rPr>
          <w:szCs w:val="26"/>
        </w:rPr>
        <w:t xml:space="preserve">should outline what new measures will be implemented to ensure that the financial supports to employers, which are necessary to retain and recruit persons with a disability, will improve its delivery and effectiveness. Employers have described their experience of the funding package as one that is administratively burdensome i.e. obtaining quotes for purchases and the delay in receiving the funds. Innovative funding measures that could improve the fund were shared with </w:t>
      </w:r>
      <w:r w:rsidR="00FF0DD4">
        <w:rPr>
          <w:szCs w:val="26"/>
        </w:rPr>
        <w:t>the</w:t>
      </w:r>
      <w:r w:rsidRPr="001B0CCC">
        <w:rPr>
          <w:szCs w:val="26"/>
        </w:rPr>
        <w:t xml:space="preserve"> DEASP from the </w:t>
      </w:r>
      <w:r w:rsidR="000C34D5">
        <w:rPr>
          <w:szCs w:val="26"/>
        </w:rPr>
        <w:t>E</w:t>
      </w:r>
      <w:r w:rsidRPr="001B0CCC">
        <w:rPr>
          <w:szCs w:val="26"/>
        </w:rPr>
        <w:t xml:space="preserve">mployer </w:t>
      </w:r>
      <w:r w:rsidR="000C34D5">
        <w:rPr>
          <w:szCs w:val="26"/>
        </w:rPr>
        <w:t>D</w:t>
      </w:r>
      <w:r w:rsidRPr="001B0CCC">
        <w:rPr>
          <w:szCs w:val="26"/>
        </w:rPr>
        <w:t xml:space="preserve">isability </w:t>
      </w:r>
      <w:r w:rsidR="000C34D5">
        <w:rPr>
          <w:szCs w:val="26"/>
        </w:rPr>
        <w:t>I</w:t>
      </w:r>
      <w:r w:rsidRPr="001B0CCC">
        <w:rPr>
          <w:szCs w:val="26"/>
        </w:rPr>
        <w:t xml:space="preserve">nformation </w:t>
      </w:r>
      <w:r w:rsidR="000C34D5">
        <w:rPr>
          <w:szCs w:val="26"/>
        </w:rPr>
        <w:t>S</w:t>
      </w:r>
      <w:r w:rsidRPr="001B0CCC">
        <w:rPr>
          <w:szCs w:val="26"/>
        </w:rPr>
        <w:t xml:space="preserve">ervice in 2018. The CESIG would benefit from a DSP presentation on the emerging recommendations from this review and whether employers were consulted on these recommendations, as the </w:t>
      </w:r>
      <w:r w:rsidRPr="001B0CCC">
        <w:rPr>
          <w:rFonts w:cstheme="minorHAnsi"/>
          <w:szCs w:val="26"/>
        </w:rPr>
        <w:t>review is intended to identify ways to improve delivery and effectiveness and therefore improve employment outcomes for persons with disabilities.</w:t>
      </w:r>
    </w:p>
    <w:p w14:paraId="01D3E755" w14:textId="6082A0AE" w:rsidR="001B0CCC" w:rsidRPr="001B0CCC" w:rsidRDefault="00221BF6" w:rsidP="007E797D">
      <w:pPr>
        <w:pStyle w:val="Heading3"/>
        <w:rPr>
          <w:rFonts w:eastAsia="Calibri"/>
          <w:lang w:val="en-GB"/>
        </w:rPr>
      </w:pPr>
      <w:bookmarkStart w:id="28" w:name="_Toc66782894"/>
      <w:r>
        <w:rPr>
          <w:rFonts w:eastAsia="Calibri"/>
          <w:lang w:val="en-GB"/>
        </w:rPr>
        <w:t>Vocational rehabilitation</w:t>
      </w:r>
      <w:bookmarkEnd w:id="28"/>
    </w:p>
    <w:p w14:paraId="395E6279" w14:textId="46ADAF7B" w:rsidR="001B0CCC" w:rsidRPr="001B0CCC" w:rsidRDefault="001B0CCC" w:rsidP="001B0CCC">
      <w:pPr>
        <w:rPr>
          <w:rFonts w:eastAsia="Calibri"/>
          <w:szCs w:val="26"/>
          <w:lang w:val="en-GB"/>
        </w:rPr>
      </w:pPr>
      <w:r w:rsidRPr="001B0CCC">
        <w:rPr>
          <w:rFonts w:eastAsia="Calibri"/>
          <w:szCs w:val="26"/>
          <w:lang w:val="en-GB"/>
        </w:rPr>
        <w:t xml:space="preserve">From the outset the CES has emphasised the importance of action to reduce the outflow from employment after onset of a disability and to encourage re-entry of those who have already left the workforce. It is recognised that age, education, and degree of illness or incapacity means that some of those who </w:t>
      </w:r>
      <w:r w:rsidR="009C112A">
        <w:rPr>
          <w:rFonts w:eastAsia="Calibri"/>
          <w:szCs w:val="26"/>
          <w:lang w:val="en-GB"/>
        </w:rPr>
        <w:t>acquire a</w:t>
      </w:r>
      <w:r w:rsidRPr="001B0CCC">
        <w:rPr>
          <w:rFonts w:eastAsia="Calibri"/>
          <w:szCs w:val="26"/>
          <w:lang w:val="en-GB"/>
        </w:rPr>
        <w:t xml:space="preserve"> disability </w:t>
      </w:r>
      <w:r w:rsidR="009C112A">
        <w:rPr>
          <w:rFonts w:eastAsia="Calibri"/>
          <w:szCs w:val="26"/>
          <w:lang w:val="en-GB"/>
        </w:rPr>
        <w:t xml:space="preserve">during their working life </w:t>
      </w:r>
      <w:r w:rsidRPr="001B0CCC">
        <w:rPr>
          <w:rFonts w:eastAsia="Calibri"/>
          <w:szCs w:val="26"/>
          <w:lang w:val="en-GB"/>
        </w:rPr>
        <w:t>will leave the workforce permanently. The NDA has previously articulated the need for identifying ways of increasing the numbers who remain at or re-enter work.</w:t>
      </w:r>
      <w:r w:rsidRPr="001B0CCC">
        <w:rPr>
          <w:rFonts w:eastAsia="Calibri"/>
          <w:szCs w:val="26"/>
          <w:vertAlign w:val="superscript"/>
          <w:lang w:val="en-GB"/>
        </w:rPr>
        <w:footnoteReference w:id="42"/>
      </w:r>
      <w:r w:rsidRPr="001B0CCC">
        <w:rPr>
          <w:rFonts w:eastAsia="Calibri"/>
          <w:szCs w:val="26"/>
          <w:lang w:val="en-GB"/>
        </w:rPr>
        <w:t xml:space="preserve"> As mentioned earlier</w:t>
      </w:r>
      <w:r w:rsidR="009C112A">
        <w:rPr>
          <w:rFonts w:eastAsia="Calibri"/>
          <w:szCs w:val="26"/>
          <w:lang w:val="en-GB"/>
        </w:rPr>
        <w:t>,</w:t>
      </w:r>
      <w:r w:rsidRPr="001B0CCC">
        <w:rPr>
          <w:rFonts w:eastAsia="Calibri"/>
          <w:szCs w:val="26"/>
          <w:lang w:val="en-GB"/>
        </w:rPr>
        <w:t xml:space="preserve"> through the work of the </w:t>
      </w:r>
      <w:r w:rsidR="000C34D5">
        <w:rPr>
          <w:rFonts w:eastAsia="Calibri"/>
          <w:szCs w:val="26"/>
          <w:lang w:val="en-GB"/>
        </w:rPr>
        <w:t>E</w:t>
      </w:r>
      <w:r w:rsidRPr="001B0CCC">
        <w:rPr>
          <w:rFonts w:eastAsia="Calibri"/>
          <w:szCs w:val="26"/>
          <w:lang w:val="en-GB"/>
        </w:rPr>
        <w:t xml:space="preserve">mployer </w:t>
      </w:r>
      <w:r w:rsidR="000C34D5">
        <w:rPr>
          <w:rFonts w:eastAsia="Calibri"/>
          <w:szCs w:val="26"/>
          <w:lang w:val="en-GB"/>
        </w:rPr>
        <w:t>D</w:t>
      </w:r>
      <w:r w:rsidRPr="001B0CCC">
        <w:rPr>
          <w:rFonts w:eastAsia="Calibri"/>
          <w:szCs w:val="26"/>
          <w:lang w:val="en-GB"/>
        </w:rPr>
        <w:t xml:space="preserve">isability </w:t>
      </w:r>
      <w:r w:rsidR="000C34D5">
        <w:rPr>
          <w:rFonts w:eastAsia="Calibri"/>
          <w:szCs w:val="26"/>
          <w:lang w:val="en-GB"/>
        </w:rPr>
        <w:t>I</w:t>
      </w:r>
      <w:r w:rsidRPr="001B0CCC">
        <w:rPr>
          <w:rFonts w:eastAsia="Calibri"/>
          <w:szCs w:val="26"/>
          <w:lang w:val="en-GB"/>
        </w:rPr>
        <w:t xml:space="preserve">nformation </w:t>
      </w:r>
      <w:r w:rsidR="000C34D5">
        <w:rPr>
          <w:rFonts w:eastAsia="Calibri"/>
          <w:szCs w:val="26"/>
          <w:lang w:val="en-GB"/>
        </w:rPr>
        <w:t>S</w:t>
      </w:r>
      <w:r w:rsidRPr="001B0CCC">
        <w:rPr>
          <w:rFonts w:eastAsia="Calibri"/>
          <w:szCs w:val="26"/>
          <w:lang w:val="en-GB"/>
        </w:rPr>
        <w:t>ervice (2015 to 201</w:t>
      </w:r>
      <w:r w:rsidR="000C34D5">
        <w:rPr>
          <w:rFonts w:eastAsia="Calibri"/>
          <w:szCs w:val="26"/>
          <w:lang w:val="en-GB"/>
        </w:rPr>
        <w:t>9</w:t>
      </w:r>
      <w:r w:rsidRPr="001B0CCC">
        <w:rPr>
          <w:rFonts w:eastAsia="Calibri"/>
          <w:szCs w:val="26"/>
          <w:lang w:val="en-GB"/>
        </w:rPr>
        <w:t>)</w:t>
      </w:r>
      <w:r w:rsidR="009C112A">
        <w:rPr>
          <w:rFonts w:eastAsia="Calibri"/>
          <w:szCs w:val="26"/>
          <w:lang w:val="en-GB"/>
        </w:rPr>
        <w:t>,</w:t>
      </w:r>
      <w:r w:rsidRPr="001B0CCC">
        <w:rPr>
          <w:rFonts w:eastAsia="Calibri"/>
          <w:szCs w:val="26"/>
          <w:lang w:val="en-GB"/>
        </w:rPr>
        <w:t xml:space="preserve"> we know that there is a </w:t>
      </w:r>
      <w:r w:rsidRPr="001B0CCC">
        <w:rPr>
          <w:szCs w:val="26"/>
        </w:rPr>
        <w:t xml:space="preserve">lack of awareness amongst employers of supports available to assist the return to work of employees, and lack of provision of specific supports such as occupational health expertise and guidance on </w:t>
      </w:r>
      <w:r w:rsidR="000C34D5">
        <w:rPr>
          <w:szCs w:val="26"/>
        </w:rPr>
        <w:t xml:space="preserve">relevant supporting </w:t>
      </w:r>
      <w:r w:rsidRPr="001B0CCC">
        <w:rPr>
          <w:szCs w:val="26"/>
        </w:rPr>
        <w:t>technologies</w:t>
      </w:r>
      <w:r w:rsidR="000C34D5">
        <w:rPr>
          <w:szCs w:val="26"/>
        </w:rPr>
        <w:t>.</w:t>
      </w:r>
    </w:p>
    <w:p w14:paraId="74F49772" w14:textId="2B50E35B" w:rsidR="001B0CCC" w:rsidRDefault="001B0CCC" w:rsidP="001B0CCC">
      <w:pPr>
        <w:spacing w:after="120"/>
        <w:rPr>
          <w:szCs w:val="26"/>
        </w:rPr>
      </w:pPr>
      <w:r w:rsidRPr="001B0CCC">
        <w:rPr>
          <w:szCs w:val="26"/>
        </w:rPr>
        <w:t>In preparing its draft policy advice paper on vocational rehabilitation</w:t>
      </w:r>
      <w:r w:rsidR="000C34D5">
        <w:rPr>
          <w:szCs w:val="26"/>
        </w:rPr>
        <w:t>,</w:t>
      </w:r>
      <w:r w:rsidRPr="001B0CCC">
        <w:rPr>
          <w:szCs w:val="26"/>
        </w:rPr>
        <w:t xml:space="preserve"> the NDA recognise</w:t>
      </w:r>
      <w:r w:rsidR="009C112A">
        <w:rPr>
          <w:szCs w:val="26"/>
        </w:rPr>
        <w:t>d</w:t>
      </w:r>
      <w:r w:rsidRPr="001B0CCC">
        <w:rPr>
          <w:szCs w:val="26"/>
        </w:rPr>
        <w:t xml:space="preserve"> that an effective integrated system of vocational rehabilitation would support greater numbers of pe</w:t>
      </w:r>
      <w:r w:rsidR="00AA6BB1">
        <w:rPr>
          <w:szCs w:val="26"/>
        </w:rPr>
        <w:t>rsons</w:t>
      </w:r>
      <w:r w:rsidRPr="001B0CCC">
        <w:rPr>
          <w:szCs w:val="26"/>
        </w:rPr>
        <w:t xml:space="preserve"> with acquired disabilities or long term health conditions to remain in employment or to return to work, and contribute to increased numbers of persons with disabilities in employment. It is proposed in this </w:t>
      </w:r>
      <w:r w:rsidR="00BD42B9">
        <w:rPr>
          <w:szCs w:val="26"/>
        </w:rPr>
        <w:t>advice</w:t>
      </w:r>
      <w:r w:rsidR="00BD42B9" w:rsidRPr="001B0CCC">
        <w:rPr>
          <w:szCs w:val="26"/>
        </w:rPr>
        <w:t xml:space="preserve"> that</w:t>
      </w:r>
      <w:r w:rsidRPr="001B0CCC">
        <w:rPr>
          <w:szCs w:val="26"/>
        </w:rPr>
        <w:t xml:space="preserve"> a system of vocational rehabilitation would effectively culminate with a decision regarding the possibility of a return to work and the steps involved to support that return to work or the progression to a disability pension. A draft of this policy advice was shared with the CESIG during 2020</w:t>
      </w:r>
      <w:r w:rsidR="000C34D5">
        <w:rPr>
          <w:szCs w:val="26"/>
        </w:rPr>
        <w:t xml:space="preserve"> and will be finalised following targeted consultation with persons with disabilities as outlined below</w:t>
      </w:r>
      <w:r w:rsidR="000C34D5" w:rsidRPr="001B0CCC">
        <w:rPr>
          <w:szCs w:val="26"/>
        </w:rPr>
        <w:t>.</w:t>
      </w:r>
    </w:p>
    <w:p w14:paraId="173149C8" w14:textId="592EF279" w:rsidR="00E10769" w:rsidRPr="007E797D" w:rsidRDefault="00E10769" w:rsidP="007E797D">
      <w:pPr>
        <w:rPr>
          <w:szCs w:val="26"/>
        </w:rPr>
      </w:pPr>
      <w:r w:rsidRPr="001B0CCC">
        <w:rPr>
          <w:rFonts w:cs="Calibri"/>
          <w:szCs w:val="26"/>
          <w:lang w:val="en-US"/>
        </w:rPr>
        <w:t xml:space="preserve">From the evidence gathered by the NDA, </w:t>
      </w:r>
      <w:r>
        <w:rPr>
          <w:rFonts w:eastAsia="Calibri"/>
          <w:szCs w:val="26"/>
          <w:lang w:val="en-GB"/>
        </w:rPr>
        <w:t>c</w:t>
      </w:r>
      <w:r w:rsidRPr="001B0CCC">
        <w:rPr>
          <w:rFonts w:eastAsia="Calibri"/>
          <w:szCs w:val="26"/>
          <w:lang w:val="en-GB"/>
        </w:rPr>
        <w:t xml:space="preserve">ase management </w:t>
      </w:r>
      <w:r w:rsidR="00E75820">
        <w:rPr>
          <w:szCs w:val="26"/>
          <w:lang w:val="en-GB"/>
        </w:rPr>
        <w:t>has been</w:t>
      </w:r>
      <w:r w:rsidRPr="001B0CCC">
        <w:rPr>
          <w:szCs w:val="26"/>
          <w:lang w:val="en-GB"/>
        </w:rPr>
        <w:t xml:space="preserve"> identified as the best collaborative process to coordinate the elements necessary for a return to work after acquiring a disability. </w:t>
      </w:r>
      <w:r w:rsidRPr="001B0CCC">
        <w:rPr>
          <w:szCs w:val="26"/>
        </w:rPr>
        <w:t>Case management</w:t>
      </w:r>
      <w:r>
        <w:rPr>
          <w:szCs w:val="26"/>
        </w:rPr>
        <w:t xml:space="preserve">, </w:t>
      </w:r>
      <w:r w:rsidRPr="001B0CCC">
        <w:rPr>
          <w:szCs w:val="26"/>
        </w:rPr>
        <w:t xml:space="preserve">awareness of options, and </w:t>
      </w:r>
      <w:r>
        <w:rPr>
          <w:szCs w:val="26"/>
        </w:rPr>
        <w:t xml:space="preserve">clarity around </w:t>
      </w:r>
      <w:r w:rsidRPr="001B0CCC">
        <w:rPr>
          <w:szCs w:val="26"/>
        </w:rPr>
        <w:t xml:space="preserve">who is responsible for </w:t>
      </w:r>
      <w:r>
        <w:rPr>
          <w:szCs w:val="26"/>
        </w:rPr>
        <w:t>supporting the person back to work</w:t>
      </w:r>
      <w:r w:rsidRPr="001B0CCC">
        <w:rPr>
          <w:szCs w:val="26"/>
        </w:rPr>
        <w:t xml:space="preserve"> are two important mechanisms that can ensure the process of return to work operates in a synchronised manner. Case management is a collaborative process, including advocacy, communication and service coordination.</w:t>
      </w:r>
      <w:r w:rsidRPr="001B0CCC">
        <w:rPr>
          <w:szCs w:val="26"/>
          <w:vertAlign w:val="superscript"/>
        </w:rPr>
        <w:footnoteReference w:id="43"/>
      </w:r>
      <w:r>
        <w:rPr>
          <w:szCs w:val="26"/>
        </w:rPr>
        <w:t xml:space="preserve"> </w:t>
      </w:r>
    </w:p>
    <w:p w14:paraId="6662D8F0" w14:textId="3AAF049B" w:rsidR="001B0CCC" w:rsidRPr="001B0CCC" w:rsidRDefault="001B0CCC" w:rsidP="001B0CCC">
      <w:pPr>
        <w:rPr>
          <w:szCs w:val="26"/>
        </w:rPr>
      </w:pPr>
      <w:r w:rsidRPr="001B0CCC">
        <w:rPr>
          <w:rFonts w:cstheme="minorHAnsi"/>
          <w:szCs w:val="26"/>
        </w:rPr>
        <w:t>The NDA is currently advancing the completion of this advice paper with focused consultation</w:t>
      </w:r>
      <w:r w:rsidRPr="001B0CCC">
        <w:rPr>
          <w:szCs w:val="26"/>
        </w:rPr>
        <w:t xml:space="preserve"> with persons with </w:t>
      </w:r>
      <w:r w:rsidR="00FF0DD4">
        <w:rPr>
          <w:szCs w:val="26"/>
        </w:rPr>
        <w:t xml:space="preserve">an </w:t>
      </w:r>
      <w:r w:rsidRPr="001B0CCC">
        <w:rPr>
          <w:szCs w:val="26"/>
        </w:rPr>
        <w:t xml:space="preserve">acquired disability and or long term health conditions about supports for employment, in order to understand people's views and experiences in relation to the proposed pathway outlined in the vocational rehabilitation policy paper. </w:t>
      </w:r>
      <w:r w:rsidR="00E10769">
        <w:rPr>
          <w:szCs w:val="26"/>
        </w:rPr>
        <w:t xml:space="preserve">Once complete there will need to be a discussion </w:t>
      </w:r>
      <w:r w:rsidR="00BD42B9">
        <w:rPr>
          <w:szCs w:val="26"/>
        </w:rPr>
        <w:t xml:space="preserve">on </w:t>
      </w:r>
      <w:r w:rsidR="00E10769">
        <w:rPr>
          <w:szCs w:val="26"/>
        </w:rPr>
        <w:t xml:space="preserve">implementation of a vocational rehabilitation plan and a decision around </w:t>
      </w:r>
      <w:r w:rsidR="00BD42B9">
        <w:rPr>
          <w:szCs w:val="26"/>
        </w:rPr>
        <w:t>which government departments and public bodies would be involved in delivery of same, including which should take the lead.</w:t>
      </w:r>
    </w:p>
    <w:p w14:paraId="4222495A" w14:textId="77777777" w:rsidR="001B0CCC" w:rsidRPr="001B0CCC" w:rsidRDefault="001B0CCC" w:rsidP="00221BF6">
      <w:pPr>
        <w:pStyle w:val="Heading3"/>
        <w:rPr>
          <w:rFonts w:eastAsiaTheme="majorEastAsia"/>
        </w:rPr>
      </w:pPr>
      <w:bookmarkStart w:id="29" w:name="_Toc66782895"/>
      <w:r w:rsidRPr="001B0CCC">
        <w:rPr>
          <w:rFonts w:eastAsiaTheme="majorEastAsia"/>
        </w:rPr>
        <w:t>Return to work post pandemic</w:t>
      </w:r>
      <w:bookmarkEnd w:id="29"/>
    </w:p>
    <w:p w14:paraId="3396B6C6" w14:textId="77777777" w:rsidR="00221BF6" w:rsidRPr="001B0CCC" w:rsidRDefault="00221BF6" w:rsidP="00221BF6">
      <w:pPr>
        <w:rPr>
          <w:szCs w:val="26"/>
        </w:rPr>
      </w:pPr>
      <w:r w:rsidRPr="001B0CCC">
        <w:rPr>
          <w:szCs w:val="26"/>
        </w:rPr>
        <w:t>A partial indication of the number of people requiring supports to work is reflected in the numbers of people who are in receipt of Disability Allowance or Illness Benefit. The Disability Consultative Forum hosted by the DSP reported that;</w:t>
      </w:r>
    </w:p>
    <w:p w14:paraId="37EEA977" w14:textId="77777777" w:rsidR="00221BF6" w:rsidRPr="001B0CCC" w:rsidRDefault="00221BF6" w:rsidP="00221BF6">
      <w:pPr>
        <w:ind w:left="720"/>
        <w:rPr>
          <w:szCs w:val="26"/>
        </w:rPr>
      </w:pPr>
      <w:r w:rsidRPr="001B0CCC">
        <w:rPr>
          <w:szCs w:val="26"/>
        </w:rPr>
        <w:t xml:space="preserve">In Oct 2020, there were </w:t>
      </w:r>
      <w:r w:rsidRPr="001B0CCC">
        <w:rPr>
          <w:b/>
          <w:szCs w:val="26"/>
        </w:rPr>
        <w:t>151,902</w:t>
      </w:r>
      <w:r w:rsidRPr="001B0CCC">
        <w:rPr>
          <w:szCs w:val="26"/>
        </w:rPr>
        <w:t xml:space="preserve"> people in receipt of </w:t>
      </w:r>
      <w:r w:rsidRPr="001B0CCC">
        <w:rPr>
          <w:b/>
          <w:szCs w:val="26"/>
        </w:rPr>
        <w:t>Disability Allowance</w:t>
      </w:r>
      <w:r w:rsidRPr="001B0CCC">
        <w:rPr>
          <w:b/>
          <w:szCs w:val="26"/>
          <w:vertAlign w:val="superscript"/>
        </w:rPr>
        <w:footnoteReference w:id="44"/>
      </w:r>
      <w:r w:rsidRPr="001B0CCC">
        <w:rPr>
          <w:szCs w:val="26"/>
        </w:rPr>
        <w:t xml:space="preserve"> .This is just over 4% increase on the end of October 2019 figure of 145,544. Of interest is the number of applications received by the end of October 2020, which was 17,404. </w:t>
      </w:r>
    </w:p>
    <w:p w14:paraId="59E80469" w14:textId="4B3F5027" w:rsidR="00221BF6" w:rsidRPr="001B0CCC" w:rsidRDefault="00221BF6" w:rsidP="00221BF6">
      <w:pPr>
        <w:spacing w:after="230"/>
        <w:ind w:left="-5" w:right="4"/>
        <w:rPr>
          <w:szCs w:val="26"/>
        </w:rPr>
      </w:pPr>
      <w:r w:rsidRPr="001B0CCC">
        <w:rPr>
          <w:szCs w:val="26"/>
        </w:rPr>
        <w:t>However, these figures do not represent other persons with</w:t>
      </w:r>
      <w:r>
        <w:rPr>
          <w:szCs w:val="26"/>
        </w:rPr>
        <w:t xml:space="preserve"> disabilities</w:t>
      </w:r>
      <w:r w:rsidRPr="001B0CCC">
        <w:rPr>
          <w:szCs w:val="26"/>
        </w:rPr>
        <w:t xml:space="preserve"> and are on Job-Seeker Allowance, or similar benefits such as the COVID-19 Pa</w:t>
      </w:r>
      <w:r w:rsidR="00BC2D44">
        <w:rPr>
          <w:szCs w:val="26"/>
        </w:rPr>
        <w:t>ndemic Unemployment Payment</w:t>
      </w:r>
      <w:r w:rsidRPr="001B0CCC">
        <w:rPr>
          <w:szCs w:val="26"/>
          <w:vertAlign w:val="superscript"/>
        </w:rPr>
        <w:footnoteReference w:id="45"/>
      </w:r>
      <w:r w:rsidRPr="001B0CCC">
        <w:rPr>
          <w:szCs w:val="26"/>
        </w:rPr>
        <w:t xml:space="preserve"> or the </w:t>
      </w:r>
      <w:r w:rsidRPr="001B0CCC">
        <w:rPr>
          <w:szCs w:val="26"/>
          <w:lang w:val="en"/>
        </w:rPr>
        <w:t>Tem</w:t>
      </w:r>
      <w:r w:rsidR="00875B54">
        <w:rPr>
          <w:szCs w:val="26"/>
          <w:lang w:val="en"/>
        </w:rPr>
        <w:t>porary Wage Subsidy Scheme</w:t>
      </w:r>
      <w:r w:rsidR="00376948">
        <w:rPr>
          <w:szCs w:val="26"/>
          <w:lang w:val="en"/>
        </w:rPr>
        <w:t>,</w:t>
      </w:r>
      <w:r w:rsidR="00875B54">
        <w:rPr>
          <w:szCs w:val="26"/>
          <w:lang w:val="en"/>
        </w:rPr>
        <w:t xml:space="preserve"> </w:t>
      </w:r>
      <w:r w:rsidRPr="001B0CCC">
        <w:rPr>
          <w:szCs w:val="26"/>
          <w:lang w:val="en"/>
        </w:rPr>
        <w:t xml:space="preserve"> which was replaced by the Emplo</w:t>
      </w:r>
      <w:r w:rsidR="00875B54">
        <w:rPr>
          <w:szCs w:val="26"/>
          <w:lang w:val="en"/>
        </w:rPr>
        <w:t>yment Wage Subsidy Scheme on the first of</w:t>
      </w:r>
      <w:r w:rsidRPr="001B0CCC">
        <w:rPr>
          <w:szCs w:val="26"/>
          <w:lang w:val="en"/>
        </w:rPr>
        <w:t xml:space="preserve"> September 2020</w:t>
      </w:r>
      <w:r w:rsidR="00875B54">
        <w:rPr>
          <w:szCs w:val="26"/>
          <w:lang w:val="en"/>
        </w:rPr>
        <w:t>.</w:t>
      </w:r>
      <w:r w:rsidRPr="001B0CCC">
        <w:rPr>
          <w:szCs w:val="26"/>
          <w:vertAlign w:val="superscript"/>
          <w:lang w:val="en"/>
        </w:rPr>
        <w:footnoteReference w:id="46"/>
      </w:r>
      <w:r w:rsidRPr="001B0CCC">
        <w:rPr>
          <w:szCs w:val="26"/>
          <w:lang w:val="en"/>
        </w:rPr>
        <w:t xml:space="preserve"> </w:t>
      </w:r>
      <w:r w:rsidRPr="001B0CCC">
        <w:rPr>
          <w:szCs w:val="26"/>
        </w:rPr>
        <w:t xml:space="preserve">While some people are likely to return to their original jobs following the end of COVID-19 restrictions, </w:t>
      </w:r>
      <w:r>
        <w:rPr>
          <w:szCs w:val="26"/>
        </w:rPr>
        <w:t>others</w:t>
      </w:r>
      <w:r w:rsidRPr="001B0CCC">
        <w:rPr>
          <w:szCs w:val="26"/>
        </w:rPr>
        <w:t xml:space="preserve"> are likely to transition to Job-Seekers Allowance.</w:t>
      </w:r>
    </w:p>
    <w:p w14:paraId="3864C8A7" w14:textId="2A0908A9" w:rsidR="001B0CCC" w:rsidRPr="001B0CCC" w:rsidRDefault="00E10769" w:rsidP="001B0CCC">
      <w:pPr>
        <w:rPr>
          <w:rFonts w:cs="Calibri"/>
          <w:szCs w:val="26"/>
          <w:lang w:val="en-US"/>
        </w:rPr>
      </w:pPr>
      <w:r>
        <w:rPr>
          <w:szCs w:val="26"/>
        </w:rPr>
        <w:t xml:space="preserve">Case management is not just important as part of the vocational rehabilitation pathway. </w:t>
      </w:r>
      <w:r w:rsidR="001B0CCC" w:rsidRPr="001B0CCC">
        <w:rPr>
          <w:szCs w:val="26"/>
        </w:rPr>
        <w:t xml:space="preserve">It is through effective case management that </w:t>
      </w:r>
      <w:r w:rsidR="00875B54">
        <w:rPr>
          <w:szCs w:val="26"/>
        </w:rPr>
        <w:t>persons</w:t>
      </w:r>
      <w:r w:rsidR="001B0CCC" w:rsidRPr="001B0CCC">
        <w:rPr>
          <w:szCs w:val="26"/>
        </w:rPr>
        <w:t xml:space="preserve"> with disabilities who have lost their jobs or been furloughed during the COVID-19 pandemic will be successfully supported back to work. </w:t>
      </w:r>
      <w:r w:rsidR="00875B54">
        <w:rPr>
          <w:szCs w:val="26"/>
        </w:rPr>
        <w:t>T</w:t>
      </w:r>
      <w:r w:rsidR="001B0CCC" w:rsidRPr="001B0CCC">
        <w:rPr>
          <w:rFonts w:cs="Univers 45 Light"/>
          <w:szCs w:val="26"/>
        </w:rPr>
        <w:t xml:space="preserve">he Scottish Government </w:t>
      </w:r>
      <w:r w:rsidR="001B0CCC" w:rsidRPr="001B0CCC">
        <w:rPr>
          <w:szCs w:val="26"/>
        </w:rPr>
        <w:t xml:space="preserve">aims </w:t>
      </w:r>
      <w:r w:rsidR="001B0CCC" w:rsidRPr="001B0CCC">
        <w:rPr>
          <w:rFonts w:cs="Univers 45 Light"/>
          <w:szCs w:val="26"/>
        </w:rPr>
        <w:t xml:space="preserve">to increase the employment rate of </w:t>
      </w:r>
      <w:r w:rsidR="00875B54">
        <w:rPr>
          <w:rFonts w:cs="Univers 45 Light"/>
          <w:szCs w:val="26"/>
        </w:rPr>
        <w:t>persons with disabilities</w:t>
      </w:r>
      <w:r w:rsidR="001B0CCC" w:rsidRPr="001B0CCC">
        <w:rPr>
          <w:rFonts w:cs="Univers 45 Light"/>
          <w:szCs w:val="26"/>
        </w:rPr>
        <w:t xml:space="preserve"> to 50% by 2023 and 60% by 2030</w:t>
      </w:r>
      <w:r w:rsidR="00875B54">
        <w:rPr>
          <w:rFonts w:cs="Univers 45 Light"/>
          <w:szCs w:val="26"/>
        </w:rPr>
        <w:t xml:space="preserve"> using a case management approach</w:t>
      </w:r>
      <w:r w:rsidR="001B0CCC" w:rsidRPr="001B0CCC">
        <w:rPr>
          <w:rFonts w:cs="Univers 45 Light"/>
          <w:szCs w:val="26"/>
        </w:rPr>
        <w:t>.</w:t>
      </w:r>
      <w:r w:rsidR="001B0CCC" w:rsidRPr="001B0CCC">
        <w:rPr>
          <w:szCs w:val="26"/>
        </w:rPr>
        <w:t xml:space="preserve"> To do this they have funded Supported Employment staff across Scotland to gain the</w:t>
      </w:r>
      <w:r w:rsidR="001B0CCC" w:rsidRPr="001B0CCC">
        <w:rPr>
          <w:rFonts w:cs="Univers 45 Light"/>
          <w:szCs w:val="26"/>
        </w:rPr>
        <w:t xml:space="preserve"> National Institute of Disability Management and Rese</w:t>
      </w:r>
      <w:r w:rsidR="00875B54">
        <w:rPr>
          <w:rFonts w:cs="Univers 45 Light"/>
          <w:szCs w:val="26"/>
        </w:rPr>
        <w:t>arch</w:t>
      </w:r>
      <w:r w:rsidR="001B0CCC" w:rsidRPr="001B0CCC">
        <w:rPr>
          <w:szCs w:val="26"/>
        </w:rPr>
        <w:t xml:space="preserve"> qualification</w:t>
      </w:r>
      <w:r w:rsidR="001B0CCC" w:rsidRPr="001B0CCC">
        <w:rPr>
          <w:rFonts w:cs="Univers 45 Light"/>
          <w:szCs w:val="26"/>
        </w:rPr>
        <w:t xml:space="preserve"> for </w:t>
      </w:r>
      <w:r w:rsidR="001B0CCC" w:rsidRPr="001B0CCC">
        <w:rPr>
          <w:szCs w:val="26"/>
        </w:rPr>
        <w:t xml:space="preserve">the </w:t>
      </w:r>
      <w:r w:rsidR="001B0CCC" w:rsidRPr="001B0CCC">
        <w:rPr>
          <w:rFonts w:cs="Univers 45 Light"/>
          <w:szCs w:val="26"/>
        </w:rPr>
        <w:t>Certified Disabili</w:t>
      </w:r>
      <w:r w:rsidR="00875B54">
        <w:rPr>
          <w:rFonts w:cs="Univers 45 Light"/>
          <w:szCs w:val="26"/>
        </w:rPr>
        <w:t>ty Management Professional</w:t>
      </w:r>
      <w:r w:rsidR="001B0CCC" w:rsidRPr="001B0CCC">
        <w:rPr>
          <w:szCs w:val="26"/>
        </w:rPr>
        <w:t xml:space="preserve">. </w:t>
      </w:r>
      <w:r w:rsidR="00875B54">
        <w:rPr>
          <w:szCs w:val="26"/>
        </w:rPr>
        <w:t xml:space="preserve">The NDA advises there </w:t>
      </w:r>
      <w:r w:rsidR="00376948">
        <w:rPr>
          <w:szCs w:val="26"/>
        </w:rPr>
        <w:t>may</w:t>
      </w:r>
      <w:r w:rsidR="00875B54">
        <w:rPr>
          <w:szCs w:val="26"/>
        </w:rPr>
        <w:t xml:space="preserve"> be learning for the Irish system from the Scottish experience. </w:t>
      </w:r>
    </w:p>
    <w:p w14:paraId="0D728909" w14:textId="0033B04F" w:rsidR="001B0CCC" w:rsidRPr="001B0CCC" w:rsidRDefault="001B0CCC" w:rsidP="001B0CCC">
      <w:pPr>
        <w:rPr>
          <w:rFonts w:cs="Calibri"/>
          <w:szCs w:val="26"/>
          <w:lang w:val="en-US"/>
        </w:rPr>
      </w:pPr>
      <w:r w:rsidRPr="001B0CCC">
        <w:rPr>
          <w:szCs w:val="26"/>
        </w:rPr>
        <w:t xml:space="preserve">People with newly diagnosed mental health conditions will be amongst those that will need to access mainstream employment supports. </w:t>
      </w:r>
      <w:r w:rsidR="00E10769">
        <w:rPr>
          <w:szCs w:val="26"/>
        </w:rPr>
        <w:t xml:space="preserve">The </w:t>
      </w:r>
      <w:r w:rsidRPr="001B0CCC">
        <w:rPr>
          <w:szCs w:val="26"/>
        </w:rPr>
        <w:t>National University of Ireland</w:t>
      </w:r>
      <w:r w:rsidR="00E10769">
        <w:rPr>
          <w:szCs w:val="26"/>
        </w:rPr>
        <w:t>,</w:t>
      </w:r>
      <w:r w:rsidRPr="001B0CCC">
        <w:rPr>
          <w:szCs w:val="26"/>
        </w:rPr>
        <w:t xml:space="preserve"> Maynooth</w:t>
      </w:r>
      <w:r w:rsidR="00E10769">
        <w:rPr>
          <w:szCs w:val="26"/>
        </w:rPr>
        <w:t xml:space="preserve">, </w:t>
      </w:r>
      <w:r w:rsidRPr="001B0CCC">
        <w:rPr>
          <w:szCs w:val="26"/>
        </w:rPr>
        <w:t>in their publication the ‘High Road Back to Work’</w:t>
      </w:r>
      <w:r w:rsidR="001E4DB3">
        <w:rPr>
          <w:rStyle w:val="FootnoteReference"/>
          <w:szCs w:val="26"/>
        </w:rPr>
        <w:footnoteReference w:id="47"/>
      </w:r>
      <w:r w:rsidRPr="001B0CCC">
        <w:rPr>
          <w:szCs w:val="26"/>
        </w:rPr>
        <w:t xml:space="preserve"> state that </w:t>
      </w:r>
      <w:r w:rsidRPr="001B0CCC">
        <w:rPr>
          <w:rFonts w:cs="Calibri"/>
          <w:szCs w:val="26"/>
          <w:lang w:val="en-US"/>
        </w:rPr>
        <w:t>responding to the needs of the post COVID-19 labour force and re-igniting the economy will require a careful strategy. Businesses will have learned much about remote</w:t>
      </w:r>
      <w:r w:rsidRPr="001B0CCC">
        <w:rPr>
          <w:rFonts w:cs="Calibri"/>
          <w:szCs w:val="26"/>
          <w:vertAlign w:val="superscript"/>
          <w:lang w:val="en-US"/>
        </w:rPr>
        <w:footnoteReference w:id="48"/>
      </w:r>
      <w:r w:rsidRPr="001B0CCC">
        <w:rPr>
          <w:rFonts w:cs="Calibri"/>
          <w:szCs w:val="26"/>
          <w:lang w:val="en-US"/>
        </w:rPr>
        <w:t xml:space="preserve"> and flexible working during 2020 and these options should support more persons with disabilities into the labour market.</w:t>
      </w:r>
    </w:p>
    <w:p w14:paraId="4B387D6C" w14:textId="509F1CB7" w:rsidR="006667E9" w:rsidRPr="00893DBD" w:rsidRDefault="006667E9" w:rsidP="006667E9">
      <w:pPr>
        <w:pStyle w:val="Heading2"/>
      </w:pPr>
      <w:bookmarkStart w:id="30" w:name="_Toc66782896"/>
      <w:r w:rsidRPr="00893DBD">
        <w:t>Theme</w:t>
      </w:r>
      <w:r>
        <w:t xml:space="preserve"> 3</w:t>
      </w:r>
      <w:r w:rsidRPr="00893DBD">
        <w:t>: Engaging employers</w:t>
      </w:r>
      <w:bookmarkEnd w:id="30"/>
      <w:r w:rsidRPr="00893DBD">
        <w:t xml:space="preserve"> </w:t>
      </w:r>
    </w:p>
    <w:p w14:paraId="38793AA7" w14:textId="654E10A7" w:rsidR="00D857F6" w:rsidRDefault="006667E9" w:rsidP="007E797D">
      <w:pPr>
        <w:pStyle w:val="ListBullet"/>
        <w:numPr>
          <w:ilvl w:val="0"/>
          <w:numId w:val="0"/>
        </w:numPr>
        <w:spacing w:before="0"/>
      </w:pPr>
      <w:r w:rsidRPr="00893DBD">
        <w:t xml:space="preserve">Successfully engaging employers is </w:t>
      </w:r>
      <w:r w:rsidR="00BD42B9">
        <w:t>critical</w:t>
      </w:r>
      <w:r w:rsidR="00BD42B9" w:rsidRPr="00893DBD">
        <w:t xml:space="preserve"> </w:t>
      </w:r>
      <w:r w:rsidRPr="00893DBD">
        <w:t xml:space="preserve">to raising the numbers of </w:t>
      </w:r>
      <w:r>
        <w:t>persons</w:t>
      </w:r>
      <w:r w:rsidRPr="00893DBD">
        <w:t xml:space="preserve"> with disabilities in employment. While the role of the government </w:t>
      </w:r>
      <w:r>
        <w:t xml:space="preserve">in employer engagement is </w:t>
      </w:r>
      <w:r w:rsidR="00BD42B9">
        <w:t xml:space="preserve">currently </w:t>
      </w:r>
      <w:r>
        <w:t>through the public employment service</w:t>
      </w:r>
      <w:r w:rsidR="007F6175">
        <w:rPr>
          <w:rStyle w:val="FootnoteReference"/>
        </w:rPr>
        <w:footnoteReference w:id="49"/>
      </w:r>
      <w:r w:rsidRPr="00893DBD">
        <w:t xml:space="preserve">, </w:t>
      </w:r>
      <w:r w:rsidR="00F2593A">
        <w:t xml:space="preserve">increasing </w:t>
      </w:r>
      <w:r w:rsidRPr="00893DBD">
        <w:t xml:space="preserve">employer awareness of supports and </w:t>
      </w:r>
      <w:r w:rsidR="00F2593A">
        <w:t xml:space="preserve">the </w:t>
      </w:r>
      <w:r w:rsidRPr="00893DBD">
        <w:t xml:space="preserve">abilities of staff with disabilities requires a persistent effort. </w:t>
      </w:r>
      <w:r w:rsidRPr="00893DBD">
        <w:rPr>
          <w:lang w:eastAsia="zh-CN"/>
        </w:rPr>
        <w:t xml:space="preserve">Also relevant is how the State supports employers and connects with them in relation to supporting access to jobs seekers. </w:t>
      </w:r>
      <w:r w:rsidR="00F2593A">
        <w:rPr>
          <w:lang w:eastAsia="zh-CN"/>
        </w:rPr>
        <w:t xml:space="preserve">Between </w:t>
      </w:r>
      <w:r>
        <w:rPr>
          <w:lang w:eastAsia="zh-CN"/>
        </w:rPr>
        <w:t xml:space="preserve">2015 </w:t>
      </w:r>
      <w:r w:rsidR="00F2593A">
        <w:rPr>
          <w:lang w:eastAsia="zh-CN"/>
        </w:rPr>
        <w:t>and</w:t>
      </w:r>
      <w:r>
        <w:rPr>
          <w:lang w:eastAsia="zh-CN"/>
        </w:rPr>
        <w:t xml:space="preserve"> 201</w:t>
      </w:r>
      <w:r w:rsidR="002154FF">
        <w:rPr>
          <w:lang w:eastAsia="zh-CN"/>
        </w:rPr>
        <w:t>9</w:t>
      </w:r>
      <w:r>
        <w:rPr>
          <w:lang w:eastAsia="zh-CN"/>
        </w:rPr>
        <w:t xml:space="preserve"> the NDA funded and oversaw the Employers Disabi</w:t>
      </w:r>
      <w:r w:rsidR="009F38F1">
        <w:rPr>
          <w:lang w:eastAsia="zh-CN"/>
        </w:rPr>
        <w:t xml:space="preserve">lity Information (EDI) Service which </w:t>
      </w:r>
      <w:r>
        <w:rPr>
          <w:lang w:eastAsia="zh-CN"/>
        </w:rPr>
        <w:t xml:space="preserve">was evaluated in 2017 by </w:t>
      </w:r>
      <w:r w:rsidRPr="00347BF3">
        <w:t>the UK Business Disability Forum</w:t>
      </w:r>
      <w:r>
        <w:t>. The evaluation noted that e</w:t>
      </w:r>
      <w:r w:rsidRPr="001D366F">
        <w:t xml:space="preserve">mployers </w:t>
      </w:r>
      <w:r>
        <w:t xml:space="preserve">still </w:t>
      </w:r>
      <w:r w:rsidRPr="001D366F">
        <w:t>need</w:t>
      </w:r>
      <w:r>
        <w:t>ed</w:t>
      </w:r>
      <w:r w:rsidRPr="001D366F">
        <w:t xml:space="preserve"> support and in particular specific </w:t>
      </w:r>
      <w:r>
        <w:t>‘</w:t>
      </w:r>
      <w:r w:rsidRPr="001D366F">
        <w:t>know how</w:t>
      </w:r>
      <w:r>
        <w:t>’</w:t>
      </w:r>
      <w:r w:rsidRPr="001D366F">
        <w:t xml:space="preserve"> on targeted recruitment, reasonable</w:t>
      </w:r>
      <w:r>
        <w:t xml:space="preserve"> accommodation and access to employer grants. In particular</w:t>
      </w:r>
      <w:r w:rsidR="009F38F1">
        <w:t>,</w:t>
      </w:r>
      <w:r>
        <w:t xml:space="preserve"> the review highlighted the need for employer ‘peer to peer support’. </w:t>
      </w:r>
    </w:p>
    <w:p w14:paraId="6F4A37F0" w14:textId="58372A87" w:rsidR="00D857F6" w:rsidRPr="00893DBD" w:rsidRDefault="00D857F6" w:rsidP="007E797D">
      <w:pPr>
        <w:pStyle w:val="ListBullet"/>
        <w:numPr>
          <w:ilvl w:val="0"/>
          <w:numId w:val="0"/>
        </w:numPr>
        <w:rPr>
          <w:rFonts w:eastAsia="SimSun"/>
          <w:szCs w:val="26"/>
        </w:rPr>
      </w:pPr>
      <w:r w:rsidRPr="00893DBD">
        <w:rPr>
          <w:rFonts w:eastAsia="SimSun"/>
          <w:szCs w:val="26"/>
        </w:rPr>
        <w:t>In December 2020</w:t>
      </w:r>
      <w:r w:rsidR="002154FF">
        <w:rPr>
          <w:rFonts w:eastAsia="SimSun"/>
          <w:szCs w:val="26"/>
        </w:rPr>
        <w:t>,</w:t>
      </w:r>
      <w:r w:rsidRPr="00893DBD">
        <w:rPr>
          <w:rFonts w:eastAsia="SimSun"/>
          <w:szCs w:val="26"/>
        </w:rPr>
        <w:t xml:space="preserve"> DCEDIY agreed a programme of work with the Open Doors Initiative (ODI)</w:t>
      </w:r>
      <w:r>
        <w:rPr>
          <w:rFonts w:eastAsia="SimSun"/>
          <w:szCs w:val="26"/>
        </w:rPr>
        <w:t xml:space="preserve"> to create a successor to the EDI and to build on the learning from that initiative</w:t>
      </w:r>
      <w:r w:rsidRPr="00893DBD">
        <w:rPr>
          <w:rFonts w:eastAsia="SimSun"/>
          <w:szCs w:val="26"/>
        </w:rPr>
        <w:t>. ODI will develop an employer awareness programme and p</w:t>
      </w:r>
      <w:r w:rsidRPr="00893DBD">
        <w:rPr>
          <w:rFonts w:eastAsia="SimSun"/>
          <w:bCs/>
          <w:szCs w:val="26"/>
        </w:rPr>
        <w:t xml:space="preserve">rovide a dedicated helpline giving advice and information to employers about recruiting and employing </w:t>
      </w:r>
      <w:r>
        <w:rPr>
          <w:rFonts w:eastAsia="SimSun"/>
          <w:bCs/>
          <w:szCs w:val="26"/>
        </w:rPr>
        <w:t>persons</w:t>
      </w:r>
      <w:r w:rsidRPr="00893DBD">
        <w:rPr>
          <w:rFonts w:eastAsia="SimSun"/>
          <w:bCs/>
          <w:szCs w:val="26"/>
        </w:rPr>
        <w:t xml:space="preserve"> with disabilities. Simila</w:t>
      </w:r>
      <w:r>
        <w:rPr>
          <w:rFonts w:eastAsia="SimSun"/>
          <w:bCs/>
          <w:szCs w:val="26"/>
        </w:rPr>
        <w:t>r</w:t>
      </w:r>
      <w:r w:rsidRPr="00893DBD">
        <w:rPr>
          <w:rFonts w:eastAsia="SimSun"/>
          <w:bCs/>
          <w:szCs w:val="26"/>
        </w:rPr>
        <w:t xml:space="preserve"> to EDI</w:t>
      </w:r>
      <w:r>
        <w:rPr>
          <w:rFonts w:eastAsia="SimSun"/>
          <w:bCs/>
          <w:szCs w:val="26"/>
        </w:rPr>
        <w:t xml:space="preserve"> </w:t>
      </w:r>
      <w:r w:rsidRPr="00893DBD">
        <w:rPr>
          <w:rFonts w:eastAsia="SimSun"/>
          <w:bCs/>
          <w:szCs w:val="26"/>
        </w:rPr>
        <w:t>this ini</w:t>
      </w:r>
      <w:r>
        <w:rPr>
          <w:rFonts w:eastAsia="SimSun"/>
          <w:bCs/>
          <w:szCs w:val="26"/>
        </w:rPr>
        <w:t>ti</w:t>
      </w:r>
      <w:r w:rsidRPr="00893DBD">
        <w:rPr>
          <w:rFonts w:eastAsia="SimSun"/>
          <w:bCs/>
          <w:szCs w:val="26"/>
        </w:rPr>
        <w:t>ative will host a central web-based information resource incorporating guidance and a FAQ section. The new service will also:</w:t>
      </w:r>
    </w:p>
    <w:p w14:paraId="0D50D8FE" w14:textId="77777777" w:rsidR="00D857F6" w:rsidRPr="00154CBF" w:rsidRDefault="00D857F6" w:rsidP="00D857F6">
      <w:pPr>
        <w:pStyle w:val="ListBullet"/>
        <w:rPr>
          <w:bCs/>
          <w:szCs w:val="26"/>
        </w:rPr>
      </w:pPr>
      <w:r w:rsidRPr="00154CBF">
        <w:rPr>
          <w:bCs/>
          <w:szCs w:val="26"/>
        </w:rPr>
        <w:t>Provide and participate in awareness raising and outreach activities</w:t>
      </w:r>
    </w:p>
    <w:p w14:paraId="71A143D7" w14:textId="77777777" w:rsidR="00D857F6" w:rsidRPr="00154CBF" w:rsidRDefault="00D857F6" w:rsidP="00D857F6">
      <w:pPr>
        <w:pStyle w:val="ListBullet"/>
        <w:rPr>
          <w:bCs/>
          <w:szCs w:val="26"/>
        </w:rPr>
      </w:pPr>
      <w:r w:rsidRPr="00154CBF">
        <w:rPr>
          <w:bCs/>
          <w:szCs w:val="26"/>
        </w:rPr>
        <w:t>Maintain links with employer stakeholders and disability stakeholders</w:t>
      </w:r>
    </w:p>
    <w:p w14:paraId="4BC2E6FF" w14:textId="0C937240" w:rsidR="006667E9" w:rsidRDefault="00D857F6" w:rsidP="007E797D">
      <w:pPr>
        <w:pStyle w:val="ListBullet"/>
      </w:pPr>
      <w:r w:rsidRPr="00154CBF">
        <w:rPr>
          <w:bCs/>
          <w:szCs w:val="26"/>
        </w:rPr>
        <w:t>Promote the positive business case for the employment of persons with disabilities.</w:t>
      </w:r>
    </w:p>
    <w:p w14:paraId="05F7C1B5" w14:textId="2625DE3D" w:rsidR="003E085C" w:rsidRDefault="006667E9" w:rsidP="003E085C">
      <w:pPr>
        <w:rPr>
          <w:szCs w:val="26"/>
        </w:rPr>
      </w:pPr>
      <w:r>
        <w:rPr>
          <w:szCs w:val="26"/>
        </w:rPr>
        <w:t xml:space="preserve">In response to the pandemic </w:t>
      </w:r>
      <w:r w:rsidRPr="00893DBD">
        <w:rPr>
          <w:szCs w:val="26"/>
        </w:rPr>
        <w:t>Ibec</w:t>
      </w:r>
      <w:r w:rsidR="00F2593A">
        <w:rPr>
          <w:szCs w:val="26"/>
        </w:rPr>
        <w:t>,</w:t>
      </w:r>
      <w:r w:rsidRPr="00893DBD">
        <w:rPr>
          <w:szCs w:val="26"/>
        </w:rPr>
        <w:t xml:space="preserve"> </w:t>
      </w:r>
      <w:r>
        <w:rPr>
          <w:szCs w:val="26"/>
        </w:rPr>
        <w:t>the employers and business organisation</w:t>
      </w:r>
      <w:r w:rsidR="00F2593A">
        <w:rPr>
          <w:szCs w:val="26"/>
        </w:rPr>
        <w:t>,</w:t>
      </w:r>
      <w:r>
        <w:rPr>
          <w:szCs w:val="26"/>
        </w:rPr>
        <w:t xml:space="preserve"> </w:t>
      </w:r>
      <w:r w:rsidRPr="00893DBD">
        <w:rPr>
          <w:szCs w:val="26"/>
        </w:rPr>
        <w:t xml:space="preserve">stated that the pre-crisis work on addressing structural challenges in the labour market facing </w:t>
      </w:r>
      <w:r>
        <w:rPr>
          <w:szCs w:val="26"/>
        </w:rPr>
        <w:t>persons</w:t>
      </w:r>
      <w:r w:rsidRPr="00893DBD">
        <w:rPr>
          <w:szCs w:val="26"/>
        </w:rPr>
        <w:t xml:space="preserve"> with disabilities and other marginalised groups </w:t>
      </w:r>
      <w:r w:rsidR="002154FF">
        <w:rPr>
          <w:szCs w:val="26"/>
        </w:rPr>
        <w:t xml:space="preserve">had identified the necessity of </w:t>
      </w:r>
      <w:r w:rsidR="00204D08">
        <w:rPr>
          <w:szCs w:val="26"/>
        </w:rPr>
        <w:t xml:space="preserve">tailored solutions. </w:t>
      </w:r>
      <w:r w:rsidR="002154FF">
        <w:rPr>
          <w:szCs w:val="26"/>
        </w:rPr>
        <w:t xml:space="preserve">Such solutions </w:t>
      </w:r>
      <w:r w:rsidR="00204D08">
        <w:rPr>
          <w:szCs w:val="26"/>
        </w:rPr>
        <w:t>would</w:t>
      </w:r>
      <w:r w:rsidRPr="00893DBD">
        <w:rPr>
          <w:szCs w:val="26"/>
        </w:rPr>
        <w:t xml:space="preserve"> </w:t>
      </w:r>
      <w:r w:rsidR="002154FF">
        <w:rPr>
          <w:szCs w:val="26"/>
        </w:rPr>
        <w:t xml:space="preserve">help to </w:t>
      </w:r>
      <w:r w:rsidRPr="00893DBD">
        <w:rPr>
          <w:szCs w:val="26"/>
        </w:rPr>
        <w:t xml:space="preserve">avoid further distancing cohorts that may be even more marginalised by the crisis given their additional challenges (e.g. </w:t>
      </w:r>
      <w:r>
        <w:rPr>
          <w:szCs w:val="26"/>
        </w:rPr>
        <w:t>persons</w:t>
      </w:r>
      <w:r w:rsidRPr="00893DBD">
        <w:rPr>
          <w:szCs w:val="26"/>
        </w:rPr>
        <w:t xml:space="preserve"> with disabilities, lone parents etc.</w:t>
      </w:r>
      <w:r w:rsidRPr="00893DBD">
        <w:rPr>
          <w:szCs w:val="26"/>
          <w:vertAlign w:val="superscript"/>
        </w:rPr>
        <w:footnoteReference w:id="50"/>
      </w:r>
      <w:r w:rsidRPr="00893DBD">
        <w:rPr>
          <w:szCs w:val="26"/>
        </w:rPr>
        <w:t>)</w:t>
      </w:r>
    </w:p>
    <w:p w14:paraId="329F6AF5" w14:textId="4AD9962E" w:rsidR="006667E9" w:rsidRPr="00893DBD" w:rsidRDefault="00F2593A" w:rsidP="006667E9">
      <w:pPr>
        <w:ind w:right="1"/>
        <w:rPr>
          <w:szCs w:val="26"/>
        </w:rPr>
      </w:pPr>
      <w:r>
        <w:rPr>
          <w:szCs w:val="26"/>
          <w:lang w:eastAsia="zh-CN"/>
        </w:rPr>
        <w:t>T</w:t>
      </w:r>
      <w:r w:rsidR="006667E9" w:rsidRPr="00893DBD">
        <w:rPr>
          <w:szCs w:val="26"/>
          <w:lang w:eastAsia="zh-CN"/>
        </w:rPr>
        <w:t>hroughout 2020</w:t>
      </w:r>
      <w:r w:rsidR="006667E9">
        <w:rPr>
          <w:szCs w:val="26"/>
          <w:lang w:eastAsia="zh-CN"/>
        </w:rPr>
        <w:t>,</w:t>
      </w:r>
      <w:r w:rsidR="006667E9" w:rsidRPr="00893DBD">
        <w:rPr>
          <w:szCs w:val="26"/>
          <w:lang w:eastAsia="zh-CN"/>
        </w:rPr>
        <w:t xml:space="preserve"> steady progress was made on a number of employer</w:t>
      </w:r>
      <w:r w:rsidR="006667E9">
        <w:rPr>
          <w:szCs w:val="26"/>
          <w:lang w:eastAsia="zh-CN"/>
        </w:rPr>
        <w:t>-</w:t>
      </w:r>
      <w:r w:rsidR="006667E9" w:rsidRPr="00893DBD">
        <w:rPr>
          <w:szCs w:val="26"/>
          <w:lang w:eastAsia="zh-CN"/>
        </w:rPr>
        <w:t>led initiatives</w:t>
      </w:r>
      <w:r w:rsidR="006667E9">
        <w:rPr>
          <w:szCs w:val="26"/>
          <w:lang w:eastAsia="zh-CN"/>
        </w:rPr>
        <w:t xml:space="preserve"> aimed at increasing employer awareness of the potential of employees with disabilities</w:t>
      </w:r>
      <w:r w:rsidR="006667E9" w:rsidRPr="00893DBD">
        <w:rPr>
          <w:szCs w:val="26"/>
          <w:lang w:eastAsia="zh-CN"/>
        </w:rPr>
        <w:t xml:space="preserve">. Outlined below are actions that </w:t>
      </w:r>
      <w:r w:rsidR="006667E9">
        <w:rPr>
          <w:szCs w:val="26"/>
          <w:lang w:eastAsia="zh-CN"/>
        </w:rPr>
        <w:t>have the potential to</w:t>
      </w:r>
      <w:r w:rsidR="006667E9" w:rsidRPr="00893DBD">
        <w:rPr>
          <w:szCs w:val="26"/>
          <w:lang w:eastAsia="zh-CN"/>
        </w:rPr>
        <w:t xml:space="preserve"> have a long</w:t>
      </w:r>
      <w:r w:rsidR="006667E9">
        <w:rPr>
          <w:szCs w:val="26"/>
          <w:lang w:eastAsia="zh-CN"/>
        </w:rPr>
        <w:t>-</w:t>
      </w:r>
      <w:r w:rsidR="006667E9" w:rsidRPr="00893DBD">
        <w:rPr>
          <w:szCs w:val="26"/>
          <w:lang w:eastAsia="zh-CN"/>
        </w:rPr>
        <w:t>term impact on employer engagement</w:t>
      </w:r>
      <w:r w:rsidR="002154FF">
        <w:rPr>
          <w:szCs w:val="26"/>
          <w:lang w:eastAsia="zh-CN"/>
        </w:rPr>
        <w:t>:</w:t>
      </w:r>
    </w:p>
    <w:p w14:paraId="28D6F5C6" w14:textId="72E2F1BD" w:rsidR="006667E9" w:rsidRPr="00893DBD" w:rsidRDefault="006667E9" w:rsidP="007E797D">
      <w:pPr>
        <w:pStyle w:val="ListBullet"/>
        <w:rPr>
          <w:szCs w:val="26"/>
        </w:rPr>
      </w:pPr>
      <w:r w:rsidRPr="00893DBD">
        <w:rPr>
          <w:rFonts w:eastAsia="SimSun"/>
          <w:szCs w:val="26"/>
        </w:rPr>
        <w:t xml:space="preserve">With funding from the NDA four partner organisations, Not So Different, Walk, </w:t>
      </w:r>
      <w:hyperlink r:id="rId11" w:history="1">
        <w:r w:rsidRPr="00893DBD">
          <w:rPr>
            <w:rFonts w:eastAsia="SimSun"/>
            <w:szCs w:val="26"/>
          </w:rPr>
          <w:t>Rehab Group</w:t>
        </w:r>
      </w:hyperlink>
      <w:r>
        <w:rPr>
          <w:rFonts w:eastAsia="SimSun"/>
          <w:szCs w:val="26"/>
        </w:rPr>
        <w:t xml:space="preserve"> </w:t>
      </w:r>
      <w:r w:rsidRPr="00893DBD">
        <w:rPr>
          <w:rFonts w:eastAsia="SimSun"/>
          <w:szCs w:val="26"/>
        </w:rPr>
        <w:t>and AsIAm, created an online training programme to support employers in becoming “disability confident”. Research has often identified that employer</w:t>
      </w:r>
      <w:r>
        <w:rPr>
          <w:rFonts w:eastAsia="SimSun"/>
          <w:szCs w:val="26"/>
        </w:rPr>
        <w:t>’</w:t>
      </w:r>
      <w:r w:rsidR="003E085C">
        <w:rPr>
          <w:rFonts w:eastAsia="SimSun"/>
          <w:szCs w:val="26"/>
        </w:rPr>
        <w:t>s lack</w:t>
      </w:r>
      <w:r w:rsidRPr="00893DBD">
        <w:rPr>
          <w:rFonts w:eastAsia="SimSun"/>
          <w:szCs w:val="26"/>
        </w:rPr>
        <w:t xml:space="preserve"> confidence in the areas of inclusive recruitment, retention and promotion of </w:t>
      </w:r>
      <w:r>
        <w:rPr>
          <w:rFonts w:eastAsia="SimSun"/>
          <w:szCs w:val="26"/>
        </w:rPr>
        <w:t>persons</w:t>
      </w:r>
      <w:r w:rsidRPr="00893DBD">
        <w:rPr>
          <w:rFonts w:eastAsia="SimSun"/>
          <w:szCs w:val="26"/>
        </w:rPr>
        <w:t xml:space="preserve"> with disabilities. Anecdotally some employers have said that they often make no decision on recruitment rather than make the wrong decision. </w:t>
      </w:r>
      <w:r w:rsidR="00F2593A">
        <w:rPr>
          <w:rFonts w:eastAsia="SimSun"/>
          <w:szCs w:val="26"/>
        </w:rPr>
        <w:t>Through</w:t>
      </w:r>
      <w:r w:rsidR="00F2593A" w:rsidRPr="00893DBD">
        <w:rPr>
          <w:rFonts w:eastAsia="SimSun"/>
          <w:szCs w:val="26"/>
        </w:rPr>
        <w:t xml:space="preserve"> </w:t>
      </w:r>
      <w:r w:rsidRPr="00893DBD">
        <w:rPr>
          <w:rFonts w:eastAsia="SimSun"/>
          <w:szCs w:val="26"/>
        </w:rPr>
        <w:t>five modules</w:t>
      </w:r>
      <w:r>
        <w:rPr>
          <w:rFonts w:eastAsia="SimSun"/>
          <w:szCs w:val="26"/>
        </w:rPr>
        <w:t xml:space="preserve"> in this new training programme</w:t>
      </w:r>
      <w:r w:rsidRPr="00893DBD">
        <w:rPr>
          <w:rFonts w:eastAsia="SimSun"/>
          <w:szCs w:val="26"/>
        </w:rPr>
        <w:t xml:space="preserve">, employers access a broad range of practical information and strategies. Topics explored include how to reach </w:t>
      </w:r>
      <w:r>
        <w:rPr>
          <w:rFonts w:eastAsia="SimSun"/>
          <w:szCs w:val="26"/>
        </w:rPr>
        <w:t>persons</w:t>
      </w:r>
      <w:r w:rsidRPr="00893DBD">
        <w:rPr>
          <w:rFonts w:eastAsia="SimSun"/>
          <w:szCs w:val="26"/>
        </w:rPr>
        <w:t xml:space="preserve"> with disabilities in recruitment campaigns, how to run inclusive and equitable interview processes, how to discuss disability with a candidate or employee and how small adjustments to the workplace environment can make a difference for an employee with a disability.</w:t>
      </w:r>
      <w:r>
        <w:rPr>
          <w:rFonts w:eastAsia="SimSun"/>
          <w:szCs w:val="26"/>
        </w:rPr>
        <w:t xml:space="preserve"> This tool was</w:t>
      </w:r>
      <w:r w:rsidR="00D857F6">
        <w:rPr>
          <w:rFonts w:eastAsia="SimSun"/>
          <w:szCs w:val="26"/>
        </w:rPr>
        <w:t xml:space="preserve"> piloted by a number of employers in the public and private sectors and was</w:t>
      </w:r>
      <w:r>
        <w:rPr>
          <w:rFonts w:eastAsia="SimSun"/>
          <w:szCs w:val="26"/>
        </w:rPr>
        <w:t xml:space="preserve"> launched at the end of 2020.</w:t>
      </w:r>
    </w:p>
    <w:p w14:paraId="6DBBBC49" w14:textId="18634279" w:rsidR="006667E9" w:rsidRPr="00893DBD" w:rsidRDefault="006667E9" w:rsidP="007E797D">
      <w:pPr>
        <w:pStyle w:val="ListBullet"/>
        <w:rPr>
          <w:rFonts w:eastAsia="SimSun"/>
          <w:sz w:val="28"/>
          <w:szCs w:val="28"/>
        </w:rPr>
      </w:pPr>
      <w:r w:rsidRPr="00893DBD">
        <w:rPr>
          <w:rFonts w:eastAsia="SimSun"/>
          <w:szCs w:val="26"/>
        </w:rPr>
        <w:t xml:space="preserve">In mid-2020 the NDA commenced a project </w:t>
      </w:r>
      <w:r w:rsidRPr="00AF3ED3">
        <w:rPr>
          <w:rFonts w:eastAsia="SimSun"/>
          <w:szCs w:val="26"/>
        </w:rPr>
        <w:t xml:space="preserve">with the </w:t>
      </w:r>
      <w:r w:rsidRPr="008058B5">
        <w:rPr>
          <w:rFonts w:eastAsia="SimSun"/>
          <w:szCs w:val="26"/>
          <w:shd w:val="clear" w:color="auto" w:fill="FFFFFF"/>
        </w:rPr>
        <w:t>Organisation for Economic Co-operation and Development</w:t>
      </w:r>
      <w:r w:rsidRPr="00AF3ED3">
        <w:rPr>
          <w:rFonts w:eastAsia="SimSun"/>
          <w:szCs w:val="26"/>
        </w:rPr>
        <w:t xml:space="preserve"> (OECD). </w:t>
      </w:r>
      <w:r w:rsidRPr="00893DBD">
        <w:rPr>
          <w:rFonts w:eastAsia="SimSun"/>
          <w:szCs w:val="26"/>
        </w:rPr>
        <w:t>This project is primarily focused</w:t>
      </w:r>
      <w:r>
        <w:rPr>
          <w:rFonts w:eastAsia="SimSun"/>
          <w:szCs w:val="26"/>
        </w:rPr>
        <w:t xml:space="preserve"> on</w:t>
      </w:r>
      <w:r w:rsidRPr="00893DBD">
        <w:rPr>
          <w:rFonts w:eastAsia="SimSun"/>
          <w:szCs w:val="26"/>
        </w:rPr>
        <w:t xml:space="preserve"> developing a better understanding of the needs of employers in Ireland</w:t>
      </w:r>
      <w:r>
        <w:rPr>
          <w:rFonts w:eastAsia="SimSun"/>
          <w:szCs w:val="26"/>
        </w:rPr>
        <w:t xml:space="preserve"> and what government can do</w:t>
      </w:r>
      <w:r w:rsidRPr="00893DBD">
        <w:rPr>
          <w:rFonts w:eastAsia="SimSun"/>
          <w:szCs w:val="26"/>
        </w:rPr>
        <w:t xml:space="preserve"> in </w:t>
      </w:r>
      <w:r w:rsidR="002154FF">
        <w:rPr>
          <w:rFonts w:eastAsia="SimSun"/>
          <w:szCs w:val="26"/>
        </w:rPr>
        <w:t>engaging with</w:t>
      </w:r>
      <w:r w:rsidR="002154FF" w:rsidRPr="00893DBD">
        <w:rPr>
          <w:rFonts w:eastAsia="SimSun"/>
          <w:szCs w:val="26"/>
        </w:rPr>
        <w:t xml:space="preserve"> </w:t>
      </w:r>
      <w:r>
        <w:rPr>
          <w:rFonts w:eastAsia="SimSun"/>
          <w:szCs w:val="26"/>
        </w:rPr>
        <w:t>employers to employ</w:t>
      </w:r>
      <w:r w:rsidRPr="00893DBD">
        <w:rPr>
          <w:rFonts w:eastAsia="SimSun"/>
          <w:szCs w:val="26"/>
        </w:rPr>
        <w:t xml:space="preserve"> persons with disabilities. The project will be completed in 2021 and will report on international examples of good practice and policy which could be applied in an Irish context regarding </w:t>
      </w:r>
      <w:r>
        <w:rPr>
          <w:rFonts w:eastAsia="SimSun"/>
          <w:szCs w:val="26"/>
        </w:rPr>
        <w:t>effectively engaging</w:t>
      </w:r>
      <w:r w:rsidRPr="00893DBD">
        <w:rPr>
          <w:rFonts w:eastAsia="SimSun"/>
          <w:szCs w:val="26"/>
        </w:rPr>
        <w:t xml:space="preserve"> employers</w:t>
      </w:r>
      <w:r w:rsidRPr="00893DBD">
        <w:rPr>
          <w:rFonts w:eastAsia="SimSun"/>
          <w:sz w:val="28"/>
          <w:szCs w:val="28"/>
        </w:rPr>
        <w:t>.</w:t>
      </w:r>
    </w:p>
    <w:p w14:paraId="56332245" w14:textId="0E9F28AC" w:rsidR="006667E9" w:rsidRPr="000A7C3F" w:rsidRDefault="006667E9" w:rsidP="007E797D">
      <w:pPr>
        <w:pStyle w:val="ListBullet"/>
        <w:rPr>
          <w:szCs w:val="26"/>
          <w:lang w:val="en-US"/>
        </w:rPr>
      </w:pPr>
      <w:r w:rsidRPr="00893DBD">
        <w:rPr>
          <w:rFonts w:eastAsia="SimSun" w:cstheme="minorHAnsi"/>
          <w:szCs w:val="26"/>
        </w:rPr>
        <w:t xml:space="preserve">During 2020, DPER made further progress on actions to identify and develop the provision of permanent pathways into the civil service for graduates of the </w:t>
      </w:r>
      <w:r w:rsidR="00E75820">
        <w:rPr>
          <w:rFonts w:eastAsia="SimSun" w:cstheme="minorHAnsi"/>
          <w:szCs w:val="26"/>
        </w:rPr>
        <w:t>Oireachtas Work Learning (</w:t>
      </w:r>
      <w:r w:rsidRPr="00893DBD">
        <w:rPr>
          <w:rFonts w:eastAsia="SimSun" w:cstheme="minorHAnsi"/>
          <w:szCs w:val="26"/>
        </w:rPr>
        <w:t>OWL</w:t>
      </w:r>
      <w:r w:rsidR="00E75820">
        <w:rPr>
          <w:rFonts w:eastAsia="SimSun" w:cstheme="minorHAnsi"/>
          <w:szCs w:val="26"/>
        </w:rPr>
        <w:t>)</w:t>
      </w:r>
      <w:r w:rsidRPr="00893DBD">
        <w:rPr>
          <w:rFonts w:eastAsia="SimSun" w:cstheme="minorHAnsi"/>
          <w:szCs w:val="26"/>
        </w:rPr>
        <w:t xml:space="preserve"> Programme and </w:t>
      </w:r>
      <w:r w:rsidR="00700756">
        <w:rPr>
          <w:rFonts w:eastAsia="SimSun" w:cstheme="minorHAnsi"/>
          <w:szCs w:val="26"/>
        </w:rPr>
        <w:t xml:space="preserve">the </w:t>
      </w:r>
      <w:r w:rsidR="00F113C9">
        <w:rPr>
          <w:rFonts w:eastAsia="SimSun" w:cstheme="minorHAnsi"/>
          <w:szCs w:val="26"/>
        </w:rPr>
        <w:t>DSP</w:t>
      </w:r>
      <w:r w:rsidR="00700756">
        <w:rPr>
          <w:rFonts w:eastAsia="SimSun" w:cstheme="minorHAnsi"/>
          <w:szCs w:val="26"/>
        </w:rPr>
        <w:t xml:space="preserve"> commissioned</w:t>
      </w:r>
      <w:r w:rsidRPr="00893DBD">
        <w:rPr>
          <w:rFonts w:eastAsia="SimSun" w:cstheme="minorHAnsi"/>
          <w:szCs w:val="26"/>
        </w:rPr>
        <w:t xml:space="preserve"> </w:t>
      </w:r>
      <w:r>
        <w:rPr>
          <w:rFonts w:eastAsia="SimSun" w:cstheme="minorHAnsi"/>
          <w:szCs w:val="26"/>
        </w:rPr>
        <w:t>Willing Able and Mentoring (</w:t>
      </w:r>
      <w:r w:rsidRPr="00893DBD">
        <w:rPr>
          <w:rFonts w:eastAsia="SimSun" w:cstheme="minorHAnsi"/>
          <w:szCs w:val="26"/>
        </w:rPr>
        <w:t>WAM</w:t>
      </w:r>
      <w:r>
        <w:rPr>
          <w:rFonts w:eastAsia="SimSun" w:cstheme="minorHAnsi"/>
          <w:szCs w:val="26"/>
        </w:rPr>
        <w:t>)</w:t>
      </w:r>
      <w:r w:rsidRPr="00893DBD">
        <w:rPr>
          <w:rFonts w:eastAsia="SimSun" w:cstheme="minorHAnsi"/>
          <w:szCs w:val="26"/>
        </w:rPr>
        <w:t xml:space="preserve"> Programme</w:t>
      </w:r>
      <w:r w:rsidR="00311412">
        <w:rPr>
          <w:rStyle w:val="FootnoteReference"/>
          <w:rFonts w:eastAsia="SimSun" w:cstheme="minorHAnsi"/>
          <w:szCs w:val="26"/>
        </w:rPr>
        <w:footnoteReference w:id="51"/>
      </w:r>
      <w:r w:rsidR="00700756">
        <w:rPr>
          <w:rFonts w:eastAsia="SimSun" w:cstheme="minorHAnsi"/>
          <w:szCs w:val="26"/>
        </w:rPr>
        <w:t xml:space="preserve"> </w:t>
      </w:r>
      <w:r w:rsidR="007F2274">
        <w:rPr>
          <w:rFonts w:eastAsia="SimSun" w:cstheme="minorHAnsi"/>
          <w:szCs w:val="26"/>
        </w:rPr>
        <w:t>(</w:t>
      </w:r>
      <w:r w:rsidR="007F2274">
        <w:t xml:space="preserve">DSP contracts for the provision of the WAM and </w:t>
      </w:r>
      <w:r w:rsidR="00700756">
        <w:t>Getahead</w:t>
      </w:r>
      <w:r w:rsidR="007F2274">
        <w:t xml:space="preserve"> programmes to support graduates with disabilities in making their transition into employment). </w:t>
      </w:r>
      <w:r w:rsidRPr="00893DBD">
        <w:rPr>
          <w:rFonts w:eastAsia="SimSun" w:cstheme="minorHAnsi"/>
          <w:szCs w:val="26"/>
        </w:rPr>
        <w:t>DPER with support from the Public Appointment Service engaged with stakeholders to create a pathway (at Clerical Officer Level) for OWL graduates to compete for permanent roles through confined competitions. The NDA welcome</w:t>
      </w:r>
      <w:r>
        <w:rPr>
          <w:rFonts w:eastAsia="SimSun" w:cstheme="minorHAnsi"/>
          <w:szCs w:val="26"/>
        </w:rPr>
        <w:t>s</w:t>
      </w:r>
      <w:r w:rsidRPr="00893DBD">
        <w:rPr>
          <w:rFonts w:eastAsia="SimSun" w:cstheme="minorHAnsi"/>
          <w:szCs w:val="26"/>
        </w:rPr>
        <w:t xml:space="preserve"> the development of such a pathway and the creation of an alternative entry route to the Irish Civil Service</w:t>
      </w:r>
      <w:r>
        <w:rPr>
          <w:rFonts w:eastAsia="SimSun" w:cstheme="minorHAnsi"/>
          <w:szCs w:val="26"/>
        </w:rPr>
        <w:t>.</w:t>
      </w:r>
      <w:r w:rsidRPr="00893DBD">
        <w:rPr>
          <w:rFonts w:eastAsia="SimSun" w:cstheme="minorHAnsi"/>
          <w:szCs w:val="26"/>
        </w:rPr>
        <w:t xml:space="preserve"> Through a presentation to the CESIG</w:t>
      </w:r>
      <w:r>
        <w:rPr>
          <w:rFonts w:eastAsia="SimSun" w:cstheme="minorHAnsi"/>
          <w:szCs w:val="26"/>
        </w:rPr>
        <w:t>,</w:t>
      </w:r>
      <w:r w:rsidRPr="00893DBD">
        <w:rPr>
          <w:rFonts w:eastAsia="SimSun" w:cstheme="minorHAnsi"/>
          <w:szCs w:val="26"/>
        </w:rPr>
        <w:t xml:space="preserve"> </w:t>
      </w:r>
      <w:r w:rsidRPr="009A71C7">
        <w:rPr>
          <w:rFonts w:eastAsia="SimSun" w:cstheme="minorHAnsi"/>
          <w:szCs w:val="26"/>
        </w:rPr>
        <w:t>DPER</w:t>
      </w:r>
      <w:r w:rsidR="009A71C7" w:rsidRPr="009A71C7">
        <w:t xml:space="preserve"> in conjunction with AHEAD and the Public Appointments Service </w:t>
      </w:r>
      <w:r>
        <w:rPr>
          <w:rFonts w:eastAsia="SimSun" w:cstheme="minorHAnsi"/>
          <w:szCs w:val="26"/>
        </w:rPr>
        <w:t>advised of</w:t>
      </w:r>
      <w:r w:rsidRPr="00893DBD">
        <w:rPr>
          <w:rFonts w:eastAsia="SimSun" w:cstheme="minorHAnsi"/>
          <w:szCs w:val="26"/>
        </w:rPr>
        <w:t xml:space="preserve"> plans </w:t>
      </w:r>
      <w:r>
        <w:rPr>
          <w:rFonts w:eastAsia="SimSun" w:cstheme="minorHAnsi"/>
          <w:szCs w:val="26"/>
        </w:rPr>
        <w:t>to progress</w:t>
      </w:r>
      <w:r w:rsidRPr="00893DBD">
        <w:rPr>
          <w:rFonts w:eastAsia="SimSun" w:cstheme="minorHAnsi"/>
          <w:szCs w:val="26"/>
        </w:rPr>
        <w:t xml:space="preserve"> engagement with stakeholders to put in place a similar permanent pathway for graduates of </w:t>
      </w:r>
      <w:r w:rsidR="008C477B">
        <w:rPr>
          <w:rFonts w:eastAsia="SimSun" w:cstheme="minorHAnsi"/>
          <w:szCs w:val="26"/>
        </w:rPr>
        <w:t>DSPs</w:t>
      </w:r>
      <w:r w:rsidRPr="00893DBD">
        <w:rPr>
          <w:rFonts w:eastAsia="SimSun" w:cstheme="minorHAnsi"/>
          <w:szCs w:val="26"/>
        </w:rPr>
        <w:t xml:space="preserve"> WAM Programme </w:t>
      </w:r>
      <w:r w:rsidR="009D0208">
        <w:rPr>
          <w:rFonts w:eastAsia="SimSun" w:cstheme="minorHAnsi"/>
          <w:szCs w:val="26"/>
        </w:rPr>
        <w:t>who</w:t>
      </w:r>
      <w:r w:rsidR="009D0208" w:rsidRPr="00893DBD">
        <w:rPr>
          <w:rFonts w:eastAsia="SimSun" w:cstheme="minorHAnsi"/>
          <w:szCs w:val="26"/>
        </w:rPr>
        <w:t xml:space="preserve"> </w:t>
      </w:r>
      <w:r w:rsidRPr="00893DBD">
        <w:rPr>
          <w:rFonts w:eastAsia="SimSun" w:cstheme="minorHAnsi"/>
          <w:szCs w:val="26"/>
        </w:rPr>
        <w:t xml:space="preserve">successfully complete their Civil Service work placements. The NDA </w:t>
      </w:r>
      <w:r>
        <w:rPr>
          <w:rFonts w:eastAsia="SimSun" w:cstheme="minorHAnsi"/>
          <w:szCs w:val="26"/>
        </w:rPr>
        <w:t>recognises that</w:t>
      </w:r>
      <w:r w:rsidRPr="00893DBD">
        <w:rPr>
          <w:rFonts w:eastAsia="SimSun" w:cstheme="minorHAnsi"/>
          <w:szCs w:val="26"/>
        </w:rPr>
        <w:t xml:space="preserve"> these initiatives will be part of a wider review by DPER of introducing an expanded range of internships / apprenticeships in general within the Civil Service as an action under the Civil Service People Strategy for 2021-2023</w:t>
      </w:r>
      <w:r>
        <w:rPr>
          <w:rFonts w:eastAsia="SimSun" w:cstheme="minorHAnsi"/>
          <w:szCs w:val="26"/>
        </w:rPr>
        <w:t>, but welcomes the developments as being particularly relevant and helpful to persons with disabilities</w:t>
      </w:r>
      <w:r w:rsidRPr="00893DBD">
        <w:rPr>
          <w:rFonts w:eastAsia="SimSun" w:cstheme="minorHAnsi"/>
          <w:szCs w:val="26"/>
        </w:rPr>
        <w:t>.</w:t>
      </w:r>
    </w:p>
    <w:p w14:paraId="02B6A4AF" w14:textId="77777777" w:rsidR="006667E9" w:rsidRPr="00893DBD" w:rsidRDefault="006667E9" w:rsidP="007E797D">
      <w:pPr>
        <w:pStyle w:val="Heading3"/>
      </w:pPr>
      <w:bookmarkStart w:id="31" w:name="_Toc66782897"/>
      <w:r w:rsidRPr="00893DBD">
        <w:t>Increasing employment targets for the public sector</w:t>
      </w:r>
      <w:bookmarkEnd w:id="31"/>
    </w:p>
    <w:p w14:paraId="33D88B77" w14:textId="77777777" w:rsidR="006667E9" w:rsidRDefault="006667E9" w:rsidP="006667E9">
      <w:pPr>
        <w:rPr>
          <w:szCs w:val="26"/>
        </w:rPr>
      </w:pPr>
      <w:r w:rsidRPr="00893DBD">
        <w:rPr>
          <w:szCs w:val="26"/>
        </w:rPr>
        <w:t>The Disability Miscellaneous Provisions Bill (2016), which lapsed at the end of the previous Dail session, propos</w:t>
      </w:r>
      <w:r>
        <w:rPr>
          <w:szCs w:val="26"/>
        </w:rPr>
        <w:t>ed</w:t>
      </w:r>
      <w:r w:rsidRPr="00893DBD">
        <w:rPr>
          <w:szCs w:val="26"/>
        </w:rPr>
        <w:t xml:space="preserve"> increasing the recruitment and retention of persons with disabilities</w:t>
      </w:r>
      <w:r>
        <w:rPr>
          <w:szCs w:val="26"/>
        </w:rPr>
        <w:t xml:space="preserve"> in the public service</w:t>
      </w:r>
      <w:r w:rsidRPr="00893DBD">
        <w:rPr>
          <w:szCs w:val="26"/>
        </w:rPr>
        <w:t xml:space="preserve"> from the current 3% to </w:t>
      </w:r>
      <w:r>
        <w:rPr>
          <w:szCs w:val="26"/>
        </w:rPr>
        <w:t>a</w:t>
      </w:r>
      <w:r w:rsidRPr="00893DBD">
        <w:rPr>
          <w:szCs w:val="26"/>
        </w:rPr>
        <w:t xml:space="preserve"> proposed minimum statutory employment target of 6% by 2024. The NDA looks forward to seeing this underpinning legislation for Government’s commitment in this regard passed at the earliest opportunity.</w:t>
      </w:r>
      <w:r>
        <w:rPr>
          <w:rStyle w:val="FootnoteReference"/>
          <w:rFonts w:ascii="Gill Sans MT" w:hAnsi="Gill Sans MT"/>
          <w:sz w:val="26"/>
          <w:szCs w:val="26"/>
        </w:rPr>
        <w:footnoteReference w:id="52"/>
      </w:r>
      <w:r w:rsidRPr="00893DBD">
        <w:rPr>
          <w:szCs w:val="26"/>
        </w:rPr>
        <w:t xml:space="preserve"> The NDA report</w:t>
      </w:r>
      <w:r>
        <w:rPr>
          <w:szCs w:val="26"/>
        </w:rPr>
        <w:t>s</w:t>
      </w:r>
      <w:r w:rsidRPr="00893DBD">
        <w:rPr>
          <w:szCs w:val="26"/>
        </w:rPr>
        <w:t xml:space="preserve"> annually on compliance</w:t>
      </w:r>
      <w:r>
        <w:rPr>
          <w:szCs w:val="26"/>
        </w:rPr>
        <w:t xml:space="preserve"> with Part 5 of the Disability Act and advises</w:t>
      </w:r>
      <w:r w:rsidRPr="00893DBD">
        <w:rPr>
          <w:szCs w:val="26"/>
        </w:rPr>
        <w:t xml:space="preserve"> that the public sector as a whole has achieved the 3% minimum since 2010. </w:t>
      </w:r>
    </w:p>
    <w:p w14:paraId="53B9CE44" w14:textId="0B5126B0" w:rsidR="006667E9" w:rsidRDefault="006667E9" w:rsidP="007E797D">
      <w:pPr>
        <w:pStyle w:val="ListParagraph"/>
        <w:ind w:left="0"/>
      </w:pPr>
      <w:r w:rsidRPr="00893DBD">
        <w:rPr>
          <w:szCs w:val="26"/>
        </w:rPr>
        <w:t>The most recent</w:t>
      </w:r>
      <w:r w:rsidR="009D0208">
        <w:rPr>
          <w:szCs w:val="26"/>
        </w:rPr>
        <w:t>ly published</w:t>
      </w:r>
      <w:r w:rsidRPr="00893DBD">
        <w:rPr>
          <w:szCs w:val="26"/>
        </w:rPr>
        <w:t xml:space="preserve"> statutory report from the NDA on compliance refers to 2018, </w:t>
      </w:r>
      <w:r>
        <w:rPr>
          <w:szCs w:val="26"/>
        </w:rPr>
        <w:t xml:space="preserve">which was </w:t>
      </w:r>
      <w:r w:rsidRPr="00893DBD">
        <w:rPr>
          <w:szCs w:val="26"/>
        </w:rPr>
        <w:t>submitted to the Minister in November 2019.</w:t>
      </w:r>
      <w:r w:rsidR="00080B1B">
        <w:rPr>
          <w:rStyle w:val="FootnoteReference"/>
          <w:szCs w:val="26"/>
        </w:rPr>
        <w:footnoteReference w:id="53"/>
      </w:r>
      <w:r w:rsidRPr="00893DBD">
        <w:rPr>
          <w:szCs w:val="26"/>
        </w:rPr>
        <w:t xml:space="preserve"> At the end of 2018</w:t>
      </w:r>
      <w:r w:rsidR="00E75820">
        <w:rPr>
          <w:szCs w:val="26"/>
        </w:rPr>
        <w:t>,</w:t>
      </w:r>
      <w:r w:rsidR="00522679">
        <w:rPr>
          <w:szCs w:val="26"/>
        </w:rPr>
        <w:t xml:space="preserve"> </w:t>
      </w:r>
      <w:r w:rsidRPr="00893DBD">
        <w:rPr>
          <w:szCs w:val="26"/>
        </w:rPr>
        <w:t xml:space="preserve">7,585 </w:t>
      </w:r>
      <w:r w:rsidRPr="00893DBD">
        <w:rPr>
          <w:b/>
          <w:szCs w:val="26"/>
        </w:rPr>
        <w:t xml:space="preserve">(3.3%) </w:t>
      </w:r>
      <w:r w:rsidR="00522679">
        <w:rPr>
          <w:szCs w:val="26"/>
        </w:rPr>
        <w:t xml:space="preserve">employees working </w:t>
      </w:r>
      <w:r w:rsidR="00522679" w:rsidRPr="00893DBD">
        <w:rPr>
          <w:szCs w:val="26"/>
        </w:rPr>
        <w:t xml:space="preserve">in the public sector </w:t>
      </w:r>
      <w:r w:rsidR="00522679">
        <w:rPr>
          <w:szCs w:val="26"/>
        </w:rPr>
        <w:t>reported</w:t>
      </w:r>
      <w:r w:rsidR="00522679" w:rsidRPr="00893DBD">
        <w:rPr>
          <w:szCs w:val="26"/>
        </w:rPr>
        <w:t xml:space="preserve"> a disability</w:t>
      </w:r>
      <w:r w:rsidR="00522679">
        <w:rPr>
          <w:szCs w:val="26"/>
        </w:rPr>
        <w:t xml:space="preserve">. Within the civil service there were 990 employees who reported a disability (4.7%). </w:t>
      </w:r>
      <w:r w:rsidRPr="00E5642A">
        <w:rPr>
          <w:color w:val="000000" w:themeColor="text1"/>
          <w:szCs w:val="26"/>
        </w:rPr>
        <w:t xml:space="preserve">All Government Departments exceeded the minimum 3% target for 2018 - the seventh successive year that the target was exceeded by all departments. </w:t>
      </w:r>
    </w:p>
    <w:p w14:paraId="1A2AE710" w14:textId="67892F70" w:rsidR="006667E9" w:rsidRPr="008D4792" w:rsidRDefault="006667E9" w:rsidP="006667E9">
      <w:pPr>
        <w:rPr>
          <w:i/>
          <w:iCs/>
          <w:szCs w:val="26"/>
        </w:rPr>
      </w:pPr>
      <w:r>
        <w:rPr>
          <w:szCs w:val="26"/>
        </w:rPr>
        <w:t xml:space="preserve">Significant work is required across the public service to achieve the 6% target by 2024. During 2020 the NDA continued to work with public bodies that were experiencing challenges in meeting the minimum 3% target. This support provided public bodies with assistance to develop programmes of work to create more equitable, diverse and inclusive work cultures and in turn to improve their level of compliance with Part 5 and to improve the quality of their Part 5 returns. </w:t>
      </w:r>
      <w:r>
        <w:rPr>
          <w:color w:val="000000"/>
          <w:szCs w:val="26"/>
        </w:rPr>
        <w:t>Since June 2020, the NDA has initiated and engaged with a designated team that has</w:t>
      </w:r>
      <w:r>
        <w:rPr>
          <w:szCs w:val="26"/>
        </w:rPr>
        <w:t xml:space="preserve"> been appointed in the HSE to focus on improving this public body’s compliance with Part 5. This collaborative approach led to the development of a unique action plan that included in 2020</w:t>
      </w:r>
      <w:r w:rsidRPr="00893DBD">
        <w:rPr>
          <w:szCs w:val="26"/>
        </w:rPr>
        <w:t xml:space="preserve"> a joint workshop with the UKs National Health Service </w:t>
      </w:r>
      <w:r w:rsidRPr="008D4792">
        <w:rPr>
          <w:rFonts w:cs="Calibri"/>
          <w:bCs/>
          <w:szCs w:val="26"/>
          <w:lang w:val="en-US" w:eastAsia="en-GB"/>
        </w:rPr>
        <w:t>Workforce Dis</w:t>
      </w:r>
      <w:r w:rsidR="008D4792" w:rsidRPr="008D4792">
        <w:rPr>
          <w:rFonts w:cs="Calibri"/>
          <w:bCs/>
          <w:szCs w:val="26"/>
          <w:lang w:val="en-US" w:eastAsia="en-GB"/>
        </w:rPr>
        <w:t>ability Equality Standard</w:t>
      </w:r>
      <w:r w:rsidRPr="008D4792">
        <w:rPr>
          <w:rFonts w:cs="Calibri"/>
          <w:bCs/>
          <w:szCs w:val="26"/>
          <w:lang w:val="en-US" w:eastAsia="en-GB"/>
        </w:rPr>
        <w:t>.</w:t>
      </w:r>
      <w:r w:rsidRPr="008D4792">
        <w:rPr>
          <w:rStyle w:val="FootnoteReference"/>
          <w:rFonts w:ascii="Gill Sans MT" w:hAnsi="Gill Sans MT" w:cs="Calibri"/>
          <w:bCs/>
          <w:sz w:val="26"/>
          <w:szCs w:val="26"/>
          <w:lang w:val="en-US" w:eastAsia="en-GB"/>
        </w:rPr>
        <w:footnoteReference w:id="54"/>
      </w:r>
    </w:p>
    <w:p w14:paraId="7A0629BD" w14:textId="04EC29CA" w:rsidR="006667E9" w:rsidRPr="006667E9" w:rsidRDefault="006667E9" w:rsidP="006667E9">
      <w:pPr>
        <w:rPr>
          <w:iCs/>
          <w:szCs w:val="26"/>
        </w:rPr>
      </w:pPr>
      <w:r w:rsidRPr="00E00147">
        <w:rPr>
          <w:szCs w:val="26"/>
        </w:rPr>
        <w:t>In addition to the above</w:t>
      </w:r>
      <w:r w:rsidR="008D4792">
        <w:rPr>
          <w:szCs w:val="26"/>
        </w:rPr>
        <w:t>,</w:t>
      </w:r>
      <w:r w:rsidRPr="00E00147">
        <w:rPr>
          <w:szCs w:val="26"/>
        </w:rPr>
        <w:t xml:space="preserve"> the NDA conducted a review of the operation of Part 5 of the Disability Act 2005</w:t>
      </w:r>
      <w:r>
        <w:rPr>
          <w:szCs w:val="26"/>
        </w:rPr>
        <w:t>. T</w:t>
      </w:r>
      <w:r w:rsidRPr="00E00147">
        <w:rPr>
          <w:szCs w:val="26"/>
        </w:rPr>
        <w:t xml:space="preserve">his review described both data and transferable learning that is available across the public sector. This review also served as source material for an NDA 2020 paper that </w:t>
      </w:r>
      <w:r>
        <w:rPr>
          <w:iCs/>
          <w:szCs w:val="26"/>
        </w:rPr>
        <w:t>outlines recommendations for implementation over a three-year timeframe for</w:t>
      </w:r>
      <w:r w:rsidRPr="00E00147">
        <w:rPr>
          <w:iCs/>
          <w:szCs w:val="26"/>
        </w:rPr>
        <w:t xml:space="preserve"> improving the </w:t>
      </w:r>
      <w:r>
        <w:rPr>
          <w:iCs/>
          <w:szCs w:val="26"/>
        </w:rPr>
        <w:t xml:space="preserve">Part 5 </w:t>
      </w:r>
      <w:r w:rsidRPr="00E00147">
        <w:rPr>
          <w:iCs/>
          <w:szCs w:val="26"/>
        </w:rPr>
        <w:t>monitoring process</w:t>
      </w:r>
      <w:r>
        <w:rPr>
          <w:iCs/>
          <w:szCs w:val="26"/>
        </w:rPr>
        <w:t>,</w:t>
      </w:r>
      <w:r w:rsidRPr="00E00147">
        <w:rPr>
          <w:iCs/>
          <w:szCs w:val="26"/>
        </w:rPr>
        <w:t xml:space="preserve"> </w:t>
      </w:r>
      <w:r>
        <w:rPr>
          <w:iCs/>
          <w:szCs w:val="26"/>
        </w:rPr>
        <w:t>and</w:t>
      </w:r>
      <w:r w:rsidRPr="00E00147">
        <w:rPr>
          <w:iCs/>
          <w:szCs w:val="26"/>
        </w:rPr>
        <w:t xml:space="preserve"> p</w:t>
      </w:r>
      <w:r>
        <w:rPr>
          <w:iCs/>
          <w:szCs w:val="26"/>
        </w:rPr>
        <w:t>roviding</w:t>
      </w:r>
      <w:r w:rsidRPr="00E00147">
        <w:rPr>
          <w:iCs/>
          <w:szCs w:val="26"/>
        </w:rPr>
        <w:t xml:space="preserve"> guidance </w:t>
      </w:r>
      <w:r>
        <w:rPr>
          <w:iCs/>
          <w:szCs w:val="26"/>
        </w:rPr>
        <w:t xml:space="preserve">to public bodies </w:t>
      </w:r>
      <w:r w:rsidRPr="00E00147">
        <w:rPr>
          <w:iCs/>
          <w:szCs w:val="26"/>
        </w:rPr>
        <w:t>to support the</w:t>
      </w:r>
      <w:r>
        <w:rPr>
          <w:iCs/>
          <w:szCs w:val="26"/>
        </w:rPr>
        <w:t>m reaching</w:t>
      </w:r>
      <w:r w:rsidRPr="00E00147">
        <w:rPr>
          <w:iCs/>
          <w:szCs w:val="26"/>
        </w:rPr>
        <w:t xml:space="preserve"> the increase</w:t>
      </w:r>
      <w:r w:rsidR="009D0208">
        <w:rPr>
          <w:iCs/>
          <w:szCs w:val="26"/>
        </w:rPr>
        <w:t>d</w:t>
      </w:r>
      <w:r w:rsidRPr="00E00147">
        <w:rPr>
          <w:iCs/>
          <w:szCs w:val="26"/>
        </w:rPr>
        <w:t xml:space="preserve"> target </w:t>
      </w:r>
      <w:r w:rsidR="009D0208">
        <w:rPr>
          <w:iCs/>
          <w:szCs w:val="26"/>
        </w:rPr>
        <w:t>of</w:t>
      </w:r>
      <w:r w:rsidRPr="00E00147">
        <w:rPr>
          <w:iCs/>
          <w:szCs w:val="26"/>
        </w:rPr>
        <w:t xml:space="preserve"> 6%.</w:t>
      </w:r>
      <w:r w:rsidR="008D4792">
        <w:rPr>
          <w:rStyle w:val="FootnoteReference"/>
          <w:iCs/>
          <w:szCs w:val="26"/>
        </w:rPr>
        <w:footnoteReference w:id="55"/>
      </w:r>
      <w:r w:rsidRPr="00E00147">
        <w:rPr>
          <w:iCs/>
          <w:szCs w:val="26"/>
        </w:rPr>
        <w:t xml:space="preserve"> </w:t>
      </w:r>
    </w:p>
    <w:p w14:paraId="72491C47" w14:textId="013F1763" w:rsidR="003A10FC" w:rsidRPr="009D51D2" w:rsidRDefault="003A10FC" w:rsidP="003A10FC">
      <w:pPr>
        <w:pStyle w:val="Heading2"/>
      </w:pPr>
      <w:bookmarkStart w:id="32" w:name="_Toc66782898"/>
      <w:r>
        <w:t xml:space="preserve">Theme </w:t>
      </w:r>
      <w:r w:rsidR="00522679">
        <w:t>4</w:t>
      </w:r>
      <w:r>
        <w:t>: P</w:t>
      </w:r>
      <w:r w:rsidRPr="009D51D2">
        <w:t xml:space="preserve">ublic </w:t>
      </w:r>
      <w:r>
        <w:t>T</w:t>
      </w:r>
      <w:r w:rsidRPr="009D51D2">
        <w:t>ransport</w:t>
      </w:r>
      <w:bookmarkEnd w:id="32"/>
      <w:r w:rsidRPr="009D51D2">
        <w:t xml:space="preserve"> </w:t>
      </w:r>
    </w:p>
    <w:p w14:paraId="79CEBEE9" w14:textId="7F1A04E5" w:rsidR="003A10FC" w:rsidRDefault="003A10FC" w:rsidP="003A10FC">
      <w:pPr>
        <w:rPr>
          <w:szCs w:val="26"/>
        </w:rPr>
      </w:pPr>
      <w:r w:rsidRPr="00F4169B">
        <w:rPr>
          <w:szCs w:val="26"/>
        </w:rPr>
        <w:t>The NTA</w:t>
      </w:r>
      <w:r>
        <w:rPr>
          <w:szCs w:val="26"/>
        </w:rPr>
        <w:t>’s</w:t>
      </w:r>
      <w:r w:rsidRPr="00F4169B">
        <w:rPr>
          <w:szCs w:val="26"/>
        </w:rPr>
        <w:t xml:space="preserve"> Dec 2020 update described very clearly how </w:t>
      </w:r>
      <w:r>
        <w:rPr>
          <w:szCs w:val="26"/>
        </w:rPr>
        <w:t>COVID</w:t>
      </w:r>
      <w:r w:rsidRPr="00F4169B">
        <w:rPr>
          <w:szCs w:val="26"/>
        </w:rPr>
        <w:t xml:space="preserve">-19 </w:t>
      </w:r>
      <w:r w:rsidR="009D0208">
        <w:rPr>
          <w:szCs w:val="26"/>
        </w:rPr>
        <w:t xml:space="preserve">caused </w:t>
      </w:r>
      <w:r w:rsidRPr="00F4169B">
        <w:rPr>
          <w:szCs w:val="26"/>
        </w:rPr>
        <w:t>‘</w:t>
      </w:r>
      <w:r>
        <w:rPr>
          <w:szCs w:val="26"/>
        </w:rPr>
        <w:t>…</w:t>
      </w:r>
      <w:r w:rsidRPr="00F4169B">
        <w:rPr>
          <w:szCs w:val="26"/>
        </w:rPr>
        <w:t>a p</w:t>
      </w:r>
      <w:r>
        <w:rPr>
          <w:szCs w:val="26"/>
        </w:rPr>
        <w:t>rofound and swift shock to the public t</w:t>
      </w:r>
      <w:r w:rsidRPr="00F4169B">
        <w:rPr>
          <w:szCs w:val="26"/>
        </w:rPr>
        <w:t xml:space="preserve">ransport sector’. This was highlighted by the immediate drop in passenger numbers across all forms of public transport by approximately 90% of normal levels. </w:t>
      </w:r>
      <w:r>
        <w:rPr>
          <w:szCs w:val="26"/>
        </w:rPr>
        <w:t>P</w:t>
      </w:r>
      <w:r w:rsidRPr="00F4169B">
        <w:rPr>
          <w:szCs w:val="26"/>
        </w:rPr>
        <w:t xml:space="preserve">ublic transport continued as it was designated as an “essential service”. This designation recognised the importance of keeping the system running especially for carrying essential workers and other passengers making necessary journeys throughout the crisis period. </w:t>
      </w:r>
    </w:p>
    <w:p w14:paraId="0B7ED8E0" w14:textId="3F313CC8" w:rsidR="003A10FC" w:rsidRDefault="003A10FC" w:rsidP="003A10FC">
      <w:pPr>
        <w:rPr>
          <w:szCs w:val="26"/>
        </w:rPr>
      </w:pPr>
      <w:r>
        <w:rPr>
          <w:szCs w:val="26"/>
        </w:rPr>
        <w:t>During 2020, while</w:t>
      </w:r>
      <w:r w:rsidRPr="00F4169B">
        <w:rPr>
          <w:szCs w:val="26"/>
        </w:rPr>
        <w:t xml:space="preserve"> transport provision continued, work </w:t>
      </w:r>
      <w:r>
        <w:rPr>
          <w:szCs w:val="26"/>
        </w:rPr>
        <w:t>stopped in other sectors such as construction</w:t>
      </w:r>
      <w:r w:rsidRPr="00F4169B">
        <w:rPr>
          <w:szCs w:val="26"/>
        </w:rPr>
        <w:t xml:space="preserve"> due to </w:t>
      </w:r>
      <w:r>
        <w:rPr>
          <w:szCs w:val="26"/>
        </w:rPr>
        <w:t>COVID</w:t>
      </w:r>
      <w:r w:rsidRPr="00F4169B">
        <w:rPr>
          <w:szCs w:val="26"/>
        </w:rPr>
        <w:t xml:space="preserve">-19 restrictions </w:t>
      </w:r>
      <w:r>
        <w:rPr>
          <w:szCs w:val="26"/>
        </w:rPr>
        <w:t>and this had an impact on some</w:t>
      </w:r>
      <w:r w:rsidR="003E085C">
        <w:rPr>
          <w:szCs w:val="26"/>
        </w:rPr>
        <w:t xml:space="preserve"> commitments within the</w:t>
      </w:r>
      <w:r w:rsidRPr="00F4169B">
        <w:rPr>
          <w:szCs w:val="26"/>
        </w:rPr>
        <w:t xml:space="preserve"> CES</w:t>
      </w:r>
      <w:r>
        <w:rPr>
          <w:szCs w:val="26"/>
        </w:rPr>
        <w:t xml:space="preserve"> </w:t>
      </w:r>
      <w:r w:rsidR="00431E1B">
        <w:rPr>
          <w:szCs w:val="26"/>
        </w:rPr>
        <w:t xml:space="preserve">relevant to </w:t>
      </w:r>
      <w:r>
        <w:rPr>
          <w:szCs w:val="26"/>
        </w:rPr>
        <w:t>transport</w:t>
      </w:r>
      <w:r w:rsidRPr="00F4169B">
        <w:rPr>
          <w:szCs w:val="26"/>
        </w:rPr>
        <w:t xml:space="preserve"> </w:t>
      </w:r>
      <w:r w:rsidR="00431E1B">
        <w:rPr>
          <w:szCs w:val="26"/>
        </w:rPr>
        <w:t>provision</w:t>
      </w:r>
      <w:r w:rsidRPr="00F4169B">
        <w:rPr>
          <w:szCs w:val="26"/>
        </w:rPr>
        <w:t xml:space="preserve">. In brief there </w:t>
      </w:r>
      <w:r>
        <w:rPr>
          <w:szCs w:val="26"/>
        </w:rPr>
        <w:t>were</w:t>
      </w:r>
      <w:r w:rsidRPr="00F4169B">
        <w:rPr>
          <w:szCs w:val="26"/>
        </w:rPr>
        <w:t xml:space="preserve"> some delays</w:t>
      </w:r>
      <w:r>
        <w:rPr>
          <w:szCs w:val="26"/>
        </w:rPr>
        <w:t xml:space="preserve"> in accessing materials necessary to improve or build, for example, footbridges and lifts,</w:t>
      </w:r>
      <w:r w:rsidRPr="00F4169B">
        <w:rPr>
          <w:szCs w:val="26"/>
        </w:rPr>
        <w:t xml:space="preserve"> due to supply chain issues</w:t>
      </w:r>
      <w:r>
        <w:rPr>
          <w:szCs w:val="26"/>
        </w:rPr>
        <w:t xml:space="preserve"> and</w:t>
      </w:r>
      <w:r w:rsidRPr="00F4169B">
        <w:rPr>
          <w:szCs w:val="26"/>
        </w:rPr>
        <w:t xml:space="preserve"> the increased cost of steel</w:t>
      </w:r>
      <w:r>
        <w:rPr>
          <w:szCs w:val="26"/>
        </w:rPr>
        <w:t>.</w:t>
      </w:r>
      <w:r w:rsidR="008D4792">
        <w:rPr>
          <w:szCs w:val="26"/>
        </w:rPr>
        <w:t xml:space="preserve"> C</w:t>
      </w:r>
      <w:r w:rsidRPr="00F4169B">
        <w:rPr>
          <w:szCs w:val="26"/>
        </w:rPr>
        <w:t>onstruction delays impacted on the timeline of the wheelchair accessible bus stops.</w:t>
      </w:r>
    </w:p>
    <w:p w14:paraId="794FA431" w14:textId="77777777" w:rsidR="00DD36C2" w:rsidRPr="00DD36C2" w:rsidRDefault="00DD36C2" w:rsidP="00DD36C2">
      <w:pPr>
        <w:spacing w:after="0"/>
        <w:rPr>
          <w:szCs w:val="26"/>
        </w:rPr>
      </w:pPr>
      <w:r w:rsidRPr="00DD36C2">
        <w:rPr>
          <w:szCs w:val="26"/>
        </w:rPr>
        <w:t xml:space="preserve">Despite, delays due to Covid, </w:t>
      </w:r>
    </w:p>
    <w:p w14:paraId="13BB91E8" w14:textId="77777777" w:rsidR="00DD36C2" w:rsidRPr="00DD36C2" w:rsidRDefault="00DD36C2" w:rsidP="00DD36C2">
      <w:pPr>
        <w:pStyle w:val="ListParagraph"/>
        <w:numPr>
          <w:ilvl w:val="0"/>
          <w:numId w:val="43"/>
        </w:numPr>
        <w:spacing w:after="0"/>
        <w:rPr>
          <w:szCs w:val="26"/>
        </w:rPr>
      </w:pPr>
      <w:r w:rsidRPr="00DD36C2">
        <w:rPr>
          <w:szCs w:val="26"/>
        </w:rPr>
        <w:t xml:space="preserve">new footbridges and lifts were completed in two railway stations and construction started in another station. </w:t>
      </w:r>
    </w:p>
    <w:p w14:paraId="6ADECC36" w14:textId="6306B787" w:rsidR="00DD36C2" w:rsidRPr="00DD36C2" w:rsidRDefault="00DD36C2" w:rsidP="00DD36C2">
      <w:pPr>
        <w:pStyle w:val="ListParagraph"/>
        <w:numPr>
          <w:ilvl w:val="0"/>
          <w:numId w:val="43"/>
        </w:numPr>
        <w:spacing w:after="0"/>
        <w:rPr>
          <w:szCs w:val="26"/>
        </w:rPr>
      </w:pPr>
      <w:r w:rsidRPr="00DD36C2">
        <w:rPr>
          <w:szCs w:val="26"/>
        </w:rPr>
        <w:t>Construction also started in Conolly Station for a Changing Place.</w:t>
      </w:r>
    </w:p>
    <w:p w14:paraId="004D1780" w14:textId="77777777" w:rsidR="00DD36C2" w:rsidRPr="00DD36C2" w:rsidRDefault="00DD36C2" w:rsidP="00DD36C2">
      <w:pPr>
        <w:pStyle w:val="ListParagraph"/>
        <w:numPr>
          <w:ilvl w:val="0"/>
          <w:numId w:val="43"/>
        </w:numPr>
        <w:spacing w:after="0"/>
        <w:rPr>
          <w:szCs w:val="26"/>
        </w:rPr>
      </w:pPr>
      <w:r w:rsidRPr="00DD36C2">
        <w:rPr>
          <w:szCs w:val="26"/>
        </w:rPr>
        <w:t>There were lifts replaced in 8 stations and lifts renovated in 4 stations. A lift/call system were installed in 12 stations to prevent further vandalism.</w:t>
      </w:r>
    </w:p>
    <w:p w14:paraId="666DC950" w14:textId="77777777" w:rsidR="00DD36C2" w:rsidRPr="00DD36C2" w:rsidRDefault="00DD36C2" w:rsidP="00DD36C2">
      <w:pPr>
        <w:pStyle w:val="ListParagraph"/>
        <w:numPr>
          <w:ilvl w:val="0"/>
          <w:numId w:val="43"/>
        </w:numPr>
        <w:spacing w:after="0"/>
        <w:rPr>
          <w:szCs w:val="26"/>
        </w:rPr>
      </w:pPr>
      <w:r w:rsidRPr="00DD36C2">
        <w:rPr>
          <w:szCs w:val="26"/>
        </w:rPr>
        <w:t xml:space="preserve">Accessible bus bays were constructed in four bus stations and 11 other bus stops despite delays due to Covid. </w:t>
      </w:r>
    </w:p>
    <w:p w14:paraId="2EE82AA5" w14:textId="666C6634" w:rsidR="00DD36C2" w:rsidRPr="00DD36C2" w:rsidRDefault="00DD36C2" w:rsidP="00DD36C2">
      <w:pPr>
        <w:pStyle w:val="ListParagraph"/>
        <w:spacing w:after="0"/>
        <w:rPr>
          <w:szCs w:val="26"/>
        </w:rPr>
      </w:pPr>
      <w:r w:rsidRPr="00DD36C2">
        <w:rPr>
          <w:szCs w:val="26"/>
        </w:rPr>
        <w:t>Accessibility Audits were also carried out in 18 Bus Stations nationally.</w:t>
      </w:r>
    </w:p>
    <w:p w14:paraId="46195511" w14:textId="77777777" w:rsidR="00DD36C2" w:rsidRDefault="00DD36C2" w:rsidP="003A10FC">
      <w:pPr>
        <w:rPr>
          <w:szCs w:val="26"/>
        </w:rPr>
      </w:pPr>
    </w:p>
    <w:p w14:paraId="39DA6BC2" w14:textId="2CFB7737" w:rsidR="00090101" w:rsidRDefault="003A10FC" w:rsidP="003A10FC">
      <w:pPr>
        <w:rPr>
          <w:szCs w:val="26"/>
        </w:rPr>
      </w:pPr>
      <w:r w:rsidRPr="00F4169B">
        <w:rPr>
          <w:szCs w:val="26"/>
        </w:rPr>
        <w:t xml:space="preserve">The NTA implemented specific measures to assist </w:t>
      </w:r>
      <w:r>
        <w:rPr>
          <w:szCs w:val="26"/>
        </w:rPr>
        <w:t>persons</w:t>
      </w:r>
      <w:r w:rsidRPr="00F4169B">
        <w:rPr>
          <w:szCs w:val="26"/>
        </w:rPr>
        <w:t xml:space="preserve"> with disabilities including </w:t>
      </w:r>
      <w:r>
        <w:rPr>
          <w:szCs w:val="26"/>
        </w:rPr>
        <w:t>f</w:t>
      </w:r>
      <w:r w:rsidRPr="00F4169B">
        <w:rPr>
          <w:szCs w:val="26"/>
        </w:rPr>
        <w:t xml:space="preserve">loor stickers on buses and coaches to highlight that the free priority seats are for those people who need them. Luas has had Customer Assurance Officers in Pink High Visibility vests on the platforms and trams to assist all passengers. If Luas is contacted they can arrange assistance for </w:t>
      </w:r>
      <w:r w:rsidRPr="00090101">
        <w:rPr>
          <w:szCs w:val="26"/>
        </w:rPr>
        <w:t xml:space="preserve">people, keeping in line with public health guidance. While these measures are to be welcomed there </w:t>
      </w:r>
      <w:r w:rsidR="00090101" w:rsidRPr="00090101">
        <w:rPr>
          <w:rFonts w:eastAsiaTheme="minorHAnsi"/>
          <w:szCs w:val="26"/>
        </w:rPr>
        <w:t>is the need to conduct a disability impact assessment on the BusConnects programme including the Core Bus Corridor proposal</w:t>
      </w:r>
      <w:r w:rsidR="008D4792">
        <w:rPr>
          <w:rFonts w:eastAsiaTheme="minorHAnsi"/>
          <w:szCs w:val="26"/>
        </w:rPr>
        <w:t>.</w:t>
      </w:r>
      <w:r w:rsidR="00090101" w:rsidRPr="00090101">
        <w:rPr>
          <w:rStyle w:val="FootnoteReference"/>
          <w:rFonts w:ascii="Gill Sans MT" w:eastAsiaTheme="minorHAnsi" w:hAnsi="Gill Sans MT"/>
          <w:sz w:val="26"/>
          <w:szCs w:val="26"/>
        </w:rPr>
        <w:footnoteReference w:id="56"/>
      </w:r>
    </w:p>
    <w:p w14:paraId="38515F3E" w14:textId="6098A9A4" w:rsidR="00747614" w:rsidRDefault="00090101" w:rsidP="003A10FC">
      <w:pPr>
        <w:rPr>
          <w:szCs w:val="26"/>
        </w:rPr>
      </w:pPr>
      <w:r>
        <w:rPr>
          <w:szCs w:val="26"/>
        </w:rPr>
        <w:t>N</w:t>
      </w:r>
      <w:r w:rsidR="00747614">
        <w:rPr>
          <w:szCs w:val="26"/>
        </w:rPr>
        <w:t>oting that restrictions on capacity of public transport are likely to continue for some time yet</w:t>
      </w:r>
      <w:r w:rsidR="00AD2C1D">
        <w:rPr>
          <w:szCs w:val="26"/>
        </w:rPr>
        <w:t>,</w:t>
      </w:r>
      <w:r w:rsidR="0044628C">
        <w:rPr>
          <w:szCs w:val="26"/>
        </w:rPr>
        <w:t xml:space="preserve"> </w:t>
      </w:r>
      <w:r w:rsidR="00AD2C1D">
        <w:rPr>
          <w:szCs w:val="26"/>
        </w:rPr>
        <w:t>t</w:t>
      </w:r>
      <w:r>
        <w:rPr>
          <w:szCs w:val="26"/>
        </w:rPr>
        <w:t xml:space="preserve">his is an </w:t>
      </w:r>
      <w:r w:rsidR="00AD2C1D">
        <w:rPr>
          <w:szCs w:val="26"/>
        </w:rPr>
        <w:t xml:space="preserve">opportune </w:t>
      </w:r>
      <w:r>
        <w:rPr>
          <w:szCs w:val="26"/>
        </w:rPr>
        <w:t xml:space="preserve">time for NTA to </w:t>
      </w:r>
      <w:r w:rsidR="00A17050">
        <w:rPr>
          <w:szCs w:val="26"/>
        </w:rPr>
        <w:t xml:space="preserve">develop robust </w:t>
      </w:r>
      <w:r>
        <w:rPr>
          <w:szCs w:val="26"/>
        </w:rPr>
        <w:t>consult</w:t>
      </w:r>
      <w:r w:rsidR="00A17050">
        <w:rPr>
          <w:szCs w:val="26"/>
        </w:rPr>
        <w:t>ation measures</w:t>
      </w:r>
      <w:r>
        <w:rPr>
          <w:szCs w:val="26"/>
        </w:rPr>
        <w:t xml:space="preserve"> with pe</w:t>
      </w:r>
      <w:r w:rsidR="00E75820">
        <w:rPr>
          <w:szCs w:val="26"/>
        </w:rPr>
        <w:t>rsons</w:t>
      </w:r>
      <w:r>
        <w:rPr>
          <w:szCs w:val="26"/>
        </w:rPr>
        <w:t xml:space="preserve"> with disabilities.</w:t>
      </w:r>
      <w:r w:rsidR="00C35EBD">
        <w:rPr>
          <w:szCs w:val="26"/>
        </w:rPr>
        <w:t xml:space="preserve"> </w:t>
      </w:r>
      <w:r w:rsidR="00747614">
        <w:rPr>
          <w:szCs w:val="26"/>
        </w:rPr>
        <w:t xml:space="preserve">Figure 1 below depicts the range of needs relevant to disability that public transport must be able to cater for and illustrates why NTA needs to continue </w:t>
      </w:r>
      <w:r w:rsidR="00AD2C1D">
        <w:rPr>
          <w:szCs w:val="26"/>
        </w:rPr>
        <w:t xml:space="preserve">meaningful </w:t>
      </w:r>
      <w:r w:rsidR="00747614">
        <w:rPr>
          <w:szCs w:val="26"/>
        </w:rPr>
        <w:t>consultation with diverse groups of persons with disabilities, including through their representative bodies, to ensure that their public transport services are available and accessible and met the needs of these customers.</w:t>
      </w:r>
    </w:p>
    <w:p w14:paraId="398EA0D8" w14:textId="77777777" w:rsidR="003A10FC" w:rsidRDefault="003A10FC" w:rsidP="003A10FC">
      <w:pPr>
        <w:rPr>
          <w:sz w:val="22"/>
          <w:szCs w:val="22"/>
        </w:rPr>
      </w:pPr>
      <w:r>
        <w:rPr>
          <w:noProof/>
          <w:lang w:eastAsia="en-IE"/>
        </w:rPr>
        <w:drawing>
          <wp:inline distT="0" distB="0" distL="0" distR="0" wp14:anchorId="0E0B7F36" wp14:editId="6A1BEEEA">
            <wp:extent cx="6029325" cy="3228975"/>
            <wp:effectExtent l="0" t="0" r="0" b="0"/>
            <wp:docPr id="9" name="Chart 9" descr="Figure displays the percetnage of people with specific disability types travelling to work via a particular method of public transport in 2011 versus 2016." title="Means of public transport to work by disability trype 2011 and 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FBD58FC" w14:textId="0D5CFA3C" w:rsidR="003A10FC" w:rsidRPr="00154CBF" w:rsidRDefault="003A10FC" w:rsidP="003A10FC">
      <w:pPr>
        <w:keepNext/>
        <w:rPr>
          <w:b/>
          <w:szCs w:val="26"/>
        </w:rPr>
      </w:pPr>
      <w:r>
        <w:rPr>
          <w:b/>
          <w:szCs w:val="26"/>
        </w:rPr>
        <w:t xml:space="preserve">Figure 1: </w:t>
      </w:r>
      <w:r w:rsidRPr="00C332B3">
        <w:rPr>
          <w:b/>
          <w:szCs w:val="26"/>
        </w:rPr>
        <w:t xml:space="preserve">Means of public transport </w:t>
      </w:r>
      <w:r w:rsidR="0032523D">
        <w:rPr>
          <w:b/>
          <w:szCs w:val="26"/>
        </w:rPr>
        <w:t>to work by disability type 2011and</w:t>
      </w:r>
      <w:r>
        <w:rPr>
          <w:b/>
          <w:szCs w:val="26"/>
        </w:rPr>
        <w:t xml:space="preserve"> </w:t>
      </w:r>
      <w:r w:rsidRPr="00C332B3">
        <w:rPr>
          <w:b/>
          <w:szCs w:val="26"/>
        </w:rPr>
        <w:t>2016</w:t>
      </w:r>
      <w:r>
        <w:rPr>
          <w:rStyle w:val="FootnoteReference"/>
          <w:b/>
          <w:szCs w:val="26"/>
        </w:rPr>
        <w:footnoteReference w:id="57"/>
      </w:r>
    </w:p>
    <w:p w14:paraId="0A1F56F6" w14:textId="62A26DA7" w:rsidR="006F55F1" w:rsidRPr="00A17050" w:rsidRDefault="00C35EBD" w:rsidP="006F55F1">
      <w:pPr>
        <w:rPr>
          <w:szCs w:val="26"/>
        </w:rPr>
      </w:pPr>
      <w:r>
        <w:rPr>
          <w:szCs w:val="26"/>
        </w:rPr>
        <w:t>Achieving</w:t>
      </w:r>
      <w:r w:rsidR="006F55F1" w:rsidRPr="006F55F1">
        <w:rPr>
          <w:szCs w:val="26"/>
        </w:rPr>
        <w:t xml:space="preserve"> </w:t>
      </w:r>
      <w:r w:rsidR="00A17050">
        <w:rPr>
          <w:szCs w:val="26"/>
        </w:rPr>
        <w:t xml:space="preserve">this level of </w:t>
      </w:r>
      <w:r w:rsidR="006F55F1" w:rsidRPr="006F55F1">
        <w:rPr>
          <w:szCs w:val="26"/>
        </w:rPr>
        <w:t xml:space="preserve">consultation with a diverse range of users, </w:t>
      </w:r>
      <w:r w:rsidR="00A17050">
        <w:rPr>
          <w:szCs w:val="26"/>
        </w:rPr>
        <w:t xml:space="preserve">who </w:t>
      </w:r>
      <w:r w:rsidR="006F55F1" w:rsidRPr="006F55F1">
        <w:rPr>
          <w:szCs w:val="26"/>
        </w:rPr>
        <w:t>require integrated universally designed public and private transport services in urban and rural areas which are easy to access, understand and use by everyone, regardless of age, size ability or disability</w:t>
      </w:r>
      <w:r>
        <w:rPr>
          <w:szCs w:val="26"/>
        </w:rPr>
        <w:t xml:space="preserve"> is challenging</w:t>
      </w:r>
      <w:r w:rsidR="006F55F1" w:rsidRPr="006F55F1">
        <w:rPr>
          <w:szCs w:val="26"/>
        </w:rPr>
        <w:t>.</w:t>
      </w:r>
      <w:r w:rsidR="006F55F1" w:rsidRPr="00A17050">
        <w:rPr>
          <w:szCs w:val="26"/>
        </w:rPr>
        <w:t xml:space="preserve"> The NDA recommends that the Department and the NTA refer to the </w:t>
      </w:r>
      <w:hyperlink r:id="rId13" w:history="1">
        <w:r w:rsidR="006F55F1" w:rsidRPr="00A17050">
          <w:rPr>
            <w:rStyle w:val="Hyperlink"/>
            <w:bCs/>
            <w:color w:val="auto"/>
            <w:szCs w:val="26"/>
            <w:u w:val="none"/>
          </w:rPr>
          <w:t>European standard I.S. EN 17161:2019 ‘Design for All - Accessibility following a Design for All approach in products, goods and services - Extending the range of users’</w:t>
        </w:r>
      </w:hyperlink>
      <w:r w:rsidR="00A17050" w:rsidRPr="00A17050">
        <w:rPr>
          <w:rStyle w:val="Hyperlink"/>
          <w:bCs/>
          <w:color w:val="auto"/>
          <w:szCs w:val="26"/>
          <w:u w:val="none"/>
        </w:rPr>
        <w:t xml:space="preserve">. This standard was developed to </w:t>
      </w:r>
      <w:r w:rsidR="00A17050" w:rsidRPr="00A17050">
        <w:rPr>
          <w:szCs w:val="26"/>
        </w:rPr>
        <w:t>continuously improve and manage the accessibility and usability of the products and services</w:t>
      </w:r>
      <w:r>
        <w:rPr>
          <w:szCs w:val="26"/>
        </w:rPr>
        <w:t>.</w:t>
      </w:r>
      <w:r w:rsidR="00E75820">
        <w:rPr>
          <w:rStyle w:val="FootnoteReference"/>
          <w:rFonts w:cs="Arial"/>
          <w:color w:val="000000"/>
          <w:shd w:val="clear" w:color="auto" w:fill="FFFFFF"/>
        </w:rPr>
        <w:footnoteReference w:id="58"/>
      </w:r>
      <w:r w:rsidR="00184E34">
        <w:rPr>
          <w:szCs w:val="26"/>
        </w:rPr>
        <w:t xml:space="preserve"> Consultation with persons with disabilities through their representative organisations will also be important with respect to realisation of the goals of UNCRPD.</w:t>
      </w:r>
    </w:p>
    <w:p w14:paraId="01501AEC" w14:textId="467B1DC9" w:rsidR="000A7C3F" w:rsidRPr="00CA1EF1" w:rsidRDefault="000A7C3F" w:rsidP="000A7C3F">
      <w:pPr>
        <w:keepNext/>
        <w:keepLines/>
        <w:pBdr>
          <w:top w:val="single" w:sz="4" w:space="1" w:color="auto"/>
          <w:left w:val="single" w:sz="4" w:space="4" w:color="auto"/>
          <w:bottom w:val="single" w:sz="4" w:space="1" w:color="auto"/>
          <w:right w:val="single" w:sz="4" w:space="4" w:color="auto"/>
        </w:pBdr>
        <w:spacing w:before="240"/>
        <w:outlineLvl w:val="0"/>
        <w:rPr>
          <w:rFonts w:eastAsiaTheme="majorEastAsia" w:cstheme="majorBidi"/>
          <w:sz w:val="32"/>
          <w:szCs w:val="32"/>
        </w:rPr>
      </w:pPr>
      <w:bookmarkStart w:id="33" w:name="_Toc66782899"/>
      <w:r>
        <w:rPr>
          <w:rFonts w:eastAsiaTheme="majorEastAsia" w:cstheme="majorBidi"/>
          <w:b/>
          <w:sz w:val="32"/>
          <w:szCs w:val="32"/>
          <w:lang w:val="en-US"/>
        </w:rPr>
        <w:t>Conclusion</w:t>
      </w:r>
      <w:bookmarkEnd w:id="33"/>
    </w:p>
    <w:p w14:paraId="16D245F7" w14:textId="34382B81" w:rsidR="0044628C" w:rsidRPr="0044628C" w:rsidRDefault="00C96F54" w:rsidP="0044628C">
      <w:pPr>
        <w:ind w:right="1"/>
        <w:rPr>
          <w:rFonts w:cstheme="minorHAnsi"/>
          <w:szCs w:val="26"/>
        </w:rPr>
      </w:pPr>
      <w:r w:rsidRPr="0044628C">
        <w:rPr>
          <w:szCs w:val="26"/>
        </w:rPr>
        <w:t>This report acknowledges the impact of COVID-19 on the lives of persons with disabilities and on those who provide support services</w:t>
      </w:r>
      <w:r w:rsidR="00747614" w:rsidRPr="0044628C">
        <w:rPr>
          <w:szCs w:val="26"/>
        </w:rPr>
        <w:t xml:space="preserve"> in the context of employment</w:t>
      </w:r>
      <w:r w:rsidRPr="0044628C">
        <w:rPr>
          <w:szCs w:val="26"/>
        </w:rPr>
        <w:t xml:space="preserve">. Through this paper the NDA </w:t>
      </w:r>
      <w:r w:rsidR="00747614" w:rsidRPr="0044628C">
        <w:rPr>
          <w:szCs w:val="26"/>
        </w:rPr>
        <w:t xml:space="preserve">has </w:t>
      </w:r>
      <w:r w:rsidRPr="0044628C">
        <w:rPr>
          <w:szCs w:val="26"/>
        </w:rPr>
        <w:t>indicated some areas of progress</w:t>
      </w:r>
      <w:r w:rsidR="00747614" w:rsidRPr="0044628C">
        <w:rPr>
          <w:szCs w:val="26"/>
        </w:rPr>
        <w:t xml:space="preserve"> in relation to the goals of the CES</w:t>
      </w:r>
      <w:r w:rsidRPr="0044628C">
        <w:rPr>
          <w:szCs w:val="26"/>
        </w:rPr>
        <w:t xml:space="preserve"> during 2020, </w:t>
      </w:r>
      <w:r w:rsidR="00747614" w:rsidRPr="0044628C">
        <w:rPr>
          <w:szCs w:val="26"/>
        </w:rPr>
        <w:t>and has</w:t>
      </w:r>
      <w:r w:rsidRPr="0044628C">
        <w:rPr>
          <w:szCs w:val="26"/>
        </w:rPr>
        <w:t xml:space="preserve"> also highlighted key areas that require further action in order to achieve the aims of the Strategy. </w:t>
      </w:r>
      <w:r w:rsidR="00747614" w:rsidRPr="0044628C">
        <w:rPr>
          <w:szCs w:val="26"/>
        </w:rPr>
        <w:t>The NDA advises that p</w:t>
      </w:r>
      <w:r w:rsidR="0044628C">
        <w:rPr>
          <w:szCs w:val="26"/>
        </w:rPr>
        <w:t>riority areas for</w:t>
      </w:r>
      <w:r w:rsidR="00AD2C1D" w:rsidRPr="0044628C">
        <w:rPr>
          <w:szCs w:val="26"/>
        </w:rPr>
        <w:t xml:space="preserve"> consideration during 2021 include the following:</w:t>
      </w:r>
    </w:p>
    <w:p w14:paraId="12B0F08D" w14:textId="5D40A01C" w:rsidR="00D86C23" w:rsidRPr="00FD3F7B" w:rsidRDefault="00AD2C1D" w:rsidP="00FD3F7B">
      <w:pPr>
        <w:pStyle w:val="ListParagraph"/>
        <w:numPr>
          <w:ilvl w:val="0"/>
          <w:numId w:val="42"/>
        </w:numPr>
        <w:ind w:right="1"/>
        <w:rPr>
          <w:rFonts w:cstheme="minorHAnsi"/>
          <w:szCs w:val="26"/>
        </w:rPr>
      </w:pPr>
      <w:r w:rsidRPr="00AD2C1D">
        <w:rPr>
          <w:szCs w:val="26"/>
        </w:rPr>
        <w:t>Recognising t</w:t>
      </w:r>
      <w:r w:rsidR="00911221" w:rsidRPr="00AD2C1D">
        <w:rPr>
          <w:szCs w:val="26"/>
        </w:rPr>
        <w:t>hat as</w:t>
      </w:r>
      <w:r w:rsidR="00D86C23" w:rsidRPr="00AD2C1D">
        <w:rPr>
          <w:szCs w:val="26"/>
        </w:rPr>
        <w:t xml:space="preserve"> 2021 is the final year of</w:t>
      </w:r>
      <w:r w:rsidR="00911221" w:rsidRPr="00AD2C1D">
        <w:rPr>
          <w:szCs w:val="26"/>
        </w:rPr>
        <w:t xml:space="preserve"> the second </w:t>
      </w:r>
      <w:r w:rsidR="00C54202">
        <w:rPr>
          <w:szCs w:val="26"/>
        </w:rPr>
        <w:t>three</w:t>
      </w:r>
      <w:r w:rsidR="00911221" w:rsidRPr="00AD2C1D">
        <w:rPr>
          <w:szCs w:val="26"/>
        </w:rPr>
        <w:t xml:space="preserve"> year action plan, it is necessary</w:t>
      </w:r>
      <w:r w:rsidR="00D86C23" w:rsidRPr="00FD3F7B">
        <w:rPr>
          <w:szCs w:val="26"/>
        </w:rPr>
        <w:t xml:space="preserve"> that a third action plan is finalised and published by year end</w:t>
      </w:r>
    </w:p>
    <w:p w14:paraId="6C33A724" w14:textId="18446E95" w:rsidR="00911221" w:rsidRDefault="00AD2C1D" w:rsidP="005364A6">
      <w:pPr>
        <w:pStyle w:val="ListParagraph"/>
        <w:numPr>
          <w:ilvl w:val="0"/>
          <w:numId w:val="10"/>
        </w:numPr>
        <w:rPr>
          <w:rFonts w:cstheme="minorHAnsi"/>
          <w:szCs w:val="26"/>
        </w:rPr>
      </w:pPr>
      <w:r>
        <w:rPr>
          <w:szCs w:val="26"/>
        </w:rPr>
        <w:t xml:space="preserve">Through </w:t>
      </w:r>
      <w:r w:rsidR="00911221">
        <w:rPr>
          <w:szCs w:val="26"/>
        </w:rPr>
        <w:t>Intreo,</w:t>
      </w:r>
      <w:r w:rsidR="0061101C">
        <w:rPr>
          <w:szCs w:val="26"/>
        </w:rPr>
        <w:t xml:space="preserve"> </w:t>
      </w:r>
      <w:r w:rsidR="00911221">
        <w:rPr>
          <w:szCs w:val="26"/>
        </w:rPr>
        <w:t>develop</w:t>
      </w:r>
      <w:r>
        <w:rPr>
          <w:szCs w:val="26"/>
        </w:rPr>
        <w:t>ing</w:t>
      </w:r>
      <w:r w:rsidR="00911221">
        <w:rPr>
          <w:szCs w:val="26"/>
        </w:rPr>
        <w:t xml:space="preserve"> a return to work approach for people with disabilities who have lost their jobs through as a consequences of the pandemic</w:t>
      </w:r>
    </w:p>
    <w:p w14:paraId="1E48C0F0" w14:textId="79E9A020" w:rsidR="00BE5B32" w:rsidRDefault="00BE5B32" w:rsidP="005364A6">
      <w:pPr>
        <w:pStyle w:val="ListParagraph"/>
        <w:numPr>
          <w:ilvl w:val="0"/>
          <w:numId w:val="10"/>
        </w:numPr>
        <w:rPr>
          <w:rFonts w:cstheme="minorHAnsi"/>
          <w:szCs w:val="26"/>
        </w:rPr>
      </w:pPr>
      <w:r>
        <w:rPr>
          <w:rFonts w:cstheme="minorHAnsi"/>
          <w:szCs w:val="26"/>
        </w:rPr>
        <w:t>Addressing the slow progress on actions relating to transition planning across the strategy</w:t>
      </w:r>
    </w:p>
    <w:p w14:paraId="681E6FC2" w14:textId="77777777" w:rsidR="00BE5B32" w:rsidRPr="004637CA" w:rsidRDefault="00BE5B32" w:rsidP="005364A6">
      <w:pPr>
        <w:pStyle w:val="ListParagraph"/>
        <w:numPr>
          <w:ilvl w:val="0"/>
          <w:numId w:val="10"/>
        </w:numPr>
        <w:rPr>
          <w:rFonts w:cstheme="minorHAnsi"/>
          <w:szCs w:val="26"/>
        </w:rPr>
      </w:pPr>
      <w:r>
        <w:rPr>
          <w:rFonts w:cstheme="minorHAnsi"/>
          <w:szCs w:val="26"/>
        </w:rPr>
        <w:t>Addressing the lack of progress on the provision of Career Guidance for learners with disabilities in special and mainstream school settings</w:t>
      </w:r>
    </w:p>
    <w:p w14:paraId="72B25BA3" w14:textId="145311B0" w:rsidR="00BE5B32" w:rsidRPr="004637CA" w:rsidRDefault="00BE5B32" w:rsidP="005364A6">
      <w:pPr>
        <w:pStyle w:val="ListParagraph"/>
        <w:numPr>
          <w:ilvl w:val="0"/>
          <w:numId w:val="10"/>
        </w:numPr>
        <w:rPr>
          <w:rFonts w:cstheme="minorHAnsi"/>
          <w:szCs w:val="26"/>
        </w:rPr>
      </w:pPr>
      <w:r>
        <w:rPr>
          <w:rFonts w:cstheme="minorHAnsi"/>
          <w:szCs w:val="26"/>
        </w:rPr>
        <w:t>Addressing</w:t>
      </w:r>
      <w:r w:rsidRPr="004637CA">
        <w:rPr>
          <w:rFonts w:cstheme="minorHAnsi"/>
          <w:szCs w:val="26"/>
        </w:rPr>
        <w:t xml:space="preserve"> </w:t>
      </w:r>
      <w:r w:rsidR="000E6682">
        <w:rPr>
          <w:rFonts w:cstheme="minorHAnsi"/>
          <w:szCs w:val="26"/>
        </w:rPr>
        <w:t xml:space="preserve">implementation of the agreed policy under </w:t>
      </w:r>
      <w:r>
        <w:rPr>
          <w:rFonts w:cstheme="minorHAnsi"/>
          <w:szCs w:val="26"/>
        </w:rPr>
        <w:t xml:space="preserve">CES action </w:t>
      </w:r>
      <w:r w:rsidRPr="004637CA">
        <w:rPr>
          <w:rFonts w:cstheme="minorHAnsi"/>
          <w:szCs w:val="26"/>
        </w:rPr>
        <w:t>5.1</w:t>
      </w:r>
      <w:r>
        <w:rPr>
          <w:rFonts w:cstheme="minorHAnsi"/>
          <w:szCs w:val="26"/>
        </w:rPr>
        <w:t xml:space="preserve"> </w:t>
      </w:r>
    </w:p>
    <w:p w14:paraId="3F726736" w14:textId="6877C2B1" w:rsidR="00BE5B32" w:rsidRPr="00AE2D8D" w:rsidRDefault="00BE5B32" w:rsidP="005364A6">
      <w:pPr>
        <w:pStyle w:val="ListParagraph"/>
        <w:numPr>
          <w:ilvl w:val="0"/>
          <w:numId w:val="10"/>
        </w:numPr>
        <w:rPr>
          <w:szCs w:val="26"/>
        </w:rPr>
      </w:pPr>
      <w:r>
        <w:rPr>
          <w:szCs w:val="26"/>
        </w:rPr>
        <w:t xml:space="preserve">Extracting learning from the </w:t>
      </w:r>
      <w:r w:rsidRPr="004637CA">
        <w:rPr>
          <w:szCs w:val="26"/>
        </w:rPr>
        <w:t>Ability Projects</w:t>
      </w:r>
      <w:r>
        <w:rPr>
          <w:szCs w:val="26"/>
        </w:rPr>
        <w:t xml:space="preserve"> and sharing that information across the system, therefore ensuring that the learning from these projects is mainstreamed </w:t>
      </w:r>
    </w:p>
    <w:p w14:paraId="22EE6B25" w14:textId="1603EBBA" w:rsidR="00BE5B32" w:rsidRPr="00D86C23" w:rsidRDefault="00D86C23" w:rsidP="005364A6">
      <w:pPr>
        <w:pStyle w:val="ListParagraph"/>
        <w:numPr>
          <w:ilvl w:val="0"/>
          <w:numId w:val="10"/>
        </w:numPr>
        <w:rPr>
          <w:rFonts w:cstheme="minorHAnsi"/>
          <w:szCs w:val="26"/>
        </w:rPr>
      </w:pPr>
      <w:r>
        <w:rPr>
          <w:rFonts w:cstheme="minorHAnsi"/>
          <w:szCs w:val="26"/>
        </w:rPr>
        <w:t>Publish</w:t>
      </w:r>
      <w:r w:rsidR="006664CC">
        <w:rPr>
          <w:rFonts w:cstheme="minorHAnsi"/>
          <w:szCs w:val="26"/>
        </w:rPr>
        <w:t>ing</w:t>
      </w:r>
      <w:r>
        <w:rPr>
          <w:rFonts w:cstheme="minorHAnsi"/>
          <w:szCs w:val="26"/>
        </w:rPr>
        <w:t xml:space="preserve"> the</w:t>
      </w:r>
      <w:r w:rsidR="00BE5B32" w:rsidRPr="004637CA">
        <w:rPr>
          <w:szCs w:val="26"/>
        </w:rPr>
        <w:t xml:space="preserve"> details of the </w:t>
      </w:r>
      <w:r w:rsidR="006664CC">
        <w:rPr>
          <w:szCs w:val="26"/>
        </w:rPr>
        <w:t xml:space="preserve">DSP </w:t>
      </w:r>
      <w:r w:rsidR="00BE5B32" w:rsidRPr="004637CA">
        <w:rPr>
          <w:szCs w:val="26"/>
        </w:rPr>
        <w:t xml:space="preserve">early engagement implementation plan and process </w:t>
      </w:r>
    </w:p>
    <w:p w14:paraId="611EA313" w14:textId="3F94F545" w:rsidR="00D86C23" w:rsidRPr="004637CA" w:rsidRDefault="00D86C23" w:rsidP="005364A6">
      <w:pPr>
        <w:pStyle w:val="ListParagraph"/>
        <w:numPr>
          <w:ilvl w:val="0"/>
          <w:numId w:val="10"/>
        </w:numPr>
        <w:rPr>
          <w:rFonts w:cstheme="minorHAnsi"/>
          <w:szCs w:val="26"/>
        </w:rPr>
      </w:pPr>
      <w:r>
        <w:rPr>
          <w:rFonts w:cstheme="minorHAnsi"/>
          <w:szCs w:val="26"/>
        </w:rPr>
        <w:t>Implement</w:t>
      </w:r>
      <w:r w:rsidR="000E6682">
        <w:rPr>
          <w:rFonts w:cstheme="minorHAnsi"/>
          <w:szCs w:val="26"/>
        </w:rPr>
        <w:t xml:space="preserve">ing </w:t>
      </w:r>
      <w:r>
        <w:rPr>
          <w:rFonts w:cstheme="minorHAnsi"/>
          <w:szCs w:val="26"/>
        </w:rPr>
        <w:t xml:space="preserve">the </w:t>
      </w:r>
      <w:r w:rsidR="000E6682">
        <w:rPr>
          <w:rFonts w:cstheme="minorHAnsi"/>
          <w:szCs w:val="26"/>
        </w:rPr>
        <w:t xml:space="preserve">recommendations </w:t>
      </w:r>
      <w:r>
        <w:rPr>
          <w:rFonts w:cstheme="minorHAnsi"/>
          <w:szCs w:val="26"/>
        </w:rPr>
        <w:t>emanating from the review of the reasonable accommodation fund</w:t>
      </w:r>
    </w:p>
    <w:p w14:paraId="017C20E6" w14:textId="177BE142" w:rsidR="00C96F54" w:rsidRPr="00911221" w:rsidRDefault="00BE5B32" w:rsidP="003A10FC">
      <w:pPr>
        <w:pStyle w:val="ListParagraph"/>
        <w:numPr>
          <w:ilvl w:val="0"/>
          <w:numId w:val="10"/>
        </w:numPr>
        <w:rPr>
          <w:szCs w:val="26"/>
        </w:rPr>
      </w:pPr>
      <w:r>
        <w:rPr>
          <w:rFonts w:cstheme="minorHAnsi"/>
          <w:szCs w:val="26"/>
        </w:rPr>
        <w:t>Conducting a f</w:t>
      </w:r>
      <w:r w:rsidRPr="004637CA">
        <w:rPr>
          <w:rFonts w:cstheme="minorHAnsi"/>
          <w:szCs w:val="26"/>
        </w:rPr>
        <w:t>ull review of the Make Work Pay actions</w:t>
      </w:r>
      <w:r>
        <w:rPr>
          <w:rFonts w:cstheme="minorHAnsi"/>
          <w:szCs w:val="26"/>
        </w:rPr>
        <w:t xml:space="preserve"> </w:t>
      </w:r>
    </w:p>
    <w:p w14:paraId="008C8CA2" w14:textId="43EEA118" w:rsidR="0061101C" w:rsidRPr="0061101C" w:rsidRDefault="00911221" w:rsidP="0061101C">
      <w:pPr>
        <w:pStyle w:val="ListParagraph"/>
        <w:numPr>
          <w:ilvl w:val="0"/>
          <w:numId w:val="10"/>
        </w:numPr>
        <w:rPr>
          <w:szCs w:val="26"/>
        </w:rPr>
      </w:pPr>
      <w:r w:rsidRPr="009B5391">
        <w:rPr>
          <w:rFonts w:cstheme="minorHAnsi"/>
          <w:szCs w:val="26"/>
        </w:rPr>
        <w:t>Put</w:t>
      </w:r>
      <w:r w:rsidR="006664CC" w:rsidRPr="009B5391">
        <w:rPr>
          <w:rFonts w:cstheme="minorHAnsi"/>
          <w:szCs w:val="26"/>
        </w:rPr>
        <w:t>ting</w:t>
      </w:r>
      <w:r w:rsidRPr="009B5391">
        <w:rPr>
          <w:rFonts w:cstheme="minorHAnsi"/>
          <w:szCs w:val="26"/>
        </w:rPr>
        <w:t xml:space="preserve"> in place actionable measures t</w:t>
      </w:r>
      <w:r w:rsidR="00C54202">
        <w:rPr>
          <w:rFonts w:cstheme="minorHAnsi"/>
          <w:szCs w:val="26"/>
        </w:rPr>
        <w:t xml:space="preserve">o achieve the increased target </w:t>
      </w:r>
      <w:r w:rsidR="009B5391" w:rsidRPr="009B5391">
        <w:rPr>
          <w:rFonts w:cstheme="minorHAnsi"/>
          <w:szCs w:val="26"/>
        </w:rPr>
        <w:t>of 6% of persons employed in the public service</w:t>
      </w:r>
      <w:r w:rsidR="009B5391">
        <w:rPr>
          <w:rFonts w:cstheme="minorHAnsi"/>
          <w:szCs w:val="26"/>
        </w:rPr>
        <w:t xml:space="preserve"> </w:t>
      </w:r>
      <w:r>
        <w:rPr>
          <w:rFonts w:cstheme="minorHAnsi"/>
          <w:szCs w:val="26"/>
        </w:rPr>
        <w:t>by the agreed date of 2024</w:t>
      </w:r>
    </w:p>
    <w:p w14:paraId="63EA321C" w14:textId="25D69C6E" w:rsidR="00C96F54" w:rsidRPr="0061101C" w:rsidRDefault="00C96F54" w:rsidP="0061101C">
      <w:pPr>
        <w:rPr>
          <w:szCs w:val="26"/>
        </w:rPr>
      </w:pPr>
      <w:r w:rsidRPr="0061101C">
        <w:rPr>
          <w:szCs w:val="26"/>
        </w:rPr>
        <w:t xml:space="preserve">As in any other year there is an urgent need to ensure that </w:t>
      </w:r>
      <w:r w:rsidR="00D4048E" w:rsidRPr="0061101C">
        <w:rPr>
          <w:szCs w:val="26"/>
        </w:rPr>
        <w:t xml:space="preserve">persons </w:t>
      </w:r>
      <w:r w:rsidRPr="0061101C">
        <w:rPr>
          <w:szCs w:val="26"/>
        </w:rPr>
        <w:t xml:space="preserve">with disabilities have access to the correct information about their entitlements to supports </w:t>
      </w:r>
      <w:r w:rsidR="00747614" w:rsidRPr="0061101C">
        <w:rPr>
          <w:szCs w:val="26"/>
        </w:rPr>
        <w:t xml:space="preserve">whether </w:t>
      </w:r>
      <w:r w:rsidRPr="0061101C">
        <w:rPr>
          <w:szCs w:val="26"/>
        </w:rPr>
        <w:t>welfare, education, health or employment. Online and virtual supports must be supported with other accessible options. A unified communications strategy is necessary across the system; one that supports a swift return to work for those who have lost their job in 2020 or who wish to access employment for the first time.</w:t>
      </w:r>
    </w:p>
    <w:p w14:paraId="7305FF19" w14:textId="7FB82770" w:rsidR="00C96F54" w:rsidRPr="002B3B4B" w:rsidRDefault="00C96F54" w:rsidP="003A10FC">
      <w:pPr>
        <w:ind w:right="1"/>
        <w:rPr>
          <w:color w:val="1F497D"/>
          <w:szCs w:val="26"/>
        </w:rPr>
      </w:pPr>
      <w:r>
        <w:rPr>
          <w:szCs w:val="26"/>
        </w:rPr>
        <w:t>Finally i</w:t>
      </w:r>
      <w:r w:rsidRPr="00AF3D18">
        <w:rPr>
          <w:szCs w:val="26"/>
        </w:rPr>
        <w:t>t is important that persons with disabilities can have their voice heard in relation to any developments being planned or implemented on issues relevant to their lives and in the measures across government to ‘build back better’</w:t>
      </w:r>
      <w:r>
        <w:rPr>
          <w:szCs w:val="26"/>
        </w:rPr>
        <w:t>, post COVID-19</w:t>
      </w:r>
      <w:r w:rsidRPr="00AF3D18">
        <w:rPr>
          <w:szCs w:val="26"/>
        </w:rPr>
        <w:t>.</w:t>
      </w:r>
      <w:r>
        <w:rPr>
          <w:szCs w:val="26"/>
        </w:rPr>
        <w:t xml:space="preserve"> </w:t>
      </w:r>
      <w:r w:rsidR="000E6682">
        <w:rPr>
          <w:szCs w:val="26"/>
        </w:rPr>
        <w:t>In this regard, the NDA advises the importance of meaningful engagement with persons with disabilities, including through their representative bodies, as activity is progressed.</w:t>
      </w:r>
    </w:p>
    <w:sectPr w:rsidR="00C96F54" w:rsidRPr="002B3B4B" w:rsidSect="00D337BD">
      <w:headerReference w:type="default"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553BA" w14:textId="77777777" w:rsidR="00333F05" w:rsidRDefault="00333F05" w:rsidP="00EA60B9">
      <w:r>
        <w:separator/>
      </w:r>
    </w:p>
  </w:endnote>
  <w:endnote w:type="continuationSeparator" w:id="0">
    <w:p w14:paraId="531995C3" w14:textId="77777777" w:rsidR="00333F05" w:rsidRDefault="00333F05" w:rsidP="00EA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old">
    <w:panose1 w:val="00000000000000000000"/>
    <w:charset w:val="00"/>
    <w:family w:val="roman"/>
    <w:notTrueType/>
    <w:pitch w:val="default"/>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ato-Regular">
    <w:panose1 w:val="00000000000000000000"/>
    <w:charset w:val="00"/>
    <w:family w:val="swiss"/>
    <w:notTrueType/>
    <w:pitch w:val="default"/>
    <w:sig w:usb0="00000003" w:usb1="00000000" w:usb2="00000000" w:usb3="00000000" w:csb0="00000001" w:csb1="00000000"/>
  </w:font>
  <w:font w:name="Brown-Regular">
    <w:panose1 w:val="00000000000000000000"/>
    <w:charset w:val="00"/>
    <w:family w:val="swiss"/>
    <w:notTrueType/>
    <w:pitch w:val="default"/>
    <w:sig w:usb0="00000003" w:usb1="00000000" w:usb2="00000000" w:usb3="00000000" w:csb0="00000001" w:csb1="00000000"/>
  </w:font>
  <w:font w:name="TheSansBold-Plain">
    <w:panose1 w:val="00000000000000000000"/>
    <w:charset w:val="00"/>
    <w:family w:val="auto"/>
    <w:notTrueType/>
    <w:pitch w:val="default"/>
    <w:sig w:usb0="00000003" w:usb1="00000000" w:usb2="00000000" w:usb3="00000000" w:csb0="00000001" w:csb1="00000000"/>
  </w:font>
  <w:font w:name="GillSans-Condensed">
    <w:altName w:val="Calibri"/>
    <w:panose1 w:val="00000000000000000000"/>
    <w:charset w:val="00"/>
    <w:family w:val="swiss"/>
    <w:notTrueType/>
    <w:pitch w:val="default"/>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789322"/>
      <w:docPartObj>
        <w:docPartGallery w:val="Page Numbers (Bottom of Page)"/>
        <w:docPartUnique/>
      </w:docPartObj>
    </w:sdtPr>
    <w:sdtEndPr>
      <w:rPr>
        <w:noProof/>
      </w:rPr>
    </w:sdtEndPr>
    <w:sdtContent>
      <w:p w14:paraId="7AC7A709" w14:textId="7EEFE1A6" w:rsidR="00075DD0" w:rsidRDefault="00075DD0">
        <w:pPr>
          <w:pStyle w:val="Footer"/>
          <w:jc w:val="right"/>
        </w:pPr>
        <w:r>
          <w:fldChar w:fldCharType="begin"/>
        </w:r>
        <w:r>
          <w:instrText xml:space="preserve"> PAGE   \* MERGEFORMAT </w:instrText>
        </w:r>
        <w:r>
          <w:fldChar w:fldCharType="separate"/>
        </w:r>
        <w:r w:rsidR="001A3ED7">
          <w:rPr>
            <w:noProof/>
          </w:rPr>
          <w:t>2</w:t>
        </w:r>
        <w:r>
          <w:rPr>
            <w:noProof/>
          </w:rPr>
          <w:fldChar w:fldCharType="end"/>
        </w:r>
      </w:p>
    </w:sdtContent>
  </w:sdt>
  <w:p w14:paraId="7D4A16A7" w14:textId="77777777" w:rsidR="00075DD0" w:rsidRDefault="00075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A14AB" w14:textId="77777777" w:rsidR="00333F05" w:rsidRDefault="00333F05" w:rsidP="00EA60B9">
      <w:r>
        <w:separator/>
      </w:r>
    </w:p>
  </w:footnote>
  <w:footnote w:type="continuationSeparator" w:id="0">
    <w:p w14:paraId="234E6389" w14:textId="77777777" w:rsidR="00333F05" w:rsidRDefault="00333F05" w:rsidP="00EA60B9">
      <w:r>
        <w:continuationSeparator/>
      </w:r>
    </w:p>
  </w:footnote>
  <w:footnote w:id="1">
    <w:p w14:paraId="707E6D87" w14:textId="6D23B6B2" w:rsidR="00075DD0" w:rsidRPr="00700756" w:rsidRDefault="00075DD0" w:rsidP="003F3874">
      <w:pPr>
        <w:pStyle w:val="FootnoteText"/>
      </w:pPr>
      <w:r w:rsidRPr="003F3874">
        <w:rPr>
          <w:rStyle w:val="FootnoteReference"/>
        </w:rPr>
        <w:footnoteRef/>
      </w:r>
      <w:hyperlink r:id="rId1" w:history="1">
        <w:r w:rsidRPr="00700756">
          <w:rPr>
            <w:rStyle w:val="Hyperlink"/>
            <w:color w:val="auto"/>
            <w:lang w:val="en"/>
          </w:rPr>
          <w:t>NDA Factsheet 4: Retaining people with a disability in the workforce</w:t>
        </w:r>
      </w:hyperlink>
      <w:r w:rsidRPr="00700756">
        <w:t xml:space="preserve"> </w:t>
      </w:r>
    </w:p>
  </w:footnote>
  <w:footnote w:id="2">
    <w:p w14:paraId="1A67C2BD" w14:textId="72E23156" w:rsidR="00075DD0" w:rsidRPr="00204D08" w:rsidRDefault="00075DD0" w:rsidP="00204D08">
      <w:pPr>
        <w:pStyle w:val="FootnoteText"/>
        <w:spacing w:after="0"/>
        <w:rPr>
          <w:szCs w:val="22"/>
        </w:rPr>
      </w:pPr>
      <w:r w:rsidRPr="00700756">
        <w:rPr>
          <w:rStyle w:val="FootnoteReference"/>
          <w:rFonts w:ascii="Gill Sans MT" w:hAnsi="Gill Sans MT"/>
          <w:szCs w:val="22"/>
        </w:rPr>
        <w:footnoteRef/>
      </w:r>
      <w:r w:rsidRPr="00700756">
        <w:rPr>
          <w:szCs w:val="22"/>
        </w:rPr>
        <w:t xml:space="preserve"> </w:t>
      </w:r>
      <w:hyperlink r:id="rId2" w:history="1">
        <w:r w:rsidRPr="00700756">
          <w:rPr>
            <w:rStyle w:val="Hyperlink"/>
            <w:color w:val="auto"/>
            <w:szCs w:val="22"/>
          </w:rPr>
          <w:t>http://nda.ie/publications/employment/employment-publications/indicators-for-monitoring-progress-under-the-comprehensive-employment-strategy-for-persons-with-disabilities-2015-2024.html</w:t>
        </w:r>
      </w:hyperlink>
    </w:p>
  </w:footnote>
  <w:footnote w:id="3">
    <w:p w14:paraId="27710876" w14:textId="55BDC680" w:rsidR="00075DD0" w:rsidRPr="00204D08" w:rsidRDefault="00075DD0" w:rsidP="00204D08">
      <w:pPr>
        <w:pStyle w:val="FootnoteText"/>
        <w:spacing w:after="0"/>
        <w:rPr>
          <w:szCs w:val="22"/>
        </w:rPr>
      </w:pPr>
      <w:r w:rsidRPr="00204D08">
        <w:rPr>
          <w:rStyle w:val="FootnoteReference"/>
          <w:rFonts w:ascii="Gill Sans MT" w:hAnsi="Gill Sans MT"/>
          <w:szCs w:val="22"/>
        </w:rPr>
        <w:footnoteRef/>
      </w:r>
      <w:r w:rsidRPr="00204D08">
        <w:rPr>
          <w:szCs w:val="22"/>
        </w:rPr>
        <w:t xml:space="preserve"> </w:t>
      </w:r>
      <w:hyperlink r:id="rId3" w:history="1">
        <w:r w:rsidRPr="00996E67">
          <w:rPr>
            <w:rStyle w:val="Hyperlink"/>
            <w:szCs w:val="22"/>
          </w:rPr>
          <w:t>https://www.cso.ie/en/releasesandpublications/er/lr/liveregisterdecember2020/</w:t>
        </w:r>
      </w:hyperlink>
    </w:p>
  </w:footnote>
  <w:footnote w:id="4">
    <w:p w14:paraId="1A38F82E" w14:textId="71DBB936" w:rsidR="00075DD0" w:rsidRPr="00204D08" w:rsidRDefault="00075DD0" w:rsidP="00204D08">
      <w:pPr>
        <w:pStyle w:val="footnotedescription"/>
        <w:rPr>
          <w:sz w:val="22"/>
        </w:rPr>
      </w:pPr>
      <w:r w:rsidRPr="00204D08">
        <w:rPr>
          <w:rStyle w:val="footnotemark"/>
          <w:sz w:val="22"/>
        </w:rPr>
        <w:footnoteRef/>
      </w:r>
      <w:r w:rsidRPr="00204D08">
        <w:rPr>
          <w:sz w:val="22"/>
          <w:u w:color="000000"/>
        </w:rPr>
        <w:t xml:space="preserve"> CSO (2020) Employment and live effects of COVID-19 </w:t>
      </w:r>
      <w:hyperlink r:id="rId4" w:history="1">
        <w:r w:rsidRPr="00996E67">
          <w:rPr>
            <w:rStyle w:val="Hyperlink"/>
            <w:sz w:val="22"/>
            <w:u w:color="000000"/>
          </w:rPr>
          <w:t>https://www.cso.ie/en/releasesandpublications/er/elec19/employmentandlifeeffectsofcovid-19/</w:t>
        </w:r>
      </w:hyperlink>
      <w:r w:rsidRPr="00204D08">
        <w:rPr>
          <w:sz w:val="22"/>
          <w:u w:color="000000"/>
        </w:rPr>
        <w:t xml:space="preserve"> </w:t>
      </w:r>
    </w:p>
  </w:footnote>
  <w:footnote w:id="5">
    <w:p w14:paraId="3C120D57" w14:textId="07A8ACBC" w:rsidR="00075DD0" w:rsidRPr="00BE7C78" w:rsidRDefault="00075DD0" w:rsidP="007E797D">
      <w:pPr>
        <w:pStyle w:val="Title"/>
        <w:spacing w:after="0"/>
        <w:jc w:val="left"/>
        <w:rPr>
          <w:szCs w:val="22"/>
        </w:rPr>
      </w:pPr>
      <w:r w:rsidRPr="007E797D">
        <w:rPr>
          <w:rStyle w:val="FootnoteReference"/>
          <w:rFonts w:ascii="Gill Sans MT" w:hAnsi="Gill Sans MT"/>
          <w:b w:val="0"/>
          <w:szCs w:val="22"/>
        </w:rPr>
        <w:footnoteRef/>
      </w:r>
      <w:r w:rsidRPr="007E797D">
        <w:rPr>
          <w:b w:val="0"/>
          <w:sz w:val="22"/>
          <w:szCs w:val="22"/>
        </w:rPr>
        <w:t xml:space="preserve"> NDA’s </w:t>
      </w:r>
      <w:r>
        <w:rPr>
          <w:b w:val="0"/>
          <w:sz w:val="22"/>
          <w:szCs w:val="22"/>
        </w:rPr>
        <w:t>s</w:t>
      </w:r>
      <w:r w:rsidRPr="007E797D">
        <w:rPr>
          <w:b w:val="0"/>
          <w:sz w:val="22"/>
          <w:szCs w:val="22"/>
        </w:rPr>
        <w:t xml:space="preserve">ubmission to the Oireachtas Special Committee on Covid-19 Response on the impact of COVID-19 on persons with disabilities and the disability sector (June 2020) </w:t>
      </w:r>
      <w:hyperlink r:id="rId5" w:history="1">
        <w:r w:rsidRPr="007E797D">
          <w:rPr>
            <w:rStyle w:val="Hyperlink"/>
            <w:b w:val="0"/>
            <w:sz w:val="22"/>
            <w:szCs w:val="22"/>
          </w:rPr>
          <w:t>http://nda.ie/publications/health/covid-19/nda-submissions-to-the-oireachtas-special-committee-on-covid-19-response.html</w:t>
        </w:r>
      </w:hyperlink>
    </w:p>
  </w:footnote>
  <w:footnote w:id="6">
    <w:p w14:paraId="0B949C71" w14:textId="353BE5C7" w:rsidR="00075DD0" w:rsidRPr="00FE0CC2" w:rsidRDefault="00075DD0" w:rsidP="007E797D">
      <w:pPr>
        <w:spacing w:after="0"/>
        <w:rPr>
          <w:sz w:val="22"/>
          <w:szCs w:val="22"/>
        </w:rPr>
      </w:pPr>
      <w:r w:rsidRPr="007E797D">
        <w:rPr>
          <w:rStyle w:val="FootnoteReference"/>
          <w:rFonts w:ascii="Gill Sans MT" w:hAnsi="Gill Sans MT"/>
          <w:szCs w:val="22"/>
        </w:rPr>
        <w:footnoteRef/>
      </w:r>
      <w:r w:rsidRPr="007E797D">
        <w:rPr>
          <w:sz w:val="22"/>
          <w:szCs w:val="22"/>
        </w:rPr>
        <w:t xml:space="preserve"> </w:t>
      </w:r>
      <w:r>
        <w:rPr>
          <w:sz w:val="22"/>
          <w:szCs w:val="22"/>
        </w:rPr>
        <w:t>ibid page 21</w:t>
      </w:r>
    </w:p>
  </w:footnote>
  <w:footnote w:id="7">
    <w:p w14:paraId="4B5D4892" w14:textId="298B4D26" w:rsidR="00075DD0" w:rsidRPr="007E797D" w:rsidRDefault="00075DD0" w:rsidP="00FC684A">
      <w:pPr>
        <w:autoSpaceDE w:val="0"/>
        <w:autoSpaceDN w:val="0"/>
        <w:adjustRightInd w:val="0"/>
        <w:spacing w:after="0"/>
        <w:rPr>
          <w:lang w:eastAsia="en-IE"/>
        </w:rPr>
      </w:pPr>
      <w:r w:rsidRPr="007E797D">
        <w:rPr>
          <w:rStyle w:val="footnotemark"/>
          <w:sz w:val="22"/>
        </w:rPr>
        <w:footnoteRef/>
      </w:r>
      <w:r w:rsidRPr="007E797D">
        <w:rPr>
          <w:sz w:val="22"/>
        </w:rPr>
        <w:t xml:space="preserve"> </w:t>
      </w:r>
      <w:r w:rsidRPr="00FC684A">
        <w:rPr>
          <w:rFonts w:cs="Lato-Regular"/>
          <w:sz w:val="22"/>
          <w:szCs w:val="22"/>
          <w:lang w:eastAsia="en-IE"/>
        </w:rPr>
        <w:t>Department of Business,</w:t>
      </w:r>
      <w:r>
        <w:rPr>
          <w:rFonts w:cs="Lato-Regular"/>
          <w:sz w:val="22"/>
          <w:szCs w:val="22"/>
          <w:lang w:eastAsia="en-IE"/>
        </w:rPr>
        <w:t xml:space="preserve"> </w:t>
      </w:r>
      <w:r w:rsidRPr="00FC684A">
        <w:rPr>
          <w:rFonts w:cs="Lato-Regular"/>
          <w:sz w:val="22"/>
          <w:szCs w:val="22"/>
          <w:lang w:eastAsia="en-IE"/>
        </w:rPr>
        <w:t>Enterprise and Innovation</w:t>
      </w:r>
      <w:r>
        <w:rPr>
          <w:rFonts w:cs="Lato-Regular"/>
          <w:sz w:val="22"/>
        </w:rPr>
        <w:t xml:space="preserve"> (2019) </w:t>
      </w:r>
      <w:r w:rsidRPr="00FC684A">
        <w:rPr>
          <w:sz w:val="22"/>
          <w:szCs w:val="22"/>
        </w:rPr>
        <w:t>Remote</w:t>
      </w:r>
      <w:r w:rsidRPr="00FC684A">
        <w:rPr>
          <w:sz w:val="22"/>
        </w:rPr>
        <w:t xml:space="preserve"> </w:t>
      </w:r>
      <w:r>
        <w:rPr>
          <w:sz w:val="22"/>
        </w:rPr>
        <w:t xml:space="preserve">work in Ireland. Future Jobs 2019 </w:t>
      </w:r>
      <w:hyperlink r:id="rId6" w:history="1">
        <w:r w:rsidRPr="00996E67">
          <w:rPr>
            <w:rStyle w:val="Hyperlink"/>
            <w:sz w:val="22"/>
          </w:rPr>
          <w:t>https://enterprise.gov.ie/en/Publications/Publication-files/Remote-Work-in-Ireland.pdf</w:t>
        </w:r>
      </w:hyperlink>
    </w:p>
  </w:footnote>
  <w:footnote w:id="8">
    <w:p w14:paraId="71046C62" w14:textId="25311D88" w:rsidR="00075DD0" w:rsidRPr="00FE0CC2" w:rsidRDefault="00075DD0" w:rsidP="00FC684A">
      <w:pPr>
        <w:pStyle w:val="FootnoteText"/>
        <w:spacing w:after="0"/>
        <w:rPr>
          <w:szCs w:val="22"/>
        </w:rPr>
      </w:pPr>
      <w:r w:rsidRPr="007E797D">
        <w:rPr>
          <w:rStyle w:val="FootnoteReference"/>
          <w:rFonts w:ascii="Gill Sans MT" w:hAnsi="Gill Sans MT"/>
          <w:szCs w:val="22"/>
        </w:rPr>
        <w:footnoteRef/>
      </w:r>
      <w:r w:rsidRPr="000479D5">
        <w:rPr>
          <w:szCs w:val="22"/>
        </w:rPr>
        <w:t xml:space="preserve"> </w:t>
      </w:r>
      <w:r w:rsidRPr="00FC684A">
        <w:rPr>
          <w:rFonts w:cs="Lato-Regular"/>
          <w:szCs w:val="22"/>
          <w:lang w:eastAsia="en-IE"/>
        </w:rPr>
        <w:t>Department of Business,</w:t>
      </w:r>
      <w:r>
        <w:rPr>
          <w:rFonts w:cs="Lato-Regular"/>
          <w:szCs w:val="22"/>
          <w:lang w:eastAsia="en-IE"/>
        </w:rPr>
        <w:t xml:space="preserve"> </w:t>
      </w:r>
      <w:r w:rsidRPr="00FC684A">
        <w:rPr>
          <w:rFonts w:cs="Lato-Regular"/>
          <w:szCs w:val="22"/>
          <w:lang w:eastAsia="en-IE"/>
        </w:rPr>
        <w:t>Enterprise and Innovation</w:t>
      </w:r>
      <w:r>
        <w:rPr>
          <w:rFonts w:cs="Lato-Regular"/>
        </w:rPr>
        <w:t xml:space="preserve"> (2019) </w:t>
      </w:r>
      <w:r w:rsidRPr="000479D5">
        <w:rPr>
          <w:szCs w:val="22"/>
        </w:rPr>
        <w:t xml:space="preserve">Future Jobs Ireland 2019.  </w:t>
      </w:r>
      <w:hyperlink r:id="rId7" w:history="1">
        <w:r w:rsidRPr="00996E67">
          <w:rPr>
            <w:rStyle w:val="Hyperlink"/>
            <w:szCs w:val="22"/>
          </w:rPr>
          <w:t>https://www.enterprise.gov.ie/en/Publications/Publication-files/Future-Jobs-Ireland-2019.pdf</w:t>
        </w:r>
      </w:hyperlink>
    </w:p>
  </w:footnote>
  <w:footnote w:id="9">
    <w:p w14:paraId="19D754BA" w14:textId="503B13A2" w:rsidR="00075DD0" w:rsidRDefault="00075DD0">
      <w:pPr>
        <w:pStyle w:val="FootnoteText"/>
      </w:pPr>
      <w:r>
        <w:rPr>
          <w:rStyle w:val="FootnoteReference"/>
        </w:rPr>
        <w:footnoteRef/>
      </w:r>
      <w:r>
        <w:t xml:space="preserve"> </w:t>
      </w:r>
      <w:r>
        <w:rPr>
          <w:szCs w:val="26"/>
        </w:rPr>
        <w:t xml:space="preserve">Making Remote Work. National Remote Working Strategy, 2021 </w:t>
      </w:r>
      <w:hyperlink r:id="rId8" w:history="1">
        <w:r w:rsidRPr="00996E67">
          <w:rPr>
            <w:rStyle w:val="Hyperlink"/>
          </w:rPr>
          <w:t>https://enterprise.gov.ie/en/Publications/Publication-files/Making-Remote-Work.pdf</w:t>
        </w:r>
      </w:hyperlink>
    </w:p>
  </w:footnote>
  <w:footnote w:id="10">
    <w:p w14:paraId="1B5B789B" w14:textId="77777777" w:rsidR="00075DD0" w:rsidRDefault="00075DD0" w:rsidP="00FD3F7B">
      <w:pPr>
        <w:pStyle w:val="FootnoteText"/>
        <w:spacing w:after="0"/>
      </w:pPr>
      <w:r>
        <w:rPr>
          <w:rStyle w:val="FootnoteReference"/>
        </w:rPr>
        <w:footnoteRef/>
      </w:r>
      <w:r>
        <w:t xml:space="preserve"> The Regional Enterprise Strategy 2020</w:t>
      </w:r>
    </w:p>
    <w:p w14:paraId="499A915A" w14:textId="7A3D43B5" w:rsidR="00075DD0" w:rsidRDefault="00075DD0" w:rsidP="00FD3F7B">
      <w:pPr>
        <w:pStyle w:val="FootnoteText"/>
        <w:spacing w:after="0"/>
      </w:pPr>
      <w:r w:rsidRPr="004732B0">
        <w:t>https://enterprise.gov.ie/en/Publications/Publication-files/Dublin-Regional-Enterprise-Plan-to-2020.pdf</w:t>
      </w:r>
    </w:p>
  </w:footnote>
  <w:footnote w:id="11">
    <w:p w14:paraId="44D1A523" w14:textId="4DC4738A" w:rsidR="00075DD0" w:rsidRPr="00FD3F7B" w:rsidRDefault="00075DD0" w:rsidP="00FD3F7B">
      <w:pPr>
        <w:spacing w:after="0"/>
        <w:rPr>
          <w:rFonts w:cs="Arial"/>
          <w:sz w:val="24"/>
          <w:lang w:eastAsia="en-IE"/>
        </w:rPr>
      </w:pPr>
      <w:r>
        <w:rPr>
          <w:rStyle w:val="FootnoteReference"/>
        </w:rPr>
        <w:footnoteRef/>
      </w:r>
      <w:r>
        <w:t xml:space="preserve"> </w:t>
      </w:r>
      <w:r w:rsidRPr="00FD3F7B">
        <w:rPr>
          <w:sz w:val="22"/>
          <w:szCs w:val="22"/>
        </w:rPr>
        <w:t>WHO</w:t>
      </w:r>
      <w:r w:rsidRPr="002D0151">
        <w:t xml:space="preserve"> </w:t>
      </w:r>
      <w:r w:rsidRPr="00FD3F7B">
        <w:rPr>
          <w:rFonts w:cs="Arial"/>
          <w:sz w:val="24"/>
          <w:lang w:eastAsia="en-IE"/>
        </w:rPr>
        <w:t>Substantial investment needed to avert mental health crisis</w:t>
      </w:r>
    </w:p>
    <w:p w14:paraId="3CB8BB62" w14:textId="0CEB9577" w:rsidR="00075DD0" w:rsidRDefault="00075DD0" w:rsidP="00FD3F7B">
      <w:pPr>
        <w:pStyle w:val="FootnoteText"/>
        <w:spacing w:after="0"/>
      </w:pPr>
      <w:r w:rsidRPr="002D0151">
        <w:t>https://www.who.int/news/item/14-05-2020-substantial-investment-needed-to-avert-mental-health-crisis</w:t>
      </w:r>
    </w:p>
  </w:footnote>
  <w:footnote w:id="12">
    <w:p w14:paraId="3AD527E9" w14:textId="18142866" w:rsidR="00075DD0" w:rsidRPr="0007644B" w:rsidRDefault="00075DD0" w:rsidP="00FD3F7B">
      <w:pPr>
        <w:pStyle w:val="Heading3"/>
        <w:rPr>
          <w:szCs w:val="22"/>
        </w:rPr>
      </w:pPr>
      <w:r>
        <w:rPr>
          <w:rStyle w:val="FootnoteReference"/>
        </w:rPr>
        <w:footnoteRef/>
      </w:r>
      <w:r>
        <w:t xml:space="preserve"> </w:t>
      </w:r>
      <w:r w:rsidRPr="00FD3F7B">
        <w:rPr>
          <w:b w:val="0"/>
          <w:sz w:val="22"/>
          <w:szCs w:val="22"/>
        </w:rPr>
        <w:t>Roadmap for Social Inclusion 2020 - 2025</w:t>
      </w:r>
    </w:p>
    <w:p w14:paraId="600682BB" w14:textId="1B738C2C" w:rsidR="00075DD0" w:rsidRDefault="00075DD0" w:rsidP="00FD3F7B">
      <w:pPr>
        <w:pStyle w:val="FootnoteText"/>
        <w:spacing w:after="0"/>
      </w:pPr>
      <w:r w:rsidRPr="004467DD">
        <w:t>file:///H:/Downloads/46557_bf7011904ede4562b925f98b15c4f1b5.pdf</w:t>
      </w:r>
    </w:p>
  </w:footnote>
  <w:footnote w:id="13">
    <w:p w14:paraId="14B673D5" w14:textId="3D496553" w:rsidR="00075DD0" w:rsidRDefault="00075DD0" w:rsidP="00FD3F7B">
      <w:pPr>
        <w:pStyle w:val="FootnoteText"/>
        <w:spacing w:after="0"/>
      </w:pPr>
      <w:r>
        <w:rPr>
          <w:rStyle w:val="FootnoteReference"/>
        </w:rPr>
        <w:footnoteRef/>
      </w:r>
      <w:r>
        <w:t xml:space="preserve"> </w:t>
      </w:r>
      <w:r w:rsidRPr="00FD3F7B">
        <w:rPr>
          <w:szCs w:val="26"/>
        </w:rPr>
        <w:t>Indicators for Monitoring Progress under the Comprehensive Employment Strategy for Persons with Disabilities 2015-2024</w:t>
      </w:r>
    </w:p>
    <w:p w14:paraId="36F4FD67" w14:textId="6FBF308D" w:rsidR="00075DD0" w:rsidRDefault="00075DD0" w:rsidP="00FD3F7B">
      <w:pPr>
        <w:pStyle w:val="FootnoteText"/>
        <w:spacing w:after="0"/>
      </w:pPr>
      <w:r w:rsidRPr="00E15F35">
        <w:t>http://nda.ie/publications/employment/employment-publications/</w:t>
      </w:r>
    </w:p>
  </w:footnote>
  <w:footnote w:id="14">
    <w:p w14:paraId="6E766F46" w14:textId="77777777" w:rsidR="00075DD0" w:rsidRDefault="00075DD0" w:rsidP="00E76159">
      <w:pPr>
        <w:pStyle w:val="FootnoteText"/>
      </w:pPr>
      <w:r>
        <w:rPr>
          <w:rStyle w:val="FootnoteReference"/>
        </w:rPr>
        <w:footnoteRef/>
      </w:r>
      <w:r>
        <w:t>Hogan E, Howard N (2020) Equality Budgeting – Equality Data Audit Report (Government of Ireland). (</w:t>
      </w:r>
      <w:hyperlink r:id="rId9" w:history="1">
        <w:r w:rsidRPr="00F775F2">
          <w:rPr>
            <w:rStyle w:val="Hyperlink"/>
          </w:rPr>
          <w:t>http://budget.gov.ie/Budgets/2021/Documents/Budget/Equality%20Budgeting%20%E2%80%93%20Equality%20Data%20Audit%20Report.docx.pdf</w:t>
        </w:r>
      </w:hyperlink>
    </w:p>
  </w:footnote>
  <w:footnote w:id="15">
    <w:p w14:paraId="5097B19C" w14:textId="77777777" w:rsidR="00075DD0" w:rsidRDefault="00075DD0" w:rsidP="00E76159">
      <w:pPr>
        <w:pStyle w:val="FootnoteText"/>
      </w:pPr>
      <w:r>
        <w:rPr>
          <w:rStyle w:val="FootnoteReference"/>
        </w:rPr>
        <w:footnoteRef/>
      </w:r>
      <w:r>
        <w:t xml:space="preserve"> G</w:t>
      </w:r>
      <w:r w:rsidRPr="003509DB">
        <w:t>ender, marital status, family status, age, disability, sexual orientation, race, religion and membership of the Traveller community</w:t>
      </w:r>
    </w:p>
  </w:footnote>
  <w:footnote w:id="16">
    <w:p w14:paraId="7555DCEC" w14:textId="02064422" w:rsidR="00075DD0" w:rsidRDefault="00075DD0">
      <w:pPr>
        <w:pStyle w:val="FootnoteText"/>
      </w:pPr>
      <w:r>
        <w:rPr>
          <w:rStyle w:val="FootnoteReference"/>
        </w:rPr>
        <w:footnoteRef/>
      </w:r>
      <w:r>
        <w:t xml:space="preserve"> Figures reported at the Departmental Consultative Forum (DCF) meeting Nov 2020</w:t>
      </w:r>
    </w:p>
  </w:footnote>
  <w:footnote w:id="17">
    <w:p w14:paraId="3D30289C" w14:textId="40C69E7D" w:rsidR="00075DD0" w:rsidRDefault="00075DD0">
      <w:pPr>
        <w:pStyle w:val="FootnoteText"/>
      </w:pPr>
      <w:r>
        <w:rPr>
          <w:rStyle w:val="FootnoteReference"/>
        </w:rPr>
        <w:footnoteRef/>
      </w:r>
      <w:r>
        <w:t xml:space="preserve"> </w:t>
      </w:r>
      <w:r w:rsidRPr="00581F20">
        <w:rPr>
          <w:szCs w:val="22"/>
        </w:rPr>
        <w:t xml:space="preserve">Earnings disregard </w:t>
      </w:r>
      <w:r w:rsidRPr="00EC235C">
        <w:rPr>
          <w:szCs w:val="22"/>
        </w:rPr>
        <w:t xml:space="preserve">means that </w:t>
      </w:r>
      <w:r w:rsidRPr="00EC235C">
        <w:rPr>
          <w:rFonts w:cs="Arial"/>
          <w:spacing w:val="3"/>
          <w:szCs w:val="22"/>
          <w:shd w:val="clear" w:color="auto" w:fill="FFFFFF"/>
        </w:rPr>
        <w:t>some earnings from work are not taken into account in the assessment of your means and do not affect your payment.</w:t>
      </w:r>
    </w:p>
  </w:footnote>
  <w:footnote w:id="18">
    <w:p w14:paraId="6B70EAB1" w14:textId="31C7014E" w:rsidR="00075DD0" w:rsidRDefault="00075DD0">
      <w:pPr>
        <w:pStyle w:val="FootnoteText"/>
      </w:pPr>
      <w:r>
        <w:rPr>
          <w:rStyle w:val="FootnoteReference"/>
        </w:rPr>
        <w:footnoteRef/>
      </w:r>
      <w:r>
        <w:t xml:space="preserve"> Figures reported at a DSP update to CESIG Dec 2020</w:t>
      </w:r>
    </w:p>
  </w:footnote>
  <w:footnote w:id="19">
    <w:p w14:paraId="15D8B3CE" w14:textId="5C798CE3" w:rsidR="00075DD0" w:rsidRDefault="00075DD0">
      <w:pPr>
        <w:pStyle w:val="FootnoteText"/>
      </w:pPr>
      <w:r>
        <w:rPr>
          <w:rStyle w:val="FootnoteReference"/>
        </w:rPr>
        <w:footnoteRef/>
      </w:r>
      <w:r>
        <w:t xml:space="preserve"> The Fidelity review ensures that the IPS model operated in each CHO is authentic to the 8 principles of IPS.</w:t>
      </w:r>
    </w:p>
  </w:footnote>
  <w:footnote w:id="20">
    <w:p w14:paraId="2ED2502B" w14:textId="30D17B0B" w:rsidR="00075DD0" w:rsidRDefault="00075DD0">
      <w:pPr>
        <w:pStyle w:val="FootnoteText"/>
      </w:pPr>
      <w:r>
        <w:rPr>
          <w:rStyle w:val="FootnoteReference"/>
        </w:rPr>
        <w:footnoteRef/>
      </w:r>
      <w:r>
        <w:t xml:space="preserve"> </w:t>
      </w:r>
      <w:hyperlink r:id="rId10" w:history="1">
        <w:r w:rsidRPr="00996E67">
          <w:rPr>
            <w:rStyle w:val="Hyperlink"/>
          </w:rPr>
          <w:t>https://www.hse.ie/eng/about/who/cspd/ncps/mental-health/psychosis/resources/ips-sop-final-april-2019.pdf</w:t>
        </w:r>
      </w:hyperlink>
    </w:p>
  </w:footnote>
  <w:footnote w:id="21">
    <w:p w14:paraId="534377FA" w14:textId="636DDC78" w:rsidR="00075DD0" w:rsidRDefault="00075DD0">
      <w:pPr>
        <w:pStyle w:val="FootnoteText"/>
      </w:pPr>
      <w:r>
        <w:rPr>
          <w:rStyle w:val="FootnoteReference"/>
        </w:rPr>
        <w:footnoteRef/>
      </w:r>
      <w:r>
        <w:t xml:space="preserve"> A Conceptual Framework of Universal Design for Learning (UDL) for the Irish Further Education and Training Sector (2020) </w:t>
      </w:r>
      <w:hyperlink r:id="rId11" w:history="1">
        <w:r w:rsidRPr="00996E67">
          <w:rPr>
            <w:rStyle w:val="Hyperlink"/>
          </w:rPr>
          <w:t>https://www.solas.ie/f/70398/x/948bcabcc4/udl-for-fet-framework.pdf</w:t>
        </w:r>
      </w:hyperlink>
    </w:p>
  </w:footnote>
  <w:footnote w:id="22">
    <w:p w14:paraId="60423F39" w14:textId="41A8DCCC" w:rsidR="00075DD0" w:rsidRDefault="00075DD0">
      <w:pPr>
        <w:pStyle w:val="FootnoteText"/>
      </w:pPr>
      <w:r>
        <w:rPr>
          <w:rStyle w:val="FootnoteReference"/>
        </w:rPr>
        <w:footnoteRef/>
      </w:r>
      <w:r>
        <w:t xml:space="preserve"> </w:t>
      </w:r>
      <w:hyperlink r:id="rId12" w:history="1">
        <w:r w:rsidRPr="00996E67">
          <w:rPr>
            <w:rStyle w:val="Hyperlink"/>
          </w:rPr>
          <w:t>https://www.fetchcourses.ie/</w:t>
        </w:r>
      </w:hyperlink>
    </w:p>
  </w:footnote>
  <w:footnote w:id="23">
    <w:p w14:paraId="084B0DE4" w14:textId="20C8E382" w:rsidR="00075DD0" w:rsidRDefault="00075DD0" w:rsidP="00F51E2B">
      <w:pPr>
        <w:pStyle w:val="FootnoteText"/>
      </w:pPr>
      <w:r>
        <w:rPr>
          <w:rStyle w:val="FootnoteReference"/>
        </w:rPr>
        <w:footnoteRef/>
      </w:r>
      <w:r>
        <w:t xml:space="preserve"> SOLAS (2020) FET in Numbers 2019. Learners with Disabilities. </w:t>
      </w:r>
      <w:r w:rsidRPr="00644F6D">
        <w:t>https://www.solas.ie/f/70398/x/a4dcab3b27/disabilities-fet-report-2019.pdf</w:t>
      </w:r>
    </w:p>
  </w:footnote>
  <w:footnote w:id="24">
    <w:p w14:paraId="4B1351B7" w14:textId="3EFD300E" w:rsidR="00075DD0" w:rsidRDefault="00075DD0" w:rsidP="00FD3F7B">
      <w:pPr>
        <w:pStyle w:val="FootnoteText"/>
        <w:spacing w:after="0"/>
      </w:pPr>
      <w:r>
        <w:rPr>
          <w:rStyle w:val="FootnoteReference"/>
        </w:rPr>
        <w:footnoteRef/>
      </w:r>
      <w:r>
        <w:t xml:space="preserve"> HSE update to CESIG 2020</w:t>
      </w:r>
    </w:p>
  </w:footnote>
  <w:footnote w:id="25">
    <w:p w14:paraId="227A40B8" w14:textId="4DFBDF1B" w:rsidR="00075DD0" w:rsidRDefault="00075DD0" w:rsidP="00FD3F7B">
      <w:pPr>
        <w:pStyle w:val="FootnoteText"/>
        <w:spacing w:after="0"/>
      </w:pPr>
      <w:r>
        <w:rPr>
          <w:rStyle w:val="FootnoteReference"/>
        </w:rPr>
        <w:footnoteRef/>
      </w:r>
      <w:r>
        <w:t xml:space="preserve"> </w:t>
      </w:r>
      <w:r w:rsidRPr="002D2475">
        <w:t>https://asiam.ie/inclusive-employment-and-retention-practices-training-course/</w:t>
      </w:r>
    </w:p>
  </w:footnote>
  <w:footnote w:id="26">
    <w:p w14:paraId="0EF1F4CD" w14:textId="55EAD783" w:rsidR="00075DD0" w:rsidRPr="000018A4" w:rsidRDefault="00075DD0" w:rsidP="00FD3F7B">
      <w:pPr>
        <w:pStyle w:val="FootnoteText"/>
        <w:spacing w:after="0"/>
      </w:pPr>
      <w:r w:rsidRPr="000018A4">
        <w:rPr>
          <w:rStyle w:val="FootnoteReference"/>
        </w:rPr>
        <w:footnoteRef/>
      </w:r>
      <w:r w:rsidRPr="000018A4">
        <w:t xml:space="preserve"> </w:t>
      </w:r>
      <w:hyperlink r:id="rId13" w:history="1">
        <w:r w:rsidRPr="004629FE">
          <w:rPr>
            <w:rStyle w:val="Hyperlink"/>
            <w:color w:val="auto"/>
          </w:rPr>
          <w:t>https://www.oireachtas.ie/en/how-parliament-is-run/houses-of-the-oireachtas-service/equality-diversity-and-inclusion/owl-programme/</w:t>
        </w:r>
      </w:hyperlink>
    </w:p>
  </w:footnote>
  <w:footnote w:id="27">
    <w:p w14:paraId="35717179" w14:textId="730FCDB0" w:rsidR="00075DD0" w:rsidRPr="000018A4" w:rsidRDefault="00075DD0" w:rsidP="00581F20">
      <w:pPr>
        <w:autoSpaceDE w:val="0"/>
        <w:autoSpaceDN w:val="0"/>
        <w:adjustRightInd w:val="0"/>
        <w:spacing w:after="0"/>
        <w:rPr>
          <w:sz w:val="22"/>
          <w:szCs w:val="22"/>
        </w:rPr>
      </w:pPr>
      <w:r w:rsidRPr="000018A4">
        <w:rPr>
          <w:rStyle w:val="FootnoteReference"/>
        </w:rPr>
        <w:footnoteRef/>
      </w:r>
      <w:r w:rsidRPr="000018A4">
        <w:t xml:space="preserve"> </w:t>
      </w:r>
      <w:r w:rsidRPr="000018A4">
        <w:rPr>
          <w:rFonts w:cs="TheSansBold-Plain"/>
          <w:bCs/>
          <w:sz w:val="22"/>
          <w:szCs w:val="22"/>
          <w:lang w:eastAsia="en-IE"/>
        </w:rPr>
        <w:t xml:space="preserve">Guide to Promoting Inclusive Employment: Supporting People with an Intellectual Disability </w:t>
      </w:r>
      <w:hyperlink r:id="rId14" w:history="1">
        <w:r w:rsidRPr="000018A4">
          <w:rPr>
            <w:rStyle w:val="Hyperlink"/>
            <w:color w:val="auto"/>
            <w:sz w:val="22"/>
            <w:szCs w:val="22"/>
          </w:rPr>
          <w:t>https://www.publicjobs.ie/documents/OWLProgrammeGuidetoSupportingInclusiveEmployment.pdf</w:t>
        </w:r>
      </w:hyperlink>
    </w:p>
    <w:p w14:paraId="03B5E4FC" w14:textId="77777777" w:rsidR="00075DD0" w:rsidRDefault="00075DD0">
      <w:pPr>
        <w:pStyle w:val="FootnoteText"/>
      </w:pPr>
    </w:p>
  </w:footnote>
  <w:footnote w:id="28">
    <w:p w14:paraId="70CCD604" w14:textId="4AB9DC6D" w:rsidR="004629FE" w:rsidRDefault="004629FE">
      <w:pPr>
        <w:pStyle w:val="FootnoteText"/>
      </w:pPr>
      <w:r>
        <w:rPr>
          <w:rStyle w:val="FootnoteReference"/>
        </w:rPr>
        <w:footnoteRef/>
      </w:r>
      <w:r>
        <w:t xml:space="preserve"> Quality Matters have conducted a mid-term evaluation, publication due in 2021</w:t>
      </w:r>
    </w:p>
  </w:footnote>
  <w:footnote w:id="29">
    <w:p w14:paraId="01BDBEB1" w14:textId="00ED28B0" w:rsidR="00075DD0" w:rsidRDefault="00075DD0">
      <w:pPr>
        <w:pStyle w:val="FootnoteText"/>
      </w:pPr>
      <w:r>
        <w:rPr>
          <w:rStyle w:val="FootnoteReference"/>
        </w:rPr>
        <w:footnoteRef/>
      </w:r>
      <w:r>
        <w:t xml:space="preserve"> European Agency for Special Needs and Inclusive Education, 2016. Early School Leaving and Learners with Disabilities and/or Special Educational Needs: A Review of the Research Evidence Focusing on Europe. (A. Dyson and G. Squires, eds.).</w:t>
      </w:r>
    </w:p>
  </w:footnote>
  <w:footnote w:id="30">
    <w:p w14:paraId="72C00F87" w14:textId="3D4A8E2F" w:rsidR="00075DD0" w:rsidRDefault="00075DD0" w:rsidP="00332870">
      <w:pPr>
        <w:pStyle w:val="FootnoteText"/>
      </w:pPr>
      <w:r>
        <w:rPr>
          <w:rStyle w:val="FootnoteReference"/>
        </w:rPr>
        <w:footnoteRef/>
      </w:r>
      <w:r>
        <w:t xml:space="preserve"> Watson E, Lawless, M, Maitree, B (2017) Employment transitions among people with disabilities in Ireland </w:t>
      </w:r>
      <w:hyperlink r:id="rId15" w:history="1">
        <w:r w:rsidRPr="00DC1012">
          <w:rPr>
            <w:rStyle w:val="Hyperlink"/>
          </w:rPr>
          <w:t>https://www.esri.ie/system/files/publications/RS58.pdf</w:t>
        </w:r>
      </w:hyperlink>
      <w:r>
        <w:t xml:space="preserve"> </w:t>
      </w:r>
    </w:p>
  </w:footnote>
  <w:footnote w:id="31">
    <w:p w14:paraId="32845AC0" w14:textId="77777777" w:rsidR="00075DD0" w:rsidRDefault="00075DD0" w:rsidP="00FD002A">
      <w:pPr>
        <w:pStyle w:val="FootnoteText"/>
        <w:spacing w:after="0"/>
        <w:rPr>
          <w:rFonts w:ascii="Arial" w:hAnsi="Arial" w:cs="Arial"/>
          <w:b/>
          <w:bCs/>
          <w:color w:val="111111"/>
          <w:lang w:val="en"/>
        </w:rPr>
      </w:pPr>
      <w:r>
        <w:rPr>
          <w:rStyle w:val="FootnoteReference"/>
        </w:rPr>
        <w:footnoteRef/>
      </w:r>
      <w:r w:rsidRPr="007E797D">
        <w:rPr>
          <w:rFonts w:cs="Arial"/>
          <w:bCs/>
          <w:color w:val="111111"/>
          <w:lang w:val="en"/>
        </w:rPr>
        <w:t>Lipscomb S et al (2012) Preparing for life after high school: The characteristics and experiences of youth in special education. Findings from the National Longitudinal Transition Study 2012. Volume 1: Comparisons with other youth: Full report</w:t>
      </w:r>
      <w:r>
        <w:rPr>
          <w:rFonts w:ascii="Arial" w:hAnsi="Arial" w:cs="Arial"/>
          <w:b/>
          <w:bCs/>
          <w:color w:val="111111"/>
          <w:lang w:val="en"/>
        </w:rPr>
        <w:t xml:space="preserve"> </w:t>
      </w:r>
    </w:p>
    <w:p w14:paraId="4098988F" w14:textId="7EE74303" w:rsidR="00075DD0" w:rsidRDefault="001A3ED7">
      <w:pPr>
        <w:pStyle w:val="FootnoteText"/>
      </w:pPr>
      <w:hyperlink r:id="rId16" w:history="1">
        <w:r w:rsidR="00075DD0" w:rsidRPr="00996E67">
          <w:rPr>
            <w:rStyle w:val="Hyperlink"/>
          </w:rPr>
          <w:t>https://ies.ed.gov/ncee/pubs/20174016/pdf/20174016.pdf</w:t>
        </w:r>
      </w:hyperlink>
    </w:p>
  </w:footnote>
  <w:footnote w:id="32">
    <w:p w14:paraId="48C09091" w14:textId="77777777" w:rsidR="00075DD0" w:rsidRDefault="00075DD0" w:rsidP="0057014D">
      <w:pPr>
        <w:pStyle w:val="footnotedescription"/>
      </w:pPr>
      <w:r>
        <w:rPr>
          <w:rStyle w:val="footnotemark"/>
        </w:rPr>
        <w:footnoteRef/>
      </w:r>
      <w:r>
        <w:t xml:space="preserve"> Page 16 Comprehensive Employment Strategy for people with disabilities 2015 to 2024 </w:t>
      </w:r>
    </w:p>
  </w:footnote>
  <w:footnote w:id="33">
    <w:p w14:paraId="65A07D18" w14:textId="77777777" w:rsidR="00075DD0" w:rsidRDefault="00075DD0" w:rsidP="00B10BF3">
      <w:pPr>
        <w:pStyle w:val="FootnoteText"/>
      </w:pPr>
      <w:r>
        <w:rPr>
          <w:rStyle w:val="FootnoteReference"/>
        </w:rPr>
        <w:footnoteRef/>
      </w:r>
      <w:r>
        <w:t xml:space="preserve"> HSE update CESIG Dec 2020</w:t>
      </w:r>
    </w:p>
  </w:footnote>
  <w:footnote w:id="34">
    <w:p w14:paraId="688515AA" w14:textId="120E374C" w:rsidR="00075DD0" w:rsidRPr="00167FBE" w:rsidRDefault="00075DD0" w:rsidP="00577D95">
      <w:pPr>
        <w:pStyle w:val="Default"/>
      </w:pPr>
      <w:r>
        <w:rPr>
          <w:rStyle w:val="FootnoteReference"/>
        </w:rPr>
        <w:footnoteRef/>
      </w:r>
      <w:r>
        <w:t xml:space="preserve"> </w:t>
      </w:r>
      <w:r w:rsidRPr="00167FBE">
        <w:rPr>
          <w:rFonts w:ascii="Gill Sans MT" w:hAnsi="Gill Sans MT"/>
          <w:sz w:val="20"/>
          <w:szCs w:val="20"/>
        </w:rPr>
        <w:t>UK Departments of Education and Health (2015)</w:t>
      </w:r>
      <w:r w:rsidRPr="00C552A6">
        <w:t xml:space="preserve">  </w:t>
      </w:r>
      <w:r w:rsidRPr="00167FBE">
        <w:rPr>
          <w:rFonts w:ascii="Gill Sans MT" w:hAnsi="Gill Sans MT"/>
          <w:bCs/>
          <w:color w:val="000000" w:themeColor="text1"/>
          <w:sz w:val="20"/>
          <w:szCs w:val="20"/>
        </w:rPr>
        <w:t xml:space="preserve">Special educational needs and disability code of practice: 0 to 25 years Statutory guidance for organisations which work with and support children and young people who have special educational needs or disabilities </w:t>
      </w:r>
      <w:r w:rsidRPr="00C552A6">
        <w:t xml:space="preserve"> </w:t>
      </w:r>
      <w:hyperlink r:id="rId17" w:history="1">
        <w:r w:rsidRPr="00996E67">
          <w:rPr>
            <w:rStyle w:val="Hyperlink"/>
            <w:rFonts w:ascii="Gill Sans MT" w:hAnsi="Gill Sans MT"/>
            <w:bCs/>
            <w:sz w:val="20"/>
            <w:szCs w:val="20"/>
          </w:rPr>
          <w:t>https://assets.publishing.service.gov.uk/government/uploads/system/uploads/attachment_data/file/398815/SEND_Code_of_Practice_January_2015.pdf</w:t>
        </w:r>
      </w:hyperlink>
    </w:p>
  </w:footnote>
  <w:footnote w:id="35">
    <w:p w14:paraId="0E2FF044" w14:textId="3CAB2727" w:rsidR="00075DD0" w:rsidRPr="00FD002A" w:rsidRDefault="00075DD0" w:rsidP="00FD002A">
      <w:pPr>
        <w:spacing w:after="0" w:line="238" w:lineRule="auto"/>
        <w:rPr>
          <w:rFonts w:cstheme="minorHAnsi"/>
          <w:sz w:val="22"/>
          <w:szCs w:val="22"/>
        </w:rPr>
      </w:pPr>
      <w:r w:rsidRPr="00FD002A">
        <w:rPr>
          <w:rStyle w:val="FootnoteReference"/>
          <w:rFonts w:ascii="Gill Sans MT" w:hAnsi="Gill Sans MT"/>
          <w:szCs w:val="22"/>
        </w:rPr>
        <w:footnoteRef/>
      </w:r>
      <w:r w:rsidRPr="00FD002A">
        <w:rPr>
          <w:sz w:val="22"/>
          <w:szCs w:val="22"/>
        </w:rPr>
        <w:t xml:space="preserve"> SOLAS (2020) Future FET: Transforming Learning. The national further education and training strategy 2020-2024. </w:t>
      </w:r>
      <w:hyperlink r:id="rId18" w:history="1">
        <w:r w:rsidRPr="00FD002A">
          <w:rPr>
            <w:rStyle w:val="Hyperlink"/>
            <w:rFonts w:cstheme="minorHAnsi"/>
            <w:sz w:val="22"/>
            <w:szCs w:val="22"/>
          </w:rPr>
          <w:t>https://www.solas.ie/f/70398/x/64d0718c9e/solas_fet_strategy_web.pdf</w:t>
        </w:r>
      </w:hyperlink>
    </w:p>
  </w:footnote>
  <w:footnote w:id="36">
    <w:p w14:paraId="5A3110C9" w14:textId="44A1A4A4" w:rsidR="00075DD0" w:rsidRPr="00FD002A" w:rsidRDefault="00075DD0" w:rsidP="00FD002A">
      <w:pPr>
        <w:pStyle w:val="Default"/>
        <w:rPr>
          <w:rFonts w:ascii="Gill Sans MT" w:hAnsi="Gill Sans MT"/>
          <w:color w:val="1F497D"/>
          <w:sz w:val="22"/>
          <w:szCs w:val="22"/>
        </w:rPr>
      </w:pPr>
      <w:r w:rsidRPr="00FD002A">
        <w:rPr>
          <w:rStyle w:val="FootnoteReference"/>
          <w:rFonts w:ascii="Gill Sans MT" w:hAnsi="Gill Sans MT"/>
          <w:szCs w:val="22"/>
        </w:rPr>
        <w:footnoteRef/>
      </w:r>
      <w:r w:rsidRPr="00FD002A">
        <w:rPr>
          <w:rFonts w:ascii="Gill Sans MT" w:hAnsi="Gill Sans MT"/>
          <w:sz w:val="22"/>
          <w:szCs w:val="22"/>
        </w:rPr>
        <w:t xml:space="preserve"> SOLAS (2020)  </w:t>
      </w:r>
      <w:r w:rsidRPr="00FD002A">
        <w:rPr>
          <w:rFonts w:ascii="Gill Sans MT" w:hAnsi="Gill Sans MT"/>
          <w:bCs/>
          <w:sz w:val="22"/>
          <w:szCs w:val="22"/>
        </w:rPr>
        <w:t xml:space="preserve">Further Education and Training (FET) Progression to Higher Education (HE) </w:t>
      </w:r>
      <w:r w:rsidRPr="00FD002A">
        <w:rPr>
          <w:rFonts w:ascii="Gill Sans MT" w:hAnsi="Gill Sans MT"/>
          <w:sz w:val="22"/>
          <w:szCs w:val="22"/>
        </w:rPr>
        <w:t xml:space="preserve">Transitions Reform Working Paper </w:t>
      </w:r>
      <w:hyperlink r:id="rId19" w:history="1">
        <w:r w:rsidRPr="00FD002A">
          <w:rPr>
            <w:rStyle w:val="Hyperlink"/>
            <w:rFonts w:ascii="Gill Sans MT" w:hAnsi="Gill Sans MT"/>
            <w:sz w:val="22"/>
            <w:szCs w:val="22"/>
          </w:rPr>
          <w:t>http://www.transition.ie/files/2020/des-transitions-sub-group-working-paper-june-2020.pdf</w:t>
        </w:r>
      </w:hyperlink>
    </w:p>
  </w:footnote>
  <w:footnote w:id="37">
    <w:p w14:paraId="50DB16EA" w14:textId="6BD3C9DE" w:rsidR="00075DD0" w:rsidRDefault="00075DD0">
      <w:pPr>
        <w:pStyle w:val="FootnoteText"/>
      </w:pPr>
      <w:r>
        <w:rPr>
          <w:rStyle w:val="FootnoteReference"/>
        </w:rPr>
        <w:footnoteRef/>
      </w:r>
      <w:r>
        <w:t xml:space="preserve"> The States PES is managed by DSP and is delivered through its nationwide network of Intreo centres and through contractors delivering Employability, Local Employment (LES) and Jobpath services on its behalf.</w:t>
      </w:r>
    </w:p>
  </w:footnote>
  <w:footnote w:id="38">
    <w:p w14:paraId="12B37CBD" w14:textId="23E04974" w:rsidR="00075DD0" w:rsidRDefault="00075DD0">
      <w:pPr>
        <w:pStyle w:val="FootnoteText"/>
      </w:pPr>
    </w:p>
  </w:footnote>
  <w:footnote w:id="39">
    <w:p w14:paraId="04805EB7" w14:textId="77777777" w:rsidR="00075DD0" w:rsidRPr="004629FE" w:rsidRDefault="00075DD0" w:rsidP="00E36A35">
      <w:pPr>
        <w:pStyle w:val="FootnoteText"/>
        <w:spacing w:after="0"/>
        <w:rPr>
          <w:sz w:val="23"/>
          <w:szCs w:val="23"/>
        </w:rPr>
      </w:pPr>
      <w:r w:rsidRPr="000257B5">
        <w:rPr>
          <w:rStyle w:val="FootnoteReference"/>
          <w:szCs w:val="22"/>
        </w:rPr>
        <w:footnoteRef/>
      </w:r>
      <w:r w:rsidRPr="000257B5">
        <w:rPr>
          <w:szCs w:val="22"/>
        </w:rPr>
        <w:t xml:space="preserve"> </w:t>
      </w:r>
      <w:r w:rsidRPr="004629FE">
        <w:rPr>
          <w:sz w:val="23"/>
          <w:szCs w:val="23"/>
        </w:rPr>
        <w:t xml:space="preserve">OECD (2011). </w:t>
      </w:r>
      <w:r w:rsidRPr="004629FE">
        <w:rPr>
          <w:iCs/>
          <w:sz w:val="23"/>
          <w:szCs w:val="23"/>
        </w:rPr>
        <w:t>Sick on the job? Myths and Realities about Mental Health and Work</w:t>
      </w:r>
      <w:r w:rsidRPr="004629FE">
        <w:rPr>
          <w:sz w:val="23"/>
          <w:szCs w:val="23"/>
        </w:rPr>
        <w:t xml:space="preserve">. OECD </w:t>
      </w:r>
      <w:hyperlink r:id="rId20" w:history="1">
        <w:r w:rsidRPr="004629FE">
          <w:rPr>
            <w:rStyle w:val="Hyperlink"/>
            <w:color w:val="auto"/>
            <w:sz w:val="23"/>
            <w:szCs w:val="23"/>
          </w:rPr>
          <w:t>https://www.oecd.org/els/mental-health-and-work-9789264124523-en.htm</w:t>
        </w:r>
      </w:hyperlink>
      <w:r w:rsidRPr="004629FE">
        <w:rPr>
          <w:szCs w:val="22"/>
        </w:rPr>
        <w:t xml:space="preserve"> </w:t>
      </w:r>
    </w:p>
  </w:footnote>
  <w:footnote w:id="40">
    <w:p w14:paraId="513DBF24" w14:textId="77777777" w:rsidR="00075DD0" w:rsidRPr="004629FE" w:rsidRDefault="00075DD0" w:rsidP="00221BF6">
      <w:pPr>
        <w:pStyle w:val="FootnoteText"/>
        <w:spacing w:after="0"/>
        <w:rPr>
          <w:szCs w:val="22"/>
        </w:rPr>
      </w:pPr>
      <w:r w:rsidRPr="004629FE">
        <w:rPr>
          <w:rStyle w:val="FootnoteReference"/>
          <w:szCs w:val="22"/>
        </w:rPr>
        <w:footnoteRef/>
      </w:r>
      <w:r w:rsidRPr="004629FE">
        <w:rPr>
          <w:szCs w:val="22"/>
        </w:rPr>
        <w:t xml:space="preserve"> The working group comprised relevant officials from the Department of Education and Skills, the Department of Employment Affairs and Social Protection, the Department of Health and the HSE, and was facilitated by the National Disability Authority</w:t>
      </w:r>
    </w:p>
  </w:footnote>
  <w:footnote w:id="41">
    <w:p w14:paraId="50C926E4" w14:textId="67873007" w:rsidR="00075DD0" w:rsidRPr="004629FE" w:rsidRDefault="00075DD0" w:rsidP="00BA0B20">
      <w:pPr>
        <w:pStyle w:val="FootnoteText"/>
      </w:pPr>
      <w:r w:rsidRPr="004629FE">
        <w:rPr>
          <w:rStyle w:val="FootnoteReference"/>
        </w:rPr>
        <w:footnoteRef/>
      </w:r>
      <w:r w:rsidRPr="004629FE">
        <w:t xml:space="preserve"> ESRI (2011) A study on the prevalence of special educational needs. </w:t>
      </w:r>
      <w:hyperlink r:id="rId21" w:history="1">
        <w:r w:rsidRPr="004629FE">
          <w:rPr>
            <w:rStyle w:val="Hyperlink"/>
            <w:color w:val="auto"/>
          </w:rPr>
          <w:t>https://www.esri.ie/publications/a-study-on-the-prevalence-of-special-educational-needs</w:t>
        </w:r>
      </w:hyperlink>
    </w:p>
    <w:p w14:paraId="4FE5CED8" w14:textId="77777777" w:rsidR="00075DD0" w:rsidRPr="004629FE" w:rsidRDefault="00075DD0" w:rsidP="00BA0B20">
      <w:pPr>
        <w:pStyle w:val="FootnoteText"/>
      </w:pPr>
    </w:p>
  </w:footnote>
  <w:footnote w:id="42">
    <w:p w14:paraId="0CADBB81" w14:textId="759B8D6F" w:rsidR="00075DD0" w:rsidRPr="000D12BE" w:rsidRDefault="00075DD0" w:rsidP="001B0CCC">
      <w:pPr>
        <w:pStyle w:val="FootnoteText"/>
        <w:rPr>
          <w:rFonts w:cstheme="minorHAnsi"/>
          <w:szCs w:val="22"/>
        </w:rPr>
      </w:pPr>
      <w:r w:rsidRPr="000257B5">
        <w:rPr>
          <w:rStyle w:val="FootnoteReference"/>
          <w:rFonts w:cstheme="minorHAnsi"/>
          <w:szCs w:val="22"/>
        </w:rPr>
        <w:footnoteRef/>
      </w:r>
      <w:r w:rsidRPr="000257B5">
        <w:rPr>
          <w:rFonts w:cstheme="minorHAnsi"/>
          <w:szCs w:val="22"/>
        </w:rPr>
        <w:t xml:space="preserve"> </w:t>
      </w:r>
      <w:hyperlink r:id="rId22" w:history="1">
        <w:r w:rsidRPr="00996E67">
          <w:rPr>
            <w:rStyle w:val="Hyperlink"/>
            <w:rFonts w:cstheme="minorHAnsi"/>
            <w:szCs w:val="22"/>
          </w:rPr>
          <w:t>http://nda.ie/Policy-and-research/Policy-Advice/Policy-Advice-Papers/Technical-paper-on-Employment-Targets.html</w:t>
        </w:r>
      </w:hyperlink>
    </w:p>
  </w:footnote>
  <w:footnote w:id="43">
    <w:p w14:paraId="3A2AAAD3" w14:textId="0ADBB621" w:rsidR="00075DD0" w:rsidRPr="00204D08" w:rsidRDefault="00075DD0" w:rsidP="00204D08">
      <w:pPr>
        <w:spacing w:after="0"/>
        <w:rPr>
          <w:sz w:val="22"/>
          <w:szCs w:val="22"/>
        </w:rPr>
      </w:pPr>
      <w:r w:rsidRPr="00204D08">
        <w:rPr>
          <w:rStyle w:val="FootnoteReference"/>
          <w:rFonts w:ascii="Gill Sans MT" w:hAnsi="Gill Sans MT"/>
          <w:szCs w:val="22"/>
        </w:rPr>
        <w:footnoteRef/>
      </w:r>
      <w:r w:rsidRPr="00204D08">
        <w:rPr>
          <w:sz w:val="22"/>
          <w:szCs w:val="22"/>
        </w:rPr>
        <w:t xml:space="preserve"> Rosenthal D et al., (2005) Case Management Issues within Employer-Based Disability Management’, in Chan F et al., (Eds.), Case Management for Rehabilitation Health Professionals (2nd Ed.), Vol. l, pp. 330-365. Lake Osage – MO, US: Aspen Professional Services. </w:t>
      </w:r>
    </w:p>
  </w:footnote>
  <w:footnote w:id="44">
    <w:p w14:paraId="34FE033E" w14:textId="77777777" w:rsidR="00075DD0" w:rsidRPr="00204D08" w:rsidRDefault="00075DD0" w:rsidP="00204D08">
      <w:pPr>
        <w:spacing w:after="0"/>
        <w:rPr>
          <w:sz w:val="22"/>
          <w:szCs w:val="22"/>
        </w:rPr>
      </w:pPr>
      <w:r w:rsidRPr="00204D08">
        <w:rPr>
          <w:rStyle w:val="FootnoteReference"/>
          <w:rFonts w:ascii="Gill Sans MT" w:hAnsi="Gill Sans MT"/>
        </w:rPr>
        <w:footnoteRef/>
      </w:r>
      <w:r w:rsidRPr="00204D08">
        <w:t xml:space="preserve"> </w:t>
      </w:r>
      <w:r w:rsidRPr="00204D08">
        <w:rPr>
          <w:sz w:val="22"/>
          <w:szCs w:val="22"/>
        </w:rPr>
        <w:t>On average, it is taking 5 weeks to award new DA claims. This is a significant improvement since 2019 when it was taking 13 weeks.</w:t>
      </w:r>
    </w:p>
  </w:footnote>
  <w:footnote w:id="45">
    <w:p w14:paraId="0FCF25DC" w14:textId="77777777" w:rsidR="00075DD0" w:rsidRPr="00204D08" w:rsidRDefault="00075DD0" w:rsidP="00204D08">
      <w:pPr>
        <w:pStyle w:val="FootnoteText"/>
        <w:spacing w:after="0"/>
        <w:rPr>
          <w:szCs w:val="22"/>
        </w:rPr>
      </w:pPr>
      <w:r w:rsidRPr="00204D08">
        <w:rPr>
          <w:rStyle w:val="FootnoteReference"/>
          <w:rFonts w:ascii="Gill Sans MT" w:hAnsi="Gill Sans MT"/>
          <w:szCs w:val="22"/>
        </w:rPr>
        <w:footnoteRef/>
      </w:r>
      <w:r w:rsidRPr="00204D08">
        <w:rPr>
          <w:szCs w:val="22"/>
        </w:rPr>
        <w:t xml:space="preserve"> </w:t>
      </w:r>
      <w:r w:rsidRPr="00204D08">
        <w:rPr>
          <w:rFonts w:cs="Arial"/>
          <w:spacing w:val="3"/>
          <w:szCs w:val="22"/>
          <w:shd w:val="clear" w:color="auto" w:fill="FFFFFF"/>
        </w:rPr>
        <w:t>COVID-19 (PUP) is a social welfare payment for employees and self-employed people who have lost all their employment due to the COVID-19 public health emergency.</w:t>
      </w:r>
    </w:p>
  </w:footnote>
  <w:footnote w:id="46">
    <w:p w14:paraId="18EC3594" w14:textId="77777777" w:rsidR="00075DD0" w:rsidRPr="00204D08" w:rsidRDefault="00075DD0" w:rsidP="00204D08">
      <w:pPr>
        <w:spacing w:after="0"/>
        <w:ind w:left="-5" w:right="4"/>
        <w:rPr>
          <w:sz w:val="22"/>
          <w:szCs w:val="22"/>
        </w:rPr>
      </w:pPr>
      <w:r w:rsidRPr="00204D08">
        <w:rPr>
          <w:rStyle w:val="FootnoteReference"/>
          <w:rFonts w:ascii="Gill Sans MT" w:hAnsi="Gill Sans MT"/>
          <w:szCs w:val="22"/>
        </w:rPr>
        <w:footnoteRef/>
      </w:r>
      <w:r w:rsidRPr="00204D08">
        <w:rPr>
          <w:sz w:val="22"/>
          <w:szCs w:val="22"/>
        </w:rPr>
        <w:t xml:space="preserve"> </w:t>
      </w:r>
      <w:r w:rsidRPr="00204D08">
        <w:rPr>
          <w:sz w:val="22"/>
          <w:szCs w:val="22"/>
          <w:lang w:val="en"/>
        </w:rPr>
        <w:t>The CSO has not yet disseminated EWSS data but will work with the Revenue Commissioners to make this available to users as soon as possible</w:t>
      </w:r>
    </w:p>
    <w:p w14:paraId="38D01B46" w14:textId="77777777" w:rsidR="00075DD0" w:rsidRDefault="00075DD0" w:rsidP="00221BF6">
      <w:pPr>
        <w:pStyle w:val="FootnoteText"/>
      </w:pPr>
    </w:p>
  </w:footnote>
  <w:footnote w:id="47">
    <w:p w14:paraId="1AB72E9D" w14:textId="4BA3E3C4" w:rsidR="00075DD0" w:rsidRPr="00FD3F7B" w:rsidRDefault="00075DD0" w:rsidP="00B14092">
      <w:pPr>
        <w:pStyle w:val="FootnoteText"/>
        <w:spacing w:after="0"/>
        <w:rPr>
          <w:u w:val="single"/>
          <w:lang w:val="en"/>
        </w:rPr>
      </w:pPr>
      <w:r>
        <w:rPr>
          <w:rStyle w:val="FootnoteReference"/>
        </w:rPr>
        <w:footnoteRef/>
      </w:r>
      <w:r>
        <w:t xml:space="preserve"> </w:t>
      </w:r>
      <w:r w:rsidRPr="00FD3F7B">
        <w:rPr>
          <w:u w:val="single"/>
          <w:lang w:val="en"/>
        </w:rPr>
        <w:t>High Road’ Back to Work:  Developing a Public Employment Eco System for a Post-Covid Recovery</w:t>
      </w:r>
      <w:r w:rsidRPr="001E4DB3">
        <w:rPr>
          <w:lang w:val="en"/>
        </w:rPr>
        <w:t xml:space="preserve"> </w:t>
      </w:r>
    </w:p>
    <w:p w14:paraId="2E340303" w14:textId="5689A049" w:rsidR="00075DD0" w:rsidRDefault="001A3ED7" w:rsidP="00B14092">
      <w:pPr>
        <w:pStyle w:val="FootnoteText"/>
        <w:spacing w:after="0"/>
        <w:rPr>
          <w:lang w:val="en"/>
        </w:rPr>
      </w:pPr>
      <w:hyperlink r:id="rId23" w:history="1">
        <w:r w:rsidR="00075DD0" w:rsidRPr="007B4F49">
          <w:rPr>
            <w:rStyle w:val="Hyperlink"/>
            <w:lang w:val="en"/>
          </w:rPr>
          <w:t>https://www.researchgate.net/publication/341940981_The_High_Road_Back_to_Work_Developing_a_Public_Employment_Eco_System_for_a_Post-Covid_Recovery</w:t>
        </w:r>
      </w:hyperlink>
    </w:p>
    <w:p w14:paraId="521DEBB2" w14:textId="77777777" w:rsidR="00075DD0" w:rsidRPr="00FD3F7B" w:rsidRDefault="00075DD0" w:rsidP="00B14092">
      <w:pPr>
        <w:pStyle w:val="FootnoteText"/>
        <w:spacing w:after="0"/>
        <w:rPr>
          <w:lang w:val="en"/>
        </w:rPr>
      </w:pPr>
    </w:p>
  </w:footnote>
  <w:footnote w:id="48">
    <w:p w14:paraId="3DC443DE" w14:textId="12A5F90A" w:rsidR="00075DD0" w:rsidRDefault="00075DD0" w:rsidP="00B14092">
      <w:pPr>
        <w:pStyle w:val="FootnoteText"/>
        <w:spacing w:after="0"/>
      </w:pPr>
      <w:r>
        <w:rPr>
          <w:rStyle w:val="FootnoteReference"/>
        </w:rPr>
        <w:footnoteRef/>
      </w:r>
      <w:r>
        <w:rPr>
          <w:szCs w:val="26"/>
        </w:rPr>
        <w:t xml:space="preserve"> Making Remote Work. National Remote Working Strategy, 2021 </w:t>
      </w:r>
      <w:hyperlink r:id="rId24" w:history="1">
        <w:r w:rsidRPr="00996E67">
          <w:rPr>
            <w:rStyle w:val="Hyperlink"/>
          </w:rPr>
          <w:t>https://enterprise.gov.ie/en/Publications/Publication-files/Making-Remote-Work.pdf</w:t>
        </w:r>
      </w:hyperlink>
    </w:p>
  </w:footnote>
  <w:footnote w:id="49">
    <w:p w14:paraId="5872F7D6" w14:textId="7EBFDBF3" w:rsidR="00075DD0" w:rsidRDefault="00075DD0" w:rsidP="00B14092">
      <w:pPr>
        <w:pStyle w:val="FootnoteText"/>
        <w:spacing w:after="0"/>
      </w:pPr>
      <w:r>
        <w:rPr>
          <w:rStyle w:val="FootnoteReference"/>
        </w:rPr>
        <w:footnoteRef/>
      </w:r>
      <w:r>
        <w:t xml:space="preserve"> The States PES is managed by DSP and is delivered through its nationwide network of Intreo centres and through contractors delivering Employability, Local Employment (LES) and Jobpath services on its behalf. </w:t>
      </w:r>
    </w:p>
  </w:footnote>
  <w:footnote w:id="50">
    <w:p w14:paraId="673DBA08" w14:textId="382C6CC8" w:rsidR="00075DD0" w:rsidRPr="00E607B3" w:rsidRDefault="00075DD0" w:rsidP="00FD3F7B">
      <w:pPr>
        <w:spacing w:after="0"/>
        <w:rPr>
          <w:rFonts w:cs="Arial"/>
          <w:sz w:val="22"/>
          <w:szCs w:val="22"/>
          <w:lang w:eastAsia="en-IE"/>
        </w:rPr>
      </w:pPr>
      <w:r w:rsidRPr="002F0565">
        <w:rPr>
          <w:rStyle w:val="FootnoteReference"/>
          <w:szCs w:val="22"/>
        </w:rPr>
        <w:footnoteRef/>
      </w:r>
      <w:r w:rsidRPr="002F0565">
        <w:rPr>
          <w:szCs w:val="22"/>
        </w:rPr>
        <w:t xml:space="preserve"> </w:t>
      </w:r>
      <w:r w:rsidRPr="00E607B3">
        <w:rPr>
          <w:rFonts w:cs="Arial"/>
          <w:sz w:val="22"/>
          <w:szCs w:val="22"/>
          <w:lang w:val="en" w:eastAsia="en-IE"/>
        </w:rPr>
        <w:t>Reboot &amp; Reimagine: Ibec campaign for national recovery and a sustainable economy</w:t>
      </w:r>
      <w:r w:rsidRPr="00E607B3">
        <w:rPr>
          <w:rFonts w:cs="Arial"/>
          <w:sz w:val="22"/>
          <w:szCs w:val="22"/>
          <w:lang w:eastAsia="en-IE"/>
        </w:rPr>
        <w:t xml:space="preserve"> </w:t>
      </w:r>
    </w:p>
    <w:p w14:paraId="4616AEA1" w14:textId="77777777" w:rsidR="00075DD0" w:rsidRPr="00E607B3" w:rsidRDefault="001A3ED7" w:rsidP="00E607B3">
      <w:pPr>
        <w:spacing w:after="0"/>
        <w:rPr>
          <w:rFonts w:cs="Arial"/>
          <w:sz w:val="22"/>
          <w:szCs w:val="22"/>
          <w:lang w:val="en" w:eastAsia="en-IE"/>
        </w:rPr>
      </w:pPr>
      <w:hyperlink r:id="rId25" w:history="1">
        <w:r w:rsidR="00075DD0" w:rsidRPr="00E607B3">
          <w:rPr>
            <w:rFonts w:cs="Arial"/>
            <w:color w:val="0000FF" w:themeColor="hyperlink"/>
            <w:sz w:val="22"/>
            <w:szCs w:val="22"/>
            <w:u w:val="single"/>
            <w:lang w:val="en" w:eastAsia="en-IE"/>
          </w:rPr>
          <w:t>https://www.ibec.ie/influencing-for-business/ibec-campaigns/reboot-and-reimagine</w:t>
        </w:r>
      </w:hyperlink>
    </w:p>
    <w:p w14:paraId="0DF077F6" w14:textId="056DABF8" w:rsidR="00075DD0" w:rsidRDefault="00075DD0" w:rsidP="006667E9">
      <w:pPr>
        <w:pStyle w:val="FootnoteText"/>
      </w:pPr>
    </w:p>
  </w:footnote>
  <w:footnote w:id="51">
    <w:p w14:paraId="09CAB389" w14:textId="7B0813D7" w:rsidR="00075DD0" w:rsidRDefault="00075DD0">
      <w:pPr>
        <w:pStyle w:val="FootnoteText"/>
      </w:pPr>
    </w:p>
  </w:footnote>
  <w:footnote w:id="52">
    <w:p w14:paraId="5D36BE48" w14:textId="77777777" w:rsidR="00075DD0" w:rsidRDefault="00075DD0" w:rsidP="006667E9">
      <w:pPr>
        <w:pStyle w:val="FootnoteText"/>
      </w:pPr>
      <w:r>
        <w:rPr>
          <w:rStyle w:val="FootnoteReference"/>
        </w:rPr>
        <w:footnoteRef/>
      </w:r>
      <w:r>
        <w:t>Programme for government 2020</w:t>
      </w:r>
    </w:p>
  </w:footnote>
  <w:footnote w:id="53">
    <w:p w14:paraId="31D520C7" w14:textId="27D5908F" w:rsidR="00075DD0" w:rsidRDefault="00075DD0">
      <w:pPr>
        <w:pStyle w:val="FootnoteText"/>
      </w:pPr>
      <w:r>
        <w:rPr>
          <w:rStyle w:val="FootnoteReference"/>
        </w:rPr>
        <w:footnoteRef/>
      </w:r>
      <w:r>
        <w:t xml:space="preserve"> </w:t>
      </w:r>
      <w:r w:rsidRPr="0094774A">
        <w:rPr>
          <w:color w:val="000000" w:themeColor="text1"/>
        </w:rPr>
        <w:t>The Part 5 report for 2019 was submitted to the Minster by the statutory deadline of 30 November 2020. This report will be published later in 2021.</w:t>
      </w:r>
    </w:p>
  </w:footnote>
  <w:footnote w:id="54">
    <w:p w14:paraId="30617EBC" w14:textId="1F28C63B" w:rsidR="00075DD0" w:rsidRPr="00FD3F7B" w:rsidRDefault="00075DD0" w:rsidP="00FD3F7B">
      <w:pPr>
        <w:spacing w:after="0"/>
        <w:rPr>
          <w:rFonts w:ascii="Arial" w:hAnsi="Arial" w:cs="Arial"/>
          <w:szCs w:val="22"/>
          <w:lang w:val="en" w:eastAsia="en-IE"/>
        </w:rPr>
      </w:pPr>
      <w:r>
        <w:rPr>
          <w:rStyle w:val="FootnoteReference"/>
        </w:rPr>
        <w:footnoteRef/>
      </w:r>
      <w:r>
        <w:t xml:space="preserve"> </w:t>
      </w:r>
      <w:r w:rsidRPr="005D007D">
        <w:rPr>
          <w:sz w:val="22"/>
          <w:szCs w:val="22"/>
        </w:rPr>
        <w:t xml:space="preserve">UKs National Health Service </w:t>
      </w:r>
      <w:r w:rsidRPr="005D007D">
        <w:rPr>
          <w:rFonts w:cs="Calibri"/>
          <w:bCs/>
          <w:sz w:val="22"/>
          <w:szCs w:val="22"/>
          <w:lang w:val="en-US" w:eastAsia="en-GB"/>
        </w:rPr>
        <w:t xml:space="preserve">Workforce Disability Equality Standard </w:t>
      </w:r>
    </w:p>
    <w:p w14:paraId="50B83342" w14:textId="66BB0952" w:rsidR="00075DD0" w:rsidRDefault="00075DD0" w:rsidP="00FD3F7B">
      <w:pPr>
        <w:pStyle w:val="FootnoteText"/>
        <w:spacing w:after="0"/>
      </w:pPr>
      <w:r>
        <w:t xml:space="preserve"> </w:t>
      </w:r>
      <w:hyperlink r:id="rId26" w:anchor=":~:text=The%20Workforce%20Disability%20Equality%20Standard,and%20publish%20an%20action%20plan" w:history="1">
        <w:r w:rsidRPr="005A6BB2">
          <w:rPr>
            <w:rStyle w:val="Hyperlink"/>
          </w:rPr>
          <w:t>https://www.england.nhs.uk/about/equality/equality-hub/wdes/#:~:text=The%20Workforce%20Disability%20Equality%20Standard,and%20publish%20an%20action%20plan</w:t>
        </w:r>
      </w:hyperlink>
      <w:r w:rsidRPr="00050CCB">
        <w:t>.</w:t>
      </w:r>
    </w:p>
  </w:footnote>
  <w:footnote w:id="55">
    <w:p w14:paraId="566B0814" w14:textId="0516286B" w:rsidR="00075DD0" w:rsidRDefault="00075DD0">
      <w:pPr>
        <w:pStyle w:val="FootnoteText"/>
      </w:pPr>
      <w:r>
        <w:rPr>
          <w:rStyle w:val="FootnoteReference"/>
        </w:rPr>
        <w:footnoteRef/>
      </w:r>
      <w:r>
        <w:t xml:space="preserve"> These reports will be published during 2021</w:t>
      </w:r>
    </w:p>
  </w:footnote>
  <w:footnote w:id="56">
    <w:p w14:paraId="48039F67" w14:textId="009FE690" w:rsidR="00075DD0" w:rsidRPr="0032523D" w:rsidRDefault="00075DD0" w:rsidP="0032523D">
      <w:pPr>
        <w:pStyle w:val="FootnoteText"/>
        <w:spacing w:after="0"/>
      </w:pPr>
      <w:r>
        <w:rPr>
          <w:rStyle w:val="FootnoteReference"/>
        </w:rPr>
        <w:footnoteRef/>
      </w:r>
      <w:r>
        <w:t xml:space="preserve"> </w:t>
      </w:r>
      <w:r>
        <w:rPr>
          <w:rFonts w:ascii="Calibri" w:eastAsiaTheme="minorHAnsi" w:hAnsi="Calibri"/>
          <w:color w:val="1F4E79"/>
          <w:szCs w:val="22"/>
        </w:rPr>
        <w:t>.</w:t>
      </w:r>
      <w:r w:rsidRPr="0032523D">
        <w:rPr>
          <w:rFonts w:eastAsiaTheme="minorHAnsi"/>
          <w:szCs w:val="22"/>
        </w:rPr>
        <w:t xml:space="preserve">A disability impact assessment is an obligatory requirement of all substantive proposals requiring Government approval as stipulated in </w:t>
      </w:r>
      <w:hyperlink r:id="rId27" w:history="1">
        <w:r w:rsidRPr="0032523D">
          <w:rPr>
            <w:rFonts w:eastAsiaTheme="minorHAnsi"/>
            <w:szCs w:val="22"/>
            <w:u w:val="single"/>
          </w:rPr>
          <w:t>The Cabinet Handbook</w:t>
        </w:r>
      </w:hyperlink>
      <w:r>
        <w:rPr>
          <w:rFonts w:eastAsiaTheme="minorHAnsi"/>
          <w:szCs w:val="22"/>
          <w:u w:val="single"/>
          <w:vertAlign w:val="superscript"/>
        </w:rPr>
        <w:t xml:space="preserve"> </w:t>
      </w:r>
    </w:p>
  </w:footnote>
  <w:footnote w:id="57">
    <w:p w14:paraId="1D78C284" w14:textId="07DF2A37" w:rsidR="00075DD0" w:rsidRDefault="00075DD0" w:rsidP="00FD3F7B">
      <w:pPr>
        <w:spacing w:after="0"/>
      </w:pPr>
      <w:r>
        <w:rPr>
          <w:rStyle w:val="FootnoteReference"/>
        </w:rPr>
        <w:footnoteRef/>
      </w:r>
      <w:r>
        <w:t xml:space="preserve"> </w:t>
      </w:r>
      <w:r w:rsidRPr="00B2417D">
        <w:rPr>
          <w:sz w:val="22"/>
          <w:szCs w:val="22"/>
        </w:rPr>
        <w:t>Indicators for Monitoring Progress under the Comprehensive Employment Strategy for Persons with Disabilities 2015-2024</w:t>
      </w:r>
      <w:r>
        <w:rPr>
          <w:sz w:val="22"/>
          <w:szCs w:val="22"/>
        </w:rPr>
        <w:t>, NDA 2020</w:t>
      </w:r>
    </w:p>
  </w:footnote>
  <w:footnote w:id="58">
    <w:p w14:paraId="5F928990" w14:textId="532C989E" w:rsidR="00075DD0" w:rsidRDefault="00075DD0" w:rsidP="00FD3F7B">
      <w:pPr>
        <w:pStyle w:val="FootnoteText"/>
        <w:spacing w:after="0"/>
      </w:pPr>
      <w:r>
        <w:rPr>
          <w:rStyle w:val="FootnoteReference"/>
        </w:rPr>
        <w:footnoteRef/>
      </w:r>
      <w:r>
        <w:t xml:space="preserve"> </w:t>
      </w:r>
      <w:r w:rsidRPr="00FD3F7B">
        <w:rPr>
          <w:rFonts w:cs="Arial"/>
          <w:color w:val="000000"/>
          <w:shd w:val="clear" w:color="auto" w:fill="FFFFFF"/>
        </w:rPr>
        <w:t>The standard is available th</w:t>
      </w:r>
      <w:r>
        <w:rPr>
          <w:rFonts w:cs="Arial"/>
          <w:color w:val="000000"/>
          <w:shd w:val="clear" w:color="auto" w:fill="FFFFFF"/>
        </w:rPr>
        <w:t>r</w:t>
      </w:r>
      <w:r w:rsidRPr="00FD3F7B">
        <w:rPr>
          <w:rFonts w:cs="Arial"/>
          <w:color w:val="000000"/>
          <w:shd w:val="clear" w:color="auto" w:fill="FFFFFF"/>
        </w:rPr>
        <w:t>ough the National Standards Authority of Ireland (NSAI)</w:t>
      </w:r>
      <w:r w:rsidRPr="00E75820">
        <w:rPr>
          <w:rFonts w:cs="Arial"/>
          <w:color w:val="000000"/>
          <w:shd w:val="clear" w:color="auto" w:fill="FFFFFF"/>
        </w:rPr>
        <w:t>.</w:t>
      </w:r>
      <w:r w:rsidRPr="008D4792">
        <w:t xml:space="preserve"> </w:t>
      </w:r>
      <w:hyperlink r:id="rId28" w:history="1">
        <w:r w:rsidRPr="00FD3F7B">
          <w:rPr>
            <w:rFonts w:cs="Arial"/>
            <w:color w:val="8F23B3"/>
            <w:u w:val="single"/>
            <w:bdr w:val="none" w:sz="0" w:space="0" w:color="auto" w:frame="1"/>
            <w:shd w:val="clear" w:color="auto" w:fill="FFFFFF"/>
          </w:rPr>
          <w:t>www.standards.ie</w:t>
        </w:r>
      </w:hyperlink>
      <w:r>
        <w:rPr>
          <w:rFonts w:cs="Arial"/>
          <w:color w:val="8F23B3"/>
          <w:u w:val="single"/>
          <w:bdr w:val="none" w:sz="0" w:space="0" w:color="auto" w:frame="1"/>
          <w:shd w:val="clear" w:color="auto" w:fill="FFFFFF"/>
        </w:rPr>
        <w:t xml:space="preserve"> </w:t>
      </w:r>
      <w:r w:rsidRPr="003616FD">
        <w:rPr>
          <w:rFonts w:cs="Arial"/>
          <w:color w:val="000000"/>
          <w:shd w:val="clear" w:color="auto" w:fill="FFFFFF"/>
        </w:rPr>
        <w:t>Email </w:t>
      </w:r>
      <w:hyperlink r:id="rId29" w:history="1">
        <w:r w:rsidRPr="003616FD">
          <w:rPr>
            <w:rFonts w:cs="Arial"/>
            <w:color w:val="8F23B3"/>
            <w:u w:val="single"/>
            <w:bdr w:val="none" w:sz="0" w:space="0" w:color="auto" w:frame="1"/>
            <w:shd w:val="clear" w:color="auto" w:fill="FFFFFF"/>
          </w:rPr>
          <w:t>info@standards.ie</w:t>
        </w:r>
      </w:hyperlink>
      <w:r w:rsidRPr="003616FD">
        <w:rPr>
          <w:rFonts w:cs="Arial"/>
          <w:color w:val="000000"/>
          <w:shd w:val="clear" w:color="auto" w:fill="FFFFFF"/>
        </w:rPr>
        <w:t>.</w:t>
      </w:r>
      <w:r w:rsidRPr="00420057">
        <w:rPr>
          <w:rFonts w:ascii="Arial" w:hAnsi="Arial" w:cs="Arial"/>
          <w:color w:val="000000"/>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3EC37" w14:textId="1FE87312" w:rsidR="00075DD0" w:rsidRPr="006B1A37" w:rsidRDefault="00075DD0">
    <w:pPr>
      <w:pStyle w:val="Header"/>
      <w:rPr>
        <w:b/>
      </w:rPr>
    </w:pPr>
    <w:r w:rsidRPr="006B1A37">
      <w:rPr>
        <w:b/>
      </w:rPr>
      <w:t>M</w:t>
    </w:r>
    <w:r>
      <w:rPr>
        <w:b/>
      </w:rPr>
      <w:t>ay</w:t>
    </w:r>
    <w:r w:rsidRPr="006B1A37">
      <w:rPr>
        <w:b/>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28D1AF6"/>
    <w:multiLevelType w:val="hybridMultilevel"/>
    <w:tmpl w:val="20C823A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03C41CA8"/>
    <w:multiLevelType w:val="hybridMultilevel"/>
    <w:tmpl w:val="16AACC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04FA08F5"/>
    <w:multiLevelType w:val="hybridMultilevel"/>
    <w:tmpl w:val="9B966DF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0BF26A8A"/>
    <w:multiLevelType w:val="hybridMultilevel"/>
    <w:tmpl w:val="F4120B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0F590603"/>
    <w:multiLevelType w:val="hybridMultilevel"/>
    <w:tmpl w:val="81669A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14F277A"/>
    <w:multiLevelType w:val="hybridMultilevel"/>
    <w:tmpl w:val="6218A682"/>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22A0BEA6">
      <w:numFmt w:val="bullet"/>
      <w:lvlText w:val="-"/>
      <w:lvlJc w:val="left"/>
      <w:pPr>
        <w:ind w:left="2565" w:hanging="585"/>
      </w:pPr>
      <w:rPr>
        <w:rFonts w:ascii="Gill Sans MT" w:eastAsia="Times New Roman" w:hAnsi="Gill Sans MT" w:cs="Arial"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16962908"/>
    <w:multiLevelType w:val="hybridMultilevel"/>
    <w:tmpl w:val="BA3C1D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1A3D4B52"/>
    <w:multiLevelType w:val="hybridMultilevel"/>
    <w:tmpl w:val="36C0F5C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1B0534FD"/>
    <w:multiLevelType w:val="hybridMultilevel"/>
    <w:tmpl w:val="3DA8A1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1FAC4F81"/>
    <w:multiLevelType w:val="hybridMultilevel"/>
    <w:tmpl w:val="A9D622F4"/>
    <w:lvl w:ilvl="0" w:tplc="5980E8B0">
      <w:start w:val="1"/>
      <w:numFmt w:val="bullet"/>
      <w:lvlText w:val="•"/>
      <w:lvlJc w:val="left"/>
      <w:pPr>
        <w:ind w:left="72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39EA29EE">
      <w:start w:val="1"/>
      <w:numFmt w:val="bullet"/>
      <w:lvlText w:val="o"/>
      <w:lvlJc w:val="left"/>
      <w:pPr>
        <w:ind w:left="1445"/>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F5B0227C">
      <w:start w:val="1"/>
      <w:numFmt w:val="bullet"/>
      <w:lvlText w:val="▪"/>
      <w:lvlJc w:val="left"/>
      <w:pPr>
        <w:ind w:left="2165"/>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36026934">
      <w:start w:val="1"/>
      <w:numFmt w:val="bullet"/>
      <w:lvlText w:val="•"/>
      <w:lvlJc w:val="left"/>
      <w:pPr>
        <w:ind w:left="288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625A870C">
      <w:start w:val="1"/>
      <w:numFmt w:val="bullet"/>
      <w:lvlText w:val="o"/>
      <w:lvlJc w:val="left"/>
      <w:pPr>
        <w:ind w:left="3605"/>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8180834C">
      <w:start w:val="1"/>
      <w:numFmt w:val="bullet"/>
      <w:lvlText w:val="▪"/>
      <w:lvlJc w:val="left"/>
      <w:pPr>
        <w:ind w:left="4325"/>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77CAEF94">
      <w:start w:val="1"/>
      <w:numFmt w:val="bullet"/>
      <w:lvlText w:val="•"/>
      <w:lvlJc w:val="left"/>
      <w:pPr>
        <w:ind w:left="504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184136C">
      <w:start w:val="1"/>
      <w:numFmt w:val="bullet"/>
      <w:lvlText w:val="o"/>
      <w:lvlJc w:val="left"/>
      <w:pPr>
        <w:ind w:left="5765"/>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95F8C640">
      <w:start w:val="1"/>
      <w:numFmt w:val="bullet"/>
      <w:lvlText w:val="▪"/>
      <w:lvlJc w:val="left"/>
      <w:pPr>
        <w:ind w:left="6485"/>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220D03CB"/>
    <w:multiLevelType w:val="hybridMultilevel"/>
    <w:tmpl w:val="691E2B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22A54F2"/>
    <w:multiLevelType w:val="hybridMultilevel"/>
    <w:tmpl w:val="229AF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22D1530F"/>
    <w:multiLevelType w:val="multilevel"/>
    <w:tmpl w:val="64628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82F5AD8"/>
    <w:multiLevelType w:val="hybridMultilevel"/>
    <w:tmpl w:val="BEDEE6F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29BA0F2D"/>
    <w:multiLevelType w:val="hybridMultilevel"/>
    <w:tmpl w:val="E7BA4930"/>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2C976ABE"/>
    <w:multiLevelType w:val="hybridMultilevel"/>
    <w:tmpl w:val="215084EA"/>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22A0BEA6">
      <w:numFmt w:val="bullet"/>
      <w:lvlText w:val="-"/>
      <w:lvlJc w:val="left"/>
      <w:pPr>
        <w:ind w:left="2565" w:hanging="585"/>
      </w:pPr>
      <w:rPr>
        <w:rFonts w:ascii="Gill Sans MT" w:eastAsia="Times New Roman" w:hAnsi="Gill Sans MT" w:cs="Arial"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2F1E46F6"/>
    <w:multiLevelType w:val="hybridMultilevel"/>
    <w:tmpl w:val="38F69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0AE2F23"/>
    <w:multiLevelType w:val="hybridMultilevel"/>
    <w:tmpl w:val="1DB047B0"/>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15:restartNumberingAfterBreak="0">
    <w:nsid w:val="3170479A"/>
    <w:multiLevelType w:val="hybridMultilevel"/>
    <w:tmpl w:val="8DD22A68"/>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22A0BEA6">
      <w:numFmt w:val="bullet"/>
      <w:lvlText w:val="-"/>
      <w:lvlJc w:val="left"/>
      <w:pPr>
        <w:ind w:left="2565" w:hanging="585"/>
      </w:pPr>
      <w:rPr>
        <w:rFonts w:ascii="Gill Sans MT" w:eastAsia="Times New Roman" w:hAnsi="Gill Sans MT" w:cs="Arial"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3C8D1F47"/>
    <w:multiLevelType w:val="hybridMultilevel"/>
    <w:tmpl w:val="4C945CD2"/>
    <w:lvl w:ilvl="0" w:tplc="52D06B0E">
      <w:start w:val="1"/>
      <w:numFmt w:val="bullet"/>
      <w:lvlText w:val="•"/>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46FD3C">
      <w:start w:val="1"/>
      <w:numFmt w:val="bullet"/>
      <w:lvlText w:val="o"/>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05E548E">
      <w:start w:val="1"/>
      <w:numFmt w:val="bullet"/>
      <w:lvlText w:val="▪"/>
      <w:lvlJc w:val="left"/>
      <w:pPr>
        <w:ind w:left="2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582F638">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2C2EDA">
      <w:start w:val="1"/>
      <w:numFmt w:val="bullet"/>
      <w:lvlText w:val="o"/>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24A3E6">
      <w:start w:val="1"/>
      <w:numFmt w:val="bullet"/>
      <w:lvlText w:val="▪"/>
      <w:lvlJc w:val="left"/>
      <w:pPr>
        <w:ind w:left="4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B460E16">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8C8EF4">
      <w:start w:val="1"/>
      <w:numFmt w:val="bullet"/>
      <w:lvlText w:val="o"/>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8DC4C94">
      <w:start w:val="1"/>
      <w:numFmt w:val="bullet"/>
      <w:lvlText w:val="▪"/>
      <w:lvlJc w:val="left"/>
      <w:pPr>
        <w:ind w:left="6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4467EDA"/>
    <w:multiLevelType w:val="hybridMultilevel"/>
    <w:tmpl w:val="86FAAE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45F39F5"/>
    <w:multiLevelType w:val="hybridMultilevel"/>
    <w:tmpl w:val="489630E4"/>
    <w:lvl w:ilvl="0" w:tplc="04D6E1E6">
      <w:start w:val="1"/>
      <w:numFmt w:val="bullet"/>
      <w:lvlText w:val="•"/>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7CF364">
      <w:start w:val="1"/>
      <w:numFmt w:val="bullet"/>
      <w:lvlText w:val="o"/>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5EED9E">
      <w:start w:val="1"/>
      <w:numFmt w:val="bullet"/>
      <w:lvlText w:val="▪"/>
      <w:lvlJc w:val="left"/>
      <w:pPr>
        <w:ind w:left="2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1A4FD34">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ECB14C">
      <w:start w:val="1"/>
      <w:numFmt w:val="bullet"/>
      <w:lvlText w:val="o"/>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FADB96">
      <w:start w:val="1"/>
      <w:numFmt w:val="bullet"/>
      <w:lvlText w:val="▪"/>
      <w:lvlJc w:val="left"/>
      <w:pPr>
        <w:ind w:left="4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B8EA470">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DCA96E">
      <w:start w:val="1"/>
      <w:numFmt w:val="bullet"/>
      <w:lvlText w:val="o"/>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266342">
      <w:start w:val="1"/>
      <w:numFmt w:val="bullet"/>
      <w:lvlText w:val="▪"/>
      <w:lvlJc w:val="left"/>
      <w:pPr>
        <w:ind w:left="6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C4E17A7"/>
    <w:multiLevelType w:val="hybridMultilevel"/>
    <w:tmpl w:val="1D9C2B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22C2A30"/>
    <w:multiLevelType w:val="hybridMultilevel"/>
    <w:tmpl w:val="6DA275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5B71962"/>
    <w:multiLevelType w:val="hybridMultilevel"/>
    <w:tmpl w:val="E7AA10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A4F651B"/>
    <w:multiLevelType w:val="hybridMultilevel"/>
    <w:tmpl w:val="29EEFE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DA01541"/>
    <w:multiLevelType w:val="hybridMultilevel"/>
    <w:tmpl w:val="24D689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20765E6"/>
    <w:multiLevelType w:val="hybridMultilevel"/>
    <w:tmpl w:val="4D6227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B1C6435"/>
    <w:multiLevelType w:val="hybridMultilevel"/>
    <w:tmpl w:val="F02A2F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FAB3BA7"/>
    <w:multiLevelType w:val="hybridMultilevel"/>
    <w:tmpl w:val="466AC1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1452490"/>
    <w:multiLevelType w:val="hybridMultilevel"/>
    <w:tmpl w:val="9D08E2C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1" w15:restartNumberingAfterBreak="0">
    <w:nsid w:val="721157DC"/>
    <w:multiLevelType w:val="hybridMultilevel"/>
    <w:tmpl w:val="C37E2F0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2" w15:restartNumberingAfterBreak="0">
    <w:nsid w:val="731B298B"/>
    <w:multiLevelType w:val="hybridMultilevel"/>
    <w:tmpl w:val="0B0645B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63B0117"/>
    <w:multiLevelType w:val="hybridMultilevel"/>
    <w:tmpl w:val="F99A09E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1"/>
  </w:num>
  <w:num w:numId="2">
    <w:abstractNumId w:val="19"/>
  </w:num>
  <w:num w:numId="3">
    <w:abstractNumId w:val="38"/>
  </w:num>
  <w:num w:numId="4">
    <w:abstractNumId w:val="28"/>
  </w:num>
  <w:num w:numId="5">
    <w:abstractNumId w:val="33"/>
  </w:num>
  <w:num w:numId="6">
    <w:abstractNumId w:val="25"/>
  </w:num>
  <w:num w:numId="7">
    <w:abstractNumId w:val="11"/>
  </w:num>
  <w:num w:numId="8">
    <w:abstractNumId w:val="42"/>
  </w:num>
  <w:num w:numId="9">
    <w:abstractNumId w:val="24"/>
  </w:num>
  <w:num w:numId="10">
    <w:abstractNumId w:val="23"/>
  </w:num>
  <w:num w:numId="11">
    <w:abstractNumId w:val="16"/>
  </w:num>
  <w:num w:numId="12">
    <w:abstractNumId w:val="20"/>
  </w:num>
  <w:num w:numId="13">
    <w:abstractNumId w:val="10"/>
  </w:num>
  <w:num w:numId="14">
    <w:abstractNumId w:val="18"/>
  </w:num>
  <w:num w:numId="15">
    <w:abstractNumId w:val="9"/>
  </w:num>
  <w:num w:numId="16">
    <w:abstractNumId w:val="26"/>
  </w:num>
  <w:num w:numId="17">
    <w:abstractNumId w:val="41"/>
  </w:num>
  <w:num w:numId="18">
    <w:abstractNumId w:val="34"/>
  </w:num>
  <w:num w:numId="19">
    <w:abstractNumId w:val="43"/>
  </w:num>
  <w:num w:numId="20">
    <w:abstractNumId w:val="15"/>
  </w:num>
  <w:num w:numId="21">
    <w:abstractNumId w:val="39"/>
  </w:num>
  <w:num w:numId="22">
    <w:abstractNumId w:val="35"/>
  </w:num>
  <w:num w:numId="23">
    <w:abstractNumId w:val="14"/>
  </w:num>
  <w:num w:numId="24">
    <w:abstractNumId w:val="36"/>
  </w:num>
  <w:num w:numId="25">
    <w:abstractNumId w:val="29"/>
  </w:num>
  <w:num w:numId="26">
    <w:abstractNumId w:val="43"/>
  </w:num>
  <w:num w:numId="27">
    <w:abstractNumId w:val="31"/>
  </w:num>
  <w:num w:numId="28">
    <w:abstractNumId w:val="17"/>
  </w:num>
  <w:num w:numId="29">
    <w:abstractNumId w:val="22"/>
  </w:num>
  <w:num w:numId="30">
    <w:abstractNumId w:val="40"/>
  </w:num>
  <w:num w:numId="31">
    <w:abstractNumId w:val="37"/>
  </w:num>
  <w:num w:numId="32">
    <w:abstractNumId w:val="30"/>
  </w:num>
  <w:num w:numId="33">
    <w:abstractNumId w:val="7"/>
  </w:num>
  <w:num w:numId="34">
    <w:abstractNumId w:val="6"/>
  </w:num>
  <w:num w:numId="35">
    <w:abstractNumId w:val="8"/>
  </w:num>
  <w:num w:numId="36">
    <w:abstractNumId w:val="3"/>
  </w:num>
  <w:num w:numId="37">
    <w:abstractNumId w:val="2"/>
  </w:num>
  <w:num w:numId="38">
    <w:abstractNumId w:val="5"/>
  </w:num>
  <w:num w:numId="39">
    <w:abstractNumId w:val="4"/>
  </w:num>
  <w:num w:numId="40">
    <w:abstractNumId w:val="1"/>
  </w:num>
  <w:num w:numId="41">
    <w:abstractNumId w:val="0"/>
  </w:num>
  <w:num w:numId="42">
    <w:abstractNumId w:val="13"/>
  </w:num>
  <w:num w:numId="43">
    <w:abstractNumId w:val="32"/>
  </w:num>
  <w:num w:numId="44">
    <w:abstractNumId w:val="12"/>
  </w:num>
  <w:num w:numId="45">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585"/>
    <w:rsid w:val="000018A4"/>
    <w:rsid w:val="00005976"/>
    <w:rsid w:val="00005B52"/>
    <w:rsid w:val="00006B83"/>
    <w:rsid w:val="0001572A"/>
    <w:rsid w:val="00021E2C"/>
    <w:rsid w:val="00024515"/>
    <w:rsid w:val="00024ABE"/>
    <w:rsid w:val="00025495"/>
    <w:rsid w:val="000257B5"/>
    <w:rsid w:val="000272B7"/>
    <w:rsid w:val="000273B3"/>
    <w:rsid w:val="00027B55"/>
    <w:rsid w:val="00027B77"/>
    <w:rsid w:val="0003096A"/>
    <w:rsid w:val="00030DA0"/>
    <w:rsid w:val="0003226B"/>
    <w:rsid w:val="0003257B"/>
    <w:rsid w:val="00032F6C"/>
    <w:rsid w:val="000344DD"/>
    <w:rsid w:val="00034F30"/>
    <w:rsid w:val="000400CB"/>
    <w:rsid w:val="000401C1"/>
    <w:rsid w:val="00040C3F"/>
    <w:rsid w:val="00042A7C"/>
    <w:rsid w:val="00042EF0"/>
    <w:rsid w:val="00044A76"/>
    <w:rsid w:val="0004636B"/>
    <w:rsid w:val="000479D5"/>
    <w:rsid w:val="0005198B"/>
    <w:rsid w:val="00051B43"/>
    <w:rsid w:val="000524F2"/>
    <w:rsid w:val="000527DF"/>
    <w:rsid w:val="000534B3"/>
    <w:rsid w:val="0005392A"/>
    <w:rsid w:val="00053D05"/>
    <w:rsid w:val="000543BD"/>
    <w:rsid w:val="00054684"/>
    <w:rsid w:val="00055860"/>
    <w:rsid w:val="0005602E"/>
    <w:rsid w:val="000575EE"/>
    <w:rsid w:val="00060E41"/>
    <w:rsid w:val="00060EFE"/>
    <w:rsid w:val="0006192D"/>
    <w:rsid w:val="0006638A"/>
    <w:rsid w:val="0007457F"/>
    <w:rsid w:val="00075DD0"/>
    <w:rsid w:val="0007644B"/>
    <w:rsid w:val="00077964"/>
    <w:rsid w:val="000801B7"/>
    <w:rsid w:val="000801DE"/>
    <w:rsid w:val="00080B1B"/>
    <w:rsid w:val="00082550"/>
    <w:rsid w:val="00082C53"/>
    <w:rsid w:val="00083303"/>
    <w:rsid w:val="000859CC"/>
    <w:rsid w:val="00085C86"/>
    <w:rsid w:val="00087C00"/>
    <w:rsid w:val="00090101"/>
    <w:rsid w:val="00091823"/>
    <w:rsid w:val="00093770"/>
    <w:rsid w:val="00093A42"/>
    <w:rsid w:val="000943D9"/>
    <w:rsid w:val="000954B0"/>
    <w:rsid w:val="000958C9"/>
    <w:rsid w:val="00096852"/>
    <w:rsid w:val="00096CA7"/>
    <w:rsid w:val="00097204"/>
    <w:rsid w:val="0009774F"/>
    <w:rsid w:val="000A0FE2"/>
    <w:rsid w:val="000A2E2F"/>
    <w:rsid w:val="000A570B"/>
    <w:rsid w:val="000A5F16"/>
    <w:rsid w:val="000A6BF0"/>
    <w:rsid w:val="000A7C3F"/>
    <w:rsid w:val="000B1CAC"/>
    <w:rsid w:val="000B21BE"/>
    <w:rsid w:val="000B2961"/>
    <w:rsid w:val="000B346A"/>
    <w:rsid w:val="000B49B4"/>
    <w:rsid w:val="000B4D25"/>
    <w:rsid w:val="000B62C6"/>
    <w:rsid w:val="000B744E"/>
    <w:rsid w:val="000B7472"/>
    <w:rsid w:val="000B753E"/>
    <w:rsid w:val="000B7A11"/>
    <w:rsid w:val="000C05E7"/>
    <w:rsid w:val="000C1F9D"/>
    <w:rsid w:val="000C1FF2"/>
    <w:rsid w:val="000C3360"/>
    <w:rsid w:val="000C33FC"/>
    <w:rsid w:val="000C34D5"/>
    <w:rsid w:val="000C428C"/>
    <w:rsid w:val="000C5CE2"/>
    <w:rsid w:val="000C6400"/>
    <w:rsid w:val="000D1F40"/>
    <w:rsid w:val="000D22C3"/>
    <w:rsid w:val="000D233B"/>
    <w:rsid w:val="000D3528"/>
    <w:rsid w:val="000E254B"/>
    <w:rsid w:val="000E2C5E"/>
    <w:rsid w:val="000E3669"/>
    <w:rsid w:val="000E42FF"/>
    <w:rsid w:val="000E625C"/>
    <w:rsid w:val="000E6682"/>
    <w:rsid w:val="000E6E17"/>
    <w:rsid w:val="000F2747"/>
    <w:rsid w:val="000F4C89"/>
    <w:rsid w:val="000F62F0"/>
    <w:rsid w:val="000F7560"/>
    <w:rsid w:val="00101321"/>
    <w:rsid w:val="00102C84"/>
    <w:rsid w:val="0010483E"/>
    <w:rsid w:val="00104FBF"/>
    <w:rsid w:val="00110674"/>
    <w:rsid w:val="00111C31"/>
    <w:rsid w:val="00114F42"/>
    <w:rsid w:val="00117912"/>
    <w:rsid w:val="00117EB4"/>
    <w:rsid w:val="00120C54"/>
    <w:rsid w:val="00121C3D"/>
    <w:rsid w:val="00122B00"/>
    <w:rsid w:val="00124FF9"/>
    <w:rsid w:val="00125AEC"/>
    <w:rsid w:val="0012780A"/>
    <w:rsid w:val="00131A26"/>
    <w:rsid w:val="00132275"/>
    <w:rsid w:val="0013315D"/>
    <w:rsid w:val="00133EAD"/>
    <w:rsid w:val="001359D1"/>
    <w:rsid w:val="00135BB6"/>
    <w:rsid w:val="001374F5"/>
    <w:rsid w:val="0014031A"/>
    <w:rsid w:val="00140572"/>
    <w:rsid w:val="00144D4B"/>
    <w:rsid w:val="0014592A"/>
    <w:rsid w:val="0015128D"/>
    <w:rsid w:val="00151385"/>
    <w:rsid w:val="0015160F"/>
    <w:rsid w:val="00152A13"/>
    <w:rsid w:val="001530BA"/>
    <w:rsid w:val="00153F69"/>
    <w:rsid w:val="00154082"/>
    <w:rsid w:val="00154CBF"/>
    <w:rsid w:val="001576B9"/>
    <w:rsid w:val="00161443"/>
    <w:rsid w:val="0016156E"/>
    <w:rsid w:val="00162A22"/>
    <w:rsid w:val="0016400D"/>
    <w:rsid w:val="001645A6"/>
    <w:rsid w:val="00164C34"/>
    <w:rsid w:val="00167FBE"/>
    <w:rsid w:val="00170A22"/>
    <w:rsid w:val="00171D49"/>
    <w:rsid w:val="00172145"/>
    <w:rsid w:val="00172569"/>
    <w:rsid w:val="00176585"/>
    <w:rsid w:val="001777B6"/>
    <w:rsid w:val="00182AD6"/>
    <w:rsid w:val="00184E34"/>
    <w:rsid w:val="0018548A"/>
    <w:rsid w:val="001855DA"/>
    <w:rsid w:val="00185A74"/>
    <w:rsid w:val="001861CA"/>
    <w:rsid w:val="00186B5A"/>
    <w:rsid w:val="00187063"/>
    <w:rsid w:val="001903C4"/>
    <w:rsid w:val="00191530"/>
    <w:rsid w:val="00192056"/>
    <w:rsid w:val="0019217E"/>
    <w:rsid w:val="00194204"/>
    <w:rsid w:val="00197B11"/>
    <w:rsid w:val="001A0163"/>
    <w:rsid w:val="001A07DB"/>
    <w:rsid w:val="001A1DC5"/>
    <w:rsid w:val="001A34EF"/>
    <w:rsid w:val="001A3DCC"/>
    <w:rsid w:val="001A3ED7"/>
    <w:rsid w:val="001A4A45"/>
    <w:rsid w:val="001A6A44"/>
    <w:rsid w:val="001A7863"/>
    <w:rsid w:val="001B0CCC"/>
    <w:rsid w:val="001B1875"/>
    <w:rsid w:val="001B1B8A"/>
    <w:rsid w:val="001B1B98"/>
    <w:rsid w:val="001B1C53"/>
    <w:rsid w:val="001B27BC"/>
    <w:rsid w:val="001B46FB"/>
    <w:rsid w:val="001B4E4B"/>
    <w:rsid w:val="001B633B"/>
    <w:rsid w:val="001B7BDE"/>
    <w:rsid w:val="001B7FB5"/>
    <w:rsid w:val="001C19EB"/>
    <w:rsid w:val="001C3136"/>
    <w:rsid w:val="001C40C8"/>
    <w:rsid w:val="001C53A2"/>
    <w:rsid w:val="001C66E0"/>
    <w:rsid w:val="001D331C"/>
    <w:rsid w:val="001D3F50"/>
    <w:rsid w:val="001D5C64"/>
    <w:rsid w:val="001D710D"/>
    <w:rsid w:val="001E0C8E"/>
    <w:rsid w:val="001E2001"/>
    <w:rsid w:val="001E25A9"/>
    <w:rsid w:val="001E2FE2"/>
    <w:rsid w:val="001E388A"/>
    <w:rsid w:val="001E3B66"/>
    <w:rsid w:val="001E4085"/>
    <w:rsid w:val="001E4DB3"/>
    <w:rsid w:val="001E5C20"/>
    <w:rsid w:val="001E650D"/>
    <w:rsid w:val="001E6AEE"/>
    <w:rsid w:val="001E727F"/>
    <w:rsid w:val="001E7B3F"/>
    <w:rsid w:val="001E7C72"/>
    <w:rsid w:val="001F08D4"/>
    <w:rsid w:val="001F46B0"/>
    <w:rsid w:val="001F6A6A"/>
    <w:rsid w:val="001F7949"/>
    <w:rsid w:val="001F7BC0"/>
    <w:rsid w:val="00200546"/>
    <w:rsid w:val="00200D05"/>
    <w:rsid w:val="002015DA"/>
    <w:rsid w:val="00201ACB"/>
    <w:rsid w:val="00204D08"/>
    <w:rsid w:val="0020549C"/>
    <w:rsid w:val="002056E6"/>
    <w:rsid w:val="002063EB"/>
    <w:rsid w:val="00207401"/>
    <w:rsid w:val="002079CB"/>
    <w:rsid w:val="0021056A"/>
    <w:rsid w:val="002106DE"/>
    <w:rsid w:val="00210752"/>
    <w:rsid w:val="00212660"/>
    <w:rsid w:val="002154FF"/>
    <w:rsid w:val="00216506"/>
    <w:rsid w:val="00216BF4"/>
    <w:rsid w:val="00217271"/>
    <w:rsid w:val="00217FD2"/>
    <w:rsid w:val="002203B9"/>
    <w:rsid w:val="00220B3F"/>
    <w:rsid w:val="00221BF6"/>
    <w:rsid w:val="00221E48"/>
    <w:rsid w:val="0022229C"/>
    <w:rsid w:val="0022483E"/>
    <w:rsid w:val="0022493F"/>
    <w:rsid w:val="002250E6"/>
    <w:rsid w:val="00225854"/>
    <w:rsid w:val="002268B0"/>
    <w:rsid w:val="00230D73"/>
    <w:rsid w:val="00231618"/>
    <w:rsid w:val="00231806"/>
    <w:rsid w:val="00233B28"/>
    <w:rsid w:val="00236506"/>
    <w:rsid w:val="00236C64"/>
    <w:rsid w:val="0024024B"/>
    <w:rsid w:val="0024098A"/>
    <w:rsid w:val="002425D6"/>
    <w:rsid w:val="00242FF0"/>
    <w:rsid w:val="0024307D"/>
    <w:rsid w:val="002440BB"/>
    <w:rsid w:val="002456AB"/>
    <w:rsid w:val="00245998"/>
    <w:rsid w:val="00246660"/>
    <w:rsid w:val="00247AE3"/>
    <w:rsid w:val="00254181"/>
    <w:rsid w:val="002552F3"/>
    <w:rsid w:val="00255FCB"/>
    <w:rsid w:val="002561A2"/>
    <w:rsid w:val="00257616"/>
    <w:rsid w:val="00261AF1"/>
    <w:rsid w:val="00262905"/>
    <w:rsid w:val="0026415F"/>
    <w:rsid w:val="00266012"/>
    <w:rsid w:val="00273A28"/>
    <w:rsid w:val="00274F4B"/>
    <w:rsid w:val="00275691"/>
    <w:rsid w:val="002769B7"/>
    <w:rsid w:val="00277BBD"/>
    <w:rsid w:val="00283BEC"/>
    <w:rsid w:val="00283F46"/>
    <w:rsid w:val="00285EA6"/>
    <w:rsid w:val="00286A45"/>
    <w:rsid w:val="00286E2C"/>
    <w:rsid w:val="002900BF"/>
    <w:rsid w:val="002908DF"/>
    <w:rsid w:val="00291E92"/>
    <w:rsid w:val="00292043"/>
    <w:rsid w:val="00294478"/>
    <w:rsid w:val="00297055"/>
    <w:rsid w:val="002A0BAB"/>
    <w:rsid w:val="002A0CAD"/>
    <w:rsid w:val="002A1711"/>
    <w:rsid w:val="002A4C6A"/>
    <w:rsid w:val="002A7BAC"/>
    <w:rsid w:val="002B0C26"/>
    <w:rsid w:val="002B1A1F"/>
    <w:rsid w:val="002B2054"/>
    <w:rsid w:val="002B33CF"/>
    <w:rsid w:val="002B3B4B"/>
    <w:rsid w:val="002B5F42"/>
    <w:rsid w:val="002C0D9E"/>
    <w:rsid w:val="002C1105"/>
    <w:rsid w:val="002C37EB"/>
    <w:rsid w:val="002C4C00"/>
    <w:rsid w:val="002C4D9E"/>
    <w:rsid w:val="002C5787"/>
    <w:rsid w:val="002C61BC"/>
    <w:rsid w:val="002C6ACC"/>
    <w:rsid w:val="002D006C"/>
    <w:rsid w:val="002D0151"/>
    <w:rsid w:val="002D0E76"/>
    <w:rsid w:val="002D2475"/>
    <w:rsid w:val="002D2935"/>
    <w:rsid w:val="002D3012"/>
    <w:rsid w:val="002D364D"/>
    <w:rsid w:val="002D4F44"/>
    <w:rsid w:val="002D6877"/>
    <w:rsid w:val="002D6B75"/>
    <w:rsid w:val="002D7A88"/>
    <w:rsid w:val="002E22C6"/>
    <w:rsid w:val="002E2978"/>
    <w:rsid w:val="002E2DCB"/>
    <w:rsid w:val="002E4355"/>
    <w:rsid w:val="002E446E"/>
    <w:rsid w:val="002E5919"/>
    <w:rsid w:val="002E6CAE"/>
    <w:rsid w:val="002F1F8C"/>
    <w:rsid w:val="002F32C5"/>
    <w:rsid w:val="002F4234"/>
    <w:rsid w:val="002F5A99"/>
    <w:rsid w:val="002F683C"/>
    <w:rsid w:val="0030180A"/>
    <w:rsid w:val="00303763"/>
    <w:rsid w:val="00305D3E"/>
    <w:rsid w:val="00305F01"/>
    <w:rsid w:val="00306906"/>
    <w:rsid w:val="00306D6E"/>
    <w:rsid w:val="00310583"/>
    <w:rsid w:val="00311412"/>
    <w:rsid w:val="00312AFE"/>
    <w:rsid w:val="003136C7"/>
    <w:rsid w:val="00314FFB"/>
    <w:rsid w:val="00315398"/>
    <w:rsid w:val="00316423"/>
    <w:rsid w:val="00316E80"/>
    <w:rsid w:val="00317D91"/>
    <w:rsid w:val="00320014"/>
    <w:rsid w:val="003202BB"/>
    <w:rsid w:val="0032134B"/>
    <w:rsid w:val="003216F4"/>
    <w:rsid w:val="003224FF"/>
    <w:rsid w:val="00322F20"/>
    <w:rsid w:val="00323CD1"/>
    <w:rsid w:val="00324009"/>
    <w:rsid w:val="00324EA3"/>
    <w:rsid w:val="0032523D"/>
    <w:rsid w:val="00325BE7"/>
    <w:rsid w:val="00327857"/>
    <w:rsid w:val="00331D30"/>
    <w:rsid w:val="00332870"/>
    <w:rsid w:val="00332CCF"/>
    <w:rsid w:val="003330D2"/>
    <w:rsid w:val="003335F9"/>
    <w:rsid w:val="00333F05"/>
    <w:rsid w:val="00336E90"/>
    <w:rsid w:val="0033726A"/>
    <w:rsid w:val="0034132E"/>
    <w:rsid w:val="00341EF0"/>
    <w:rsid w:val="00343C62"/>
    <w:rsid w:val="0034601D"/>
    <w:rsid w:val="00346387"/>
    <w:rsid w:val="00347BF3"/>
    <w:rsid w:val="00347F23"/>
    <w:rsid w:val="003509DB"/>
    <w:rsid w:val="00351131"/>
    <w:rsid w:val="003518CA"/>
    <w:rsid w:val="00353576"/>
    <w:rsid w:val="00353711"/>
    <w:rsid w:val="00354E49"/>
    <w:rsid w:val="003560A6"/>
    <w:rsid w:val="00357658"/>
    <w:rsid w:val="003633E6"/>
    <w:rsid w:val="00364C71"/>
    <w:rsid w:val="00364F15"/>
    <w:rsid w:val="0036510F"/>
    <w:rsid w:val="003664CE"/>
    <w:rsid w:val="003702D7"/>
    <w:rsid w:val="003719E1"/>
    <w:rsid w:val="00373831"/>
    <w:rsid w:val="0037645B"/>
    <w:rsid w:val="00376948"/>
    <w:rsid w:val="00382D20"/>
    <w:rsid w:val="00383B8C"/>
    <w:rsid w:val="003869CE"/>
    <w:rsid w:val="0038775D"/>
    <w:rsid w:val="00387A18"/>
    <w:rsid w:val="00391616"/>
    <w:rsid w:val="00391A5D"/>
    <w:rsid w:val="00392581"/>
    <w:rsid w:val="003935E7"/>
    <w:rsid w:val="003946AB"/>
    <w:rsid w:val="00394D82"/>
    <w:rsid w:val="00395167"/>
    <w:rsid w:val="0039668F"/>
    <w:rsid w:val="00396D4F"/>
    <w:rsid w:val="003979C3"/>
    <w:rsid w:val="003A0E22"/>
    <w:rsid w:val="003A10FC"/>
    <w:rsid w:val="003A2564"/>
    <w:rsid w:val="003A3088"/>
    <w:rsid w:val="003A3BF1"/>
    <w:rsid w:val="003A52BC"/>
    <w:rsid w:val="003B0754"/>
    <w:rsid w:val="003B16FF"/>
    <w:rsid w:val="003B2961"/>
    <w:rsid w:val="003B38E1"/>
    <w:rsid w:val="003B44E3"/>
    <w:rsid w:val="003B4C74"/>
    <w:rsid w:val="003B69EB"/>
    <w:rsid w:val="003C202F"/>
    <w:rsid w:val="003C389C"/>
    <w:rsid w:val="003C3DF9"/>
    <w:rsid w:val="003C5F44"/>
    <w:rsid w:val="003C62D3"/>
    <w:rsid w:val="003C6663"/>
    <w:rsid w:val="003C728C"/>
    <w:rsid w:val="003D3BD1"/>
    <w:rsid w:val="003D42BA"/>
    <w:rsid w:val="003D4458"/>
    <w:rsid w:val="003D4622"/>
    <w:rsid w:val="003D46AD"/>
    <w:rsid w:val="003D6EC9"/>
    <w:rsid w:val="003D7DE2"/>
    <w:rsid w:val="003E085C"/>
    <w:rsid w:val="003E0D2F"/>
    <w:rsid w:val="003E1D7A"/>
    <w:rsid w:val="003E3252"/>
    <w:rsid w:val="003E418B"/>
    <w:rsid w:val="003E5C68"/>
    <w:rsid w:val="003E620D"/>
    <w:rsid w:val="003E7C96"/>
    <w:rsid w:val="003F360A"/>
    <w:rsid w:val="003F3874"/>
    <w:rsid w:val="003F572A"/>
    <w:rsid w:val="003F693F"/>
    <w:rsid w:val="003F7D6E"/>
    <w:rsid w:val="00400119"/>
    <w:rsid w:val="004006B0"/>
    <w:rsid w:val="004008E8"/>
    <w:rsid w:val="00403BD6"/>
    <w:rsid w:val="004054B5"/>
    <w:rsid w:val="004059E0"/>
    <w:rsid w:val="00407F6C"/>
    <w:rsid w:val="004125EE"/>
    <w:rsid w:val="00414848"/>
    <w:rsid w:val="004148BE"/>
    <w:rsid w:val="00416D45"/>
    <w:rsid w:val="004174F0"/>
    <w:rsid w:val="00421D59"/>
    <w:rsid w:val="00422783"/>
    <w:rsid w:val="004240FC"/>
    <w:rsid w:val="0042471B"/>
    <w:rsid w:val="00431E1B"/>
    <w:rsid w:val="00432DC9"/>
    <w:rsid w:val="00436ABB"/>
    <w:rsid w:val="004422A9"/>
    <w:rsid w:val="0044311A"/>
    <w:rsid w:val="00444B9D"/>
    <w:rsid w:val="00445FF3"/>
    <w:rsid w:val="00446170"/>
    <w:rsid w:val="0044628C"/>
    <w:rsid w:val="004467DD"/>
    <w:rsid w:val="004479CE"/>
    <w:rsid w:val="00450645"/>
    <w:rsid w:val="00451115"/>
    <w:rsid w:val="00452EB0"/>
    <w:rsid w:val="004547D3"/>
    <w:rsid w:val="004567A7"/>
    <w:rsid w:val="004572CA"/>
    <w:rsid w:val="004574D1"/>
    <w:rsid w:val="00457E53"/>
    <w:rsid w:val="00461DC6"/>
    <w:rsid w:val="00462712"/>
    <w:rsid w:val="004629FE"/>
    <w:rsid w:val="004637CA"/>
    <w:rsid w:val="00464344"/>
    <w:rsid w:val="0047009A"/>
    <w:rsid w:val="00470BA8"/>
    <w:rsid w:val="004710BC"/>
    <w:rsid w:val="004715C1"/>
    <w:rsid w:val="004732B0"/>
    <w:rsid w:val="0047347B"/>
    <w:rsid w:val="00474218"/>
    <w:rsid w:val="0047425D"/>
    <w:rsid w:val="00474F40"/>
    <w:rsid w:val="00474F61"/>
    <w:rsid w:val="004750ED"/>
    <w:rsid w:val="0047671B"/>
    <w:rsid w:val="00476A28"/>
    <w:rsid w:val="0048006B"/>
    <w:rsid w:val="004800C8"/>
    <w:rsid w:val="0048232B"/>
    <w:rsid w:val="0048384A"/>
    <w:rsid w:val="004841A8"/>
    <w:rsid w:val="0049086A"/>
    <w:rsid w:val="00490E45"/>
    <w:rsid w:val="00490E7E"/>
    <w:rsid w:val="00493778"/>
    <w:rsid w:val="004A24C8"/>
    <w:rsid w:val="004A2F60"/>
    <w:rsid w:val="004A585D"/>
    <w:rsid w:val="004A59EC"/>
    <w:rsid w:val="004A6012"/>
    <w:rsid w:val="004A7A54"/>
    <w:rsid w:val="004B12B1"/>
    <w:rsid w:val="004B187C"/>
    <w:rsid w:val="004B3535"/>
    <w:rsid w:val="004B426A"/>
    <w:rsid w:val="004B45C2"/>
    <w:rsid w:val="004B4608"/>
    <w:rsid w:val="004B4893"/>
    <w:rsid w:val="004B5D49"/>
    <w:rsid w:val="004B7224"/>
    <w:rsid w:val="004B755B"/>
    <w:rsid w:val="004B7A8A"/>
    <w:rsid w:val="004C1BA6"/>
    <w:rsid w:val="004C2333"/>
    <w:rsid w:val="004C3A70"/>
    <w:rsid w:val="004C3EB2"/>
    <w:rsid w:val="004D15DC"/>
    <w:rsid w:val="004D2093"/>
    <w:rsid w:val="004D2652"/>
    <w:rsid w:val="004D42BF"/>
    <w:rsid w:val="004D6A22"/>
    <w:rsid w:val="004E037C"/>
    <w:rsid w:val="004E0456"/>
    <w:rsid w:val="004E285D"/>
    <w:rsid w:val="004E78B5"/>
    <w:rsid w:val="004F1E41"/>
    <w:rsid w:val="004F3431"/>
    <w:rsid w:val="004F3E03"/>
    <w:rsid w:val="004F625B"/>
    <w:rsid w:val="004F67C2"/>
    <w:rsid w:val="004F7E27"/>
    <w:rsid w:val="00500ADB"/>
    <w:rsid w:val="00500E79"/>
    <w:rsid w:val="00501361"/>
    <w:rsid w:val="005015AD"/>
    <w:rsid w:val="00501E5A"/>
    <w:rsid w:val="005020AD"/>
    <w:rsid w:val="00502C5E"/>
    <w:rsid w:val="005036F0"/>
    <w:rsid w:val="00503D86"/>
    <w:rsid w:val="0050691E"/>
    <w:rsid w:val="005109A0"/>
    <w:rsid w:val="00510D3B"/>
    <w:rsid w:val="005137D3"/>
    <w:rsid w:val="00516FED"/>
    <w:rsid w:val="0052010B"/>
    <w:rsid w:val="00520156"/>
    <w:rsid w:val="005208D1"/>
    <w:rsid w:val="00520BBB"/>
    <w:rsid w:val="00522235"/>
    <w:rsid w:val="00522396"/>
    <w:rsid w:val="00522457"/>
    <w:rsid w:val="0052252B"/>
    <w:rsid w:val="00522679"/>
    <w:rsid w:val="00522A20"/>
    <w:rsid w:val="005243C4"/>
    <w:rsid w:val="005249C8"/>
    <w:rsid w:val="00525293"/>
    <w:rsid w:val="00530632"/>
    <w:rsid w:val="0053101E"/>
    <w:rsid w:val="0053196E"/>
    <w:rsid w:val="00534CB6"/>
    <w:rsid w:val="005364A6"/>
    <w:rsid w:val="0053673A"/>
    <w:rsid w:val="00536AD7"/>
    <w:rsid w:val="0053795A"/>
    <w:rsid w:val="005416E1"/>
    <w:rsid w:val="00542CC4"/>
    <w:rsid w:val="00543281"/>
    <w:rsid w:val="00544208"/>
    <w:rsid w:val="00544EBB"/>
    <w:rsid w:val="005466B0"/>
    <w:rsid w:val="0054699B"/>
    <w:rsid w:val="00546D1E"/>
    <w:rsid w:val="005507A9"/>
    <w:rsid w:val="00550C1E"/>
    <w:rsid w:val="0055390C"/>
    <w:rsid w:val="00554BEF"/>
    <w:rsid w:val="00555D7F"/>
    <w:rsid w:val="005568F9"/>
    <w:rsid w:val="00556D58"/>
    <w:rsid w:val="00557EB2"/>
    <w:rsid w:val="005600A4"/>
    <w:rsid w:val="00560710"/>
    <w:rsid w:val="00560B5E"/>
    <w:rsid w:val="005634B3"/>
    <w:rsid w:val="00563BCA"/>
    <w:rsid w:val="00564FB4"/>
    <w:rsid w:val="005668C3"/>
    <w:rsid w:val="00566D2B"/>
    <w:rsid w:val="00567824"/>
    <w:rsid w:val="00567B19"/>
    <w:rsid w:val="0057014D"/>
    <w:rsid w:val="00571F86"/>
    <w:rsid w:val="005728AC"/>
    <w:rsid w:val="00573B38"/>
    <w:rsid w:val="00574410"/>
    <w:rsid w:val="00577907"/>
    <w:rsid w:val="005779CE"/>
    <w:rsid w:val="00577D95"/>
    <w:rsid w:val="00580ED0"/>
    <w:rsid w:val="00581033"/>
    <w:rsid w:val="0058130F"/>
    <w:rsid w:val="00581566"/>
    <w:rsid w:val="0058189C"/>
    <w:rsid w:val="00581F20"/>
    <w:rsid w:val="00585DEE"/>
    <w:rsid w:val="00586362"/>
    <w:rsid w:val="005876A0"/>
    <w:rsid w:val="00590409"/>
    <w:rsid w:val="00592F6B"/>
    <w:rsid w:val="00594DDD"/>
    <w:rsid w:val="005967B7"/>
    <w:rsid w:val="00597645"/>
    <w:rsid w:val="00597C5C"/>
    <w:rsid w:val="00597FDD"/>
    <w:rsid w:val="005A0937"/>
    <w:rsid w:val="005A1CEE"/>
    <w:rsid w:val="005A1F57"/>
    <w:rsid w:val="005A37E1"/>
    <w:rsid w:val="005A3E08"/>
    <w:rsid w:val="005A4D76"/>
    <w:rsid w:val="005B00BA"/>
    <w:rsid w:val="005B3141"/>
    <w:rsid w:val="005B5E9D"/>
    <w:rsid w:val="005B7321"/>
    <w:rsid w:val="005B7F0D"/>
    <w:rsid w:val="005C1EF4"/>
    <w:rsid w:val="005C28A2"/>
    <w:rsid w:val="005C2EE1"/>
    <w:rsid w:val="005C461A"/>
    <w:rsid w:val="005C4A37"/>
    <w:rsid w:val="005D007D"/>
    <w:rsid w:val="005D14C0"/>
    <w:rsid w:val="005D3600"/>
    <w:rsid w:val="005D3DE8"/>
    <w:rsid w:val="005D4270"/>
    <w:rsid w:val="005D4F72"/>
    <w:rsid w:val="005D551F"/>
    <w:rsid w:val="005D5D54"/>
    <w:rsid w:val="005D6624"/>
    <w:rsid w:val="005E013B"/>
    <w:rsid w:val="005E1AB6"/>
    <w:rsid w:val="005E2EEC"/>
    <w:rsid w:val="005E3052"/>
    <w:rsid w:val="005E3517"/>
    <w:rsid w:val="005E419C"/>
    <w:rsid w:val="005E41F3"/>
    <w:rsid w:val="005E4222"/>
    <w:rsid w:val="005E518A"/>
    <w:rsid w:val="005E60A0"/>
    <w:rsid w:val="005F0C73"/>
    <w:rsid w:val="005F113D"/>
    <w:rsid w:val="005F24F4"/>
    <w:rsid w:val="005F3188"/>
    <w:rsid w:val="005F3EBD"/>
    <w:rsid w:val="005F517E"/>
    <w:rsid w:val="005F6B5B"/>
    <w:rsid w:val="0060012B"/>
    <w:rsid w:val="006005AD"/>
    <w:rsid w:val="00601872"/>
    <w:rsid w:val="00602024"/>
    <w:rsid w:val="00602BFD"/>
    <w:rsid w:val="00603211"/>
    <w:rsid w:val="0060500A"/>
    <w:rsid w:val="00605046"/>
    <w:rsid w:val="00607649"/>
    <w:rsid w:val="0061036F"/>
    <w:rsid w:val="0061071F"/>
    <w:rsid w:val="0061101C"/>
    <w:rsid w:val="00611245"/>
    <w:rsid w:val="00611918"/>
    <w:rsid w:val="00611A11"/>
    <w:rsid w:val="00611C4A"/>
    <w:rsid w:val="0061203C"/>
    <w:rsid w:val="00612112"/>
    <w:rsid w:val="00613E66"/>
    <w:rsid w:val="00614C65"/>
    <w:rsid w:val="00616D96"/>
    <w:rsid w:val="00623C51"/>
    <w:rsid w:val="00623E41"/>
    <w:rsid w:val="00624483"/>
    <w:rsid w:val="006246AD"/>
    <w:rsid w:val="006303F7"/>
    <w:rsid w:val="0063048D"/>
    <w:rsid w:val="00632A4E"/>
    <w:rsid w:val="0063450E"/>
    <w:rsid w:val="00634D10"/>
    <w:rsid w:val="00634D57"/>
    <w:rsid w:val="00636F05"/>
    <w:rsid w:val="00637CD3"/>
    <w:rsid w:val="006420B0"/>
    <w:rsid w:val="00642351"/>
    <w:rsid w:val="006427BE"/>
    <w:rsid w:val="006436E7"/>
    <w:rsid w:val="006449A1"/>
    <w:rsid w:val="00644F6D"/>
    <w:rsid w:val="0065269A"/>
    <w:rsid w:val="00653066"/>
    <w:rsid w:val="006536BB"/>
    <w:rsid w:val="00653D4A"/>
    <w:rsid w:val="006555F1"/>
    <w:rsid w:val="006579E6"/>
    <w:rsid w:val="00657CDF"/>
    <w:rsid w:val="00660021"/>
    <w:rsid w:val="00660F1B"/>
    <w:rsid w:val="006612A7"/>
    <w:rsid w:val="0066217E"/>
    <w:rsid w:val="00662F8E"/>
    <w:rsid w:val="00665812"/>
    <w:rsid w:val="006664CC"/>
    <w:rsid w:val="006667E9"/>
    <w:rsid w:val="00666FFF"/>
    <w:rsid w:val="0066720A"/>
    <w:rsid w:val="006678B7"/>
    <w:rsid w:val="006720EB"/>
    <w:rsid w:val="006729D7"/>
    <w:rsid w:val="006730CE"/>
    <w:rsid w:val="00673CB8"/>
    <w:rsid w:val="006741E4"/>
    <w:rsid w:val="006744FC"/>
    <w:rsid w:val="00674F37"/>
    <w:rsid w:val="006758EC"/>
    <w:rsid w:val="006762E1"/>
    <w:rsid w:val="006763F4"/>
    <w:rsid w:val="00677399"/>
    <w:rsid w:val="00677D7E"/>
    <w:rsid w:val="006808B3"/>
    <w:rsid w:val="00680B9F"/>
    <w:rsid w:val="00682575"/>
    <w:rsid w:val="00684DDD"/>
    <w:rsid w:val="00686C55"/>
    <w:rsid w:val="00687431"/>
    <w:rsid w:val="00690FB5"/>
    <w:rsid w:val="00691821"/>
    <w:rsid w:val="006928FD"/>
    <w:rsid w:val="00692B4F"/>
    <w:rsid w:val="00693D75"/>
    <w:rsid w:val="00693DCB"/>
    <w:rsid w:val="006942BE"/>
    <w:rsid w:val="00695612"/>
    <w:rsid w:val="00695DAE"/>
    <w:rsid w:val="00696CDA"/>
    <w:rsid w:val="006970F5"/>
    <w:rsid w:val="006A0377"/>
    <w:rsid w:val="006A2DCF"/>
    <w:rsid w:val="006A355D"/>
    <w:rsid w:val="006A5C8F"/>
    <w:rsid w:val="006A5E71"/>
    <w:rsid w:val="006A6405"/>
    <w:rsid w:val="006A6BBF"/>
    <w:rsid w:val="006A6E80"/>
    <w:rsid w:val="006B102E"/>
    <w:rsid w:val="006B1A37"/>
    <w:rsid w:val="006B2974"/>
    <w:rsid w:val="006B4F16"/>
    <w:rsid w:val="006B5BB5"/>
    <w:rsid w:val="006B64BB"/>
    <w:rsid w:val="006B6508"/>
    <w:rsid w:val="006B676A"/>
    <w:rsid w:val="006C0434"/>
    <w:rsid w:val="006C25E6"/>
    <w:rsid w:val="006C2D61"/>
    <w:rsid w:val="006C38EF"/>
    <w:rsid w:val="006C4057"/>
    <w:rsid w:val="006C560A"/>
    <w:rsid w:val="006C560F"/>
    <w:rsid w:val="006D2F97"/>
    <w:rsid w:val="006D344A"/>
    <w:rsid w:val="006D4BB9"/>
    <w:rsid w:val="006D5814"/>
    <w:rsid w:val="006D68F4"/>
    <w:rsid w:val="006D745F"/>
    <w:rsid w:val="006D7937"/>
    <w:rsid w:val="006D7BCE"/>
    <w:rsid w:val="006E091E"/>
    <w:rsid w:val="006E0A7E"/>
    <w:rsid w:val="006E5F11"/>
    <w:rsid w:val="006E65D0"/>
    <w:rsid w:val="006F3803"/>
    <w:rsid w:val="006F55F1"/>
    <w:rsid w:val="00700756"/>
    <w:rsid w:val="00701629"/>
    <w:rsid w:val="00701872"/>
    <w:rsid w:val="00701914"/>
    <w:rsid w:val="007029C7"/>
    <w:rsid w:val="00704559"/>
    <w:rsid w:val="007064E2"/>
    <w:rsid w:val="00706728"/>
    <w:rsid w:val="00707CBD"/>
    <w:rsid w:val="00710597"/>
    <w:rsid w:val="00710D13"/>
    <w:rsid w:val="007119CB"/>
    <w:rsid w:val="00712C49"/>
    <w:rsid w:val="0071487A"/>
    <w:rsid w:val="00714ADF"/>
    <w:rsid w:val="00714E3B"/>
    <w:rsid w:val="00714EEF"/>
    <w:rsid w:val="00724C09"/>
    <w:rsid w:val="00724CC0"/>
    <w:rsid w:val="00727686"/>
    <w:rsid w:val="0073176B"/>
    <w:rsid w:val="0073195F"/>
    <w:rsid w:val="00731C81"/>
    <w:rsid w:val="00732180"/>
    <w:rsid w:val="007329CB"/>
    <w:rsid w:val="00733B5A"/>
    <w:rsid w:val="00734B0D"/>
    <w:rsid w:val="00734D19"/>
    <w:rsid w:val="0073599C"/>
    <w:rsid w:val="00735E4D"/>
    <w:rsid w:val="00736528"/>
    <w:rsid w:val="00740C58"/>
    <w:rsid w:val="00741954"/>
    <w:rsid w:val="00742AF4"/>
    <w:rsid w:val="00745B81"/>
    <w:rsid w:val="00747614"/>
    <w:rsid w:val="00747694"/>
    <w:rsid w:val="0075026B"/>
    <w:rsid w:val="00750407"/>
    <w:rsid w:val="0075066D"/>
    <w:rsid w:val="00750A3E"/>
    <w:rsid w:val="00750F6F"/>
    <w:rsid w:val="00753474"/>
    <w:rsid w:val="00753C6D"/>
    <w:rsid w:val="00753E1E"/>
    <w:rsid w:val="007549B3"/>
    <w:rsid w:val="00755397"/>
    <w:rsid w:val="00755F57"/>
    <w:rsid w:val="00756B0C"/>
    <w:rsid w:val="00756E8F"/>
    <w:rsid w:val="00757F23"/>
    <w:rsid w:val="007611C8"/>
    <w:rsid w:val="007618E1"/>
    <w:rsid w:val="0076300B"/>
    <w:rsid w:val="00763353"/>
    <w:rsid w:val="007639ED"/>
    <w:rsid w:val="00763B53"/>
    <w:rsid w:val="007648F9"/>
    <w:rsid w:val="007662F0"/>
    <w:rsid w:val="00770601"/>
    <w:rsid w:val="0077107E"/>
    <w:rsid w:val="00771C5F"/>
    <w:rsid w:val="0077287D"/>
    <w:rsid w:val="00772E24"/>
    <w:rsid w:val="00774642"/>
    <w:rsid w:val="00775E1D"/>
    <w:rsid w:val="00775F4F"/>
    <w:rsid w:val="007769CA"/>
    <w:rsid w:val="00776E26"/>
    <w:rsid w:val="007818AA"/>
    <w:rsid w:val="00781CD6"/>
    <w:rsid w:val="00782E94"/>
    <w:rsid w:val="0078372A"/>
    <w:rsid w:val="00784812"/>
    <w:rsid w:val="007849E6"/>
    <w:rsid w:val="00786A00"/>
    <w:rsid w:val="00787A7B"/>
    <w:rsid w:val="00792102"/>
    <w:rsid w:val="007932C6"/>
    <w:rsid w:val="007953D1"/>
    <w:rsid w:val="00796146"/>
    <w:rsid w:val="00797E99"/>
    <w:rsid w:val="007A05DF"/>
    <w:rsid w:val="007A0670"/>
    <w:rsid w:val="007A17DD"/>
    <w:rsid w:val="007A3CDC"/>
    <w:rsid w:val="007A3D64"/>
    <w:rsid w:val="007A5A37"/>
    <w:rsid w:val="007A6C9A"/>
    <w:rsid w:val="007B0A7C"/>
    <w:rsid w:val="007B18DA"/>
    <w:rsid w:val="007B3948"/>
    <w:rsid w:val="007B3C46"/>
    <w:rsid w:val="007B3F1E"/>
    <w:rsid w:val="007B4693"/>
    <w:rsid w:val="007B46A4"/>
    <w:rsid w:val="007B589B"/>
    <w:rsid w:val="007B6799"/>
    <w:rsid w:val="007B6DF4"/>
    <w:rsid w:val="007B711F"/>
    <w:rsid w:val="007C012C"/>
    <w:rsid w:val="007C0F31"/>
    <w:rsid w:val="007C1A40"/>
    <w:rsid w:val="007C1E79"/>
    <w:rsid w:val="007C28F7"/>
    <w:rsid w:val="007C46F2"/>
    <w:rsid w:val="007C4BD3"/>
    <w:rsid w:val="007D0413"/>
    <w:rsid w:val="007D04AF"/>
    <w:rsid w:val="007D1579"/>
    <w:rsid w:val="007D2298"/>
    <w:rsid w:val="007D2BDE"/>
    <w:rsid w:val="007D391C"/>
    <w:rsid w:val="007D44FD"/>
    <w:rsid w:val="007D6B09"/>
    <w:rsid w:val="007D7F5D"/>
    <w:rsid w:val="007E08E4"/>
    <w:rsid w:val="007E24AB"/>
    <w:rsid w:val="007E29A9"/>
    <w:rsid w:val="007E4453"/>
    <w:rsid w:val="007E5292"/>
    <w:rsid w:val="007E7556"/>
    <w:rsid w:val="007E7565"/>
    <w:rsid w:val="007E797D"/>
    <w:rsid w:val="007E7FDC"/>
    <w:rsid w:val="007F18FD"/>
    <w:rsid w:val="007F1CD9"/>
    <w:rsid w:val="007F2274"/>
    <w:rsid w:val="007F2377"/>
    <w:rsid w:val="007F3E3B"/>
    <w:rsid w:val="007F3FFB"/>
    <w:rsid w:val="007F41C9"/>
    <w:rsid w:val="007F4726"/>
    <w:rsid w:val="007F474B"/>
    <w:rsid w:val="007F587B"/>
    <w:rsid w:val="007F6060"/>
    <w:rsid w:val="007F6175"/>
    <w:rsid w:val="007F6B78"/>
    <w:rsid w:val="00800BF6"/>
    <w:rsid w:val="0080164F"/>
    <w:rsid w:val="00802230"/>
    <w:rsid w:val="00802437"/>
    <w:rsid w:val="008030B1"/>
    <w:rsid w:val="008034F7"/>
    <w:rsid w:val="00806A11"/>
    <w:rsid w:val="0081164D"/>
    <w:rsid w:val="00811A3F"/>
    <w:rsid w:val="00812511"/>
    <w:rsid w:val="00813721"/>
    <w:rsid w:val="0081379D"/>
    <w:rsid w:val="00813A98"/>
    <w:rsid w:val="008220B5"/>
    <w:rsid w:val="00823B9A"/>
    <w:rsid w:val="00826E4B"/>
    <w:rsid w:val="00831945"/>
    <w:rsid w:val="00832DE4"/>
    <w:rsid w:val="008331F9"/>
    <w:rsid w:val="008348F4"/>
    <w:rsid w:val="00836B12"/>
    <w:rsid w:val="008371A4"/>
    <w:rsid w:val="008418B9"/>
    <w:rsid w:val="008419E0"/>
    <w:rsid w:val="00841D11"/>
    <w:rsid w:val="00843657"/>
    <w:rsid w:val="0084607D"/>
    <w:rsid w:val="008463E5"/>
    <w:rsid w:val="00846D3B"/>
    <w:rsid w:val="00851A0F"/>
    <w:rsid w:val="00851A8A"/>
    <w:rsid w:val="008528BC"/>
    <w:rsid w:val="00853781"/>
    <w:rsid w:val="00853F04"/>
    <w:rsid w:val="00854397"/>
    <w:rsid w:val="008546B7"/>
    <w:rsid w:val="008570A3"/>
    <w:rsid w:val="0086057A"/>
    <w:rsid w:val="00860A7D"/>
    <w:rsid w:val="00860D15"/>
    <w:rsid w:val="00860DA0"/>
    <w:rsid w:val="00862C87"/>
    <w:rsid w:val="0086452F"/>
    <w:rsid w:val="0086570D"/>
    <w:rsid w:val="00865CEB"/>
    <w:rsid w:val="008664F1"/>
    <w:rsid w:val="00870B78"/>
    <w:rsid w:val="00870FB8"/>
    <w:rsid w:val="00875B54"/>
    <w:rsid w:val="00876F02"/>
    <w:rsid w:val="00877551"/>
    <w:rsid w:val="00877756"/>
    <w:rsid w:val="0087780A"/>
    <w:rsid w:val="00881AD0"/>
    <w:rsid w:val="00881BDA"/>
    <w:rsid w:val="00883E59"/>
    <w:rsid w:val="00884ADE"/>
    <w:rsid w:val="0088530C"/>
    <w:rsid w:val="00890B1B"/>
    <w:rsid w:val="00890B73"/>
    <w:rsid w:val="00892A91"/>
    <w:rsid w:val="00893DBD"/>
    <w:rsid w:val="00894411"/>
    <w:rsid w:val="00895E27"/>
    <w:rsid w:val="008961DA"/>
    <w:rsid w:val="00896980"/>
    <w:rsid w:val="008A29C3"/>
    <w:rsid w:val="008A29CB"/>
    <w:rsid w:val="008A45A0"/>
    <w:rsid w:val="008A5B01"/>
    <w:rsid w:val="008A67E8"/>
    <w:rsid w:val="008B0E5E"/>
    <w:rsid w:val="008B14BB"/>
    <w:rsid w:val="008B1A13"/>
    <w:rsid w:val="008B2751"/>
    <w:rsid w:val="008B2C45"/>
    <w:rsid w:val="008B5174"/>
    <w:rsid w:val="008B6047"/>
    <w:rsid w:val="008B685B"/>
    <w:rsid w:val="008B6D01"/>
    <w:rsid w:val="008C0979"/>
    <w:rsid w:val="008C22CF"/>
    <w:rsid w:val="008C26E6"/>
    <w:rsid w:val="008C3538"/>
    <w:rsid w:val="008C361D"/>
    <w:rsid w:val="008C3EC6"/>
    <w:rsid w:val="008C477B"/>
    <w:rsid w:val="008C707F"/>
    <w:rsid w:val="008D0CD6"/>
    <w:rsid w:val="008D40BF"/>
    <w:rsid w:val="008D4792"/>
    <w:rsid w:val="008D604D"/>
    <w:rsid w:val="008E1AEC"/>
    <w:rsid w:val="008E4130"/>
    <w:rsid w:val="008E531E"/>
    <w:rsid w:val="008E5BA7"/>
    <w:rsid w:val="008E7A93"/>
    <w:rsid w:val="008F0EC3"/>
    <w:rsid w:val="008F14C4"/>
    <w:rsid w:val="008F201B"/>
    <w:rsid w:val="008F219B"/>
    <w:rsid w:val="008F2E23"/>
    <w:rsid w:val="008F2ED6"/>
    <w:rsid w:val="008F3134"/>
    <w:rsid w:val="008F3E5E"/>
    <w:rsid w:val="008F46A4"/>
    <w:rsid w:val="008F4C53"/>
    <w:rsid w:val="008F56EC"/>
    <w:rsid w:val="008F588B"/>
    <w:rsid w:val="008F670B"/>
    <w:rsid w:val="008F7EB7"/>
    <w:rsid w:val="00902137"/>
    <w:rsid w:val="00902173"/>
    <w:rsid w:val="00904AB0"/>
    <w:rsid w:val="00905993"/>
    <w:rsid w:val="00905EBC"/>
    <w:rsid w:val="00911221"/>
    <w:rsid w:val="0091176B"/>
    <w:rsid w:val="00911787"/>
    <w:rsid w:val="00911C8D"/>
    <w:rsid w:val="0091284C"/>
    <w:rsid w:val="00912F18"/>
    <w:rsid w:val="009143A2"/>
    <w:rsid w:val="009158B5"/>
    <w:rsid w:val="00915E76"/>
    <w:rsid w:val="00916B2A"/>
    <w:rsid w:val="00920197"/>
    <w:rsid w:val="00923194"/>
    <w:rsid w:val="00923990"/>
    <w:rsid w:val="00924653"/>
    <w:rsid w:val="00925131"/>
    <w:rsid w:val="00926804"/>
    <w:rsid w:val="00927A8C"/>
    <w:rsid w:val="00930B2A"/>
    <w:rsid w:val="009326AB"/>
    <w:rsid w:val="0093327F"/>
    <w:rsid w:val="0093580F"/>
    <w:rsid w:val="00935CA2"/>
    <w:rsid w:val="00936514"/>
    <w:rsid w:val="0093676B"/>
    <w:rsid w:val="00937FA3"/>
    <w:rsid w:val="00944799"/>
    <w:rsid w:val="0094608D"/>
    <w:rsid w:val="00947B37"/>
    <w:rsid w:val="009500B4"/>
    <w:rsid w:val="00950808"/>
    <w:rsid w:val="0095102A"/>
    <w:rsid w:val="00951C10"/>
    <w:rsid w:val="00953282"/>
    <w:rsid w:val="0096036D"/>
    <w:rsid w:val="00960A16"/>
    <w:rsid w:val="00960B4C"/>
    <w:rsid w:val="00961B45"/>
    <w:rsid w:val="00962641"/>
    <w:rsid w:val="00962E6E"/>
    <w:rsid w:val="0096468A"/>
    <w:rsid w:val="00971ABF"/>
    <w:rsid w:val="009733DB"/>
    <w:rsid w:val="00974647"/>
    <w:rsid w:val="009753AA"/>
    <w:rsid w:val="00975BBB"/>
    <w:rsid w:val="00982365"/>
    <w:rsid w:val="00982694"/>
    <w:rsid w:val="009833C4"/>
    <w:rsid w:val="009846E1"/>
    <w:rsid w:val="009856DC"/>
    <w:rsid w:val="00985B44"/>
    <w:rsid w:val="00985C03"/>
    <w:rsid w:val="00985DAB"/>
    <w:rsid w:val="009867D9"/>
    <w:rsid w:val="00987396"/>
    <w:rsid w:val="00991E10"/>
    <w:rsid w:val="00993A81"/>
    <w:rsid w:val="00994C14"/>
    <w:rsid w:val="009965C6"/>
    <w:rsid w:val="00997669"/>
    <w:rsid w:val="009A0759"/>
    <w:rsid w:val="009A32A0"/>
    <w:rsid w:val="009A4693"/>
    <w:rsid w:val="009A51ED"/>
    <w:rsid w:val="009A5594"/>
    <w:rsid w:val="009A58D0"/>
    <w:rsid w:val="009A6A47"/>
    <w:rsid w:val="009A6FDD"/>
    <w:rsid w:val="009A71C7"/>
    <w:rsid w:val="009B1530"/>
    <w:rsid w:val="009B1839"/>
    <w:rsid w:val="009B1A83"/>
    <w:rsid w:val="009B23EB"/>
    <w:rsid w:val="009B442B"/>
    <w:rsid w:val="009B487D"/>
    <w:rsid w:val="009B5391"/>
    <w:rsid w:val="009B5F5F"/>
    <w:rsid w:val="009B71E1"/>
    <w:rsid w:val="009C112A"/>
    <w:rsid w:val="009C2393"/>
    <w:rsid w:val="009C2447"/>
    <w:rsid w:val="009C274B"/>
    <w:rsid w:val="009C2A47"/>
    <w:rsid w:val="009C3204"/>
    <w:rsid w:val="009C4A69"/>
    <w:rsid w:val="009C50B4"/>
    <w:rsid w:val="009C525F"/>
    <w:rsid w:val="009C6851"/>
    <w:rsid w:val="009D0208"/>
    <w:rsid w:val="009D0AD7"/>
    <w:rsid w:val="009D25C3"/>
    <w:rsid w:val="009D4298"/>
    <w:rsid w:val="009D5837"/>
    <w:rsid w:val="009D7598"/>
    <w:rsid w:val="009D7C7B"/>
    <w:rsid w:val="009E0458"/>
    <w:rsid w:val="009E06AD"/>
    <w:rsid w:val="009E0A87"/>
    <w:rsid w:val="009E1563"/>
    <w:rsid w:val="009E2016"/>
    <w:rsid w:val="009E3381"/>
    <w:rsid w:val="009F0557"/>
    <w:rsid w:val="009F0F16"/>
    <w:rsid w:val="009F1331"/>
    <w:rsid w:val="009F1969"/>
    <w:rsid w:val="009F2064"/>
    <w:rsid w:val="009F2826"/>
    <w:rsid w:val="009F2F31"/>
    <w:rsid w:val="009F38F1"/>
    <w:rsid w:val="009F4941"/>
    <w:rsid w:val="00A04717"/>
    <w:rsid w:val="00A12473"/>
    <w:rsid w:val="00A129F8"/>
    <w:rsid w:val="00A13249"/>
    <w:rsid w:val="00A141FE"/>
    <w:rsid w:val="00A1437C"/>
    <w:rsid w:val="00A146F7"/>
    <w:rsid w:val="00A14921"/>
    <w:rsid w:val="00A15834"/>
    <w:rsid w:val="00A17050"/>
    <w:rsid w:val="00A20377"/>
    <w:rsid w:val="00A23CEC"/>
    <w:rsid w:val="00A24C69"/>
    <w:rsid w:val="00A25FA3"/>
    <w:rsid w:val="00A26E4C"/>
    <w:rsid w:val="00A27EE8"/>
    <w:rsid w:val="00A30AA8"/>
    <w:rsid w:val="00A325C6"/>
    <w:rsid w:val="00A3423C"/>
    <w:rsid w:val="00A4258D"/>
    <w:rsid w:val="00A43849"/>
    <w:rsid w:val="00A43BD0"/>
    <w:rsid w:val="00A44668"/>
    <w:rsid w:val="00A45CAE"/>
    <w:rsid w:val="00A46BED"/>
    <w:rsid w:val="00A47738"/>
    <w:rsid w:val="00A5062B"/>
    <w:rsid w:val="00A5095F"/>
    <w:rsid w:val="00A50F87"/>
    <w:rsid w:val="00A5156D"/>
    <w:rsid w:val="00A5450C"/>
    <w:rsid w:val="00A620F2"/>
    <w:rsid w:val="00A62E8F"/>
    <w:rsid w:val="00A62FCB"/>
    <w:rsid w:val="00A6341D"/>
    <w:rsid w:val="00A63889"/>
    <w:rsid w:val="00A6416A"/>
    <w:rsid w:val="00A66326"/>
    <w:rsid w:val="00A67305"/>
    <w:rsid w:val="00A67515"/>
    <w:rsid w:val="00A729FF"/>
    <w:rsid w:val="00A7301B"/>
    <w:rsid w:val="00A73E7E"/>
    <w:rsid w:val="00A7413D"/>
    <w:rsid w:val="00A759A2"/>
    <w:rsid w:val="00A76058"/>
    <w:rsid w:val="00A76C2F"/>
    <w:rsid w:val="00A8030D"/>
    <w:rsid w:val="00A80671"/>
    <w:rsid w:val="00A808F6"/>
    <w:rsid w:val="00A8349B"/>
    <w:rsid w:val="00A849C1"/>
    <w:rsid w:val="00A8530B"/>
    <w:rsid w:val="00A8566A"/>
    <w:rsid w:val="00A8586D"/>
    <w:rsid w:val="00A85C25"/>
    <w:rsid w:val="00A85EB8"/>
    <w:rsid w:val="00A86596"/>
    <w:rsid w:val="00A8663B"/>
    <w:rsid w:val="00A86EFE"/>
    <w:rsid w:val="00A87B86"/>
    <w:rsid w:val="00A907D5"/>
    <w:rsid w:val="00A90BEF"/>
    <w:rsid w:val="00A9340F"/>
    <w:rsid w:val="00A94B47"/>
    <w:rsid w:val="00A960D3"/>
    <w:rsid w:val="00A97821"/>
    <w:rsid w:val="00A9786E"/>
    <w:rsid w:val="00A97B74"/>
    <w:rsid w:val="00A97BA9"/>
    <w:rsid w:val="00AA0D7D"/>
    <w:rsid w:val="00AA14DB"/>
    <w:rsid w:val="00AA15B1"/>
    <w:rsid w:val="00AA26A3"/>
    <w:rsid w:val="00AA6520"/>
    <w:rsid w:val="00AA6570"/>
    <w:rsid w:val="00AA6BB1"/>
    <w:rsid w:val="00AA6E8D"/>
    <w:rsid w:val="00AB00FB"/>
    <w:rsid w:val="00AB06B6"/>
    <w:rsid w:val="00AB0F9B"/>
    <w:rsid w:val="00AB1474"/>
    <w:rsid w:val="00AB1664"/>
    <w:rsid w:val="00AB253A"/>
    <w:rsid w:val="00AB256E"/>
    <w:rsid w:val="00AB2CB1"/>
    <w:rsid w:val="00AB34F3"/>
    <w:rsid w:val="00AB5A23"/>
    <w:rsid w:val="00AB7D66"/>
    <w:rsid w:val="00AC1C72"/>
    <w:rsid w:val="00AC2A14"/>
    <w:rsid w:val="00AC537E"/>
    <w:rsid w:val="00AC5A69"/>
    <w:rsid w:val="00AC5C66"/>
    <w:rsid w:val="00AC75CF"/>
    <w:rsid w:val="00AC79B7"/>
    <w:rsid w:val="00AD1B70"/>
    <w:rsid w:val="00AD265C"/>
    <w:rsid w:val="00AD2C1D"/>
    <w:rsid w:val="00AD4118"/>
    <w:rsid w:val="00AE00E9"/>
    <w:rsid w:val="00AE1712"/>
    <w:rsid w:val="00AE2796"/>
    <w:rsid w:val="00AE2D1E"/>
    <w:rsid w:val="00AE2D8D"/>
    <w:rsid w:val="00AE2E1E"/>
    <w:rsid w:val="00AE314B"/>
    <w:rsid w:val="00AE52D9"/>
    <w:rsid w:val="00AE610D"/>
    <w:rsid w:val="00AE6967"/>
    <w:rsid w:val="00AF119C"/>
    <w:rsid w:val="00AF216A"/>
    <w:rsid w:val="00AF2999"/>
    <w:rsid w:val="00AF50FF"/>
    <w:rsid w:val="00AF5A8E"/>
    <w:rsid w:val="00AF7CFF"/>
    <w:rsid w:val="00B00465"/>
    <w:rsid w:val="00B01978"/>
    <w:rsid w:val="00B01A15"/>
    <w:rsid w:val="00B06E88"/>
    <w:rsid w:val="00B07513"/>
    <w:rsid w:val="00B10BF3"/>
    <w:rsid w:val="00B11B4C"/>
    <w:rsid w:val="00B11F40"/>
    <w:rsid w:val="00B14092"/>
    <w:rsid w:val="00B17D36"/>
    <w:rsid w:val="00B17FAC"/>
    <w:rsid w:val="00B200CF"/>
    <w:rsid w:val="00B2199D"/>
    <w:rsid w:val="00B2233A"/>
    <w:rsid w:val="00B23121"/>
    <w:rsid w:val="00B238C8"/>
    <w:rsid w:val="00B2417D"/>
    <w:rsid w:val="00B24554"/>
    <w:rsid w:val="00B25937"/>
    <w:rsid w:val="00B25D59"/>
    <w:rsid w:val="00B263E6"/>
    <w:rsid w:val="00B27315"/>
    <w:rsid w:val="00B27566"/>
    <w:rsid w:val="00B30801"/>
    <w:rsid w:val="00B30887"/>
    <w:rsid w:val="00B3149E"/>
    <w:rsid w:val="00B33404"/>
    <w:rsid w:val="00B3435C"/>
    <w:rsid w:val="00B3771A"/>
    <w:rsid w:val="00B415D8"/>
    <w:rsid w:val="00B4174E"/>
    <w:rsid w:val="00B41E3B"/>
    <w:rsid w:val="00B42902"/>
    <w:rsid w:val="00B4547E"/>
    <w:rsid w:val="00B46280"/>
    <w:rsid w:val="00B467AC"/>
    <w:rsid w:val="00B4758A"/>
    <w:rsid w:val="00B52BF7"/>
    <w:rsid w:val="00B52E01"/>
    <w:rsid w:val="00B533A0"/>
    <w:rsid w:val="00B57952"/>
    <w:rsid w:val="00B60319"/>
    <w:rsid w:val="00B62862"/>
    <w:rsid w:val="00B63D02"/>
    <w:rsid w:val="00B63D38"/>
    <w:rsid w:val="00B64A19"/>
    <w:rsid w:val="00B662C7"/>
    <w:rsid w:val="00B67B94"/>
    <w:rsid w:val="00B67E4A"/>
    <w:rsid w:val="00B704AA"/>
    <w:rsid w:val="00B7158E"/>
    <w:rsid w:val="00B71C3F"/>
    <w:rsid w:val="00B71CC4"/>
    <w:rsid w:val="00B72C25"/>
    <w:rsid w:val="00B74E1F"/>
    <w:rsid w:val="00B76226"/>
    <w:rsid w:val="00B7732E"/>
    <w:rsid w:val="00B7733D"/>
    <w:rsid w:val="00B77616"/>
    <w:rsid w:val="00B8028F"/>
    <w:rsid w:val="00B80AE7"/>
    <w:rsid w:val="00B8145D"/>
    <w:rsid w:val="00B81A8A"/>
    <w:rsid w:val="00B8307A"/>
    <w:rsid w:val="00B863DC"/>
    <w:rsid w:val="00B92AFB"/>
    <w:rsid w:val="00B93E9B"/>
    <w:rsid w:val="00B94F6E"/>
    <w:rsid w:val="00B96786"/>
    <w:rsid w:val="00B96917"/>
    <w:rsid w:val="00B96D04"/>
    <w:rsid w:val="00B977C3"/>
    <w:rsid w:val="00BA0510"/>
    <w:rsid w:val="00BA09E1"/>
    <w:rsid w:val="00BA0A59"/>
    <w:rsid w:val="00BA0B20"/>
    <w:rsid w:val="00BA0C1B"/>
    <w:rsid w:val="00BA27FC"/>
    <w:rsid w:val="00BA2E19"/>
    <w:rsid w:val="00BA3BEF"/>
    <w:rsid w:val="00BB3E0A"/>
    <w:rsid w:val="00BB78CE"/>
    <w:rsid w:val="00BB7A2E"/>
    <w:rsid w:val="00BC167C"/>
    <w:rsid w:val="00BC2D44"/>
    <w:rsid w:val="00BC5ADF"/>
    <w:rsid w:val="00BC6CFB"/>
    <w:rsid w:val="00BD0C50"/>
    <w:rsid w:val="00BD1AFD"/>
    <w:rsid w:val="00BD2A55"/>
    <w:rsid w:val="00BD2B99"/>
    <w:rsid w:val="00BD42B9"/>
    <w:rsid w:val="00BD5295"/>
    <w:rsid w:val="00BD6066"/>
    <w:rsid w:val="00BE0281"/>
    <w:rsid w:val="00BE17F6"/>
    <w:rsid w:val="00BE268C"/>
    <w:rsid w:val="00BE56D1"/>
    <w:rsid w:val="00BE5B32"/>
    <w:rsid w:val="00BE7029"/>
    <w:rsid w:val="00BE7C78"/>
    <w:rsid w:val="00BF0866"/>
    <w:rsid w:val="00BF3A2D"/>
    <w:rsid w:val="00BF565A"/>
    <w:rsid w:val="00BF595F"/>
    <w:rsid w:val="00BF5F82"/>
    <w:rsid w:val="00BF65CA"/>
    <w:rsid w:val="00BF6B25"/>
    <w:rsid w:val="00C023F5"/>
    <w:rsid w:val="00C02872"/>
    <w:rsid w:val="00C06FD8"/>
    <w:rsid w:val="00C07195"/>
    <w:rsid w:val="00C07CF5"/>
    <w:rsid w:val="00C105E1"/>
    <w:rsid w:val="00C10B94"/>
    <w:rsid w:val="00C12652"/>
    <w:rsid w:val="00C13370"/>
    <w:rsid w:val="00C1435A"/>
    <w:rsid w:val="00C14E8A"/>
    <w:rsid w:val="00C1585F"/>
    <w:rsid w:val="00C15D53"/>
    <w:rsid w:val="00C17A4A"/>
    <w:rsid w:val="00C20CA2"/>
    <w:rsid w:val="00C22468"/>
    <w:rsid w:val="00C24DB9"/>
    <w:rsid w:val="00C25237"/>
    <w:rsid w:val="00C318F5"/>
    <w:rsid w:val="00C3305E"/>
    <w:rsid w:val="00C33CD9"/>
    <w:rsid w:val="00C345E6"/>
    <w:rsid w:val="00C35EBD"/>
    <w:rsid w:val="00C37D6F"/>
    <w:rsid w:val="00C42040"/>
    <w:rsid w:val="00C4393A"/>
    <w:rsid w:val="00C449DF"/>
    <w:rsid w:val="00C44F0A"/>
    <w:rsid w:val="00C46956"/>
    <w:rsid w:val="00C509DB"/>
    <w:rsid w:val="00C50E2F"/>
    <w:rsid w:val="00C54202"/>
    <w:rsid w:val="00C552A6"/>
    <w:rsid w:val="00C556A9"/>
    <w:rsid w:val="00C567A0"/>
    <w:rsid w:val="00C570A8"/>
    <w:rsid w:val="00C57974"/>
    <w:rsid w:val="00C57FE6"/>
    <w:rsid w:val="00C60075"/>
    <w:rsid w:val="00C60CF9"/>
    <w:rsid w:val="00C6186B"/>
    <w:rsid w:val="00C64800"/>
    <w:rsid w:val="00C6484E"/>
    <w:rsid w:val="00C64A59"/>
    <w:rsid w:val="00C71423"/>
    <w:rsid w:val="00C727B6"/>
    <w:rsid w:val="00C74E87"/>
    <w:rsid w:val="00C75CF7"/>
    <w:rsid w:val="00C75DE9"/>
    <w:rsid w:val="00C774C9"/>
    <w:rsid w:val="00C778D2"/>
    <w:rsid w:val="00C80FF1"/>
    <w:rsid w:val="00C82106"/>
    <w:rsid w:val="00C82FE3"/>
    <w:rsid w:val="00C83533"/>
    <w:rsid w:val="00C83F93"/>
    <w:rsid w:val="00C85739"/>
    <w:rsid w:val="00C858FC"/>
    <w:rsid w:val="00C85FD1"/>
    <w:rsid w:val="00C8704F"/>
    <w:rsid w:val="00C90381"/>
    <w:rsid w:val="00C91C9C"/>
    <w:rsid w:val="00C95191"/>
    <w:rsid w:val="00C9606E"/>
    <w:rsid w:val="00C96F54"/>
    <w:rsid w:val="00C97352"/>
    <w:rsid w:val="00CA1EF1"/>
    <w:rsid w:val="00CA34D8"/>
    <w:rsid w:val="00CA395F"/>
    <w:rsid w:val="00CA4B41"/>
    <w:rsid w:val="00CA5EF1"/>
    <w:rsid w:val="00CA6DF0"/>
    <w:rsid w:val="00CA73E7"/>
    <w:rsid w:val="00CB00FB"/>
    <w:rsid w:val="00CB0A17"/>
    <w:rsid w:val="00CB0C1E"/>
    <w:rsid w:val="00CB0D5D"/>
    <w:rsid w:val="00CB0E99"/>
    <w:rsid w:val="00CB1168"/>
    <w:rsid w:val="00CB184E"/>
    <w:rsid w:val="00CB1D68"/>
    <w:rsid w:val="00CB512F"/>
    <w:rsid w:val="00CB66CB"/>
    <w:rsid w:val="00CC0030"/>
    <w:rsid w:val="00CC0831"/>
    <w:rsid w:val="00CC0D46"/>
    <w:rsid w:val="00CC0EB4"/>
    <w:rsid w:val="00CC1E51"/>
    <w:rsid w:val="00CC2F93"/>
    <w:rsid w:val="00CC57A7"/>
    <w:rsid w:val="00CC5FDD"/>
    <w:rsid w:val="00CC6334"/>
    <w:rsid w:val="00CC652D"/>
    <w:rsid w:val="00CC744B"/>
    <w:rsid w:val="00CC772D"/>
    <w:rsid w:val="00CD07E6"/>
    <w:rsid w:val="00CD0B6F"/>
    <w:rsid w:val="00CD112C"/>
    <w:rsid w:val="00CD3146"/>
    <w:rsid w:val="00CD49F1"/>
    <w:rsid w:val="00CD6B4A"/>
    <w:rsid w:val="00CD7007"/>
    <w:rsid w:val="00CD7846"/>
    <w:rsid w:val="00CE0454"/>
    <w:rsid w:val="00CE51E1"/>
    <w:rsid w:val="00CE62AF"/>
    <w:rsid w:val="00CE7C7A"/>
    <w:rsid w:val="00CE7DB8"/>
    <w:rsid w:val="00CF07A0"/>
    <w:rsid w:val="00CF1E6B"/>
    <w:rsid w:val="00CF3495"/>
    <w:rsid w:val="00CF5F58"/>
    <w:rsid w:val="00CF7876"/>
    <w:rsid w:val="00D01127"/>
    <w:rsid w:val="00D0267D"/>
    <w:rsid w:val="00D05CEA"/>
    <w:rsid w:val="00D07580"/>
    <w:rsid w:val="00D077B0"/>
    <w:rsid w:val="00D11AB2"/>
    <w:rsid w:val="00D1407A"/>
    <w:rsid w:val="00D14ECD"/>
    <w:rsid w:val="00D15395"/>
    <w:rsid w:val="00D16EA7"/>
    <w:rsid w:val="00D217D7"/>
    <w:rsid w:val="00D21E1A"/>
    <w:rsid w:val="00D2390D"/>
    <w:rsid w:val="00D269D4"/>
    <w:rsid w:val="00D26BC9"/>
    <w:rsid w:val="00D27FF0"/>
    <w:rsid w:val="00D30EE9"/>
    <w:rsid w:val="00D31E55"/>
    <w:rsid w:val="00D3254E"/>
    <w:rsid w:val="00D337BD"/>
    <w:rsid w:val="00D3390B"/>
    <w:rsid w:val="00D34B33"/>
    <w:rsid w:val="00D35F5B"/>
    <w:rsid w:val="00D402A7"/>
    <w:rsid w:val="00D4048E"/>
    <w:rsid w:val="00D42EC4"/>
    <w:rsid w:val="00D434E0"/>
    <w:rsid w:val="00D45755"/>
    <w:rsid w:val="00D473B5"/>
    <w:rsid w:val="00D50FA8"/>
    <w:rsid w:val="00D514A2"/>
    <w:rsid w:val="00D521A5"/>
    <w:rsid w:val="00D53C5E"/>
    <w:rsid w:val="00D551E3"/>
    <w:rsid w:val="00D55A2D"/>
    <w:rsid w:val="00D60E5A"/>
    <w:rsid w:val="00D60E71"/>
    <w:rsid w:val="00D630ED"/>
    <w:rsid w:val="00D63701"/>
    <w:rsid w:val="00D6480B"/>
    <w:rsid w:val="00D662A9"/>
    <w:rsid w:val="00D67EAF"/>
    <w:rsid w:val="00D719DE"/>
    <w:rsid w:val="00D71B49"/>
    <w:rsid w:val="00D7218C"/>
    <w:rsid w:val="00D7375C"/>
    <w:rsid w:val="00D73933"/>
    <w:rsid w:val="00D74D22"/>
    <w:rsid w:val="00D759C7"/>
    <w:rsid w:val="00D77E74"/>
    <w:rsid w:val="00D80A82"/>
    <w:rsid w:val="00D80CE7"/>
    <w:rsid w:val="00D816DC"/>
    <w:rsid w:val="00D8252E"/>
    <w:rsid w:val="00D82FFD"/>
    <w:rsid w:val="00D857F6"/>
    <w:rsid w:val="00D869F4"/>
    <w:rsid w:val="00D86C23"/>
    <w:rsid w:val="00D9116E"/>
    <w:rsid w:val="00D91CEE"/>
    <w:rsid w:val="00D92DA3"/>
    <w:rsid w:val="00D92E9B"/>
    <w:rsid w:val="00D93201"/>
    <w:rsid w:val="00D93B6D"/>
    <w:rsid w:val="00D940F6"/>
    <w:rsid w:val="00D94462"/>
    <w:rsid w:val="00D95D2E"/>
    <w:rsid w:val="00D9621C"/>
    <w:rsid w:val="00D971CF"/>
    <w:rsid w:val="00DA1687"/>
    <w:rsid w:val="00DA1BAC"/>
    <w:rsid w:val="00DA2F4B"/>
    <w:rsid w:val="00DA4D9E"/>
    <w:rsid w:val="00DA7735"/>
    <w:rsid w:val="00DA7FFD"/>
    <w:rsid w:val="00DB017F"/>
    <w:rsid w:val="00DB1A48"/>
    <w:rsid w:val="00DB2DFB"/>
    <w:rsid w:val="00DB32C8"/>
    <w:rsid w:val="00DB47F4"/>
    <w:rsid w:val="00DB4F94"/>
    <w:rsid w:val="00DB58FF"/>
    <w:rsid w:val="00DB5FF8"/>
    <w:rsid w:val="00DB7342"/>
    <w:rsid w:val="00DB73E8"/>
    <w:rsid w:val="00DC0195"/>
    <w:rsid w:val="00DC06F7"/>
    <w:rsid w:val="00DC084F"/>
    <w:rsid w:val="00DC3C2B"/>
    <w:rsid w:val="00DC3C7D"/>
    <w:rsid w:val="00DC3D41"/>
    <w:rsid w:val="00DC722A"/>
    <w:rsid w:val="00DD018F"/>
    <w:rsid w:val="00DD037F"/>
    <w:rsid w:val="00DD0B5F"/>
    <w:rsid w:val="00DD2965"/>
    <w:rsid w:val="00DD36C2"/>
    <w:rsid w:val="00DD3831"/>
    <w:rsid w:val="00DD3B42"/>
    <w:rsid w:val="00DD50A5"/>
    <w:rsid w:val="00DD5C8A"/>
    <w:rsid w:val="00DE2969"/>
    <w:rsid w:val="00DE2B54"/>
    <w:rsid w:val="00DE565C"/>
    <w:rsid w:val="00DE58F1"/>
    <w:rsid w:val="00DE7128"/>
    <w:rsid w:val="00DE7BE1"/>
    <w:rsid w:val="00DF2005"/>
    <w:rsid w:val="00DF43C2"/>
    <w:rsid w:val="00DF5EEE"/>
    <w:rsid w:val="00DF6B50"/>
    <w:rsid w:val="00DF7371"/>
    <w:rsid w:val="00E00147"/>
    <w:rsid w:val="00E00499"/>
    <w:rsid w:val="00E03D8F"/>
    <w:rsid w:val="00E03E50"/>
    <w:rsid w:val="00E04AE5"/>
    <w:rsid w:val="00E04B7C"/>
    <w:rsid w:val="00E04BD9"/>
    <w:rsid w:val="00E06722"/>
    <w:rsid w:val="00E07DAF"/>
    <w:rsid w:val="00E101BF"/>
    <w:rsid w:val="00E10769"/>
    <w:rsid w:val="00E110A5"/>
    <w:rsid w:val="00E12D54"/>
    <w:rsid w:val="00E139E6"/>
    <w:rsid w:val="00E141FF"/>
    <w:rsid w:val="00E154EB"/>
    <w:rsid w:val="00E15F35"/>
    <w:rsid w:val="00E16175"/>
    <w:rsid w:val="00E170CE"/>
    <w:rsid w:val="00E172CD"/>
    <w:rsid w:val="00E236BD"/>
    <w:rsid w:val="00E24127"/>
    <w:rsid w:val="00E2543A"/>
    <w:rsid w:val="00E2670C"/>
    <w:rsid w:val="00E27669"/>
    <w:rsid w:val="00E27FB5"/>
    <w:rsid w:val="00E3321F"/>
    <w:rsid w:val="00E3544C"/>
    <w:rsid w:val="00E358DA"/>
    <w:rsid w:val="00E36A35"/>
    <w:rsid w:val="00E37AF9"/>
    <w:rsid w:val="00E4055C"/>
    <w:rsid w:val="00E414C0"/>
    <w:rsid w:val="00E44542"/>
    <w:rsid w:val="00E46A19"/>
    <w:rsid w:val="00E47073"/>
    <w:rsid w:val="00E4758B"/>
    <w:rsid w:val="00E5083F"/>
    <w:rsid w:val="00E52A27"/>
    <w:rsid w:val="00E55755"/>
    <w:rsid w:val="00E55F4A"/>
    <w:rsid w:val="00E5642A"/>
    <w:rsid w:val="00E5643E"/>
    <w:rsid w:val="00E607B3"/>
    <w:rsid w:val="00E60C79"/>
    <w:rsid w:val="00E62538"/>
    <w:rsid w:val="00E6334A"/>
    <w:rsid w:val="00E64C6A"/>
    <w:rsid w:val="00E66AE0"/>
    <w:rsid w:val="00E67F7C"/>
    <w:rsid w:val="00E7040C"/>
    <w:rsid w:val="00E713B5"/>
    <w:rsid w:val="00E71951"/>
    <w:rsid w:val="00E72CD9"/>
    <w:rsid w:val="00E72D86"/>
    <w:rsid w:val="00E74957"/>
    <w:rsid w:val="00E75820"/>
    <w:rsid w:val="00E76159"/>
    <w:rsid w:val="00E815D4"/>
    <w:rsid w:val="00E82400"/>
    <w:rsid w:val="00E82C4D"/>
    <w:rsid w:val="00E8320A"/>
    <w:rsid w:val="00E83AE3"/>
    <w:rsid w:val="00E83D98"/>
    <w:rsid w:val="00E8451F"/>
    <w:rsid w:val="00E8614A"/>
    <w:rsid w:val="00E8680E"/>
    <w:rsid w:val="00E86959"/>
    <w:rsid w:val="00E90350"/>
    <w:rsid w:val="00E91EF3"/>
    <w:rsid w:val="00E92045"/>
    <w:rsid w:val="00E9275A"/>
    <w:rsid w:val="00E9430F"/>
    <w:rsid w:val="00E944FE"/>
    <w:rsid w:val="00E951BF"/>
    <w:rsid w:val="00E95B86"/>
    <w:rsid w:val="00E97379"/>
    <w:rsid w:val="00E97B99"/>
    <w:rsid w:val="00EA13D0"/>
    <w:rsid w:val="00EA22E5"/>
    <w:rsid w:val="00EA3930"/>
    <w:rsid w:val="00EA4041"/>
    <w:rsid w:val="00EA45E1"/>
    <w:rsid w:val="00EA60B9"/>
    <w:rsid w:val="00EA6599"/>
    <w:rsid w:val="00EB1000"/>
    <w:rsid w:val="00EB3ABC"/>
    <w:rsid w:val="00EB42D3"/>
    <w:rsid w:val="00EB52B7"/>
    <w:rsid w:val="00EB790F"/>
    <w:rsid w:val="00EC033C"/>
    <w:rsid w:val="00EC0DA2"/>
    <w:rsid w:val="00EC235C"/>
    <w:rsid w:val="00EC2AC6"/>
    <w:rsid w:val="00EC392E"/>
    <w:rsid w:val="00EC466D"/>
    <w:rsid w:val="00EC6881"/>
    <w:rsid w:val="00EC745C"/>
    <w:rsid w:val="00EC7C9A"/>
    <w:rsid w:val="00ED25ED"/>
    <w:rsid w:val="00ED39E0"/>
    <w:rsid w:val="00ED4715"/>
    <w:rsid w:val="00ED4AFA"/>
    <w:rsid w:val="00ED6403"/>
    <w:rsid w:val="00ED6F10"/>
    <w:rsid w:val="00ED7CA4"/>
    <w:rsid w:val="00EE06BF"/>
    <w:rsid w:val="00EE1F9F"/>
    <w:rsid w:val="00EE26D2"/>
    <w:rsid w:val="00EE464B"/>
    <w:rsid w:val="00EE58EE"/>
    <w:rsid w:val="00EE5FAF"/>
    <w:rsid w:val="00EE6F09"/>
    <w:rsid w:val="00EE74F0"/>
    <w:rsid w:val="00EF1BE2"/>
    <w:rsid w:val="00EF1D7D"/>
    <w:rsid w:val="00EF2CC9"/>
    <w:rsid w:val="00EF41BD"/>
    <w:rsid w:val="00EF532C"/>
    <w:rsid w:val="00EF5AA9"/>
    <w:rsid w:val="00EF6D21"/>
    <w:rsid w:val="00F019B6"/>
    <w:rsid w:val="00F027B3"/>
    <w:rsid w:val="00F02F45"/>
    <w:rsid w:val="00F066A5"/>
    <w:rsid w:val="00F10AF2"/>
    <w:rsid w:val="00F113C9"/>
    <w:rsid w:val="00F11BC8"/>
    <w:rsid w:val="00F11FD1"/>
    <w:rsid w:val="00F14C26"/>
    <w:rsid w:val="00F15CEA"/>
    <w:rsid w:val="00F16EF1"/>
    <w:rsid w:val="00F1759C"/>
    <w:rsid w:val="00F176DF"/>
    <w:rsid w:val="00F17AFC"/>
    <w:rsid w:val="00F17C01"/>
    <w:rsid w:val="00F21718"/>
    <w:rsid w:val="00F21ED4"/>
    <w:rsid w:val="00F22937"/>
    <w:rsid w:val="00F22C67"/>
    <w:rsid w:val="00F235FA"/>
    <w:rsid w:val="00F23655"/>
    <w:rsid w:val="00F248E7"/>
    <w:rsid w:val="00F2593A"/>
    <w:rsid w:val="00F262D2"/>
    <w:rsid w:val="00F37B26"/>
    <w:rsid w:val="00F40160"/>
    <w:rsid w:val="00F40475"/>
    <w:rsid w:val="00F40865"/>
    <w:rsid w:val="00F4169B"/>
    <w:rsid w:val="00F42426"/>
    <w:rsid w:val="00F436D5"/>
    <w:rsid w:val="00F452CC"/>
    <w:rsid w:val="00F459A7"/>
    <w:rsid w:val="00F46A83"/>
    <w:rsid w:val="00F4748A"/>
    <w:rsid w:val="00F51E2B"/>
    <w:rsid w:val="00F5327D"/>
    <w:rsid w:val="00F54D9A"/>
    <w:rsid w:val="00F622EF"/>
    <w:rsid w:val="00F64B6F"/>
    <w:rsid w:val="00F654D1"/>
    <w:rsid w:val="00F676F4"/>
    <w:rsid w:val="00F71756"/>
    <w:rsid w:val="00F71F78"/>
    <w:rsid w:val="00F722DA"/>
    <w:rsid w:val="00F72951"/>
    <w:rsid w:val="00F73030"/>
    <w:rsid w:val="00F74AAD"/>
    <w:rsid w:val="00F755E8"/>
    <w:rsid w:val="00F75668"/>
    <w:rsid w:val="00F75CBB"/>
    <w:rsid w:val="00F7639F"/>
    <w:rsid w:val="00F816A3"/>
    <w:rsid w:val="00F8269C"/>
    <w:rsid w:val="00F82A77"/>
    <w:rsid w:val="00F82D4A"/>
    <w:rsid w:val="00F84B0D"/>
    <w:rsid w:val="00F858A9"/>
    <w:rsid w:val="00F97F2B"/>
    <w:rsid w:val="00FA1A70"/>
    <w:rsid w:val="00FA2F7B"/>
    <w:rsid w:val="00FA4359"/>
    <w:rsid w:val="00FA7337"/>
    <w:rsid w:val="00FA79F0"/>
    <w:rsid w:val="00FA7C45"/>
    <w:rsid w:val="00FB0A81"/>
    <w:rsid w:val="00FB0C4D"/>
    <w:rsid w:val="00FB0F8C"/>
    <w:rsid w:val="00FB12AD"/>
    <w:rsid w:val="00FB15A5"/>
    <w:rsid w:val="00FB2D18"/>
    <w:rsid w:val="00FB35AF"/>
    <w:rsid w:val="00FB4FFF"/>
    <w:rsid w:val="00FB7210"/>
    <w:rsid w:val="00FC1A58"/>
    <w:rsid w:val="00FC1A7E"/>
    <w:rsid w:val="00FC1FB4"/>
    <w:rsid w:val="00FC2A2A"/>
    <w:rsid w:val="00FC3141"/>
    <w:rsid w:val="00FC45A5"/>
    <w:rsid w:val="00FC4751"/>
    <w:rsid w:val="00FC610A"/>
    <w:rsid w:val="00FC6383"/>
    <w:rsid w:val="00FC684A"/>
    <w:rsid w:val="00FC75A2"/>
    <w:rsid w:val="00FC7B1C"/>
    <w:rsid w:val="00FC7EC0"/>
    <w:rsid w:val="00FD002A"/>
    <w:rsid w:val="00FD1A08"/>
    <w:rsid w:val="00FD3F7B"/>
    <w:rsid w:val="00FD44F9"/>
    <w:rsid w:val="00FD6E18"/>
    <w:rsid w:val="00FD7020"/>
    <w:rsid w:val="00FD76FB"/>
    <w:rsid w:val="00FE0CC2"/>
    <w:rsid w:val="00FE3A4A"/>
    <w:rsid w:val="00FE5F6A"/>
    <w:rsid w:val="00FE66F8"/>
    <w:rsid w:val="00FE6B24"/>
    <w:rsid w:val="00FE6ECA"/>
    <w:rsid w:val="00FE72B9"/>
    <w:rsid w:val="00FF05B2"/>
    <w:rsid w:val="00FF0DD4"/>
    <w:rsid w:val="00FF1C01"/>
    <w:rsid w:val="00FF4F74"/>
    <w:rsid w:val="00FF4FF3"/>
    <w:rsid w:val="00FF5875"/>
    <w:rsid w:val="00FF70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CECC731"/>
  <w15:docId w15:val="{FAD39B04-01B0-48C4-B9EF-4E69EAA2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ED7"/>
    <w:pPr>
      <w:spacing w:after="240"/>
    </w:pPr>
    <w:rPr>
      <w:rFonts w:ascii="Gill Sans MT" w:hAnsi="Gill Sans MT"/>
      <w:sz w:val="26"/>
      <w:szCs w:val="24"/>
      <w:lang w:eastAsia="en-US"/>
    </w:rPr>
  </w:style>
  <w:style w:type="paragraph" w:styleId="Heading1">
    <w:name w:val="heading 1"/>
    <w:basedOn w:val="Normal"/>
    <w:next w:val="Normal"/>
    <w:link w:val="Heading1Char"/>
    <w:qFormat/>
    <w:rsid w:val="001A3ED7"/>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link w:val="Heading2Char"/>
    <w:qFormat/>
    <w:rsid w:val="001A3ED7"/>
    <w:pPr>
      <w:keepNext/>
      <w:spacing w:after="60"/>
      <w:outlineLvl w:val="1"/>
    </w:pPr>
    <w:rPr>
      <w:rFonts w:cs="Arial Bold"/>
      <w:b/>
      <w:bCs/>
      <w:iCs/>
      <w:sz w:val="28"/>
      <w:szCs w:val="28"/>
    </w:rPr>
  </w:style>
  <w:style w:type="paragraph" w:styleId="Heading3">
    <w:name w:val="heading 3"/>
    <w:basedOn w:val="Normal"/>
    <w:next w:val="Normal"/>
    <w:link w:val="Heading3Char"/>
    <w:qFormat/>
    <w:rsid w:val="001A3ED7"/>
    <w:pPr>
      <w:keepNext/>
      <w:spacing w:after="0"/>
      <w:outlineLvl w:val="2"/>
    </w:pPr>
    <w:rPr>
      <w:rFonts w:cs="Arial Bold"/>
      <w:b/>
      <w:bCs/>
    </w:rPr>
  </w:style>
  <w:style w:type="paragraph" w:styleId="Heading4">
    <w:name w:val="heading 4"/>
    <w:basedOn w:val="Normal"/>
    <w:next w:val="Normal"/>
    <w:link w:val="Heading4Char"/>
    <w:qFormat/>
    <w:rsid w:val="001A3ED7"/>
    <w:pPr>
      <w:keepNext/>
      <w:spacing w:after="0"/>
      <w:outlineLvl w:val="3"/>
    </w:pPr>
    <w:rPr>
      <w:b/>
      <w:bCs/>
      <w:color w:val="333333"/>
    </w:rPr>
  </w:style>
  <w:style w:type="paragraph" w:styleId="Heading5">
    <w:name w:val="heading 5"/>
    <w:basedOn w:val="Normal"/>
    <w:next w:val="Normal"/>
    <w:link w:val="Heading5Char"/>
    <w:qFormat/>
    <w:rsid w:val="001A3ED7"/>
    <w:pPr>
      <w:spacing w:after="0"/>
      <w:outlineLvl w:val="4"/>
    </w:pPr>
    <w:rPr>
      <w:b/>
      <w:bCs/>
      <w:i/>
      <w:iCs/>
      <w:szCs w:val="26"/>
    </w:rPr>
  </w:style>
  <w:style w:type="paragraph" w:styleId="Heading6">
    <w:name w:val="heading 6"/>
    <w:basedOn w:val="Normal"/>
    <w:next w:val="Normal"/>
    <w:link w:val="Heading6Char"/>
    <w:qFormat/>
    <w:rsid w:val="001A3ED7"/>
    <w:pPr>
      <w:spacing w:after="0"/>
      <w:outlineLvl w:val="5"/>
    </w:pPr>
    <w:rPr>
      <w:b/>
      <w:bCs/>
      <w:i/>
      <w:sz w:val="22"/>
      <w:szCs w:val="22"/>
    </w:rPr>
  </w:style>
  <w:style w:type="paragraph" w:styleId="Heading7">
    <w:name w:val="heading 7"/>
    <w:basedOn w:val="Normal"/>
    <w:next w:val="Normal"/>
    <w:link w:val="Heading7Char"/>
    <w:qFormat/>
    <w:rsid w:val="001A3ED7"/>
    <w:pPr>
      <w:keepNext/>
      <w:spacing w:after="0"/>
      <w:jc w:val="center"/>
      <w:outlineLvl w:val="6"/>
    </w:pPr>
    <w:rPr>
      <w:rFonts w:cs="Arial"/>
      <w:b/>
      <w:sz w:val="22"/>
      <w:szCs w:val="40"/>
    </w:rPr>
  </w:style>
  <w:style w:type="paragraph" w:styleId="Heading8">
    <w:name w:val="heading 8"/>
    <w:basedOn w:val="Normal"/>
    <w:next w:val="Normal"/>
    <w:link w:val="Heading8Char"/>
    <w:qFormat/>
    <w:rsid w:val="001A3ED7"/>
    <w:pPr>
      <w:keepNext/>
      <w:spacing w:after="0"/>
      <w:outlineLvl w:val="7"/>
    </w:pPr>
    <w:rPr>
      <w:b/>
      <w:i/>
      <w:sz w:val="22"/>
    </w:rPr>
  </w:style>
  <w:style w:type="paragraph" w:styleId="Heading9">
    <w:name w:val="heading 9"/>
    <w:basedOn w:val="Normal"/>
    <w:next w:val="Normal"/>
    <w:link w:val="Heading9Char"/>
    <w:qFormat/>
    <w:rsid w:val="001A3ED7"/>
    <w:pPr>
      <w:keepNext/>
      <w:spacing w:after="0"/>
      <w:outlineLvl w:val="8"/>
    </w:pPr>
    <w:rPr>
      <w:rFonts w:cs="Arial"/>
      <w:i/>
      <w:sz w:val="22"/>
      <w:szCs w:val="32"/>
    </w:rPr>
  </w:style>
  <w:style w:type="character" w:default="1" w:styleId="DefaultParagraphFont">
    <w:name w:val="Default Paragraph Font"/>
    <w:semiHidden/>
    <w:rsid w:val="001A3E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1A3ED7"/>
  </w:style>
  <w:style w:type="character" w:styleId="Hyperlink">
    <w:name w:val="Hyperlink"/>
    <w:rsid w:val="001A3ED7"/>
    <w:rPr>
      <w:color w:val="0000FF"/>
      <w:u w:val="single"/>
    </w:rPr>
  </w:style>
  <w:style w:type="paragraph" w:styleId="FootnoteText">
    <w:name w:val="footnote text"/>
    <w:aliases w:val="Footnote Text Char2 Char1,Footnote Text Char Char1 Char1,Footnote Text Char1 Char Char Char,Footnote Text Char Char Char Char Char,Footnote Text Char1 Char1 Char,Footnote Text Char Char Char1 Char,Footnote Text Char1"/>
    <w:basedOn w:val="Normal"/>
    <w:link w:val="FootnoteTextChar"/>
    <w:rsid w:val="001A3ED7"/>
    <w:pPr>
      <w:spacing w:after="120"/>
    </w:pPr>
    <w:rPr>
      <w:sz w:val="22"/>
      <w:szCs w:val="20"/>
    </w:rPr>
  </w:style>
  <w:style w:type="character" w:customStyle="1" w:styleId="FootnoteTextChar">
    <w:name w:val="Footnote Text Char"/>
    <w:aliases w:val="Footnote Text Char2 Char1 Char,Footnote Text Char Char1 Char1 Char,Footnote Text Char1 Char Char Char Char,Footnote Text Char Char Char Char Char Char,Footnote Text Char1 Char1 Char Char,Footnote Text Char Char Char1 Char Char"/>
    <w:basedOn w:val="DefaultParagraphFont"/>
    <w:link w:val="FootnoteText"/>
    <w:rsid w:val="00EA60B9"/>
    <w:rPr>
      <w:rFonts w:ascii="Gill Sans MT" w:hAnsi="Gill Sans MT"/>
      <w:sz w:val="22"/>
      <w:lang w:eastAsia="en-US"/>
    </w:rPr>
  </w:style>
  <w:style w:type="character" w:styleId="FootnoteReference">
    <w:name w:val="footnote reference"/>
    <w:rsid w:val="001A3ED7"/>
    <w:rPr>
      <w:rFonts w:ascii="Gill Sans" w:hAnsi="Gill Sans"/>
      <w:sz w:val="22"/>
      <w:vertAlign w:val="superscript"/>
    </w:rPr>
  </w:style>
  <w:style w:type="character" w:customStyle="1" w:styleId="Heading1Char">
    <w:name w:val="Heading 1 Char"/>
    <w:basedOn w:val="DefaultParagraphFont"/>
    <w:link w:val="Heading1"/>
    <w:rsid w:val="00691821"/>
    <w:rPr>
      <w:rFonts w:ascii="Gill Sans MT" w:hAnsi="Gill Sans MT" w:cs="Arial"/>
      <w:b/>
      <w:bCs/>
      <w:kern w:val="32"/>
      <w:sz w:val="32"/>
      <w:szCs w:val="32"/>
      <w:lang w:eastAsia="en-US"/>
    </w:rPr>
  </w:style>
  <w:style w:type="paragraph" w:styleId="Title">
    <w:name w:val="Title"/>
    <w:basedOn w:val="Normal"/>
    <w:next w:val="Normal"/>
    <w:link w:val="TitleChar"/>
    <w:qFormat/>
    <w:rsid w:val="001A3ED7"/>
    <w:pPr>
      <w:spacing w:after="360"/>
      <w:jc w:val="center"/>
      <w:outlineLvl w:val="0"/>
    </w:pPr>
    <w:rPr>
      <w:rFonts w:cs="Arial"/>
      <w:b/>
      <w:bCs/>
      <w:kern w:val="28"/>
      <w:sz w:val="36"/>
      <w:szCs w:val="32"/>
    </w:rPr>
  </w:style>
  <w:style w:type="character" w:customStyle="1" w:styleId="TitleChar">
    <w:name w:val="Title Char"/>
    <w:basedOn w:val="DefaultParagraphFont"/>
    <w:link w:val="Title"/>
    <w:rsid w:val="00691821"/>
    <w:rPr>
      <w:rFonts w:ascii="Gill Sans MT" w:hAnsi="Gill Sans MT" w:cs="Arial"/>
      <w:b/>
      <w:bCs/>
      <w:kern w:val="28"/>
      <w:sz w:val="36"/>
      <w:szCs w:val="32"/>
      <w:lang w:eastAsia="en-US"/>
    </w:rPr>
  </w:style>
  <w:style w:type="paragraph" w:styleId="ListParagraph">
    <w:name w:val="List Paragraph"/>
    <w:basedOn w:val="Normal"/>
    <w:uiPriority w:val="34"/>
    <w:qFormat/>
    <w:rsid w:val="00B67E4A"/>
    <w:pPr>
      <w:ind w:left="720"/>
      <w:contextualSpacing/>
    </w:pPr>
  </w:style>
  <w:style w:type="character" w:customStyle="1" w:styleId="Heading4Char">
    <w:name w:val="Heading 4 Char"/>
    <w:basedOn w:val="DefaultParagraphFont"/>
    <w:link w:val="Heading4"/>
    <w:rsid w:val="00944799"/>
    <w:rPr>
      <w:rFonts w:ascii="Gill Sans MT" w:hAnsi="Gill Sans MT"/>
      <w:b/>
      <w:bCs/>
      <w:color w:val="333333"/>
      <w:sz w:val="26"/>
      <w:szCs w:val="24"/>
      <w:lang w:eastAsia="en-US"/>
    </w:rPr>
  </w:style>
  <w:style w:type="character" w:customStyle="1" w:styleId="Heading2Char">
    <w:name w:val="Heading 2 Char"/>
    <w:basedOn w:val="DefaultParagraphFont"/>
    <w:link w:val="Heading2"/>
    <w:rsid w:val="00E27669"/>
    <w:rPr>
      <w:rFonts w:ascii="Gill Sans MT" w:hAnsi="Gill Sans MT" w:cs="Arial Bold"/>
      <w:b/>
      <w:bCs/>
      <w:iCs/>
      <w:sz w:val="28"/>
      <w:szCs w:val="28"/>
      <w:lang w:eastAsia="en-US"/>
    </w:rPr>
  </w:style>
  <w:style w:type="paragraph" w:styleId="Header">
    <w:name w:val="header"/>
    <w:basedOn w:val="Normal"/>
    <w:link w:val="HeaderChar"/>
    <w:rsid w:val="001A3ED7"/>
    <w:pPr>
      <w:tabs>
        <w:tab w:val="center" w:pos="4320"/>
        <w:tab w:val="right" w:pos="8640"/>
      </w:tabs>
      <w:spacing w:after="120"/>
    </w:pPr>
    <w:rPr>
      <w:color w:val="333333"/>
      <w:sz w:val="22"/>
      <w:szCs w:val="20"/>
    </w:rPr>
  </w:style>
  <w:style w:type="character" w:customStyle="1" w:styleId="HeaderChar">
    <w:name w:val="Header Char"/>
    <w:basedOn w:val="DefaultParagraphFont"/>
    <w:link w:val="Header"/>
    <w:rsid w:val="00CB0A17"/>
    <w:rPr>
      <w:rFonts w:ascii="Gill Sans MT" w:hAnsi="Gill Sans MT"/>
      <w:color w:val="333333"/>
      <w:sz w:val="22"/>
      <w:lang w:eastAsia="en-US"/>
    </w:rPr>
  </w:style>
  <w:style w:type="paragraph" w:styleId="Footer">
    <w:name w:val="footer"/>
    <w:basedOn w:val="Normal"/>
    <w:link w:val="FooterChar"/>
    <w:rsid w:val="001A3ED7"/>
    <w:pPr>
      <w:tabs>
        <w:tab w:val="center" w:pos="4153"/>
        <w:tab w:val="right" w:pos="8306"/>
      </w:tabs>
      <w:spacing w:before="60" w:after="60"/>
    </w:pPr>
    <w:rPr>
      <w:color w:val="323232"/>
      <w:sz w:val="20"/>
      <w:szCs w:val="20"/>
    </w:rPr>
  </w:style>
  <w:style w:type="character" w:customStyle="1" w:styleId="FooterChar">
    <w:name w:val="Footer Char"/>
    <w:basedOn w:val="DefaultParagraphFont"/>
    <w:link w:val="Footer"/>
    <w:rsid w:val="00CB0A17"/>
    <w:rPr>
      <w:rFonts w:ascii="Gill Sans MT" w:hAnsi="Gill Sans MT"/>
      <w:color w:val="323232"/>
      <w:lang w:eastAsia="en-US"/>
    </w:rPr>
  </w:style>
  <w:style w:type="character" w:styleId="CommentReference">
    <w:name w:val="annotation reference"/>
    <w:basedOn w:val="DefaultParagraphFont"/>
    <w:uiPriority w:val="99"/>
    <w:semiHidden/>
    <w:unhideWhenUsed/>
    <w:rsid w:val="00D35F5B"/>
    <w:rPr>
      <w:sz w:val="16"/>
      <w:szCs w:val="16"/>
    </w:rPr>
  </w:style>
  <w:style w:type="paragraph" w:styleId="CommentText">
    <w:name w:val="annotation text"/>
    <w:basedOn w:val="Normal"/>
    <w:link w:val="CommentTextChar"/>
    <w:rsid w:val="001A3ED7"/>
    <w:rPr>
      <w:rFonts w:ascii="Arial" w:hAnsi="Arial"/>
      <w:sz w:val="20"/>
      <w:lang w:val="x-none"/>
    </w:rPr>
  </w:style>
  <w:style w:type="character" w:customStyle="1" w:styleId="CommentTextChar">
    <w:name w:val="Comment Text Char"/>
    <w:link w:val="CommentText"/>
    <w:rsid w:val="001A3ED7"/>
    <w:rPr>
      <w:rFonts w:ascii="Arial" w:hAnsi="Arial"/>
      <w:szCs w:val="24"/>
      <w:lang w:val="x-none" w:eastAsia="en-US"/>
    </w:rPr>
  </w:style>
  <w:style w:type="paragraph" w:styleId="CommentSubject">
    <w:name w:val="annotation subject"/>
    <w:basedOn w:val="CommentText"/>
    <w:next w:val="CommentText"/>
    <w:link w:val="CommentSubjectChar"/>
    <w:semiHidden/>
    <w:unhideWhenUsed/>
    <w:rsid w:val="00D35F5B"/>
    <w:rPr>
      <w:b/>
      <w:bCs/>
    </w:rPr>
  </w:style>
  <w:style w:type="character" w:customStyle="1" w:styleId="CommentSubjectChar">
    <w:name w:val="Comment Subject Char"/>
    <w:basedOn w:val="CommentTextChar"/>
    <w:link w:val="CommentSubject"/>
    <w:semiHidden/>
    <w:rsid w:val="00D35F5B"/>
    <w:rPr>
      <w:rFonts w:ascii="Arial" w:hAnsi="Arial" w:cs="Arial"/>
      <w:b/>
      <w:bCs/>
      <w:szCs w:val="24"/>
      <w:lang w:val="x-none" w:eastAsia="en-US"/>
    </w:rPr>
  </w:style>
  <w:style w:type="paragraph" w:styleId="BalloonText">
    <w:name w:val="Balloon Text"/>
    <w:basedOn w:val="Normal"/>
    <w:link w:val="BalloonTextChar"/>
    <w:semiHidden/>
    <w:unhideWhenUsed/>
    <w:rsid w:val="00D35F5B"/>
    <w:rPr>
      <w:rFonts w:ascii="Segoe UI" w:hAnsi="Segoe UI" w:cs="Segoe UI"/>
      <w:sz w:val="18"/>
      <w:szCs w:val="18"/>
    </w:rPr>
  </w:style>
  <w:style w:type="character" w:customStyle="1" w:styleId="BalloonTextChar">
    <w:name w:val="Balloon Text Char"/>
    <w:basedOn w:val="DefaultParagraphFont"/>
    <w:link w:val="BalloonText"/>
    <w:semiHidden/>
    <w:rsid w:val="00D35F5B"/>
    <w:rPr>
      <w:rFonts w:ascii="Segoe UI" w:hAnsi="Segoe UI" w:cs="Segoe UI"/>
      <w:sz w:val="18"/>
      <w:szCs w:val="18"/>
    </w:rPr>
  </w:style>
  <w:style w:type="paragraph" w:customStyle="1" w:styleId="footnotedescription">
    <w:name w:val="footnote description"/>
    <w:next w:val="Normal"/>
    <w:link w:val="footnotedescriptionChar"/>
    <w:hidden/>
    <w:rsid w:val="0057014D"/>
    <w:pPr>
      <w:spacing w:line="259" w:lineRule="auto"/>
    </w:pPr>
    <w:rPr>
      <w:rFonts w:ascii="Gill Sans MT" w:eastAsia="Gill Sans MT" w:hAnsi="Gill Sans MT" w:cs="Gill Sans MT"/>
      <w:color w:val="000000"/>
      <w:szCs w:val="22"/>
    </w:rPr>
  </w:style>
  <w:style w:type="character" w:customStyle="1" w:styleId="footnotedescriptionChar">
    <w:name w:val="footnote description Char"/>
    <w:link w:val="footnotedescription"/>
    <w:rsid w:val="0057014D"/>
    <w:rPr>
      <w:rFonts w:ascii="Gill Sans MT" w:eastAsia="Gill Sans MT" w:hAnsi="Gill Sans MT" w:cs="Gill Sans MT"/>
      <w:color w:val="000000"/>
      <w:szCs w:val="22"/>
    </w:rPr>
  </w:style>
  <w:style w:type="character" w:customStyle="1" w:styleId="footnotemark">
    <w:name w:val="footnote mark"/>
    <w:hidden/>
    <w:rsid w:val="0057014D"/>
    <w:rPr>
      <w:rFonts w:ascii="Gill Sans MT" w:eastAsia="Gill Sans MT" w:hAnsi="Gill Sans MT" w:cs="Gill Sans MT"/>
      <w:color w:val="000000"/>
      <w:sz w:val="18"/>
      <w:vertAlign w:val="superscript"/>
    </w:rPr>
  </w:style>
  <w:style w:type="character" w:customStyle="1" w:styleId="Heading3Char">
    <w:name w:val="Heading 3 Char"/>
    <w:basedOn w:val="DefaultParagraphFont"/>
    <w:link w:val="Heading3"/>
    <w:rsid w:val="003F693F"/>
    <w:rPr>
      <w:rFonts w:ascii="Gill Sans MT" w:hAnsi="Gill Sans MT" w:cs="Arial Bold"/>
      <w:b/>
      <w:bCs/>
      <w:sz w:val="26"/>
      <w:szCs w:val="24"/>
      <w:lang w:eastAsia="en-US"/>
    </w:rPr>
  </w:style>
  <w:style w:type="paragraph" w:customStyle="1" w:styleId="Default">
    <w:name w:val="Default"/>
    <w:rsid w:val="005015AD"/>
    <w:pPr>
      <w:autoSpaceDE w:val="0"/>
      <w:autoSpaceDN w:val="0"/>
      <w:adjustRightInd w:val="0"/>
    </w:pPr>
    <w:rPr>
      <w:rFonts w:ascii="Arial" w:hAnsi="Arial" w:cs="Arial"/>
      <w:color w:val="000000"/>
      <w:sz w:val="24"/>
      <w:szCs w:val="24"/>
    </w:rPr>
  </w:style>
  <w:style w:type="character" w:customStyle="1" w:styleId="field">
    <w:name w:val="field"/>
    <w:basedOn w:val="DefaultParagraphFont"/>
    <w:rsid w:val="0096468A"/>
  </w:style>
  <w:style w:type="paragraph" w:styleId="NormalWeb">
    <w:name w:val="Normal (Web)"/>
    <w:basedOn w:val="Normal"/>
    <w:uiPriority w:val="99"/>
    <w:unhideWhenUsed/>
    <w:rsid w:val="002E4355"/>
    <w:pPr>
      <w:spacing w:after="150"/>
    </w:pPr>
    <w:rPr>
      <w:rFonts w:ascii="Times New Roman" w:hAnsi="Times New Roman"/>
    </w:rPr>
  </w:style>
  <w:style w:type="character" w:styleId="Emphasis">
    <w:name w:val="Emphasis"/>
    <w:qFormat/>
    <w:rsid w:val="001A3ED7"/>
    <w:rPr>
      <w:rFonts w:ascii="Gill Sans MT" w:hAnsi="Gill Sans MT"/>
      <w:i/>
    </w:rPr>
  </w:style>
  <w:style w:type="character" w:styleId="FollowedHyperlink">
    <w:name w:val="FollowedHyperlink"/>
    <w:rsid w:val="001A3ED7"/>
    <w:rPr>
      <w:color w:val="800080"/>
      <w:u w:val="single"/>
    </w:rPr>
  </w:style>
  <w:style w:type="paragraph" w:styleId="ListBullet">
    <w:name w:val="List Bullet"/>
    <w:aliases w:val="List Bullet Char,List Bullet Char Char Char Char Char"/>
    <w:basedOn w:val="Normal"/>
    <w:rsid w:val="001A3ED7"/>
    <w:pPr>
      <w:numPr>
        <w:numId w:val="15"/>
      </w:numPr>
      <w:spacing w:before="120" w:after="120"/>
    </w:pPr>
  </w:style>
  <w:style w:type="paragraph" w:styleId="Subtitle">
    <w:name w:val="Subtitle"/>
    <w:basedOn w:val="Normal"/>
    <w:next w:val="Normal"/>
    <w:link w:val="SubtitleChar"/>
    <w:qFormat/>
    <w:rsid w:val="001A3ED7"/>
    <w:pPr>
      <w:jc w:val="center"/>
      <w:outlineLvl w:val="1"/>
    </w:pPr>
    <w:rPr>
      <w:sz w:val="28"/>
    </w:rPr>
  </w:style>
  <w:style w:type="character" w:customStyle="1" w:styleId="SubtitleChar">
    <w:name w:val="Subtitle Char"/>
    <w:basedOn w:val="DefaultParagraphFont"/>
    <w:link w:val="Subtitle"/>
    <w:rsid w:val="00B80AE7"/>
    <w:rPr>
      <w:rFonts w:ascii="Gill Sans MT" w:hAnsi="Gill Sans MT"/>
      <w:sz w:val="28"/>
      <w:szCs w:val="24"/>
      <w:lang w:eastAsia="en-US"/>
    </w:rPr>
  </w:style>
  <w:style w:type="character" w:customStyle="1" w:styleId="Heading5Char">
    <w:name w:val="Heading 5 Char"/>
    <w:basedOn w:val="DefaultParagraphFont"/>
    <w:link w:val="Heading5"/>
    <w:rsid w:val="00AC2A14"/>
    <w:rPr>
      <w:rFonts w:ascii="Gill Sans MT" w:hAnsi="Gill Sans MT"/>
      <w:b/>
      <w:bCs/>
      <w:i/>
      <w:iCs/>
      <w:sz w:val="26"/>
      <w:szCs w:val="26"/>
      <w:lang w:eastAsia="en-US"/>
    </w:rPr>
  </w:style>
  <w:style w:type="character" w:customStyle="1" w:styleId="Heading6Char">
    <w:name w:val="Heading 6 Char"/>
    <w:basedOn w:val="DefaultParagraphFont"/>
    <w:link w:val="Heading6"/>
    <w:rsid w:val="00AC2A14"/>
    <w:rPr>
      <w:rFonts w:ascii="Gill Sans MT" w:hAnsi="Gill Sans MT"/>
      <w:b/>
      <w:bCs/>
      <w:i/>
      <w:sz w:val="22"/>
      <w:szCs w:val="22"/>
      <w:lang w:eastAsia="en-US"/>
    </w:rPr>
  </w:style>
  <w:style w:type="character" w:customStyle="1" w:styleId="Heading7Char">
    <w:name w:val="Heading 7 Char"/>
    <w:basedOn w:val="DefaultParagraphFont"/>
    <w:link w:val="Heading7"/>
    <w:rsid w:val="00AC2A14"/>
    <w:rPr>
      <w:rFonts w:ascii="Gill Sans MT" w:hAnsi="Gill Sans MT" w:cs="Arial"/>
      <w:b/>
      <w:sz w:val="22"/>
      <w:szCs w:val="40"/>
      <w:lang w:eastAsia="en-US"/>
    </w:rPr>
  </w:style>
  <w:style w:type="character" w:customStyle="1" w:styleId="Heading8Char">
    <w:name w:val="Heading 8 Char"/>
    <w:basedOn w:val="DefaultParagraphFont"/>
    <w:link w:val="Heading8"/>
    <w:rsid w:val="00AC2A14"/>
    <w:rPr>
      <w:rFonts w:ascii="Gill Sans MT" w:hAnsi="Gill Sans MT"/>
      <w:b/>
      <w:i/>
      <w:sz w:val="22"/>
      <w:szCs w:val="24"/>
      <w:lang w:eastAsia="en-US"/>
    </w:rPr>
  </w:style>
  <w:style w:type="character" w:customStyle="1" w:styleId="Heading9Char">
    <w:name w:val="Heading 9 Char"/>
    <w:basedOn w:val="DefaultParagraphFont"/>
    <w:link w:val="Heading9"/>
    <w:rsid w:val="00AC2A14"/>
    <w:rPr>
      <w:rFonts w:ascii="Gill Sans MT" w:hAnsi="Gill Sans MT" w:cs="Arial"/>
      <w:i/>
      <w:sz w:val="22"/>
      <w:szCs w:val="32"/>
      <w:lang w:eastAsia="en-US"/>
    </w:rPr>
  </w:style>
  <w:style w:type="character" w:customStyle="1" w:styleId="Abbreviation">
    <w:name w:val="Abbreviation"/>
    <w:rsid w:val="001A3ED7"/>
    <w:rPr>
      <w:u w:val="dottedHeavy"/>
    </w:rPr>
  </w:style>
  <w:style w:type="character" w:customStyle="1" w:styleId="Acronym">
    <w:name w:val="Acronym"/>
    <w:rsid w:val="001A3ED7"/>
    <w:rPr>
      <w:u w:val="dotted"/>
    </w:rPr>
  </w:style>
  <w:style w:type="paragraph" w:customStyle="1" w:styleId="BlockQuote">
    <w:name w:val="Block Quote"/>
    <w:basedOn w:val="Normal"/>
    <w:qFormat/>
    <w:rsid w:val="001A3ED7"/>
    <w:pPr>
      <w:ind w:left="720" w:right="720"/>
    </w:pPr>
  </w:style>
  <w:style w:type="paragraph" w:styleId="BlockText">
    <w:name w:val="Block Text"/>
    <w:basedOn w:val="Normal"/>
    <w:rsid w:val="001A3ED7"/>
    <w:pPr>
      <w:spacing w:after="120"/>
      <w:ind w:left="1440" w:right="1440"/>
    </w:pPr>
  </w:style>
  <w:style w:type="paragraph" w:styleId="TOC1">
    <w:name w:val="toc 1"/>
    <w:basedOn w:val="Normal"/>
    <w:next w:val="Normal"/>
    <w:autoRedefine/>
    <w:rsid w:val="001A3ED7"/>
    <w:pPr>
      <w:keepNext/>
      <w:keepLines/>
      <w:spacing w:before="240" w:after="60"/>
    </w:pPr>
    <w:rPr>
      <w:b/>
    </w:rPr>
  </w:style>
  <w:style w:type="paragraph" w:styleId="BodyTextIndent">
    <w:name w:val="Body Text Indent"/>
    <w:basedOn w:val="Normal"/>
    <w:link w:val="BodyTextIndentChar"/>
    <w:rsid w:val="001A3ED7"/>
    <w:pPr>
      <w:spacing w:after="120"/>
      <w:ind w:left="283"/>
    </w:pPr>
    <w:rPr>
      <w:rFonts w:ascii="Arial" w:hAnsi="Arial"/>
      <w:sz w:val="24"/>
      <w:lang w:val="x-none"/>
    </w:rPr>
  </w:style>
  <w:style w:type="character" w:customStyle="1" w:styleId="BodyTextIndentChar">
    <w:name w:val="Body Text Indent Char"/>
    <w:link w:val="BodyTextIndent"/>
    <w:rsid w:val="001A3ED7"/>
    <w:rPr>
      <w:rFonts w:ascii="Arial" w:hAnsi="Arial"/>
      <w:sz w:val="24"/>
      <w:szCs w:val="24"/>
      <w:lang w:val="x-none" w:eastAsia="en-US"/>
    </w:rPr>
  </w:style>
  <w:style w:type="paragraph" w:styleId="Caption">
    <w:name w:val="caption"/>
    <w:basedOn w:val="Normal"/>
    <w:next w:val="Normal"/>
    <w:qFormat/>
    <w:rsid w:val="001A3ED7"/>
    <w:pPr>
      <w:spacing w:after="120"/>
      <w:jc w:val="center"/>
    </w:pPr>
    <w:rPr>
      <w:b/>
      <w:bCs/>
    </w:rPr>
  </w:style>
  <w:style w:type="paragraph" w:styleId="Date">
    <w:name w:val="Date"/>
    <w:basedOn w:val="Normal"/>
    <w:next w:val="Normal"/>
    <w:link w:val="DateChar"/>
    <w:rsid w:val="001A3ED7"/>
    <w:rPr>
      <w:i/>
    </w:rPr>
  </w:style>
  <w:style w:type="character" w:customStyle="1" w:styleId="DateChar">
    <w:name w:val="Date Char"/>
    <w:basedOn w:val="DefaultParagraphFont"/>
    <w:link w:val="Date"/>
    <w:rsid w:val="00AC2A14"/>
    <w:rPr>
      <w:rFonts w:ascii="Gill Sans MT" w:hAnsi="Gill Sans MT"/>
      <w:i/>
      <w:sz w:val="26"/>
      <w:szCs w:val="24"/>
      <w:lang w:eastAsia="en-US"/>
    </w:rPr>
  </w:style>
  <w:style w:type="paragraph" w:customStyle="1" w:styleId="DefinitionDescription">
    <w:name w:val="Definition Description"/>
    <w:basedOn w:val="Normal"/>
    <w:next w:val="Normal"/>
    <w:rsid w:val="001A3ED7"/>
    <w:pPr>
      <w:ind w:left="1077"/>
    </w:pPr>
  </w:style>
  <w:style w:type="paragraph" w:customStyle="1" w:styleId="DefinitionTerm">
    <w:name w:val="Definition Term"/>
    <w:basedOn w:val="Normal"/>
    <w:next w:val="DefinitionDescription"/>
    <w:rsid w:val="001A3ED7"/>
    <w:rPr>
      <w:b/>
    </w:rPr>
  </w:style>
  <w:style w:type="paragraph" w:styleId="DocumentMap">
    <w:name w:val="Document Map"/>
    <w:basedOn w:val="Normal"/>
    <w:link w:val="DocumentMapChar"/>
    <w:semiHidden/>
    <w:rsid w:val="001A3ED7"/>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AC2A14"/>
    <w:rPr>
      <w:rFonts w:ascii="Tahoma" w:hAnsi="Tahoma" w:cs="Tahoma"/>
      <w:szCs w:val="24"/>
      <w:shd w:val="clear" w:color="auto" w:fill="000080"/>
      <w:lang w:eastAsia="en-US"/>
    </w:rPr>
  </w:style>
  <w:style w:type="paragraph" w:customStyle="1" w:styleId="GraphCaption">
    <w:name w:val="GraphCaption"/>
    <w:basedOn w:val="Normal"/>
    <w:rsid w:val="001A3ED7"/>
    <w:pPr>
      <w:keepNext/>
      <w:keepLines/>
      <w:spacing w:after="120"/>
      <w:jc w:val="center"/>
    </w:pPr>
    <w:rPr>
      <w:b/>
    </w:rPr>
  </w:style>
  <w:style w:type="paragraph" w:styleId="ListBullet2">
    <w:name w:val="List Bullet 2"/>
    <w:basedOn w:val="Normal"/>
    <w:rsid w:val="001A3ED7"/>
    <w:pPr>
      <w:numPr>
        <w:numId w:val="33"/>
      </w:numPr>
      <w:spacing w:before="60" w:after="60"/>
    </w:pPr>
  </w:style>
  <w:style w:type="paragraph" w:styleId="ListBullet3">
    <w:name w:val="List Bullet 3"/>
    <w:basedOn w:val="Normal"/>
    <w:rsid w:val="001A3ED7"/>
    <w:pPr>
      <w:numPr>
        <w:numId w:val="34"/>
      </w:numPr>
      <w:spacing w:before="60" w:after="60"/>
    </w:pPr>
  </w:style>
  <w:style w:type="paragraph" w:styleId="ListContinue">
    <w:name w:val="List Continue"/>
    <w:basedOn w:val="Normal"/>
    <w:rsid w:val="001A3ED7"/>
    <w:pPr>
      <w:spacing w:before="120" w:after="120"/>
      <w:ind w:left="357"/>
    </w:pPr>
  </w:style>
  <w:style w:type="paragraph" w:styleId="ListContinue2">
    <w:name w:val="List Continue 2"/>
    <w:basedOn w:val="Normal"/>
    <w:rsid w:val="001A3ED7"/>
    <w:pPr>
      <w:spacing w:before="60" w:after="60"/>
      <w:ind w:left="641"/>
    </w:pPr>
  </w:style>
  <w:style w:type="paragraph" w:styleId="ListContinue3">
    <w:name w:val="List Continue 3"/>
    <w:basedOn w:val="Normal"/>
    <w:rsid w:val="001A3ED7"/>
    <w:pPr>
      <w:spacing w:before="60" w:after="60"/>
      <w:ind w:left="924"/>
    </w:pPr>
  </w:style>
  <w:style w:type="paragraph" w:styleId="ListNumber">
    <w:name w:val="List Number"/>
    <w:basedOn w:val="Normal"/>
    <w:rsid w:val="001A3ED7"/>
    <w:pPr>
      <w:numPr>
        <w:numId w:val="35"/>
      </w:numPr>
      <w:tabs>
        <w:tab w:val="clear" w:pos="360"/>
      </w:tabs>
      <w:spacing w:after="120"/>
    </w:pPr>
  </w:style>
  <w:style w:type="paragraph" w:styleId="ListNumber2">
    <w:name w:val="List Number 2"/>
    <w:basedOn w:val="Normal"/>
    <w:rsid w:val="001A3ED7"/>
    <w:pPr>
      <w:numPr>
        <w:numId w:val="36"/>
      </w:numPr>
      <w:tabs>
        <w:tab w:val="clear" w:pos="641"/>
        <w:tab w:val="num" w:pos="643"/>
      </w:tabs>
      <w:spacing w:before="60" w:after="60"/>
    </w:pPr>
  </w:style>
  <w:style w:type="paragraph" w:styleId="ListNumber3">
    <w:name w:val="List Number 3"/>
    <w:basedOn w:val="Normal"/>
    <w:rsid w:val="001A3ED7"/>
    <w:pPr>
      <w:numPr>
        <w:numId w:val="37"/>
      </w:numPr>
      <w:tabs>
        <w:tab w:val="clear" w:pos="926"/>
        <w:tab w:val="num" w:pos="360"/>
      </w:tabs>
      <w:spacing w:before="60" w:after="60"/>
      <w:ind w:left="357" w:hanging="357"/>
    </w:pPr>
  </w:style>
  <w:style w:type="paragraph" w:styleId="MacroText">
    <w:name w:val="macro"/>
    <w:link w:val="MacroTextChar"/>
    <w:semiHidden/>
    <w:rsid w:val="001A3ED7"/>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hAnsi="Courier New" w:cs="Courier New"/>
      <w:lang w:eastAsia="en-US"/>
    </w:rPr>
  </w:style>
  <w:style w:type="character" w:customStyle="1" w:styleId="MacroTextChar">
    <w:name w:val="Macro Text Char"/>
    <w:basedOn w:val="DefaultParagraphFont"/>
    <w:link w:val="MacroText"/>
    <w:semiHidden/>
    <w:rsid w:val="00AC2A14"/>
    <w:rPr>
      <w:rFonts w:ascii="Courier New" w:hAnsi="Courier New" w:cs="Courier New"/>
      <w:lang w:eastAsia="en-US"/>
    </w:rPr>
  </w:style>
  <w:style w:type="paragraph" w:styleId="NormalIndent">
    <w:name w:val="Normal Indent"/>
    <w:basedOn w:val="Normal"/>
    <w:rsid w:val="001A3ED7"/>
    <w:pPr>
      <w:ind w:left="720"/>
    </w:pPr>
  </w:style>
  <w:style w:type="paragraph" w:customStyle="1" w:styleId="Note">
    <w:name w:val="Note"/>
    <w:basedOn w:val="Normal"/>
    <w:rsid w:val="001A3ED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rsid w:val="001A3ED7"/>
  </w:style>
  <w:style w:type="character" w:customStyle="1" w:styleId="Quote1">
    <w:name w:val="Quote1"/>
    <w:rsid w:val="001A3ED7"/>
    <w:rPr>
      <w:i/>
    </w:rPr>
  </w:style>
  <w:style w:type="paragraph" w:customStyle="1" w:styleId="TableCell">
    <w:name w:val="Table Cell"/>
    <w:basedOn w:val="Normal"/>
    <w:rsid w:val="001A3ED7"/>
    <w:pPr>
      <w:spacing w:after="0"/>
    </w:pPr>
  </w:style>
  <w:style w:type="paragraph" w:customStyle="1" w:styleId="TableHead">
    <w:name w:val="Table Head"/>
    <w:basedOn w:val="Normal"/>
    <w:next w:val="Normal"/>
    <w:rsid w:val="001A3ED7"/>
    <w:pPr>
      <w:spacing w:after="0"/>
    </w:pPr>
    <w:rPr>
      <w:b/>
    </w:rPr>
  </w:style>
  <w:style w:type="paragraph" w:customStyle="1" w:styleId="TableNote">
    <w:name w:val="Table Note"/>
    <w:basedOn w:val="Normal"/>
    <w:next w:val="Normal"/>
    <w:rsid w:val="001A3ED7"/>
    <w:pPr>
      <w:spacing w:before="120"/>
      <w:jc w:val="center"/>
    </w:pPr>
    <w:rPr>
      <w:sz w:val="20"/>
      <w:szCs w:val="20"/>
    </w:rPr>
  </w:style>
  <w:style w:type="paragraph" w:customStyle="1" w:styleId="TableRowHead">
    <w:name w:val="Table Row Head"/>
    <w:basedOn w:val="Normal"/>
    <w:rsid w:val="001A3ED7"/>
    <w:pPr>
      <w:keepNext/>
      <w:spacing w:after="0"/>
    </w:pPr>
    <w:rPr>
      <w:rFonts w:ascii="Arial Bold" w:hAnsi="Arial Bold"/>
      <w:b/>
    </w:rPr>
  </w:style>
  <w:style w:type="paragraph" w:customStyle="1" w:styleId="TableSummary">
    <w:name w:val="Table Summary"/>
    <w:basedOn w:val="Normal"/>
    <w:next w:val="TableHead"/>
    <w:rsid w:val="001A3ED7"/>
    <w:pPr>
      <w:ind w:left="567" w:right="567"/>
      <w:jc w:val="center"/>
    </w:pPr>
    <w:rPr>
      <w:i/>
    </w:rPr>
  </w:style>
  <w:style w:type="paragraph" w:customStyle="1" w:styleId="TableTitle">
    <w:name w:val="Table Title"/>
    <w:basedOn w:val="Normal"/>
    <w:next w:val="TableSummary"/>
    <w:rsid w:val="001A3ED7"/>
    <w:pPr>
      <w:keepNext/>
      <w:keepLines/>
      <w:spacing w:after="120"/>
      <w:jc w:val="center"/>
    </w:pPr>
    <w:rPr>
      <w:b/>
    </w:rPr>
  </w:style>
  <w:style w:type="paragraph" w:customStyle="1" w:styleId="TaggedText">
    <w:name w:val="Tagged Text"/>
    <w:basedOn w:val="Normal"/>
    <w:rsid w:val="001A3ED7"/>
    <w:pPr>
      <w:suppressAutoHyphens/>
      <w:spacing w:after="0"/>
    </w:pPr>
    <w:rPr>
      <w:rFonts w:ascii="Courier New" w:hAnsi="Courier New"/>
      <w:color w:val="FF0000"/>
    </w:rPr>
  </w:style>
  <w:style w:type="paragraph" w:customStyle="1" w:styleId="NormalBeforeList">
    <w:name w:val="Normal (Before List)"/>
    <w:basedOn w:val="Normal"/>
    <w:qFormat/>
    <w:rsid w:val="001A3ED7"/>
    <w:pPr>
      <w:spacing w:after="120"/>
    </w:pPr>
  </w:style>
  <w:style w:type="paragraph" w:customStyle="1" w:styleId="TableHeadRight">
    <w:name w:val="Table Head Right"/>
    <w:basedOn w:val="TableHead"/>
    <w:rsid w:val="001A3ED7"/>
    <w:pPr>
      <w:jc w:val="right"/>
    </w:pPr>
  </w:style>
  <w:style w:type="paragraph" w:customStyle="1" w:styleId="TableCellLeft">
    <w:name w:val="Table Cell Left"/>
    <w:basedOn w:val="TableCell"/>
    <w:rsid w:val="001A3ED7"/>
  </w:style>
  <w:style w:type="paragraph" w:styleId="TOC2">
    <w:name w:val="toc 2"/>
    <w:basedOn w:val="Normal"/>
    <w:next w:val="Normal"/>
    <w:autoRedefine/>
    <w:rsid w:val="001A3ED7"/>
    <w:pPr>
      <w:keepLines/>
      <w:spacing w:after="60"/>
      <w:ind w:left="261"/>
    </w:pPr>
  </w:style>
  <w:style w:type="paragraph" w:customStyle="1" w:styleId="NormalAfterList">
    <w:name w:val="Normal (After List)"/>
    <w:basedOn w:val="Normal"/>
    <w:qFormat/>
    <w:rsid w:val="001A3ED7"/>
    <w:pPr>
      <w:spacing w:before="120"/>
    </w:pPr>
  </w:style>
  <w:style w:type="character" w:styleId="Strong">
    <w:name w:val="Strong"/>
    <w:basedOn w:val="DefaultParagraphFont"/>
    <w:qFormat/>
    <w:rsid w:val="001A3ED7"/>
    <w:rPr>
      <w:rFonts w:ascii="Gill Sans MT" w:hAnsi="Gill Sans MT"/>
      <w:b/>
      <w:bCs/>
    </w:rPr>
  </w:style>
  <w:style w:type="paragraph" w:styleId="Quote">
    <w:name w:val="Quote"/>
    <w:basedOn w:val="Normal"/>
    <w:next w:val="Normal"/>
    <w:link w:val="QuoteChar"/>
    <w:uiPriority w:val="29"/>
    <w:qFormat/>
    <w:rsid w:val="001A3ED7"/>
    <w:rPr>
      <w:i/>
      <w:iCs/>
      <w:color w:val="000000"/>
    </w:rPr>
  </w:style>
  <w:style w:type="character" w:customStyle="1" w:styleId="QuoteChar">
    <w:name w:val="Quote Char"/>
    <w:basedOn w:val="DefaultParagraphFont"/>
    <w:link w:val="Quote"/>
    <w:uiPriority w:val="29"/>
    <w:rsid w:val="001A3ED7"/>
    <w:rPr>
      <w:rFonts w:ascii="Gill Sans MT" w:hAnsi="Gill Sans MT"/>
      <w:i/>
      <w:iCs/>
      <w:color w:val="000000"/>
      <w:sz w:val="26"/>
      <w:szCs w:val="24"/>
      <w:lang w:eastAsia="en-US"/>
    </w:rPr>
  </w:style>
  <w:style w:type="paragraph" w:styleId="IntenseQuote">
    <w:name w:val="Intense Quote"/>
    <w:basedOn w:val="Normal"/>
    <w:next w:val="Normal"/>
    <w:link w:val="IntenseQuoteChar"/>
    <w:uiPriority w:val="30"/>
    <w:qFormat/>
    <w:rsid w:val="001A3ED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A3ED7"/>
    <w:rPr>
      <w:rFonts w:ascii="Gill Sans MT" w:hAnsi="Gill Sans MT"/>
      <w:b/>
      <w:bCs/>
      <w:i/>
      <w:iCs/>
      <w:color w:val="4F81BD"/>
      <w:sz w:val="26"/>
      <w:szCs w:val="24"/>
      <w:lang w:eastAsia="en-US"/>
    </w:rPr>
  </w:style>
  <w:style w:type="character" w:styleId="SubtleReference">
    <w:name w:val="Subtle Reference"/>
    <w:basedOn w:val="DefaultParagraphFont"/>
    <w:uiPriority w:val="31"/>
    <w:qFormat/>
    <w:rsid w:val="001A3ED7"/>
    <w:rPr>
      <w:rFonts w:ascii="Gill Sans MT" w:hAnsi="Gill Sans MT"/>
      <w:smallCaps/>
      <w:color w:val="C0504D"/>
      <w:u w:val="single"/>
    </w:rPr>
  </w:style>
  <w:style w:type="paragraph" w:styleId="TOCHeading">
    <w:name w:val="TOC Heading"/>
    <w:basedOn w:val="Heading1"/>
    <w:next w:val="Normal"/>
    <w:uiPriority w:val="39"/>
    <w:unhideWhenUsed/>
    <w:qFormat/>
    <w:rsid w:val="00926804"/>
    <w:pPr>
      <w:keepLines/>
      <w:pBdr>
        <w:top w:val="none" w:sz="0" w:space="0" w:color="auto"/>
        <w:left w:val="none" w:sz="0" w:space="0" w:color="auto"/>
        <w:bottom w:val="none" w:sz="0" w:space="0" w:color="auto"/>
        <w:right w:val="none" w:sz="0" w:space="0" w:color="auto"/>
      </w:pBdr>
      <w:spacing w:before="240" w:after="0" w:line="259" w:lineRule="auto"/>
      <w:ind w:left="0"/>
      <w:outlineLvl w:val="9"/>
    </w:pPr>
    <w:rPr>
      <w:rFonts w:asciiTheme="majorHAnsi" w:eastAsiaTheme="majorEastAsia" w:hAnsiTheme="majorHAnsi" w:cstheme="majorBidi"/>
      <w:b w:val="0"/>
      <w:bCs w:val="0"/>
      <w:color w:val="365F91" w:themeColor="accent1" w:themeShade="BF"/>
      <w:kern w:val="0"/>
      <w:lang w:val="en-US"/>
    </w:rPr>
  </w:style>
  <w:style w:type="paragraph" w:styleId="TOC3">
    <w:name w:val="toc 3"/>
    <w:basedOn w:val="Normal"/>
    <w:next w:val="Normal"/>
    <w:autoRedefine/>
    <w:uiPriority w:val="39"/>
    <w:unhideWhenUsed/>
    <w:rsid w:val="00926804"/>
    <w:pPr>
      <w:spacing w:after="100"/>
      <w:ind w:left="520"/>
    </w:pPr>
  </w:style>
  <w:style w:type="paragraph" w:styleId="Revision">
    <w:name w:val="Revision"/>
    <w:hidden/>
    <w:uiPriority w:val="99"/>
    <w:semiHidden/>
    <w:rsid w:val="0077287D"/>
    <w:rPr>
      <w:rFonts w:ascii="Gill Sans MT" w:hAnsi="Gill Sans MT"/>
      <w:sz w:val="2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827242">
      <w:bodyDiv w:val="1"/>
      <w:marLeft w:val="0"/>
      <w:marRight w:val="0"/>
      <w:marTop w:val="0"/>
      <w:marBottom w:val="0"/>
      <w:divBdr>
        <w:top w:val="none" w:sz="0" w:space="0" w:color="auto"/>
        <w:left w:val="none" w:sz="0" w:space="0" w:color="auto"/>
        <w:bottom w:val="none" w:sz="0" w:space="0" w:color="auto"/>
        <w:right w:val="none" w:sz="0" w:space="0" w:color="auto"/>
      </w:divBdr>
    </w:div>
    <w:div w:id="323125168">
      <w:bodyDiv w:val="1"/>
      <w:marLeft w:val="0"/>
      <w:marRight w:val="0"/>
      <w:marTop w:val="0"/>
      <w:marBottom w:val="0"/>
      <w:divBdr>
        <w:top w:val="none" w:sz="0" w:space="0" w:color="auto"/>
        <w:left w:val="none" w:sz="0" w:space="0" w:color="auto"/>
        <w:bottom w:val="none" w:sz="0" w:space="0" w:color="auto"/>
        <w:right w:val="none" w:sz="0" w:space="0" w:color="auto"/>
      </w:divBdr>
    </w:div>
    <w:div w:id="328407141">
      <w:bodyDiv w:val="1"/>
      <w:marLeft w:val="0"/>
      <w:marRight w:val="0"/>
      <w:marTop w:val="0"/>
      <w:marBottom w:val="0"/>
      <w:divBdr>
        <w:top w:val="none" w:sz="0" w:space="0" w:color="auto"/>
        <w:left w:val="none" w:sz="0" w:space="0" w:color="auto"/>
        <w:bottom w:val="none" w:sz="0" w:space="0" w:color="auto"/>
        <w:right w:val="none" w:sz="0" w:space="0" w:color="auto"/>
      </w:divBdr>
    </w:div>
    <w:div w:id="685983020">
      <w:bodyDiv w:val="1"/>
      <w:marLeft w:val="0"/>
      <w:marRight w:val="0"/>
      <w:marTop w:val="0"/>
      <w:marBottom w:val="0"/>
      <w:divBdr>
        <w:top w:val="none" w:sz="0" w:space="0" w:color="auto"/>
        <w:left w:val="none" w:sz="0" w:space="0" w:color="auto"/>
        <w:bottom w:val="none" w:sz="0" w:space="0" w:color="auto"/>
        <w:right w:val="none" w:sz="0" w:space="0" w:color="auto"/>
      </w:divBdr>
    </w:div>
    <w:div w:id="874123567">
      <w:bodyDiv w:val="1"/>
      <w:marLeft w:val="0"/>
      <w:marRight w:val="0"/>
      <w:marTop w:val="0"/>
      <w:marBottom w:val="0"/>
      <w:divBdr>
        <w:top w:val="none" w:sz="0" w:space="0" w:color="auto"/>
        <w:left w:val="none" w:sz="0" w:space="0" w:color="auto"/>
        <w:bottom w:val="none" w:sz="0" w:space="0" w:color="auto"/>
        <w:right w:val="none" w:sz="0" w:space="0" w:color="auto"/>
      </w:divBdr>
    </w:div>
    <w:div w:id="1033506155">
      <w:bodyDiv w:val="1"/>
      <w:marLeft w:val="0"/>
      <w:marRight w:val="0"/>
      <w:marTop w:val="0"/>
      <w:marBottom w:val="0"/>
      <w:divBdr>
        <w:top w:val="none" w:sz="0" w:space="0" w:color="auto"/>
        <w:left w:val="none" w:sz="0" w:space="0" w:color="auto"/>
        <w:bottom w:val="none" w:sz="0" w:space="0" w:color="auto"/>
        <w:right w:val="none" w:sz="0" w:space="0" w:color="auto"/>
      </w:divBdr>
    </w:div>
    <w:div w:id="1053233450">
      <w:bodyDiv w:val="1"/>
      <w:marLeft w:val="0"/>
      <w:marRight w:val="0"/>
      <w:marTop w:val="0"/>
      <w:marBottom w:val="0"/>
      <w:divBdr>
        <w:top w:val="none" w:sz="0" w:space="0" w:color="auto"/>
        <w:left w:val="none" w:sz="0" w:space="0" w:color="auto"/>
        <w:bottom w:val="none" w:sz="0" w:space="0" w:color="auto"/>
        <w:right w:val="none" w:sz="0" w:space="0" w:color="auto"/>
      </w:divBdr>
    </w:div>
    <w:div w:id="1098713457">
      <w:bodyDiv w:val="1"/>
      <w:marLeft w:val="0"/>
      <w:marRight w:val="0"/>
      <w:marTop w:val="0"/>
      <w:marBottom w:val="0"/>
      <w:divBdr>
        <w:top w:val="none" w:sz="0" w:space="0" w:color="auto"/>
        <w:left w:val="none" w:sz="0" w:space="0" w:color="auto"/>
        <w:bottom w:val="none" w:sz="0" w:space="0" w:color="auto"/>
        <w:right w:val="none" w:sz="0" w:space="0" w:color="auto"/>
      </w:divBdr>
    </w:div>
    <w:div w:id="1099259297">
      <w:bodyDiv w:val="1"/>
      <w:marLeft w:val="0"/>
      <w:marRight w:val="0"/>
      <w:marTop w:val="0"/>
      <w:marBottom w:val="0"/>
      <w:divBdr>
        <w:top w:val="none" w:sz="0" w:space="0" w:color="auto"/>
        <w:left w:val="none" w:sz="0" w:space="0" w:color="auto"/>
        <w:bottom w:val="none" w:sz="0" w:space="0" w:color="auto"/>
        <w:right w:val="none" w:sz="0" w:space="0" w:color="auto"/>
      </w:divBdr>
      <w:divsChild>
        <w:div w:id="725492910">
          <w:marLeft w:val="0"/>
          <w:marRight w:val="0"/>
          <w:marTop w:val="0"/>
          <w:marBottom w:val="0"/>
          <w:divBdr>
            <w:top w:val="none" w:sz="0" w:space="0" w:color="auto"/>
            <w:left w:val="none" w:sz="0" w:space="0" w:color="auto"/>
            <w:bottom w:val="none" w:sz="0" w:space="0" w:color="auto"/>
            <w:right w:val="none" w:sz="0" w:space="0" w:color="auto"/>
          </w:divBdr>
          <w:divsChild>
            <w:div w:id="352726831">
              <w:marLeft w:val="0"/>
              <w:marRight w:val="0"/>
              <w:marTop w:val="0"/>
              <w:marBottom w:val="0"/>
              <w:divBdr>
                <w:top w:val="none" w:sz="0" w:space="0" w:color="auto"/>
                <w:left w:val="none" w:sz="0" w:space="0" w:color="auto"/>
                <w:bottom w:val="none" w:sz="0" w:space="0" w:color="auto"/>
                <w:right w:val="none" w:sz="0" w:space="0" w:color="auto"/>
              </w:divBdr>
              <w:divsChild>
                <w:div w:id="20194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70685">
      <w:bodyDiv w:val="1"/>
      <w:marLeft w:val="0"/>
      <w:marRight w:val="0"/>
      <w:marTop w:val="0"/>
      <w:marBottom w:val="0"/>
      <w:divBdr>
        <w:top w:val="none" w:sz="0" w:space="0" w:color="auto"/>
        <w:left w:val="none" w:sz="0" w:space="0" w:color="auto"/>
        <w:bottom w:val="none" w:sz="0" w:space="0" w:color="auto"/>
        <w:right w:val="none" w:sz="0" w:space="0" w:color="auto"/>
      </w:divBdr>
    </w:div>
    <w:div w:id="1280138733">
      <w:bodyDiv w:val="1"/>
      <w:marLeft w:val="0"/>
      <w:marRight w:val="0"/>
      <w:marTop w:val="0"/>
      <w:marBottom w:val="0"/>
      <w:divBdr>
        <w:top w:val="none" w:sz="0" w:space="0" w:color="auto"/>
        <w:left w:val="none" w:sz="0" w:space="0" w:color="auto"/>
        <w:bottom w:val="none" w:sz="0" w:space="0" w:color="auto"/>
        <w:right w:val="none" w:sz="0" w:space="0" w:color="auto"/>
      </w:divBdr>
    </w:div>
    <w:div w:id="1589845614">
      <w:bodyDiv w:val="1"/>
      <w:marLeft w:val="0"/>
      <w:marRight w:val="0"/>
      <w:marTop w:val="0"/>
      <w:marBottom w:val="0"/>
      <w:divBdr>
        <w:top w:val="none" w:sz="0" w:space="0" w:color="auto"/>
        <w:left w:val="none" w:sz="0" w:space="0" w:color="auto"/>
        <w:bottom w:val="none" w:sz="0" w:space="0" w:color="auto"/>
        <w:right w:val="none" w:sz="0" w:space="0" w:color="auto"/>
      </w:divBdr>
      <w:divsChild>
        <w:div w:id="2091190131">
          <w:marLeft w:val="0"/>
          <w:marRight w:val="0"/>
          <w:marTop w:val="0"/>
          <w:marBottom w:val="0"/>
          <w:divBdr>
            <w:top w:val="none" w:sz="0" w:space="0" w:color="auto"/>
            <w:left w:val="none" w:sz="0" w:space="0" w:color="auto"/>
            <w:bottom w:val="none" w:sz="0" w:space="0" w:color="auto"/>
            <w:right w:val="none" w:sz="0" w:space="0" w:color="auto"/>
          </w:divBdr>
          <w:divsChild>
            <w:div w:id="1906646318">
              <w:marLeft w:val="-225"/>
              <w:marRight w:val="-225"/>
              <w:marTop w:val="0"/>
              <w:marBottom w:val="0"/>
              <w:divBdr>
                <w:top w:val="none" w:sz="0" w:space="0" w:color="auto"/>
                <w:left w:val="none" w:sz="0" w:space="0" w:color="auto"/>
                <w:bottom w:val="none" w:sz="0" w:space="0" w:color="auto"/>
                <w:right w:val="none" w:sz="0" w:space="0" w:color="auto"/>
              </w:divBdr>
              <w:divsChild>
                <w:div w:id="1993749040">
                  <w:marLeft w:val="0"/>
                  <w:marRight w:val="0"/>
                  <w:marTop w:val="0"/>
                  <w:marBottom w:val="0"/>
                  <w:divBdr>
                    <w:top w:val="none" w:sz="0" w:space="0" w:color="auto"/>
                    <w:left w:val="none" w:sz="0" w:space="0" w:color="auto"/>
                    <w:bottom w:val="none" w:sz="0" w:space="0" w:color="auto"/>
                    <w:right w:val="none" w:sz="0" w:space="0" w:color="auto"/>
                  </w:divBdr>
                  <w:divsChild>
                    <w:div w:id="819469133">
                      <w:marLeft w:val="-225"/>
                      <w:marRight w:val="-225"/>
                      <w:marTop w:val="0"/>
                      <w:marBottom w:val="0"/>
                      <w:divBdr>
                        <w:top w:val="none" w:sz="0" w:space="0" w:color="auto"/>
                        <w:left w:val="none" w:sz="0" w:space="0" w:color="auto"/>
                        <w:bottom w:val="none" w:sz="0" w:space="0" w:color="auto"/>
                        <w:right w:val="none" w:sz="0" w:space="0" w:color="auto"/>
                      </w:divBdr>
                      <w:divsChild>
                        <w:div w:id="2114669454">
                          <w:marLeft w:val="0"/>
                          <w:marRight w:val="0"/>
                          <w:marTop w:val="0"/>
                          <w:marBottom w:val="0"/>
                          <w:divBdr>
                            <w:top w:val="none" w:sz="0" w:space="0" w:color="auto"/>
                            <w:left w:val="none" w:sz="0" w:space="0" w:color="auto"/>
                            <w:bottom w:val="none" w:sz="0" w:space="0" w:color="auto"/>
                            <w:right w:val="none" w:sz="0" w:space="0" w:color="auto"/>
                          </w:divBdr>
                          <w:divsChild>
                            <w:div w:id="1588147270">
                              <w:marLeft w:val="0"/>
                              <w:marRight w:val="0"/>
                              <w:marTop w:val="0"/>
                              <w:marBottom w:val="0"/>
                              <w:divBdr>
                                <w:top w:val="none" w:sz="0" w:space="0" w:color="auto"/>
                                <w:left w:val="none" w:sz="0" w:space="0" w:color="auto"/>
                                <w:bottom w:val="none" w:sz="0" w:space="0" w:color="auto"/>
                                <w:right w:val="none" w:sz="0" w:space="0" w:color="auto"/>
                              </w:divBdr>
                              <w:divsChild>
                                <w:div w:id="2126578947">
                                  <w:marLeft w:val="-225"/>
                                  <w:marRight w:val="-225"/>
                                  <w:marTop w:val="0"/>
                                  <w:marBottom w:val="0"/>
                                  <w:divBdr>
                                    <w:top w:val="none" w:sz="0" w:space="0" w:color="auto"/>
                                    <w:left w:val="none" w:sz="0" w:space="0" w:color="auto"/>
                                    <w:bottom w:val="none" w:sz="0" w:space="0" w:color="auto"/>
                                    <w:right w:val="none" w:sz="0" w:space="0" w:color="auto"/>
                                  </w:divBdr>
                                </w:div>
                              </w:divsChild>
                            </w:div>
                            <w:div w:id="1347639108">
                              <w:marLeft w:val="0"/>
                              <w:marRight w:val="0"/>
                              <w:marTop w:val="0"/>
                              <w:marBottom w:val="0"/>
                              <w:divBdr>
                                <w:top w:val="none" w:sz="0" w:space="0" w:color="auto"/>
                                <w:left w:val="none" w:sz="0" w:space="0" w:color="auto"/>
                                <w:bottom w:val="none" w:sz="0" w:space="0" w:color="auto"/>
                                <w:right w:val="none" w:sz="0" w:space="0" w:color="auto"/>
                              </w:divBdr>
                              <w:divsChild>
                                <w:div w:id="19135430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524085">
      <w:bodyDiv w:val="1"/>
      <w:marLeft w:val="0"/>
      <w:marRight w:val="0"/>
      <w:marTop w:val="0"/>
      <w:marBottom w:val="0"/>
      <w:divBdr>
        <w:top w:val="none" w:sz="0" w:space="0" w:color="auto"/>
        <w:left w:val="none" w:sz="0" w:space="0" w:color="auto"/>
        <w:bottom w:val="none" w:sz="0" w:space="0" w:color="auto"/>
        <w:right w:val="none" w:sz="0" w:space="0" w:color="auto"/>
      </w:divBdr>
    </w:div>
    <w:div w:id="1942033274">
      <w:bodyDiv w:val="1"/>
      <w:marLeft w:val="0"/>
      <w:marRight w:val="0"/>
      <w:marTop w:val="0"/>
      <w:marBottom w:val="0"/>
      <w:divBdr>
        <w:top w:val="none" w:sz="0" w:space="0" w:color="auto"/>
        <w:left w:val="none" w:sz="0" w:space="0" w:color="auto"/>
        <w:bottom w:val="none" w:sz="0" w:space="0" w:color="auto"/>
        <w:right w:val="none" w:sz="0" w:space="0" w:color="auto"/>
      </w:divBdr>
    </w:div>
    <w:div w:id="209127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niversaldesign.ie/News-events/News/Launch-of-a-new-standard-on-design-for-accessibilit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ishtimes.com/special-reports/careers-2021/employers-urged-to-tackle-low-recruitment-of-people-with-disabilities-1.443326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rishtimes.com/special-reports/careers-2021/employers-urged-to-tackle-low-recruitment-of-people-with-disabilities-1.4433268" TargetMode="External"/><Relationship Id="rId4" Type="http://schemas.openxmlformats.org/officeDocument/2006/relationships/settings" Target="settings.xml"/><Relationship Id="rId9" Type="http://schemas.openxmlformats.org/officeDocument/2006/relationships/hyperlink" Target="https://www.fetchcourses.ie/"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enterprise.gov.ie/en/Publications/Publication-files/Making-Remote-Work.pdf" TargetMode="External"/><Relationship Id="rId13" Type="http://schemas.openxmlformats.org/officeDocument/2006/relationships/hyperlink" Target="https://www.oireachtas.ie/en/how-parliament-is-run/houses-of-the-oireachtas-service/equality-diversity-and-inclusion/owl-programme/" TargetMode="External"/><Relationship Id="rId18" Type="http://schemas.openxmlformats.org/officeDocument/2006/relationships/hyperlink" Target="https://www.solas.ie/f/70398/x/64d0718c9e/solas_fet_strategy_web.pdf" TargetMode="External"/><Relationship Id="rId26" Type="http://schemas.openxmlformats.org/officeDocument/2006/relationships/hyperlink" Target="https://www.england.nhs.uk/about/equality/equality-hub/wdes/" TargetMode="External"/><Relationship Id="rId3" Type="http://schemas.openxmlformats.org/officeDocument/2006/relationships/hyperlink" Target="https://www.cso.ie/en/releasesandpublications/er/lr/liveregisterdecember2020/" TargetMode="External"/><Relationship Id="rId21" Type="http://schemas.openxmlformats.org/officeDocument/2006/relationships/hyperlink" Target="https://www.esri.ie/publications/a-study-on-the-prevalence-of-special-educational-needs" TargetMode="External"/><Relationship Id="rId7" Type="http://schemas.openxmlformats.org/officeDocument/2006/relationships/hyperlink" Target="https://www.enterprise.gov.ie/en/Publications/Publication-files/Future-Jobs-Ireland-2019.pdf" TargetMode="External"/><Relationship Id="rId12" Type="http://schemas.openxmlformats.org/officeDocument/2006/relationships/hyperlink" Target="https://www.fetchcourses.ie/" TargetMode="External"/><Relationship Id="rId17" Type="http://schemas.openxmlformats.org/officeDocument/2006/relationships/hyperlink" Target="https://assets.publishing.service.gov.uk/government/uploads/system/uploads/attachment_data/file/398815/SEND_Code_of_Practice_January_2015.pdf" TargetMode="External"/><Relationship Id="rId25" Type="http://schemas.openxmlformats.org/officeDocument/2006/relationships/hyperlink" Target="https://www.ibec.ie/influencing-for-business/ibec-campaigns/reboot-and-reimagine" TargetMode="External"/><Relationship Id="rId2" Type="http://schemas.openxmlformats.org/officeDocument/2006/relationships/hyperlink" Target="http://nda.ie/publications/employment/employment-publications/indicators-for-monitoring-progress-under-the-comprehensive-employment-strategy-for-persons-with-disabilities-2015-2024.html" TargetMode="External"/><Relationship Id="rId16" Type="http://schemas.openxmlformats.org/officeDocument/2006/relationships/hyperlink" Target="https://ies.ed.gov/ncee/pubs/20174016/pdf/20174016.pdf" TargetMode="External"/><Relationship Id="rId20" Type="http://schemas.openxmlformats.org/officeDocument/2006/relationships/hyperlink" Target="https://www.oecd.org/els/mental-health-and-work-9789264124523-en.htm" TargetMode="External"/><Relationship Id="rId29" Type="http://schemas.openxmlformats.org/officeDocument/2006/relationships/hyperlink" Target="mailto:info@standards.ie" TargetMode="External"/><Relationship Id="rId1" Type="http://schemas.openxmlformats.org/officeDocument/2006/relationships/hyperlink" Target="http://nda.ie/Resources/Factsheets/NDA-Factsheet-4-Retaining-people-with-a-disability-in-the-workforce/" TargetMode="External"/><Relationship Id="rId6" Type="http://schemas.openxmlformats.org/officeDocument/2006/relationships/hyperlink" Target="https://enterprise.gov.ie/en/Publications/Publication-files/Remote-Work-in-Ireland.pdf" TargetMode="External"/><Relationship Id="rId11" Type="http://schemas.openxmlformats.org/officeDocument/2006/relationships/hyperlink" Target="https://www.solas.ie/f/70398/x/948bcabcc4/udl-for-fet-framework.pdf" TargetMode="External"/><Relationship Id="rId24" Type="http://schemas.openxmlformats.org/officeDocument/2006/relationships/hyperlink" Target="https://enterprise.gov.ie/en/Publications/Publication-files/Making-Remote-Work.pdf" TargetMode="External"/><Relationship Id="rId5" Type="http://schemas.openxmlformats.org/officeDocument/2006/relationships/hyperlink" Target="http://nda.ie/publications/health/covid-19/nda-submissions-to-the-oireachtas-special-committee-on-covid-19-response.html" TargetMode="External"/><Relationship Id="rId15" Type="http://schemas.openxmlformats.org/officeDocument/2006/relationships/hyperlink" Target="https://www.esri.ie/system/files/publications/RS58.pdf" TargetMode="External"/><Relationship Id="rId23" Type="http://schemas.openxmlformats.org/officeDocument/2006/relationships/hyperlink" Target="https://www.researchgate.net/publication/341940981_The_High_Road_Back_to_Work_Developing_a_Public_Employment_Eco_System_for_a_Post-Covid_Recovery" TargetMode="External"/><Relationship Id="rId28" Type="http://schemas.openxmlformats.org/officeDocument/2006/relationships/hyperlink" Target="http://www.standards.ie/" TargetMode="External"/><Relationship Id="rId10" Type="http://schemas.openxmlformats.org/officeDocument/2006/relationships/hyperlink" Target="https://www.hse.ie/eng/about/who/cspd/ncps/mental-health/psychosis/resources/ips-sop-final-april-2019.pdf" TargetMode="External"/><Relationship Id="rId19" Type="http://schemas.openxmlformats.org/officeDocument/2006/relationships/hyperlink" Target="http://www.transition.ie/files/2020/des-transitions-sub-group-working-paper-june-2020.pdf" TargetMode="External"/><Relationship Id="rId4" Type="http://schemas.openxmlformats.org/officeDocument/2006/relationships/hyperlink" Target="https://www.cso.ie/en/releasesandpublications/er/elec19/employmentandlifeeffectsofcovid-19/" TargetMode="External"/><Relationship Id="rId9" Type="http://schemas.openxmlformats.org/officeDocument/2006/relationships/hyperlink" Target="http://budget.gov.ie/Budgets/2021/Documents/Budget/Equality%20Budgeting%20%E2%80%93%20Equality%20Data%20Audit%20Report.docx.pdf" TargetMode="External"/><Relationship Id="rId14" Type="http://schemas.openxmlformats.org/officeDocument/2006/relationships/hyperlink" Target="https://www.publicjobs.ie/documents/OWLProgrammeGuidetoSupportingInclusiveEmployment.pdf" TargetMode="External"/><Relationship Id="rId22" Type="http://schemas.openxmlformats.org/officeDocument/2006/relationships/hyperlink" Target="http://nda.ie/Policy-and-research/Policy-Advice/Policy-Advice-Papers/Technical-paper-on-Employment-Targets.html" TargetMode="External"/><Relationship Id="rId27" Type="http://schemas.openxmlformats.org/officeDocument/2006/relationships/hyperlink" Target="https://assets.gov.ie/6813/2a580791a7b24decb97a550539a0faf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ojfilecluster\dojshares$\NDA\Shares\Policy%20Research%20&amp;%20Public%20Affairs\EMPLOYMENT\Comprehensive%20Employment%20Strategy\CES%20indicators%20report\Calculations%20April%2020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970455616124897E-2"/>
          <c:y val="0.15290115284262035"/>
          <c:w val="0.879969715324046"/>
          <c:h val="0.4506120363273175"/>
        </c:manualLayout>
      </c:layout>
      <c:barChart>
        <c:barDir val="col"/>
        <c:grouping val="clustered"/>
        <c:varyColors val="0"/>
        <c:ser>
          <c:idx val="0"/>
          <c:order val="0"/>
          <c:tx>
            <c:strRef>
              <c:f>Transport2!$M$126</c:f>
              <c:strCache>
                <c:ptCount val="1"/>
                <c:pt idx="0">
                  <c:v>Bus, minibus or coach</c:v>
                </c:pt>
              </c:strCache>
            </c:strRef>
          </c:tx>
          <c:spPr>
            <a:solidFill>
              <a:schemeClr val="tx1">
                <a:lumMod val="50000"/>
                <a:lumOff val="50000"/>
              </a:schemeClr>
            </a:solidFill>
            <a:ln>
              <a:solidFill>
                <a:schemeClr val="tx1">
                  <a:lumMod val="50000"/>
                  <a:lumOff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Transport2!$N$124:$AA$125</c:f>
              <c:multiLvlStrCache>
                <c:ptCount val="14"/>
                <c:lvl>
                  <c:pt idx="0">
                    <c:v>2011</c:v>
                  </c:pt>
                  <c:pt idx="1">
                    <c:v>2016</c:v>
                  </c:pt>
                  <c:pt idx="2">
                    <c:v>2011</c:v>
                  </c:pt>
                  <c:pt idx="3">
                    <c:v>2016</c:v>
                  </c:pt>
                  <c:pt idx="4">
                    <c:v>2011</c:v>
                  </c:pt>
                  <c:pt idx="5">
                    <c:v>2016</c:v>
                  </c:pt>
                  <c:pt idx="6">
                    <c:v>2011</c:v>
                  </c:pt>
                  <c:pt idx="7">
                    <c:v>2016</c:v>
                  </c:pt>
                  <c:pt idx="8">
                    <c:v>2011</c:v>
                  </c:pt>
                  <c:pt idx="9">
                    <c:v>2016</c:v>
                  </c:pt>
                  <c:pt idx="10">
                    <c:v>2011</c:v>
                  </c:pt>
                  <c:pt idx="11">
                    <c:v>2016</c:v>
                  </c:pt>
                  <c:pt idx="12">
                    <c:v>2011</c:v>
                  </c:pt>
                  <c:pt idx="13">
                    <c:v>2016</c:v>
                  </c:pt>
                </c:lvl>
                <c:lvl>
                  <c:pt idx="0">
                    <c:v>Blindness or a serious vision impairment</c:v>
                  </c:pt>
                  <c:pt idx="2">
                    <c:v>Deafness or a serious hearing impairment</c:v>
                  </c:pt>
                  <c:pt idx="4">
                    <c:v>A condition that substantially limits one or more basic physical activities</c:v>
                  </c:pt>
                  <c:pt idx="6">
                    <c:v>An intellectual disability</c:v>
                  </c:pt>
                  <c:pt idx="8">
                    <c:v>Difficulty in learning, remembering or concentrating</c:v>
                  </c:pt>
                  <c:pt idx="10">
                    <c:v>Psychological or emotional condition</c:v>
                  </c:pt>
                  <c:pt idx="12">
                    <c:v>Other disability, including chronic illness</c:v>
                  </c:pt>
                </c:lvl>
              </c:multiLvlStrCache>
            </c:multiLvlStrRef>
          </c:cat>
          <c:val>
            <c:numRef>
              <c:f>Transport2!$N$126:$AA$126</c:f>
              <c:numCache>
                <c:formatCode>0.0</c:formatCode>
                <c:ptCount val="14"/>
                <c:pt idx="0">
                  <c:v>9.9855630413859497</c:v>
                </c:pt>
                <c:pt idx="1">
                  <c:v>10.690974566734189</c:v>
                </c:pt>
                <c:pt idx="2">
                  <c:v>5.4898248935163281</c:v>
                </c:pt>
                <c:pt idx="3">
                  <c:v>5.355780479121103</c:v>
                </c:pt>
                <c:pt idx="4">
                  <c:v>6.6619585687382301</c:v>
                </c:pt>
                <c:pt idx="5">
                  <c:v>6.9722065646273261</c:v>
                </c:pt>
                <c:pt idx="6">
                  <c:v>26.942058124657287</c:v>
                </c:pt>
                <c:pt idx="7">
                  <c:v>24.553866490416389</c:v>
                </c:pt>
                <c:pt idx="8">
                  <c:v>12.406144520217675</c:v>
                </c:pt>
                <c:pt idx="9">
                  <c:v>11.94311677583053</c:v>
                </c:pt>
                <c:pt idx="10">
                  <c:v>10.487820390510718</c:v>
                </c:pt>
                <c:pt idx="11">
                  <c:v>10.971986417657046</c:v>
                </c:pt>
                <c:pt idx="12">
                  <c:v>6.2276525363773683</c:v>
                </c:pt>
                <c:pt idx="13">
                  <c:v>6.7489995407728136</c:v>
                </c:pt>
              </c:numCache>
            </c:numRef>
          </c:val>
          <c:extLst>
            <c:ext xmlns:c16="http://schemas.microsoft.com/office/drawing/2014/chart" uri="{C3380CC4-5D6E-409C-BE32-E72D297353CC}">
              <c16:uniqueId val="{00000000-68A2-438E-8D50-D76382F286E6}"/>
            </c:ext>
          </c:extLst>
        </c:ser>
        <c:ser>
          <c:idx val="1"/>
          <c:order val="1"/>
          <c:tx>
            <c:strRef>
              <c:f>Transport2!$M$127</c:f>
              <c:strCache>
                <c:ptCount val="1"/>
                <c:pt idx="0">
                  <c:v>Train, DART or LUAS</c:v>
                </c:pt>
              </c:strCache>
            </c:strRef>
          </c:tx>
          <c:spPr>
            <a:pattFill prst="wdUpDiag">
              <a:fgClr>
                <a:srgbClr val="A8246F"/>
              </a:fgClr>
              <a:bgClr>
                <a:schemeClr val="bg1"/>
              </a:bgClr>
            </a:pattFill>
            <a:ln>
              <a:solidFill>
                <a:srgbClr val="A8246F"/>
              </a:solidFill>
            </a:ln>
            <a:effectLst/>
          </c:spPr>
          <c:invertIfNegative val="0"/>
          <c:dLbls>
            <c:dLbl>
              <c:idx val="0"/>
              <c:layout>
                <c:manualLayout>
                  <c:x val="6.354248874414024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A2-438E-8D50-D76382F286E6}"/>
                </c:ext>
              </c:extLst>
            </c:dLbl>
            <c:dLbl>
              <c:idx val="1"/>
              <c:layout>
                <c:manualLayout>
                  <c:x val="4.236165916276036E-3"/>
                  <c:y val="-4.243778136006664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8A2-438E-8D50-D76382F286E6}"/>
                </c:ext>
              </c:extLst>
            </c:dLbl>
            <c:dLbl>
              <c:idx val="2"/>
              <c:layout>
                <c:manualLayout>
                  <c:x val="4.236165916275977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8A2-438E-8D50-D76382F286E6}"/>
                </c:ext>
              </c:extLst>
            </c:dLbl>
            <c:dLbl>
              <c:idx val="3"/>
              <c:layout>
                <c:manualLayout>
                  <c:x val="6.410256410256449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8A2-438E-8D50-D76382F286E6}"/>
                </c:ext>
              </c:extLst>
            </c:dLbl>
            <c:dLbl>
              <c:idx val="4"/>
              <c:layout>
                <c:manualLayout>
                  <c:x val="6.410256410256332E-3"/>
                  <c:y val="-7.2106672753387568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8A2-438E-8D50-D76382F286E6}"/>
                </c:ext>
              </c:extLst>
            </c:dLbl>
            <c:dLbl>
              <c:idx val="5"/>
              <c:layout>
                <c:manualLayout>
                  <c:x val="4.273504273504273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8A2-438E-8D50-D76382F286E6}"/>
                </c:ext>
              </c:extLst>
            </c:dLbl>
            <c:dLbl>
              <c:idx val="6"/>
              <c:layout>
                <c:manualLayout>
                  <c:x val="4.2735042735042739E-3"/>
                  <c:y val="-7.2106672753387568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8A2-438E-8D50-D76382F286E6}"/>
                </c:ext>
              </c:extLst>
            </c:dLbl>
            <c:dLbl>
              <c:idx val="7"/>
              <c:layout>
                <c:manualLayout>
                  <c:x val="6.4102564102564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8A2-438E-8D50-D76382F286E6}"/>
                </c:ext>
              </c:extLst>
            </c:dLbl>
            <c:dLbl>
              <c:idx val="8"/>
              <c:layout>
                <c:manualLayout>
                  <c:x val="6.41025641025633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8A2-438E-8D50-D76382F286E6}"/>
                </c:ext>
              </c:extLst>
            </c:dLbl>
            <c:dLbl>
              <c:idx val="9"/>
              <c:layout>
                <c:manualLayout>
                  <c:x val="6.4102564102564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8A2-438E-8D50-D76382F286E6}"/>
                </c:ext>
              </c:extLst>
            </c:dLbl>
            <c:dLbl>
              <c:idx val="10"/>
              <c:layout>
                <c:manualLayout>
                  <c:x val="8.547008547008547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8A2-438E-8D50-D76382F286E6}"/>
                </c:ext>
              </c:extLst>
            </c:dLbl>
            <c:dLbl>
              <c:idx val="11"/>
              <c:layout>
                <c:manualLayout>
                  <c:x val="4.273504273504273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8A2-438E-8D50-D76382F286E6}"/>
                </c:ext>
              </c:extLst>
            </c:dLbl>
            <c:dLbl>
              <c:idx val="12"/>
              <c:layout>
                <c:manualLayout>
                  <c:x val="4.2735042735041169E-3"/>
                  <c:y val="-7.2106672753387568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8A2-438E-8D50-D76382F286E6}"/>
                </c:ext>
              </c:extLst>
            </c:dLbl>
            <c:dLbl>
              <c:idx val="13"/>
              <c:layout>
                <c:manualLayout>
                  <c:x val="6.410256410256253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8A2-438E-8D50-D76382F286E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Transport2!$N$124:$AA$125</c:f>
              <c:multiLvlStrCache>
                <c:ptCount val="14"/>
                <c:lvl>
                  <c:pt idx="0">
                    <c:v>2011</c:v>
                  </c:pt>
                  <c:pt idx="1">
                    <c:v>2016</c:v>
                  </c:pt>
                  <c:pt idx="2">
                    <c:v>2011</c:v>
                  </c:pt>
                  <c:pt idx="3">
                    <c:v>2016</c:v>
                  </c:pt>
                  <c:pt idx="4">
                    <c:v>2011</c:v>
                  </c:pt>
                  <c:pt idx="5">
                    <c:v>2016</c:v>
                  </c:pt>
                  <c:pt idx="6">
                    <c:v>2011</c:v>
                  </c:pt>
                  <c:pt idx="7">
                    <c:v>2016</c:v>
                  </c:pt>
                  <c:pt idx="8">
                    <c:v>2011</c:v>
                  </c:pt>
                  <c:pt idx="9">
                    <c:v>2016</c:v>
                  </c:pt>
                  <c:pt idx="10">
                    <c:v>2011</c:v>
                  </c:pt>
                  <c:pt idx="11">
                    <c:v>2016</c:v>
                  </c:pt>
                  <c:pt idx="12">
                    <c:v>2011</c:v>
                  </c:pt>
                  <c:pt idx="13">
                    <c:v>2016</c:v>
                  </c:pt>
                </c:lvl>
                <c:lvl>
                  <c:pt idx="0">
                    <c:v>Blindness or a serious vision impairment</c:v>
                  </c:pt>
                  <c:pt idx="2">
                    <c:v>Deafness or a serious hearing impairment</c:v>
                  </c:pt>
                  <c:pt idx="4">
                    <c:v>A condition that substantially limits one or more basic physical activities</c:v>
                  </c:pt>
                  <c:pt idx="6">
                    <c:v>An intellectual disability</c:v>
                  </c:pt>
                  <c:pt idx="8">
                    <c:v>Difficulty in learning, remembering or concentrating</c:v>
                  </c:pt>
                  <c:pt idx="10">
                    <c:v>Psychological or emotional condition</c:v>
                  </c:pt>
                  <c:pt idx="12">
                    <c:v>Other disability, including chronic illness</c:v>
                  </c:pt>
                </c:lvl>
              </c:multiLvlStrCache>
            </c:multiLvlStrRef>
          </c:cat>
          <c:val>
            <c:numRef>
              <c:f>Transport2!$N$127:$AA$127</c:f>
              <c:numCache>
                <c:formatCode>0.0</c:formatCode>
                <c:ptCount val="14"/>
                <c:pt idx="0">
                  <c:v>3.5851780558229067</c:v>
                </c:pt>
                <c:pt idx="1">
                  <c:v>3.9725410758496511</c:v>
                </c:pt>
                <c:pt idx="2">
                  <c:v>2.2539044013251299</c:v>
                </c:pt>
                <c:pt idx="3">
                  <c:v>2.4718986826712785</c:v>
                </c:pt>
                <c:pt idx="4">
                  <c:v>1.8173258003766477</c:v>
                </c:pt>
                <c:pt idx="5">
                  <c:v>1.7734032866496119</c:v>
                </c:pt>
                <c:pt idx="6">
                  <c:v>2.5955035642478523</c:v>
                </c:pt>
                <c:pt idx="7">
                  <c:v>3.0403172504957041</c:v>
                </c:pt>
                <c:pt idx="8">
                  <c:v>2.5831783426327757</c:v>
                </c:pt>
                <c:pt idx="9">
                  <c:v>2.8795657048445151</c:v>
                </c:pt>
                <c:pt idx="10">
                  <c:v>3.7461044329962472</c:v>
                </c:pt>
                <c:pt idx="11">
                  <c:v>4.316638370118846</c:v>
                </c:pt>
                <c:pt idx="12">
                  <c:v>2.9025411575747144</c:v>
                </c:pt>
                <c:pt idx="13">
                  <c:v>3.1752279734960309</c:v>
                </c:pt>
              </c:numCache>
            </c:numRef>
          </c:val>
          <c:extLst>
            <c:ext xmlns:c16="http://schemas.microsoft.com/office/drawing/2014/chart" uri="{C3380CC4-5D6E-409C-BE32-E72D297353CC}">
              <c16:uniqueId val="{0000000F-68A2-438E-8D50-D76382F286E6}"/>
            </c:ext>
          </c:extLst>
        </c:ser>
        <c:dLbls>
          <c:showLegendKey val="0"/>
          <c:showVal val="0"/>
          <c:showCatName val="0"/>
          <c:showSerName val="0"/>
          <c:showPercent val="0"/>
          <c:showBubbleSize val="0"/>
        </c:dLbls>
        <c:gapWidth val="219"/>
        <c:overlap val="-27"/>
        <c:axId val="144253312"/>
        <c:axId val="144254848"/>
      </c:barChart>
      <c:catAx>
        <c:axId val="144253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254848"/>
        <c:crosses val="autoZero"/>
        <c:auto val="1"/>
        <c:lblAlgn val="ctr"/>
        <c:lblOffset val="100"/>
        <c:noMultiLvlLbl val="0"/>
      </c:catAx>
      <c:valAx>
        <c:axId val="144254848"/>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E"/>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253312"/>
        <c:crosses val="autoZero"/>
        <c:crossBetween val="between"/>
      </c:valAx>
      <c:spPr>
        <a:noFill/>
        <a:ln>
          <a:noFill/>
        </a:ln>
        <a:effectLst/>
      </c:spPr>
    </c:plotArea>
    <c:legend>
      <c:legendPos val="b"/>
      <c:layout>
        <c:manualLayout>
          <c:xMode val="edge"/>
          <c:yMode val="edge"/>
          <c:x val="0.27879223627852201"/>
          <c:y val="0.93362785404036885"/>
          <c:w val="0.43820278389371947"/>
          <c:h val="6.637214595963114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762E2-05DA-4142-A48E-26CDDAB88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0</TotalTime>
  <Pages>5</Pages>
  <Words>10113</Words>
  <Characters>57649</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67627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E. Wilkinson</dc:creator>
  <cp:lastModifiedBy>tammingre</cp:lastModifiedBy>
  <cp:revision>2</cp:revision>
  <cp:lastPrinted>2021-05-27T09:56:00Z</cp:lastPrinted>
  <dcterms:created xsi:type="dcterms:W3CDTF">2022-07-03T18:52:00Z</dcterms:created>
  <dcterms:modified xsi:type="dcterms:W3CDTF">2022-07-03T18:52:00Z</dcterms:modified>
</cp:coreProperties>
</file>