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941D" w14:textId="0072A568" w:rsidR="00034D95" w:rsidRDefault="00EB757C" w:rsidP="00EB757C">
      <w:pPr>
        <w:pStyle w:val="Title"/>
        <w:spacing w:before="840" w:after="2880"/>
        <w:jc w:val="left"/>
        <w:rPr>
          <w:sz w:val="48"/>
          <w:szCs w:val="48"/>
        </w:rPr>
      </w:pPr>
      <w:bookmarkStart w:id="0" w:name="_Toc101857178"/>
      <w:bookmarkStart w:id="1" w:name="_GoBack"/>
      <w:bookmarkEnd w:id="1"/>
      <w:r>
        <w:rPr>
          <w:sz w:val="48"/>
          <w:szCs w:val="48"/>
        </w:rPr>
        <w:t xml:space="preserve">Comprehensive Employment Strategy </w:t>
      </w:r>
      <w:r w:rsidR="00EB481D" w:rsidRPr="00167D17">
        <w:rPr>
          <w:sz w:val="48"/>
          <w:szCs w:val="48"/>
        </w:rPr>
        <w:t xml:space="preserve">NDA </w:t>
      </w:r>
      <w:r>
        <w:rPr>
          <w:sz w:val="48"/>
          <w:szCs w:val="48"/>
        </w:rPr>
        <w:t>Year-end A</w:t>
      </w:r>
      <w:r w:rsidR="00EB481D" w:rsidRPr="00167D17">
        <w:rPr>
          <w:sz w:val="48"/>
          <w:szCs w:val="48"/>
        </w:rPr>
        <w:t>ssessment 2021</w:t>
      </w:r>
      <w:bookmarkEnd w:id="0"/>
    </w:p>
    <w:p w14:paraId="49402A5F" w14:textId="1CAEA01B" w:rsidR="00DE74ED" w:rsidRDefault="00DE74ED" w:rsidP="00DE74ED">
      <w:r>
        <w:t>April 2022</w:t>
      </w:r>
    </w:p>
    <w:p w14:paraId="7240E2A7" w14:textId="77777777" w:rsidR="00DE74ED" w:rsidRPr="00DE74ED" w:rsidRDefault="00DE74ED" w:rsidP="00DE74ED"/>
    <w:p w14:paraId="3F88CBAA" w14:textId="77777777" w:rsidR="00EB757C" w:rsidRDefault="00EB757C">
      <w:pPr>
        <w:spacing w:after="0"/>
      </w:pPr>
      <w:r>
        <w:rPr>
          <w:noProof/>
          <w:lang w:eastAsia="en-IE"/>
        </w:rPr>
        <w:drawing>
          <wp:inline distT="0" distB="0" distL="0" distR="0" wp14:anchorId="4E9B2D9C" wp14:editId="32318F17">
            <wp:extent cx="2524125" cy="1800225"/>
            <wp:effectExtent l="0" t="0" r="9525" b="9525"/>
            <wp:docPr id="1" name="Picture 1" descr="Logo of National Disability Authority" title="Logo"/>
            <wp:cNvGraphicFramePr/>
            <a:graphic xmlns:a="http://schemas.openxmlformats.org/drawingml/2006/main">
              <a:graphicData uri="http://schemas.openxmlformats.org/drawingml/2006/picture">
                <pic:pic xmlns:pic="http://schemas.openxmlformats.org/drawingml/2006/picture">
                  <pic:nvPicPr>
                    <pic:cNvPr id="1" name="Picture 1" descr="Logo of National Disability Authority" title="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7DFA1C42" w14:textId="77777777" w:rsidR="00150E6A" w:rsidRPr="00150E6A" w:rsidRDefault="00150E6A" w:rsidP="004B5E45">
      <w:pPr>
        <w:spacing w:after="0"/>
      </w:pPr>
    </w:p>
    <w:p w14:paraId="7F1B1891" w14:textId="77777777" w:rsidR="00150E6A" w:rsidRDefault="00150E6A">
      <w:pPr>
        <w:spacing w:after="0"/>
      </w:pPr>
      <w:r>
        <w:br w:type="page"/>
      </w:r>
    </w:p>
    <w:sdt>
      <w:sdtPr>
        <w:rPr>
          <w:rFonts w:ascii="Gill Sans MT" w:eastAsia="Times New Roman" w:hAnsi="Gill Sans MT" w:cs="Times New Roman"/>
          <w:color w:val="auto"/>
          <w:sz w:val="26"/>
          <w:szCs w:val="24"/>
          <w:lang w:val="en-IE"/>
        </w:rPr>
        <w:id w:val="1232815637"/>
        <w:docPartObj>
          <w:docPartGallery w:val="Table of Contents"/>
          <w:docPartUnique/>
        </w:docPartObj>
      </w:sdtPr>
      <w:sdtEndPr>
        <w:rPr>
          <w:b/>
          <w:bCs/>
          <w:noProof/>
        </w:rPr>
      </w:sdtEndPr>
      <w:sdtContent>
        <w:p w14:paraId="4D8A77F9" w14:textId="77777777" w:rsidR="000C717D" w:rsidRDefault="000C717D">
          <w:pPr>
            <w:pStyle w:val="TOCHeading"/>
          </w:pPr>
          <w:r>
            <w:t>Contents</w:t>
          </w:r>
        </w:p>
        <w:p w14:paraId="2FEEA92A" w14:textId="63094FB7" w:rsidR="001E0B6C" w:rsidRDefault="000C717D">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01857178" w:history="1"/>
        </w:p>
        <w:p w14:paraId="71DC7E25" w14:textId="580CF20A"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79" w:history="1">
            <w:r w:rsidR="001E0B6C" w:rsidRPr="004E459A">
              <w:rPr>
                <w:rStyle w:val="Hyperlink"/>
                <w:noProof/>
              </w:rPr>
              <w:t>List of Acronyms</w:t>
            </w:r>
            <w:r w:rsidR="001E0B6C">
              <w:rPr>
                <w:noProof/>
                <w:webHidden/>
              </w:rPr>
              <w:tab/>
            </w:r>
            <w:r w:rsidR="001E0B6C">
              <w:rPr>
                <w:noProof/>
                <w:webHidden/>
              </w:rPr>
              <w:fldChar w:fldCharType="begin"/>
            </w:r>
            <w:r w:rsidR="001E0B6C">
              <w:rPr>
                <w:noProof/>
                <w:webHidden/>
              </w:rPr>
              <w:instrText xml:space="preserve"> PAGEREF _Toc101857179 \h </w:instrText>
            </w:r>
            <w:r w:rsidR="001E0B6C">
              <w:rPr>
                <w:noProof/>
                <w:webHidden/>
              </w:rPr>
            </w:r>
            <w:r w:rsidR="001E0B6C">
              <w:rPr>
                <w:noProof/>
                <w:webHidden/>
              </w:rPr>
              <w:fldChar w:fldCharType="separate"/>
            </w:r>
            <w:r w:rsidR="001E0B6C">
              <w:rPr>
                <w:noProof/>
                <w:webHidden/>
              </w:rPr>
              <w:t>4</w:t>
            </w:r>
            <w:r w:rsidR="001E0B6C">
              <w:rPr>
                <w:noProof/>
                <w:webHidden/>
              </w:rPr>
              <w:fldChar w:fldCharType="end"/>
            </w:r>
          </w:hyperlink>
        </w:p>
        <w:p w14:paraId="32E03762" w14:textId="68141BB5" w:rsidR="001E0B6C" w:rsidRDefault="00C9729D">
          <w:pPr>
            <w:pStyle w:val="TOC1"/>
            <w:tabs>
              <w:tab w:val="right" w:leader="dot" w:pos="8630"/>
            </w:tabs>
            <w:rPr>
              <w:rFonts w:asciiTheme="minorHAnsi" w:eastAsiaTheme="minorEastAsia" w:hAnsiTheme="minorHAnsi" w:cstheme="minorBidi"/>
              <w:b w:val="0"/>
              <w:noProof/>
              <w:sz w:val="22"/>
              <w:szCs w:val="22"/>
              <w:lang w:eastAsia="en-IE"/>
            </w:rPr>
          </w:pPr>
          <w:hyperlink w:anchor="_Toc101857180" w:history="1">
            <w:r w:rsidR="001E0B6C" w:rsidRPr="004E459A">
              <w:rPr>
                <w:rStyle w:val="Hyperlink"/>
                <w:noProof/>
              </w:rPr>
              <w:t>Introduction</w:t>
            </w:r>
            <w:r w:rsidR="001E0B6C">
              <w:rPr>
                <w:noProof/>
                <w:webHidden/>
              </w:rPr>
              <w:tab/>
            </w:r>
            <w:r w:rsidR="001E0B6C">
              <w:rPr>
                <w:noProof/>
                <w:webHidden/>
              </w:rPr>
              <w:fldChar w:fldCharType="begin"/>
            </w:r>
            <w:r w:rsidR="001E0B6C">
              <w:rPr>
                <w:noProof/>
                <w:webHidden/>
              </w:rPr>
              <w:instrText xml:space="preserve"> PAGEREF _Toc101857180 \h </w:instrText>
            </w:r>
            <w:r w:rsidR="001E0B6C">
              <w:rPr>
                <w:noProof/>
                <w:webHidden/>
              </w:rPr>
            </w:r>
            <w:r w:rsidR="001E0B6C">
              <w:rPr>
                <w:noProof/>
                <w:webHidden/>
              </w:rPr>
              <w:fldChar w:fldCharType="separate"/>
            </w:r>
            <w:r w:rsidR="001E0B6C">
              <w:rPr>
                <w:noProof/>
                <w:webHidden/>
              </w:rPr>
              <w:t>5</w:t>
            </w:r>
            <w:r w:rsidR="001E0B6C">
              <w:rPr>
                <w:noProof/>
                <w:webHidden/>
              </w:rPr>
              <w:fldChar w:fldCharType="end"/>
            </w:r>
          </w:hyperlink>
        </w:p>
        <w:p w14:paraId="5EB9760E" w14:textId="64AF16A4" w:rsidR="001E0B6C" w:rsidRDefault="00C9729D">
          <w:pPr>
            <w:pStyle w:val="TOC1"/>
            <w:tabs>
              <w:tab w:val="right" w:leader="dot" w:pos="8630"/>
            </w:tabs>
            <w:rPr>
              <w:rFonts w:asciiTheme="minorHAnsi" w:eastAsiaTheme="minorEastAsia" w:hAnsiTheme="minorHAnsi" w:cstheme="minorBidi"/>
              <w:b w:val="0"/>
              <w:noProof/>
              <w:sz w:val="22"/>
              <w:szCs w:val="22"/>
              <w:lang w:eastAsia="en-IE"/>
            </w:rPr>
          </w:pPr>
          <w:hyperlink w:anchor="_Toc101857181" w:history="1">
            <w:r w:rsidR="001E0B6C" w:rsidRPr="004E459A">
              <w:rPr>
                <w:rStyle w:val="Hyperlink"/>
                <w:noProof/>
              </w:rPr>
              <w:t>The 2021 Context</w:t>
            </w:r>
            <w:r w:rsidR="001E0B6C">
              <w:rPr>
                <w:noProof/>
                <w:webHidden/>
              </w:rPr>
              <w:tab/>
            </w:r>
            <w:r w:rsidR="001E0B6C">
              <w:rPr>
                <w:noProof/>
                <w:webHidden/>
              </w:rPr>
              <w:fldChar w:fldCharType="begin"/>
            </w:r>
            <w:r w:rsidR="001E0B6C">
              <w:rPr>
                <w:noProof/>
                <w:webHidden/>
              </w:rPr>
              <w:instrText xml:space="preserve"> PAGEREF _Toc101857181 \h </w:instrText>
            </w:r>
            <w:r w:rsidR="001E0B6C">
              <w:rPr>
                <w:noProof/>
                <w:webHidden/>
              </w:rPr>
            </w:r>
            <w:r w:rsidR="001E0B6C">
              <w:rPr>
                <w:noProof/>
                <w:webHidden/>
              </w:rPr>
              <w:fldChar w:fldCharType="separate"/>
            </w:r>
            <w:r w:rsidR="001E0B6C">
              <w:rPr>
                <w:noProof/>
                <w:webHidden/>
              </w:rPr>
              <w:t>7</w:t>
            </w:r>
            <w:r w:rsidR="001E0B6C">
              <w:rPr>
                <w:noProof/>
                <w:webHidden/>
              </w:rPr>
              <w:fldChar w:fldCharType="end"/>
            </w:r>
          </w:hyperlink>
        </w:p>
        <w:p w14:paraId="0BF2CD8F" w14:textId="5EF7CA3D"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82" w:history="1">
            <w:r w:rsidR="001E0B6C" w:rsidRPr="004E459A">
              <w:rPr>
                <w:rStyle w:val="Hyperlink"/>
                <w:noProof/>
              </w:rPr>
              <w:t>Evidence base for assessment</w:t>
            </w:r>
            <w:r w:rsidR="001E0B6C">
              <w:rPr>
                <w:noProof/>
                <w:webHidden/>
              </w:rPr>
              <w:tab/>
            </w:r>
            <w:r w:rsidR="001E0B6C">
              <w:rPr>
                <w:noProof/>
                <w:webHidden/>
              </w:rPr>
              <w:fldChar w:fldCharType="begin"/>
            </w:r>
            <w:r w:rsidR="001E0B6C">
              <w:rPr>
                <w:noProof/>
                <w:webHidden/>
              </w:rPr>
              <w:instrText xml:space="preserve"> PAGEREF _Toc101857182 \h </w:instrText>
            </w:r>
            <w:r w:rsidR="001E0B6C">
              <w:rPr>
                <w:noProof/>
                <w:webHidden/>
              </w:rPr>
            </w:r>
            <w:r w:rsidR="001E0B6C">
              <w:rPr>
                <w:noProof/>
                <w:webHidden/>
              </w:rPr>
              <w:fldChar w:fldCharType="separate"/>
            </w:r>
            <w:r w:rsidR="001E0B6C">
              <w:rPr>
                <w:noProof/>
                <w:webHidden/>
              </w:rPr>
              <w:t>7</w:t>
            </w:r>
            <w:r w:rsidR="001E0B6C">
              <w:rPr>
                <w:noProof/>
                <w:webHidden/>
              </w:rPr>
              <w:fldChar w:fldCharType="end"/>
            </w:r>
          </w:hyperlink>
        </w:p>
        <w:p w14:paraId="7CC48B96" w14:textId="0B3D2D5B"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83" w:history="1">
            <w:r w:rsidR="001E0B6C" w:rsidRPr="004E459A">
              <w:rPr>
                <w:rStyle w:val="Hyperlink"/>
                <w:noProof/>
              </w:rPr>
              <w:t>Mainstream policy and strategy developments during 2021</w:t>
            </w:r>
            <w:r w:rsidR="001E0B6C">
              <w:rPr>
                <w:noProof/>
                <w:webHidden/>
              </w:rPr>
              <w:tab/>
            </w:r>
            <w:r w:rsidR="001E0B6C">
              <w:rPr>
                <w:noProof/>
                <w:webHidden/>
              </w:rPr>
              <w:fldChar w:fldCharType="begin"/>
            </w:r>
            <w:r w:rsidR="001E0B6C">
              <w:rPr>
                <w:noProof/>
                <w:webHidden/>
              </w:rPr>
              <w:instrText xml:space="preserve"> PAGEREF _Toc101857183 \h </w:instrText>
            </w:r>
            <w:r w:rsidR="001E0B6C">
              <w:rPr>
                <w:noProof/>
                <w:webHidden/>
              </w:rPr>
            </w:r>
            <w:r w:rsidR="001E0B6C">
              <w:rPr>
                <w:noProof/>
                <w:webHidden/>
              </w:rPr>
              <w:fldChar w:fldCharType="separate"/>
            </w:r>
            <w:r w:rsidR="001E0B6C">
              <w:rPr>
                <w:noProof/>
                <w:webHidden/>
              </w:rPr>
              <w:t>8</w:t>
            </w:r>
            <w:r w:rsidR="001E0B6C">
              <w:rPr>
                <w:noProof/>
                <w:webHidden/>
              </w:rPr>
              <w:fldChar w:fldCharType="end"/>
            </w:r>
          </w:hyperlink>
        </w:p>
        <w:p w14:paraId="1B2BF2E1" w14:textId="611841E9"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84" w:history="1">
            <w:r w:rsidR="001E0B6C" w:rsidRPr="004E459A">
              <w:rPr>
                <w:rStyle w:val="Hyperlink"/>
                <w:noProof/>
                <w:shd w:val="clear" w:color="auto" w:fill="FFFFFF"/>
              </w:rPr>
              <w:t>Experiences of disabled people during COVID-19</w:t>
            </w:r>
            <w:r w:rsidR="001E0B6C">
              <w:rPr>
                <w:noProof/>
                <w:webHidden/>
              </w:rPr>
              <w:tab/>
            </w:r>
            <w:r w:rsidR="001E0B6C">
              <w:rPr>
                <w:noProof/>
                <w:webHidden/>
              </w:rPr>
              <w:fldChar w:fldCharType="begin"/>
            </w:r>
            <w:r w:rsidR="001E0B6C">
              <w:rPr>
                <w:noProof/>
                <w:webHidden/>
              </w:rPr>
              <w:instrText xml:space="preserve"> PAGEREF _Toc101857184 \h </w:instrText>
            </w:r>
            <w:r w:rsidR="001E0B6C">
              <w:rPr>
                <w:noProof/>
                <w:webHidden/>
              </w:rPr>
            </w:r>
            <w:r w:rsidR="001E0B6C">
              <w:rPr>
                <w:noProof/>
                <w:webHidden/>
              </w:rPr>
              <w:fldChar w:fldCharType="separate"/>
            </w:r>
            <w:r w:rsidR="001E0B6C">
              <w:rPr>
                <w:noProof/>
                <w:webHidden/>
              </w:rPr>
              <w:t>9</w:t>
            </w:r>
            <w:r w:rsidR="001E0B6C">
              <w:rPr>
                <w:noProof/>
                <w:webHidden/>
              </w:rPr>
              <w:fldChar w:fldCharType="end"/>
            </w:r>
          </w:hyperlink>
        </w:p>
        <w:p w14:paraId="00115F1C" w14:textId="73613C08" w:rsidR="001E0B6C" w:rsidRDefault="00C9729D">
          <w:pPr>
            <w:pStyle w:val="TOC1"/>
            <w:tabs>
              <w:tab w:val="right" w:leader="dot" w:pos="8630"/>
            </w:tabs>
            <w:rPr>
              <w:rFonts w:asciiTheme="minorHAnsi" w:eastAsiaTheme="minorEastAsia" w:hAnsiTheme="minorHAnsi" w:cstheme="minorBidi"/>
              <w:b w:val="0"/>
              <w:noProof/>
              <w:sz w:val="22"/>
              <w:szCs w:val="22"/>
              <w:lang w:eastAsia="en-IE"/>
            </w:rPr>
          </w:pPr>
          <w:hyperlink w:anchor="_Toc101857185" w:history="1">
            <w:r w:rsidR="001E0B6C" w:rsidRPr="004E459A">
              <w:rPr>
                <w:rStyle w:val="Hyperlink"/>
                <w:noProof/>
                <w:lang w:eastAsia="en-IE"/>
              </w:rPr>
              <w:t>Key Developments during 2021</w:t>
            </w:r>
            <w:r w:rsidR="001E0B6C">
              <w:rPr>
                <w:noProof/>
                <w:webHidden/>
              </w:rPr>
              <w:tab/>
            </w:r>
            <w:r w:rsidR="001E0B6C">
              <w:rPr>
                <w:noProof/>
                <w:webHidden/>
              </w:rPr>
              <w:fldChar w:fldCharType="begin"/>
            </w:r>
            <w:r w:rsidR="001E0B6C">
              <w:rPr>
                <w:noProof/>
                <w:webHidden/>
              </w:rPr>
              <w:instrText xml:space="preserve"> PAGEREF _Toc101857185 \h </w:instrText>
            </w:r>
            <w:r w:rsidR="001E0B6C">
              <w:rPr>
                <w:noProof/>
                <w:webHidden/>
              </w:rPr>
            </w:r>
            <w:r w:rsidR="001E0B6C">
              <w:rPr>
                <w:noProof/>
                <w:webHidden/>
              </w:rPr>
              <w:fldChar w:fldCharType="separate"/>
            </w:r>
            <w:r w:rsidR="001E0B6C">
              <w:rPr>
                <w:noProof/>
                <w:webHidden/>
              </w:rPr>
              <w:t>11</w:t>
            </w:r>
            <w:r w:rsidR="001E0B6C">
              <w:rPr>
                <w:noProof/>
                <w:webHidden/>
              </w:rPr>
              <w:fldChar w:fldCharType="end"/>
            </w:r>
          </w:hyperlink>
        </w:p>
        <w:p w14:paraId="357A5F95" w14:textId="323EE4BA"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86" w:history="1">
            <w:r w:rsidR="001E0B6C" w:rsidRPr="004E459A">
              <w:rPr>
                <w:rStyle w:val="Hyperlink"/>
                <w:noProof/>
              </w:rPr>
              <w:t>Actions progressed in 2021</w:t>
            </w:r>
            <w:r w:rsidR="001E0B6C">
              <w:rPr>
                <w:noProof/>
                <w:webHidden/>
              </w:rPr>
              <w:tab/>
            </w:r>
            <w:r w:rsidR="001E0B6C">
              <w:rPr>
                <w:noProof/>
                <w:webHidden/>
              </w:rPr>
              <w:fldChar w:fldCharType="begin"/>
            </w:r>
            <w:r w:rsidR="001E0B6C">
              <w:rPr>
                <w:noProof/>
                <w:webHidden/>
              </w:rPr>
              <w:instrText xml:space="preserve"> PAGEREF _Toc101857186 \h </w:instrText>
            </w:r>
            <w:r w:rsidR="001E0B6C">
              <w:rPr>
                <w:noProof/>
                <w:webHidden/>
              </w:rPr>
            </w:r>
            <w:r w:rsidR="001E0B6C">
              <w:rPr>
                <w:noProof/>
                <w:webHidden/>
              </w:rPr>
              <w:fldChar w:fldCharType="separate"/>
            </w:r>
            <w:r w:rsidR="001E0B6C">
              <w:rPr>
                <w:noProof/>
                <w:webHidden/>
              </w:rPr>
              <w:t>11</w:t>
            </w:r>
            <w:r w:rsidR="001E0B6C">
              <w:rPr>
                <w:noProof/>
                <w:webHidden/>
              </w:rPr>
              <w:fldChar w:fldCharType="end"/>
            </w:r>
          </w:hyperlink>
        </w:p>
        <w:p w14:paraId="32B1A9A1" w14:textId="3CFE6E29"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87" w:history="1">
            <w:r w:rsidR="001E0B6C" w:rsidRPr="004E459A">
              <w:rPr>
                <w:rStyle w:val="Hyperlink"/>
                <w:noProof/>
              </w:rPr>
              <w:t>Actions with slow progress during 2021</w:t>
            </w:r>
            <w:r w:rsidR="001E0B6C">
              <w:rPr>
                <w:noProof/>
                <w:webHidden/>
              </w:rPr>
              <w:tab/>
            </w:r>
            <w:r w:rsidR="001E0B6C">
              <w:rPr>
                <w:noProof/>
                <w:webHidden/>
              </w:rPr>
              <w:fldChar w:fldCharType="begin"/>
            </w:r>
            <w:r w:rsidR="001E0B6C">
              <w:rPr>
                <w:noProof/>
                <w:webHidden/>
              </w:rPr>
              <w:instrText xml:space="preserve"> PAGEREF _Toc101857187 \h </w:instrText>
            </w:r>
            <w:r w:rsidR="001E0B6C">
              <w:rPr>
                <w:noProof/>
                <w:webHidden/>
              </w:rPr>
            </w:r>
            <w:r w:rsidR="001E0B6C">
              <w:rPr>
                <w:noProof/>
                <w:webHidden/>
              </w:rPr>
              <w:fldChar w:fldCharType="separate"/>
            </w:r>
            <w:r w:rsidR="001E0B6C">
              <w:rPr>
                <w:noProof/>
                <w:webHidden/>
              </w:rPr>
              <w:t>14</w:t>
            </w:r>
            <w:r w:rsidR="001E0B6C">
              <w:rPr>
                <w:noProof/>
                <w:webHidden/>
              </w:rPr>
              <w:fldChar w:fldCharType="end"/>
            </w:r>
          </w:hyperlink>
        </w:p>
        <w:p w14:paraId="64C54613" w14:textId="792CDC59" w:rsidR="001E0B6C" w:rsidRDefault="00C9729D">
          <w:pPr>
            <w:pStyle w:val="TOC1"/>
            <w:tabs>
              <w:tab w:val="right" w:leader="dot" w:pos="8630"/>
            </w:tabs>
            <w:rPr>
              <w:rFonts w:asciiTheme="minorHAnsi" w:eastAsiaTheme="minorEastAsia" w:hAnsiTheme="minorHAnsi" w:cstheme="minorBidi"/>
              <w:b w:val="0"/>
              <w:noProof/>
              <w:sz w:val="22"/>
              <w:szCs w:val="22"/>
              <w:lang w:eastAsia="en-IE"/>
            </w:rPr>
          </w:pPr>
          <w:hyperlink w:anchor="_Toc101857188" w:history="1">
            <w:r w:rsidR="001E0B6C" w:rsidRPr="004E459A">
              <w:rPr>
                <w:rStyle w:val="Hyperlink"/>
                <w:noProof/>
                <w:lang w:val="en-US"/>
              </w:rPr>
              <w:t>Strategic Priorities 1- 6 progress during 2021</w:t>
            </w:r>
            <w:r w:rsidR="001E0B6C">
              <w:rPr>
                <w:noProof/>
                <w:webHidden/>
              </w:rPr>
              <w:tab/>
            </w:r>
            <w:r w:rsidR="001E0B6C">
              <w:rPr>
                <w:noProof/>
                <w:webHidden/>
              </w:rPr>
              <w:fldChar w:fldCharType="begin"/>
            </w:r>
            <w:r w:rsidR="001E0B6C">
              <w:rPr>
                <w:noProof/>
                <w:webHidden/>
              </w:rPr>
              <w:instrText xml:space="preserve"> PAGEREF _Toc101857188 \h </w:instrText>
            </w:r>
            <w:r w:rsidR="001E0B6C">
              <w:rPr>
                <w:noProof/>
                <w:webHidden/>
              </w:rPr>
            </w:r>
            <w:r w:rsidR="001E0B6C">
              <w:rPr>
                <w:noProof/>
                <w:webHidden/>
              </w:rPr>
              <w:fldChar w:fldCharType="separate"/>
            </w:r>
            <w:r w:rsidR="001E0B6C">
              <w:rPr>
                <w:noProof/>
                <w:webHidden/>
              </w:rPr>
              <w:t>15</w:t>
            </w:r>
            <w:r w:rsidR="001E0B6C">
              <w:rPr>
                <w:noProof/>
                <w:webHidden/>
              </w:rPr>
              <w:fldChar w:fldCharType="end"/>
            </w:r>
          </w:hyperlink>
        </w:p>
        <w:p w14:paraId="7F1E36C4" w14:textId="1B50B2C5"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89" w:history="1">
            <w:r w:rsidR="001E0B6C" w:rsidRPr="004E459A">
              <w:rPr>
                <w:rStyle w:val="Hyperlink"/>
                <w:noProof/>
              </w:rPr>
              <w:t>Vision and underpinning values</w:t>
            </w:r>
            <w:r w:rsidR="001E0B6C">
              <w:rPr>
                <w:noProof/>
                <w:webHidden/>
              </w:rPr>
              <w:tab/>
            </w:r>
            <w:r w:rsidR="001E0B6C">
              <w:rPr>
                <w:noProof/>
                <w:webHidden/>
              </w:rPr>
              <w:fldChar w:fldCharType="begin"/>
            </w:r>
            <w:r w:rsidR="001E0B6C">
              <w:rPr>
                <w:noProof/>
                <w:webHidden/>
              </w:rPr>
              <w:instrText xml:space="preserve"> PAGEREF _Toc101857189 \h </w:instrText>
            </w:r>
            <w:r w:rsidR="001E0B6C">
              <w:rPr>
                <w:noProof/>
                <w:webHidden/>
              </w:rPr>
            </w:r>
            <w:r w:rsidR="001E0B6C">
              <w:rPr>
                <w:noProof/>
                <w:webHidden/>
              </w:rPr>
              <w:fldChar w:fldCharType="separate"/>
            </w:r>
            <w:r w:rsidR="001E0B6C">
              <w:rPr>
                <w:noProof/>
                <w:webHidden/>
              </w:rPr>
              <w:t>15</w:t>
            </w:r>
            <w:r w:rsidR="001E0B6C">
              <w:rPr>
                <w:noProof/>
                <w:webHidden/>
              </w:rPr>
              <w:fldChar w:fldCharType="end"/>
            </w:r>
          </w:hyperlink>
        </w:p>
        <w:p w14:paraId="452804AC" w14:textId="47C7F9AA"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90" w:history="1">
            <w:r w:rsidR="001E0B6C" w:rsidRPr="004E459A">
              <w:rPr>
                <w:rStyle w:val="Hyperlink"/>
                <w:noProof/>
              </w:rPr>
              <w:t>SP1 Build skills, capacity and independence</w:t>
            </w:r>
            <w:r w:rsidR="001E0B6C">
              <w:rPr>
                <w:noProof/>
                <w:webHidden/>
              </w:rPr>
              <w:tab/>
            </w:r>
            <w:r w:rsidR="001E0B6C">
              <w:rPr>
                <w:noProof/>
                <w:webHidden/>
              </w:rPr>
              <w:fldChar w:fldCharType="begin"/>
            </w:r>
            <w:r w:rsidR="001E0B6C">
              <w:rPr>
                <w:noProof/>
                <w:webHidden/>
              </w:rPr>
              <w:instrText xml:space="preserve"> PAGEREF _Toc101857190 \h </w:instrText>
            </w:r>
            <w:r w:rsidR="001E0B6C">
              <w:rPr>
                <w:noProof/>
                <w:webHidden/>
              </w:rPr>
            </w:r>
            <w:r w:rsidR="001E0B6C">
              <w:rPr>
                <w:noProof/>
                <w:webHidden/>
              </w:rPr>
              <w:fldChar w:fldCharType="separate"/>
            </w:r>
            <w:r w:rsidR="001E0B6C">
              <w:rPr>
                <w:noProof/>
                <w:webHidden/>
              </w:rPr>
              <w:t>15</w:t>
            </w:r>
            <w:r w:rsidR="001E0B6C">
              <w:rPr>
                <w:noProof/>
                <w:webHidden/>
              </w:rPr>
              <w:fldChar w:fldCharType="end"/>
            </w:r>
          </w:hyperlink>
        </w:p>
        <w:p w14:paraId="2B4823E9" w14:textId="2FDE052B"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1" w:history="1">
            <w:r w:rsidR="001E0B6C" w:rsidRPr="004E459A">
              <w:rPr>
                <w:rStyle w:val="Hyperlink"/>
                <w:noProof/>
              </w:rPr>
              <w:t>Early years transition to primary education</w:t>
            </w:r>
            <w:r w:rsidR="001E0B6C">
              <w:rPr>
                <w:noProof/>
                <w:webHidden/>
              </w:rPr>
              <w:tab/>
            </w:r>
            <w:r w:rsidR="001E0B6C">
              <w:rPr>
                <w:noProof/>
                <w:webHidden/>
              </w:rPr>
              <w:fldChar w:fldCharType="begin"/>
            </w:r>
            <w:r w:rsidR="001E0B6C">
              <w:rPr>
                <w:noProof/>
                <w:webHidden/>
              </w:rPr>
              <w:instrText xml:space="preserve"> PAGEREF _Toc101857191 \h </w:instrText>
            </w:r>
            <w:r w:rsidR="001E0B6C">
              <w:rPr>
                <w:noProof/>
                <w:webHidden/>
              </w:rPr>
            </w:r>
            <w:r w:rsidR="001E0B6C">
              <w:rPr>
                <w:noProof/>
                <w:webHidden/>
              </w:rPr>
              <w:fldChar w:fldCharType="separate"/>
            </w:r>
            <w:r w:rsidR="001E0B6C">
              <w:rPr>
                <w:noProof/>
                <w:webHidden/>
              </w:rPr>
              <w:t>16</w:t>
            </w:r>
            <w:r w:rsidR="001E0B6C">
              <w:rPr>
                <w:noProof/>
                <w:webHidden/>
              </w:rPr>
              <w:fldChar w:fldCharType="end"/>
            </w:r>
          </w:hyperlink>
        </w:p>
        <w:p w14:paraId="09966AEE" w14:textId="2C59302D"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2" w:history="1">
            <w:r w:rsidR="001E0B6C" w:rsidRPr="004E459A">
              <w:rPr>
                <w:rStyle w:val="Hyperlink"/>
                <w:noProof/>
              </w:rPr>
              <w:t>Providing a transition programme for all school leavers (CES action 1.3)</w:t>
            </w:r>
            <w:r w:rsidR="001E0B6C">
              <w:rPr>
                <w:noProof/>
                <w:webHidden/>
              </w:rPr>
              <w:tab/>
            </w:r>
            <w:r w:rsidR="001E0B6C">
              <w:rPr>
                <w:noProof/>
                <w:webHidden/>
              </w:rPr>
              <w:fldChar w:fldCharType="begin"/>
            </w:r>
            <w:r w:rsidR="001E0B6C">
              <w:rPr>
                <w:noProof/>
                <w:webHidden/>
              </w:rPr>
              <w:instrText xml:space="preserve"> PAGEREF _Toc101857192 \h </w:instrText>
            </w:r>
            <w:r w:rsidR="001E0B6C">
              <w:rPr>
                <w:noProof/>
                <w:webHidden/>
              </w:rPr>
            </w:r>
            <w:r w:rsidR="001E0B6C">
              <w:rPr>
                <w:noProof/>
                <w:webHidden/>
              </w:rPr>
              <w:fldChar w:fldCharType="separate"/>
            </w:r>
            <w:r w:rsidR="001E0B6C">
              <w:rPr>
                <w:noProof/>
                <w:webHidden/>
              </w:rPr>
              <w:t>16</w:t>
            </w:r>
            <w:r w:rsidR="001E0B6C">
              <w:rPr>
                <w:noProof/>
                <w:webHidden/>
              </w:rPr>
              <w:fldChar w:fldCharType="end"/>
            </w:r>
          </w:hyperlink>
        </w:p>
        <w:p w14:paraId="6A90D24C" w14:textId="60707F24"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3" w:history="1">
            <w:r w:rsidR="001E0B6C" w:rsidRPr="004E459A">
              <w:rPr>
                <w:rStyle w:val="Hyperlink"/>
                <w:noProof/>
              </w:rPr>
              <w:t>Additional progress during 2021</w:t>
            </w:r>
            <w:r w:rsidR="001E0B6C">
              <w:rPr>
                <w:noProof/>
                <w:webHidden/>
              </w:rPr>
              <w:tab/>
            </w:r>
            <w:r w:rsidR="001E0B6C">
              <w:rPr>
                <w:noProof/>
                <w:webHidden/>
              </w:rPr>
              <w:fldChar w:fldCharType="begin"/>
            </w:r>
            <w:r w:rsidR="001E0B6C">
              <w:rPr>
                <w:noProof/>
                <w:webHidden/>
              </w:rPr>
              <w:instrText xml:space="preserve"> PAGEREF _Toc101857193 \h </w:instrText>
            </w:r>
            <w:r w:rsidR="001E0B6C">
              <w:rPr>
                <w:noProof/>
                <w:webHidden/>
              </w:rPr>
            </w:r>
            <w:r w:rsidR="001E0B6C">
              <w:rPr>
                <w:noProof/>
                <w:webHidden/>
              </w:rPr>
              <w:fldChar w:fldCharType="separate"/>
            </w:r>
            <w:r w:rsidR="001E0B6C">
              <w:rPr>
                <w:noProof/>
                <w:webHidden/>
              </w:rPr>
              <w:t>17</w:t>
            </w:r>
            <w:r w:rsidR="001E0B6C">
              <w:rPr>
                <w:noProof/>
                <w:webHidden/>
              </w:rPr>
              <w:fldChar w:fldCharType="end"/>
            </w:r>
          </w:hyperlink>
        </w:p>
        <w:p w14:paraId="50E0A365" w14:textId="5F0B86DE"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194" w:history="1">
            <w:r w:rsidR="001E0B6C" w:rsidRPr="004E459A">
              <w:rPr>
                <w:rStyle w:val="Hyperlink"/>
                <w:noProof/>
              </w:rPr>
              <w:t>SP2 Provide bridges and supports into work</w:t>
            </w:r>
            <w:r w:rsidR="001E0B6C">
              <w:rPr>
                <w:noProof/>
                <w:webHidden/>
              </w:rPr>
              <w:tab/>
            </w:r>
            <w:r w:rsidR="001E0B6C">
              <w:rPr>
                <w:noProof/>
                <w:webHidden/>
              </w:rPr>
              <w:fldChar w:fldCharType="begin"/>
            </w:r>
            <w:r w:rsidR="001E0B6C">
              <w:rPr>
                <w:noProof/>
                <w:webHidden/>
              </w:rPr>
              <w:instrText xml:space="preserve"> PAGEREF _Toc101857194 \h </w:instrText>
            </w:r>
            <w:r w:rsidR="001E0B6C">
              <w:rPr>
                <w:noProof/>
                <w:webHidden/>
              </w:rPr>
            </w:r>
            <w:r w:rsidR="001E0B6C">
              <w:rPr>
                <w:noProof/>
                <w:webHidden/>
              </w:rPr>
              <w:fldChar w:fldCharType="separate"/>
            </w:r>
            <w:r w:rsidR="001E0B6C">
              <w:rPr>
                <w:noProof/>
                <w:webHidden/>
              </w:rPr>
              <w:t>18</w:t>
            </w:r>
            <w:r w:rsidR="001E0B6C">
              <w:rPr>
                <w:noProof/>
                <w:webHidden/>
              </w:rPr>
              <w:fldChar w:fldCharType="end"/>
            </w:r>
          </w:hyperlink>
        </w:p>
        <w:p w14:paraId="54E94836" w14:textId="553A77D5"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5" w:history="1">
            <w:r w:rsidR="001E0B6C" w:rsidRPr="004E459A">
              <w:rPr>
                <w:rStyle w:val="Hyperlink"/>
                <w:noProof/>
              </w:rPr>
              <w:t>Department of Social Protection measures</w:t>
            </w:r>
            <w:r w:rsidR="001E0B6C">
              <w:rPr>
                <w:noProof/>
                <w:webHidden/>
              </w:rPr>
              <w:tab/>
            </w:r>
            <w:r w:rsidR="001E0B6C">
              <w:rPr>
                <w:noProof/>
                <w:webHidden/>
              </w:rPr>
              <w:fldChar w:fldCharType="begin"/>
            </w:r>
            <w:r w:rsidR="001E0B6C">
              <w:rPr>
                <w:noProof/>
                <w:webHidden/>
              </w:rPr>
              <w:instrText xml:space="preserve"> PAGEREF _Toc101857195 \h </w:instrText>
            </w:r>
            <w:r w:rsidR="001E0B6C">
              <w:rPr>
                <w:noProof/>
                <w:webHidden/>
              </w:rPr>
            </w:r>
            <w:r w:rsidR="001E0B6C">
              <w:rPr>
                <w:noProof/>
                <w:webHidden/>
              </w:rPr>
              <w:fldChar w:fldCharType="separate"/>
            </w:r>
            <w:r w:rsidR="001E0B6C">
              <w:rPr>
                <w:noProof/>
                <w:webHidden/>
              </w:rPr>
              <w:t>19</w:t>
            </w:r>
            <w:r w:rsidR="001E0B6C">
              <w:rPr>
                <w:noProof/>
                <w:webHidden/>
              </w:rPr>
              <w:fldChar w:fldCharType="end"/>
            </w:r>
          </w:hyperlink>
        </w:p>
        <w:p w14:paraId="14841663" w14:textId="33487F54"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6" w:history="1">
            <w:r w:rsidR="001E0B6C" w:rsidRPr="004E459A">
              <w:rPr>
                <w:rStyle w:val="Hyperlink"/>
                <w:noProof/>
              </w:rPr>
              <w:t>Department of Further Higher Education Research Innovation and Science measures</w:t>
            </w:r>
            <w:r w:rsidR="001E0B6C">
              <w:rPr>
                <w:noProof/>
                <w:webHidden/>
              </w:rPr>
              <w:tab/>
            </w:r>
            <w:r w:rsidR="001E0B6C">
              <w:rPr>
                <w:noProof/>
                <w:webHidden/>
              </w:rPr>
              <w:fldChar w:fldCharType="begin"/>
            </w:r>
            <w:r w:rsidR="001E0B6C">
              <w:rPr>
                <w:noProof/>
                <w:webHidden/>
              </w:rPr>
              <w:instrText xml:space="preserve"> PAGEREF _Toc101857196 \h </w:instrText>
            </w:r>
            <w:r w:rsidR="001E0B6C">
              <w:rPr>
                <w:noProof/>
                <w:webHidden/>
              </w:rPr>
            </w:r>
            <w:r w:rsidR="001E0B6C">
              <w:rPr>
                <w:noProof/>
                <w:webHidden/>
              </w:rPr>
              <w:fldChar w:fldCharType="separate"/>
            </w:r>
            <w:r w:rsidR="001E0B6C">
              <w:rPr>
                <w:noProof/>
                <w:webHidden/>
              </w:rPr>
              <w:t>20</w:t>
            </w:r>
            <w:r w:rsidR="001E0B6C">
              <w:rPr>
                <w:noProof/>
                <w:webHidden/>
              </w:rPr>
              <w:fldChar w:fldCharType="end"/>
            </w:r>
          </w:hyperlink>
        </w:p>
        <w:p w14:paraId="2A5B947B" w14:textId="406D1005"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7" w:history="1">
            <w:r w:rsidR="001E0B6C" w:rsidRPr="004E459A">
              <w:rPr>
                <w:rStyle w:val="Hyperlink"/>
                <w:rFonts w:eastAsia="Gill Sans MT"/>
                <w:noProof/>
                <w:lang w:eastAsia="en-IE"/>
              </w:rPr>
              <w:t>Self-employment options</w:t>
            </w:r>
            <w:r w:rsidR="001E0B6C">
              <w:rPr>
                <w:noProof/>
                <w:webHidden/>
              </w:rPr>
              <w:tab/>
            </w:r>
            <w:r w:rsidR="001E0B6C">
              <w:rPr>
                <w:noProof/>
                <w:webHidden/>
              </w:rPr>
              <w:fldChar w:fldCharType="begin"/>
            </w:r>
            <w:r w:rsidR="001E0B6C">
              <w:rPr>
                <w:noProof/>
                <w:webHidden/>
              </w:rPr>
              <w:instrText xml:space="preserve"> PAGEREF _Toc101857197 \h </w:instrText>
            </w:r>
            <w:r w:rsidR="001E0B6C">
              <w:rPr>
                <w:noProof/>
                <w:webHidden/>
              </w:rPr>
            </w:r>
            <w:r w:rsidR="001E0B6C">
              <w:rPr>
                <w:noProof/>
                <w:webHidden/>
              </w:rPr>
              <w:fldChar w:fldCharType="separate"/>
            </w:r>
            <w:r w:rsidR="001E0B6C">
              <w:rPr>
                <w:noProof/>
                <w:webHidden/>
              </w:rPr>
              <w:t>21</w:t>
            </w:r>
            <w:r w:rsidR="001E0B6C">
              <w:rPr>
                <w:noProof/>
                <w:webHidden/>
              </w:rPr>
              <w:fldChar w:fldCharType="end"/>
            </w:r>
          </w:hyperlink>
        </w:p>
        <w:p w14:paraId="165BF539" w14:textId="143B9576"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8" w:history="1">
            <w:r w:rsidR="001E0B6C" w:rsidRPr="004E459A">
              <w:rPr>
                <w:rStyle w:val="Hyperlink"/>
                <w:noProof/>
              </w:rPr>
              <w:t>Enterprise Ireland programme of work</w:t>
            </w:r>
            <w:r w:rsidR="001E0B6C">
              <w:rPr>
                <w:noProof/>
                <w:webHidden/>
              </w:rPr>
              <w:tab/>
            </w:r>
            <w:r w:rsidR="001E0B6C">
              <w:rPr>
                <w:noProof/>
                <w:webHidden/>
              </w:rPr>
              <w:fldChar w:fldCharType="begin"/>
            </w:r>
            <w:r w:rsidR="001E0B6C">
              <w:rPr>
                <w:noProof/>
                <w:webHidden/>
              </w:rPr>
              <w:instrText xml:space="preserve"> PAGEREF _Toc101857198 \h </w:instrText>
            </w:r>
            <w:r w:rsidR="001E0B6C">
              <w:rPr>
                <w:noProof/>
                <w:webHidden/>
              </w:rPr>
            </w:r>
            <w:r w:rsidR="001E0B6C">
              <w:rPr>
                <w:noProof/>
                <w:webHidden/>
              </w:rPr>
              <w:fldChar w:fldCharType="separate"/>
            </w:r>
            <w:r w:rsidR="001E0B6C">
              <w:rPr>
                <w:noProof/>
                <w:webHidden/>
              </w:rPr>
              <w:t>21</w:t>
            </w:r>
            <w:r w:rsidR="001E0B6C">
              <w:rPr>
                <w:noProof/>
                <w:webHidden/>
              </w:rPr>
              <w:fldChar w:fldCharType="end"/>
            </w:r>
          </w:hyperlink>
        </w:p>
        <w:p w14:paraId="60DB4A92" w14:textId="7F890CFF"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199" w:history="1">
            <w:r w:rsidR="001E0B6C" w:rsidRPr="004E459A">
              <w:rPr>
                <w:rStyle w:val="Hyperlink"/>
                <w:rFonts w:eastAsia="Gill Sans MT"/>
                <w:noProof/>
                <w:lang w:eastAsia="en-IE"/>
              </w:rPr>
              <w:t>Transport developments during 2021</w:t>
            </w:r>
            <w:r w:rsidR="001E0B6C">
              <w:rPr>
                <w:noProof/>
                <w:webHidden/>
              </w:rPr>
              <w:tab/>
            </w:r>
            <w:r w:rsidR="001E0B6C">
              <w:rPr>
                <w:noProof/>
                <w:webHidden/>
              </w:rPr>
              <w:fldChar w:fldCharType="begin"/>
            </w:r>
            <w:r w:rsidR="001E0B6C">
              <w:rPr>
                <w:noProof/>
                <w:webHidden/>
              </w:rPr>
              <w:instrText xml:space="preserve"> PAGEREF _Toc101857199 \h </w:instrText>
            </w:r>
            <w:r w:rsidR="001E0B6C">
              <w:rPr>
                <w:noProof/>
                <w:webHidden/>
              </w:rPr>
            </w:r>
            <w:r w:rsidR="001E0B6C">
              <w:rPr>
                <w:noProof/>
                <w:webHidden/>
              </w:rPr>
              <w:fldChar w:fldCharType="separate"/>
            </w:r>
            <w:r w:rsidR="001E0B6C">
              <w:rPr>
                <w:noProof/>
                <w:webHidden/>
              </w:rPr>
              <w:t>22</w:t>
            </w:r>
            <w:r w:rsidR="001E0B6C">
              <w:rPr>
                <w:noProof/>
                <w:webHidden/>
              </w:rPr>
              <w:fldChar w:fldCharType="end"/>
            </w:r>
          </w:hyperlink>
        </w:p>
        <w:p w14:paraId="57C8AC16" w14:textId="2E4DB3E9"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00" w:history="1">
            <w:r w:rsidR="001E0B6C" w:rsidRPr="004E459A">
              <w:rPr>
                <w:rStyle w:val="Hyperlink"/>
                <w:noProof/>
              </w:rPr>
              <w:t>SP3 Make work pay</w:t>
            </w:r>
            <w:r w:rsidR="001E0B6C">
              <w:rPr>
                <w:noProof/>
                <w:webHidden/>
              </w:rPr>
              <w:tab/>
            </w:r>
            <w:r w:rsidR="001E0B6C">
              <w:rPr>
                <w:noProof/>
                <w:webHidden/>
              </w:rPr>
              <w:fldChar w:fldCharType="begin"/>
            </w:r>
            <w:r w:rsidR="001E0B6C">
              <w:rPr>
                <w:noProof/>
                <w:webHidden/>
              </w:rPr>
              <w:instrText xml:space="preserve"> PAGEREF _Toc101857200 \h </w:instrText>
            </w:r>
            <w:r w:rsidR="001E0B6C">
              <w:rPr>
                <w:noProof/>
                <w:webHidden/>
              </w:rPr>
            </w:r>
            <w:r w:rsidR="001E0B6C">
              <w:rPr>
                <w:noProof/>
                <w:webHidden/>
              </w:rPr>
              <w:fldChar w:fldCharType="separate"/>
            </w:r>
            <w:r w:rsidR="001E0B6C">
              <w:rPr>
                <w:noProof/>
                <w:webHidden/>
              </w:rPr>
              <w:t>24</w:t>
            </w:r>
            <w:r w:rsidR="001E0B6C">
              <w:rPr>
                <w:noProof/>
                <w:webHidden/>
              </w:rPr>
              <w:fldChar w:fldCharType="end"/>
            </w:r>
          </w:hyperlink>
        </w:p>
        <w:p w14:paraId="487EBB28" w14:textId="00008335"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01" w:history="1">
            <w:r w:rsidR="001E0B6C" w:rsidRPr="004E459A">
              <w:rPr>
                <w:rStyle w:val="Hyperlink"/>
                <w:noProof/>
              </w:rPr>
              <w:t>SP4 Promote job retention and re-entry to work</w:t>
            </w:r>
            <w:r w:rsidR="001E0B6C">
              <w:rPr>
                <w:noProof/>
                <w:webHidden/>
              </w:rPr>
              <w:tab/>
            </w:r>
            <w:r w:rsidR="001E0B6C">
              <w:rPr>
                <w:noProof/>
                <w:webHidden/>
              </w:rPr>
              <w:fldChar w:fldCharType="begin"/>
            </w:r>
            <w:r w:rsidR="001E0B6C">
              <w:rPr>
                <w:noProof/>
                <w:webHidden/>
              </w:rPr>
              <w:instrText xml:space="preserve"> PAGEREF _Toc101857201 \h </w:instrText>
            </w:r>
            <w:r w:rsidR="001E0B6C">
              <w:rPr>
                <w:noProof/>
                <w:webHidden/>
              </w:rPr>
            </w:r>
            <w:r w:rsidR="001E0B6C">
              <w:rPr>
                <w:noProof/>
                <w:webHidden/>
              </w:rPr>
              <w:fldChar w:fldCharType="separate"/>
            </w:r>
            <w:r w:rsidR="001E0B6C">
              <w:rPr>
                <w:noProof/>
                <w:webHidden/>
              </w:rPr>
              <w:t>25</w:t>
            </w:r>
            <w:r w:rsidR="001E0B6C">
              <w:rPr>
                <w:noProof/>
                <w:webHidden/>
              </w:rPr>
              <w:fldChar w:fldCharType="end"/>
            </w:r>
          </w:hyperlink>
        </w:p>
        <w:p w14:paraId="40DECE57" w14:textId="5E03B00C"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02" w:history="1">
            <w:r w:rsidR="001E0B6C" w:rsidRPr="004E459A">
              <w:rPr>
                <w:rStyle w:val="Hyperlink"/>
                <w:noProof/>
                <w:lang w:eastAsia="en-IE"/>
              </w:rPr>
              <w:t>SP5 Provide co-ordinated and seamless support</w:t>
            </w:r>
            <w:r w:rsidR="001E0B6C">
              <w:rPr>
                <w:noProof/>
                <w:webHidden/>
              </w:rPr>
              <w:tab/>
            </w:r>
            <w:r w:rsidR="001E0B6C">
              <w:rPr>
                <w:noProof/>
                <w:webHidden/>
              </w:rPr>
              <w:fldChar w:fldCharType="begin"/>
            </w:r>
            <w:r w:rsidR="001E0B6C">
              <w:rPr>
                <w:noProof/>
                <w:webHidden/>
              </w:rPr>
              <w:instrText xml:space="preserve"> PAGEREF _Toc101857202 \h </w:instrText>
            </w:r>
            <w:r w:rsidR="001E0B6C">
              <w:rPr>
                <w:noProof/>
                <w:webHidden/>
              </w:rPr>
            </w:r>
            <w:r w:rsidR="001E0B6C">
              <w:rPr>
                <w:noProof/>
                <w:webHidden/>
              </w:rPr>
              <w:fldChar w:fldCharType="separate"/>
            </w:r>
            <w:r w:rsidR="001E0B6C">
              <w:rPr>
                <w:noProof/>
                <w:webHidden/>
              </w:rPr>
              <w:t>26</w:t>
            </w:r>
            <w:r w:rsidR="001E0B6C">
              <w:rPr>
                <w:noProof/>
                <w:webHidden/>
              </w:rPr>
              <w:fldChar w:fldCharType="end"/>
            </w:r>
          </w:hyperlink>
        </w:p>
        <w:p w14:paraId="3E9EAD28" w14:textId="322AFB07"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03" w:history="1">
            <w:r w:rsidR="001E0B6C" w:rsidRPr="004E459A">
              <w:rPr>
                <w:rStyle w:val="Hyperlink"/>
                <w:noProof/>
                <w:lang w:eastAsia="en-IE"/>
              </w:rPr>
              <w:t>SP6 Engage Employers</w:t>
            </w:r>
            <w:r w:rsidR="001E0B6C">
              <w:rPr>
                <w:noProof/>
                <w:webHidden/>
              </w:rPr>
              <w:tab/>
            </w:r>
            <w:r w:rsidR="001E0B6C">
              <w:rPr>
                <w:noProof/>
                <w:webHidden/>
              </w:rPr>
              <w:fldChar w:fldCharType="begin"/>
            </w:r>
            <w:r w:rsidR="001E0B6C">
              <w:rPr>
                <w:noProof/>
                <w:webHidden/>
              </w:rPr>
              <w:instrText xml:space="preserve"> PAGEREF _Toc101857203 \h </w:instrText>
            </w:r>
            <w:r w:rsidR="001E0B6C">
              <w:rPr>
                <w:noProof/>
                <w:webHidden/>
              </w:rPr>
            </w:r>
            <w:r w:rsidR="001E0B6C">
              <w:rPr>
                <w:noProof/>
                <w:webHidden/>
              </w:rPr>
              <w:fldChar w:fldCharType="separate"/>
            </w:r>
            <w:r w:rsidR="001E0B6C">
              <w:rPr>
                <w:noProof/>
                <w:webHidden/>
              </w:rPr>
              <w:t>28</w:t>
            </w:r>
            <w:r w:rsidR="001E0B6C">
              <w:rPr>
                <w:noProof/>
                <w:webHidden/>
              </w:rPr>
              <w:fldChar w:fldCharType="end"/>
            </w:r>
          </w:hyperlink>
        </w:p>
        <w:p w14:paraId="6865B14B" w14:textId="76283188"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204" w:history="1">
            <w:r w:rsidR="001E0B6C" w:rsidRPr="004E459A">
              <w:rPr>
                <w:rStyle w:val="Hyperlink"/>
                <w:noProof/>
                <w:lang w:val="en-GB" w:eastAsia="en-IE"/>
              </w:rPr>
              <w:t>OECD</w:t>
            </w:r>
            <w:r w:rsidR="001E0B6C">
              <w:rPr>
                <w:noProof/>
                <w:webHidden/>
              </w:rPr>
              <w:tab/>
            </w:r>
            <w:r w:rsidR="001E0B6C">
              <w:rPr>
                <w:noProof/>
                <w:webHidden/>
              </w:rPr>
              <w:fldChar w:fldCharType="begin"/>
            </w:r>
            <w:r w:rsidR="001E0B6C">
              <w:rPr>
                <w:noProof/>
                <w:webHidden/>
              </w:rPr>
              <w:instrText xml:space="preserve"> PAGEREF _Toc101857204 \h </w:instrText>
            </w:r>
            <w:r w:rsidR="001E0B6C">
              <w:rPr>
                <w:noProof/>
                <w:webHidden/>
              </w:rPr>
            </w:r>
            <w:r w:rsidR="001E0B6C">
              <w:rPr>
                <w:noProof/>
                <w:webHidden/>
              </w:rPr>
              <w:fldChar w:fldCharType="separate"/>
            </w:r>
            <w:r w:rsidR="001E0B6C">
              <w:rPr>
                <w:noProof/>
                <w:webHidden/>
              </w:rPr>
              <w:t>28</w:t>
            </w:r>
            <w:r w:rsidR="001E0B6C">
              <w:rPr>
                <w:noProof/>
                <w:webHidden/>
              </w:rPr>
              <w:fldChar w:fldCharType="end"/>
            </w:r>
          </w:hyperlink>
        </w:p>
        <w:p w14:paraId="204F7B51" w14:textId="71DF505F"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205" w:history="1">
            <w:r w:rsidR="001E0B6C" w:rsidRPr="004E459A">
              <w:rPr>
                <w:rStyle w:val="Hyperlink"/>
                <w:noProof/>
              </w:rPr>
              <w:t>Employers for Change</w:t>
            </w:r>
            <w:r w:rsidR="001E0B6C">
              <w:rPr>
                <w:noProof/>
                <w:webHidden/>
              </w:rPr>
              <w:tab/>
            </w:r>
            <w:r w:rsidR="001E0B6C">
              <w:rPr>
                <w:noProof/>
                <w:webHidden/>
              </w:rPr>
              <w:fldChar w:fldCharType="begin"/>
            </w:r>
            <w:r w:rsidR="001E0B6C">
              <w:rPr>
                <w:noProof/>
                <w:webHidden/>
              </w:rPr>
              <w:instrText xml:space="preserve"> PAGEREF _Toc101857205 \h </w:instrText>
            </w:r>
            <w:r w:rsidR="001E0B6C">
              <w:rPr>
                <w:noProof/>
                <w:webHidden/>
              </w:rPr>
            </w:r>
            <w:r w:rsidR="001E0B6C">
              <w:rPr>
                <w:noProof/>
                <w:webHidden/>
              </w:rPr>
              <w:fldChar w:fldCharType="separate"/>
            </w:r>
            <w:r w:rsidR="001E0B6C">
              <w:rPr>
                <w:noProof/>
                <w:webHidden/>
              </w:rPr>
              <w:t>28</w:t>
            </w:r>
            <w:r w:rsidR="001E0B6C">
              <w:rPr>
                <w:noProof/>
                <w:webHidden/>
              </w:rPr>
              <w:fldChar w:fldCharType="end"/>
            </w:r>
          </w:hyperlink>
        </w:p>
        <w:p w14:paraId="243A8993" w14:textId="5EE75C50"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206" w:history="1">
            <w:r w:rsidR="001E0B6C" w:rsidRPr="004E459A">
              <w:rPr>
                <w:rStyle w:val="Hyperlink"/>
                <w:noProof/>
              </w:rPr>
              <w:t>Public Appointment Service</w:t>
            </w:r>
            <w:r w:rsidR="001E0B6C">
              <w:rPr>
                <w:noProof/>
                <w:webHidden/>
              </w:rPr>
              <w:tab/>
            </w:r>
            <w:r w:rsidR="001E0B6C">
              <w:rPr>
                <w:noProof/>
                <w:webHidden/>
              </w:rPr>
              <w:fldChar w:fldCharType="begin"/>
            </w:r>
            <w:r w:rsidR="001E0B6C">
              <w:rPr>
                <w:noProof/>
                <w:webHidden/>
              </w:rPr>
              <w:instrText xml:space="preserve"> PAGEREF _Toc101857206 \h </w:instrText>
            </w:r>
            <w:r w:rsidR="001E0B6C">
              <w:rPr>
                <w:noProof/>
                <w:webHidden/>
              </w:rPr>
            </w:r>
            <w:r w:rsidR="001E0B6C">
              <w:rPr>
                <w:noProof/>
                <w:webHidden/>
              </w:rPr>
              <w:fldChar w:fldCharType="separate"/>
            </w:r>
            <w:r w:rsidR="001E0B6C">
              <w:rPr>
                <w:noProof/>
                <w:webHidden/>
              </w:rPr>
              <w:t>30</w:t>
            </w:r>
            <w:r w:rsidR="001E0B6C">
              <w:rPr>
                <w:noProof/>
                <w:webHidden/>
              </w:rPr>
              <w:fldChar w:fldCharType="end"/>
            </w:r>
          </w:hyperlink>
        </w:p>
        <w:p w14:paraId="74BC9A40" w14:textId="7C26C756" w:rsidR="001E0B6C" w:rsidRDefault="00C9729D">
          <w:pPr>
            <w:pStyle w:val="TOC3"/>
            <w:tabs>
              <w:tab w:val="right" w:leader="dot" w:pos="8630"/>
            </w:tabs>
            <w:rPr>
              <w:rFonts w:asciiTheme="minorHAnsi" w:eastAsiaTheme="minorEastAsia" w:hAnsiTheme="minorHAnsi" w:cstheme="minorBidi"/>
              <w:noProof/>
              <w:sz w:val="22"/>
              <w:szCs w:val="22"/>
              <w:lang w:eastAsia="en-IE"/>
            </w:rPr>
          </w:pPr>
          <w:hyperlink w:anchor="_Toc101857207" w:history="1">
            <w:r w:rsidR="001E0B6C" w:rsidRPr="004E459A">
              <w:rPr>
                <w:rStyle w:val="Hyperlink"/>
                <w:noProof/>
              </w:rPr>
              <w:t>DPER-supported internship schemes</w:t>
            </w:r>
            <w:r w:rsidR="001E0B6C">
              <w:rPr>
                <w:noProof/>
                <w:webHidden/>
              </w:rPr>
              <w:tab/>
            </w:r>
            <w:r w:rsidR="001E0B6C">
              <w:rPr>
                <w:noProof/>
                <w:webHidden/>
              </w:rPr>
              <w:fldChar w:fldCharType="begin"/>
            </w:r>
            <w:r w:rsidR="001E0B6C">
              <w:rPr>
                <w:noProof/>
                <w:webHidden/>
              </w:rPr>
              <w:instrText xml:space="preserve"> PAGEREF _Toc101857207 \h </w:instrText>
            </w:r>
            <w:r w:rsidR="001E0B6C">
              <w:rPr>
                <w:noProof/>
                <w:webHidden/>
              </w:rPr>
            </w:r>
            <w:r w:rsidR="001E0B6C">
              <w:rPr>
                <w:noProof/>
                <w:webHidden/>
              </w:rPr>
              <w:fldChar w:fldCharType="separate"/>
            </w:r>
            <w:r w:rsidR="001E0B6C">
              <w:rPr>
                <w:noProof/>
                <w:webHidden/>
              </w:rPr>
              <w:t>31</w:t>
            </w:r>
            <w:r w:rsidR="001E0B6C">
              <w:rPr>
                <w:noProof/>
                <w:webHidden/>
              </w:rPr>
              <w:fldChar w:fldCharType="end"/>
            </w:r>
          </w:hyperlink>
        </w:p>
        <w:p w14:paraId="02767EE4" w14:textId="549365D0" w:rsidR="001E0B6C" w:rsidRDefault="00C9729D">
          <w:pPr>
            <w:pStyle w:val="TOC1"/>
            <w:tabs>
              <w:tab w:val="right" w:leader="dot" w:pos="8630"/>
            </w:tabs>
            <w:rPr>
              <w:rFonts w:asciiTheme="minorHAnsi" w:eastAsiaTheme="minorEastAsia" w:hAnsiTheme="minorHAnsi" w:cstheme="minorBidi"/>
              <w:b w:val="0"/>
              <w:noProof/>
              <w:sz w:val="22"/>
              <w:szCs w:val="22"/>
              <w:lang w:eastAsia="en-IE"/>
            </w:rPr>
          </w:pPr>
          <w:hyperlink w:anchor="_Toc101857208" w:history="1">
            <w:r w:rsidR="001E0B6C" w:rsidRPr="004E459A">
              <w:rPr>
                <w:rStyle w:val="Hyperlink"/>
                <w:noProof/>
              </w:rPr>
              <w:t>Building on the evidence base</w:t>
            </w:r>
            <w:r w:rsidR="001E0B6C">
              <w:rPr>
                <w:noProof/>
                <w:webHidden/>
              </w:rPr>
              <w:tab/>
            </w:r>
            <w:r w:rsidR="001E0B6C">
              <w:rPr>
                <w:noProof/>
                <w:webHidden/>
              </w:rPr>
              <w:fldChar w:fldCharType="begin"/>
            </w:r>
            <w:r w:rsidR="001E0B6C">
              <w:rPr>
                <w:noProof/>
                <w:webHidden/>
              </w:rPr>
              <w:instrText xml:space="preserve"> PAGEREF _Toc101857208 \h </w:instrText>
            </w:r>
            <w:r w:rsidR="001E0B6C">
              <w:rPr>
                <w:noProof/>
                <w:webHidden/>
              </w:rPr>
            </w:r>
            <w:r w:rsidR="001E0B6C">
              <w:rPr>
                <w:noProof/>
                <w:webHidden/>
              </w:rPr>
              <w:fldChar w:fldCharType="separate"/>
            </w:r>
            <w:r w:rsidR="001E0B6C">
              <w:rPr>
                <w:noProof/>
                <w:webHidden/>
              </w:rPr>
              <w:t>32</w:t>
            </w:r>
            <w:r w:rsidR="001E0B6C">
              <w:rPr>
                <w:noProof/>
                <w:webHidden/>
              </w:rPr>
              <w:fldChar w:fldCharType="end"/>
            </w:r>
          </w:hyperlink>
        </w:p>
        <w:p w14:paraId="16EEAB33" w14:textId="13BB02C9"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09" w:history="1">
            <w:r w:rsidR="001E0B6C" w:rsidRPr="004E459A">
              <w:rPr>
                <w:rStyle w:val="Hyperlink"/>
                <w:noProof/>
              </w:rPr>
              <w:t>Central Statistics Office</w:t>
            </w:r>
            <w:r w:rsidR="001E0B6C">
              <w:rPr>
                <w:noProof/>
                <w:webHidden/>
              </w:rPr>
              <w:tab/>
            </w:r>
            <w:r w:rsidR="001E0B6C">
              <w:rPr>
                <w:noProof/>
                <w:webHidden/>
              </w:rPr>
              <w:fldChar w:fldCharType="begin"/>
            </w:r>
            <w:r w:rsidR="001E0B6C">
              <w:rPr>
                <w:noProof/>
                <w:webHidden/>
              </w:rPr>
              <w:instrText xml:space="preserve"> PAGEREF _Toc101857209 \h </w:instrText>
            </w:r>
            <w:r w:rsidR="001E0B6C">
              <w:rPr>
                <w:noProof/>
                <w:webHidden/>
              </w:rPr>
            </w:r>
            <w:r w:rsidR="001E0B6C">
              <w:rPr>
                <w:noProof/>
                <w:webHidden/>
              </w:rPr>
              <w:fldChar w:fldCharType="separate"/>
            </w:r>
            <w:r w:rsidR="001E0B6C">
              <w:rPr>
                <w:noProof/>
                <w:webHidden/>
              </w:rPr>
              <w:t>32</w:t>
            </w:r>
            <w:r w:rsidR="001E0B6C">
              <w:rPr>
                <w:noProof/>
                <w:webHidden/>
              </w:rPr>
              <w:fldChar w:fldCharType="end"/>
            </w:r>
          </w:hyperlink>
        </w:p>
        <w:p w14:paraId="5D2A8A1C" w14:textId="71634800"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10" w:history="1">
            <w:r w:rsidR="001E0B6C" w:rsidRPr="004E459A">
              <w:rPr>
                <w:rStyle w:val="Hyperlink"/>
                <w:noProof/>
              </w:rPr>
              <w:t>DPER Spending Review 2021:</w:t>
            </w:r>
            <w:r w:rsidR="001E0B6C">
              <w:rPr>
                <w:noProof/>
                <w:webHidden/>
              </w:rPr>
              <w:tab/>
            </w:r>
            <w:r w:rsidR="001E0B6C">
              <w:rPr>
                <w:noProof/>
                <w:webHidden/>
              </w:rPr>
              <w:fldChar w:fldCharType="begin"/>
            </w:r>
            <w:r w:rsidR="001E0B6C">
              <w:rPr>
                <w:noProof/>
                <w:webHidden/>
              </w:rPr>
              <w:instrText xml:space="preserve"> PAGEREF _Toc101857210 \h </w:instrText>
            </w:r>
            <w:r w:rsidR="001E0B6C">
              <w:rPr>
                <w:noProof/>
                <w:webHidden/>
              </w:rPr>
            </w:r>
            <w:r w:rsidR="001E0B6C">
              <w:rPr>
                <w:noProof/>
                <w:webHidden/>
              </w:rPr>
              <w:fldChar w:fldCharType="separate"/>
            </w:r>
            <w:r w:rsidR="001E0B6C">
              <w:rPr>
                <w:noProof/>
                <w:webHidden/>
              </w:rPr>
              <w:t>32</w:t>
            </w:r>
            <w:r w:rsidR="001E0B6C">
              <w:rPr>
                <w:noProof/>
                <w:webHidden/>
              </w:rPr>
              <w:fldChar w:fldCharType="end"/>
            </w:r>
          </w:hyperlink>
        </w:p>
        <w:p w14:paraId="4401490F" w14:textId="14BDFD96"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11" w:history="1">
            <w:r w:rsidR="001E0B6C" w:rsidRPr="004E459A">
              <w:rPr>
                <w:rStyle w:val="Hyperlink"/>
                <w:noProof/>
              </w:rPr>
              <w:t>Organisation for Economic Cooperation and Development</w:t>
            </w:r>
            <w:r w:rsidR="001E0B6C">
              <w:rPr>
                <w:noProof/>
                <w:webHidden/>
              </w:rPr>
              <w:tab/>
            </w:r>
            <w:r w:rsidR="001E0B6C">
              <w:rPr>
                <w:noProof/>
                <w:webHidden/>
              </w:rPr>
              <w:fldChar w:fldCharType="begin"/>
            </w:r>
            <w:r w:rsidR="001E0B6C">
              <w:rPr>
                <w:noProof/>
                <w:webHidden/>
              </w:rPr>
              <w:instrText xml:space="preserve"> PAGEREF _Toc101857211 \h </w:instrText>
            </w:r>
            <w:r w:rsidR="001E0B6C">
              <w:rPr>
                <w:noProof/>
                <w:webHidden/>
              </w:rPr>
            </w:r>
            <w:r w:rsidR="001E0B6C">
              <w:rPr>
                <w:noProof/>
                <w:webHidden/>
              </w:rPr>
              <w:fldChar w:fldCharType="separate"/>
            </w:r>
            <w:r w:rsidR="001E0B6C">
              <w:rPr>
                <w:noProof/>
                <w:webHidden/>
              </w:rPr>
              <w:t>33</w:t>
            </w:r>
            <w:r w:rsidR="001E0B6C">
              <w:rPr>
                <w:noProof/>
                <w:webHidden/>
              </w:rPr>
              <w:fldChar w:fldCharType="end"/>
            </w:r>
          </w:hyperlink>
        </w:p>
        <w:p w14:paraId="005CAC14" w14:textId="21706EF6" w:rsidR="001E0B6C" w:rsidRDefault="00C9729D">
          <w:pPr>
            <w:pStyle w:val="TOC2"/>
            <w:tabs>
              <w:tab w:val="right" w:leader="dot" w:pos="8630"/>
            </w:tabs>
            <w:rPr>
              <w:rFonts w:asciiTheme="minorHAnsi" w:eastAsiaTheme="minorEastAsia" w:hAnsiTheme="minorHAnsi" w:cstheme="minorBidi"/>
              <w:noProof/>
              <w:sz w:val="22"/>
              <w:szCs w:val="22"/>
              <w:lang w:eastAsia="en-IE"/>
            </w:rPr>
          </w:pPr>
          <w:hyperlink w:anchor="_Toc101857212" w:history="1">
            <w:r w:rsidR="001E0B6C" w:rsidRPr="004E459A">
              <w:rPr>
                <w:rStyle w:val="Hyperlink"/>
                <w:noProof/>
              </w:rPr>
              <w:t>Economic and Social Research Institute (ESRI)</w:t>
            </w:r>
            <w:r w:rsidR="001E0B6C">
              <w:rPr>
                <w:noProof/>
                <w:webHidden/>
              </w:rPr>
              <w:tab/>
            </w:r>
            <w:r w:rsidR="001E0B6C">
              <w:rPr>
                <w:noProof/>
                <w:webHidden/>
              </w:rPr>
              <w:fldChar w:fldCharType="begin"/>
            </w:r>
            <w:r w:rsidR="001E0B6C">
              <w:rPr>
                <w:noProof/>
                <w:webHidden/>
              </w:rPr>
              <w:instrText xml:space="preserve"> PAGEREF _Toc101857212 \h </w:instrText>
            </w:r>
            <w:r w:rsidR="001E0B6C">
              <w:rPr>
                <w:noProof/>
                <w:webHidden/>
              </w:rPr>
            </w:r>
            <w:r w:rsidR="001E0B6C">
              <w:rPr>
                <w:noProof/>
                <w:webHidden/>
              </w:rPr>
              <w:fldChar w:fldCharType="separate"/>
            </w:r>
            <w:r w:rsidR="001E0B6C">
              <w:rPr>
                <w:noProof/>
                <w:webHidden/>
              </w:rPr>
              <w:t>35</w:t>
            </w:r>
            <w:r w:rsidR="001E0B6C">
              <w:rPr>
                <w:noProof/>
                <w:webHidden/>
              </w:rPr>
              <w:fldChar w:fldCharType="end"/>
            </w:r>
          </w:hyperlink>
        </w:p>
        <w:p w14:paraId="7E4236C1" w14:textId="088F249D" w:rsidR="001E0B6C" w:rsidRDefault="00C9729D">
          <w:pPr>
            <w:pStyle w:val="TOC1"/>
            <w:tabs>
              <w:tab w:val="right" w:leader="dot" w:pos="8630"/>
            </w:tabs>
            <w:rPr>
              <w:rFonts w:asciiTheme="minorHAnsi" w:eastAsiaTheme="minorEastAsia" w:hAnsiTheme="minorHAnsi" w:cstheme="minorBidi"/>
              <w:b w:val="0"/>
              <w:noProof/>
              <w:sz w:val="22"/>
              <w:szCs w:val="22"/>
              <w:lang w:eastAsia="en-IE"/>
            </w:rPr>
          </w:pPr>
          <w:hyperlink w:anchor="_Toc101857213" w:history="1">
            <w:r w:rsidR="001E0B6C" w:rsidRPr="004E459A">
              <w:rPr>
                <w:rStyle w:val="Hyperlink"/>
                <w:noProof/>
              </w:rPr>
              <w:t>Conclusion</w:t>
            </w:r>
            <w:r w:rsidR="001E0B6C">
              <w:rPr>
                <w:noProof/>
                <w:webHidden/>
              </w:rPr>
              <w:tab/>
            </w:r>
            <w:r w:rsidR="001E0B6C">
              <w:rPr>
                <w:noProof/>
                <w:webHidden/>
              </w:rPr>
              <w:fldChar w:fldCharType="begin"/>
            </w:r>
            <w:r w:rsidR="001E0B6C">
              <w:rPr>
                <w:noProof/>
                <w:webHidden/>
              </w:rPr>
              <w:instrText xml:space="preserve"> PAGEREF _Toc101857213 \h </w:instrText>
            </w:r>
            <w:r w:rsidR="001E0B6C">
              <w:rPr>
                <w:noProof/>
                <w:webHidden/>
              </w:rPr>
            </w:r>
            <w:r w:rsidR="001E0B6C">
              <w:rPr>
                <w:noProof/>
                <w:webHidden/>
              </w:rPr>
              <w:fldChar w:fldCharType="separate"/>
            </w:r>
            <w:r w:rsidR="001E0B6C">
              <w:rPr>
                <w:noProof/>
                <w:webHidden/>
              </w:rPr>
              <w:t>35</w:t>
            </w:r>
            <w:r w:rsidR="001E0B6C">
              <w:rPr>
                <w:noProof/>
                <w:webHidden/>
              </w:rPr>
              <w:fldChar w:fldCharType="end"/>
            </w:r>
          </w:hyperlink>
        </w:p>
        <w:p w14:paraId="141004F3" w14:textId="079D1300" w:rsidR="000C717D" w:rsidRDefault="000C717D">
          <w:r>
            <w:rPr>
              <w:b/>
              <w:bCs/>
              <w:noProof/>
            </w:rPr>
            <w:fldChar w:fldCharType="end"/>
          </w:r>
        </w:p>
      </w:sdtContent>
    </w:sdt>
    <w:p w14:paraId="459AABFA" w14:textId="77777777" w:rsidR="00D27045" w:rsidRDefault="00EB481D" w:rsidP="00150E6A">
      <w:pPr>
        <w:pStyle w:val="Title"/>
        <w:jc w:val="left"/>
      </w:pPr>
      <w:r w:rsidRPr="0071192E">
        <w:rPr>
          <w:b w:val="0"/>
          <w:sz w:val="26"/>
          <w:szCs w:val="26"/>
        </w:rPr>
        <w:t xml:space="preserve"> </w:t>
      </w:r>
    </w:p>
    <w:p w14:paraId="59C47D85" w14:textId="77777777" w:rsidR="00B05ECA" w:rsidRDefault="00B05ECA">
      <w:pPr>
        <w:spacing w:after="0"/>
      </w:pPr>
      <w:r>
        <w:br w:type="page"/>
      </w:r>
    </w:p>
    <w:p w14:paraId="62104024" w14:textId="77777777" w:rsidR="004B5E45" w:rsidRDefault="004B5E45" w:rsidP="001E0B6C">
      <w:pPr>
        <w:pStyle w:val="Heading2"/>
      </w:pPr>
      <w:bookmarkStart w:id="2" w:name="_Toc101857179"/>
      <w:r>
        <w:lastRenderedPageBreak/>
        <w:t>List of Acronyms</w:t>
      </w:r>
      <w:bookmarkEnd w:id="2"/>
    </w:p>
    <w:tbl>
      <w:tblPr>
        <w:tblStyle w:val="TableGrid"/>
        <w:tblW w:w="0" w:type="auto"/>
        <w:tblLook w:val="04A0" w:firstRow="1" w:lastRow="0" w:firstColumn="1" w:lastColumn="0" w:noHBand="0" w:noVBand="1"/>
        <w:tblCaption w:val="Table on list of Acronyms"/>
        <w:tblDescription w:val="Discription of Acronyms"/>
      </w:tblPr>
      <w:tblGrid>
        <w:gridCol w:w="1838"/>
        <w:gridCol w:w="6792"/>
      </w:tblGrid>
      <w:tr w:rsidR="004B5E45" w14:paraId="5E7C19EF" w14:textId="77777777" w:rsidTr="00890BE7">
        <w:trPr>
          <w:tblHeader/>
        </w:trPr>
        <w:tc>
          <w:tcPr>
            <w:tcW w:w="1838" w:type="dxa"/>
          </w:tcPr>
          <w:p w14:paraId="24798357" w14:textId="77777777" w:rsidR="004B5E45" w:rsidRDefault="004B5E45" w:rsidP="00F52805">
            <w:pPr>
              <w:spacing w:after="0"/>
              <w:jc w:val="both"/>
            </w:pPr>
            <w:r>
              <w:t>AHEAD</w:t>
            </w:r>
          </w:p>
        </w:tc>
        <w:tc>
          <w:tcPr>
            <w:tcW w:w="6792" w:type="dxa"/>
          </w:tcPr>
          <w:p w14:paraId="64B06769" w14:textId="77777777" w:rsidR="004B5E45" w:rsidRDefault="004B5E45" w:rsidP="00F52805">
            <w:pPr>
              <w:spacing w:after="0"/>
              <w:jc w:val="both"/>
            </w:pPr>
            <w:r>
              <w:rPr>
                <w:szCs w:val="26"/>
              </w:rPr>
              <w:t>Association Higher Education and Disability</w:t>
            </w:r>
          </w:p>
        </w:tc>
      </w:tr>
      <w:tr w:rsidR="004B5E45" w14:paraId="7956740A" w14:textId="77777777" w:rsidTr="00F52805">
        <w:tc>
          <w:tcPr>
            <w:tcW w:w="1838" w:type="dxa"/>
          </w:tcPr>
          <w:p w14:paraId="59FBCA27" w14:textId="77777777" w:rsidR="004B5E45" w:rsidRDefault="004B5E45" w:rsidP="00F52805">
            <w:pPr>
              <w:spacing w:after="0"/>
              <w:jc w:val="both"/>
            </w:pPr>
            <w:r>
              <w:t>CES</w:t>
            </w:r>
          </w:p>
        </w:tc>
        <w:tc>
          <w:tcPr>
            <w:tcW w:w="6792" w:type="dxa"/>
          </w:tcPr>
          <w:p w14:paraId="2B871C53" w14:textId="77777777" w:rsidR="004B5E45" w:rsidRDefault="004B5E45" w:rsidP="00F52805">
            <w:pPr>
              <w:spacing w:after="0"/>
              <w:jc w:val="both"/>
            </w:pPr>
            <w:r w:rsidRPr="00034D95">
              <w:rPr>
                <w:rFonts w:eastAsiaTheme="minorHAnsi" w:cs="Calibri"/>
                <w:szCs w:val="26"/>
              </w:rPr>
              <w:t>Comprehensive Employment Strategy for People with Disabilities 2015-2024</w:t>
            </w:r>
          </w:p>
        </w:tc>
      </w:tr>
      <w:tr w:rsidR="004B5E45" w14:paraId="13A5D44B" w14:textId="77777777" w:rsidTr="00F52805">
        <w:tc>
          <w:tcPr>
            <w:tcW w:w="1838" w:type="dxa"/>
          </w:tcPr>
          <w:p w14:paraId="04AEA650" w14:textId="77777777" w:rsidR="004B5E45" w:rsidRDefault="004B5E45" w:rsidP="00F52805">
            <w:pPr>
              <w:spacing w:after="0"/>
              <w:jc w:val="both"/>
            </w:pPr>
            <w:r>
              <w:t>COVID-19</w:t>
            </w:r>
          </w:p>
        </w:tc>
        <w:tc>
          <w:tcPr>
            <w:tcW w:w="6792" w:type="dxa"/>
          </w:tcPr>
          <w:p w14:paraId="3B2EF626" w14:textId="77777777" w:rsidR="004B5E45" w:rsidRDefault="004B5E45" w:rsidP="00F52805">
            <w:pPr>
              <w:spacing w:after="0"/>
              <w:jc w:val="both"/>
            </w:pPr>
            <w:r>
              <w:rPr>
                <w:rFonts w:cs="Arial"/>
                <w:szCs w:val="26"/>
                <w:shd w:val="clear" w:color="auto" w:fill="FFFFFF"/>
              </w:rPr>
              <w:t>I</w:t>
            </w:r>
            <w:r w:rsidRPr="00034D95">
              <w:rPr>
                <w:rFonts w:cs="Arial"/>
                <w:szCs w:val="26"/>
                <w:shd w:val="clear" w:color="auto" w:fill="FFFFFF"/>
              </w:rPr>
              <w:t>nfectious disease caused by a newly discovered coronavirus</w:t>
            </w:r>
          </w:p>
        </w:tc>
      </w:tr>
      <w:tr w:rsidR="004B5E45" w14:paraId="79FD6A08" w14:textId="77777777" w:rsidTr="00F52805">
        <w:tc>
          <w:tcPr>
            <w:tcW w:w="1838" w:type="dxa"/>
          </w:tcPr>
          <w:p w14:paraId="5BCDF578" w14:textId="77777777" w:rsidR="004B5E45" w:rsidRDefault="004B5E45" w:rsidP="00F52805">
            <w:pPr>
              <w:spacing w:after="0"/>
              <w:jc w:val="both"/>
            </w:pPr>
            <w:r>
              <w:t>CSO</w:t>
            </w:r>
          </w:p>
        </w:tc>
        <w:tc>
          <w:tcPr>
            <w:tcW w:w="6792" w:type="dxa"/>
          </w:tcPr>
          <w:p w14:paraId="074EED97" w14:textId="77777777" w:rsidR="004B5E45" w:rsidRDefault="004B5E45" w:rsidP="00F52805">
            <w:pPr>
              <w:spacing w:after="0"/>
              <w:jc w:val="both"/>
            </w:pPr>
            <w:r w:rsidRPr="00034D95">
              <w:rPr>
                <w:szCs w:val="26"/>
              </w:rPr>
              <w:t>Central Statistics Office</w:t>
            </w:r>
          </w:p>
        </w:tc>
      </w:tr>
      <w:tr w:rsidR="004B5E45" w14:paraId="3D81BD15" w14:textId="77777777" w:rsidTr="00F52805">
        <w:tc>
          <w:tcPr>
            <w:tcW w:w="1838" w:type="dxa"/>
          </w:tcPr>
          <w:p w14:paraId="09D9AD3F" w14:textId="77777777" w:rsidR="004B5E45" w:rsidRDefault="004B5E45" w:rsidP="00F52805">
            <w:pPr>
              <w:spacing w:after="0"/>
              <w:jc w:val="both"/>
            </w:pPr>
            <w:r>
              <w:t>DA</w:t>
            </w:r>
          </w:p>
        </w:tc>
        <w:tc>
          <w:tcPr>
            <w:tcW w:w="6792" w:type="dxa"/>
          </w:tcPr>
          <w:p w14:paraId="7ED7F292" w14:textId="77777777" w:rsidR="004B5E45" w:rsidRDefault="004B5E45" w:rsidP="00F52805">
            <w:pPr>
              <w:spacing w:after="0"/>
              <w:jc w:val="both"/>
            </w:pPr>
            <w:r w:rsidRPr="00034D95">
              <w:rPr>
                <w:szCs w:val="26"/>
              </w:rPr>
              <w:t>Disability Allowance</w:t>
            </w:r>
          </w:p>
        </w:tc>
      </w:tr>
      <w:tr w:rsidR="004B5E45" w14:paraId="49CE4145" w14:textId="77777777" w:rsidTr="00F52805">
        <w:tc>
          <w:tcPr>
            <w:tcW w:w="1838" w:type="dxa"/>
          </w:tcPr>
          <w:p w14:paraId="353F93CA" w14:textId="77777777" w:rsidR="004B5E45" w:rsidRDefault="004B5E45" w:rsidP="00F52805">
            <w:pPr>
              <w:spacing w:after="0"/>
              <w:jc w:val="both"/>
            </w:pPr>
            <w:r>
              <w:t>DCEDIY</w:t>
            </w:r>
          </w:p>
        </w:tc>
        <w:tc>
          <w:tcPr>
            <w:tcW w:w="6792" w:type="dxa"/>
          </w:tcPr>
          <w:p w14:paraId="631578F5" w14:textId="77777777" w:rsidR="004B5E45" w:rsidRDefault="004B5E45" w:rsidP="00F52805">
            <w:pPr>
              <w:spacing w:after="0"/>
              <w:jc w:val="both"/>
            </w:pPr>
            <w:r w:rsidRPr="00034D95">
              <w:rPr>
                <w:rFonts w:eastAsiaTheme="minorHAnsi" w:cs="Calibri"/>
                <w:szCs w:val="26"/>
              </w:rPr>
              <w:t>Department of Children, Equality, Disability, Integration and Youth</w:t>
            </w:r>
          </w:p>
        </w:tc>
      </w:tr>
      <w:tr w:rsidR="004B5E45" w14:paraId="5452E9EB" w14:textId="77777777" w:rsidTr="00F52805">
        <w:tc>
          <w:tcPr>
            <w:tcW w:w="1838" w:type="dxa"/>
          </w:tcPr>
          <w:p w14:paraId="08AACDFC" w14:textId="77777777" w:rsidR="004B5E45" w:rsidRDefault="004B5E45" w:rsidP="00F52805">
            <w:pPr>
              <w:spacing w:after="0"/>
              <w:jc w:val="both"/>
            </w:pPr>
            <w:r>
              <w:t>DFHERIS</w:t>
            </w:r>
          </w:p>
        </w:tc>
        <w:tc>
          <w:tcPr>
            <w:tcW w:w="6792" w:type="dxa"/>
          </w:tcPr>
          <w:p w14:paraId="1BACEED4" w14:textId="77777777" w:rsidR="004B5E45" w:rsidRPr="00034D95" w:rsidRDefault="004B5E45" w:rsidP="00F52805">
            <w:pPr>
              <w:spacing w:after="0"/>
              <w:jc w:val="both"/>
              <w:rPr>
                <w:szCs w:val="26"/>
              </w:rPr>
            </w:pPr>
            <w:r>
              <w:t>Department of Further Higher Education Research Innovation and Science</w:t>
            </w:r>
          </w:p>
        </w:tc>
      </w:tr>
      <w:tr w:rsidR="00DC0DF3" w14:paraId="76C937B0" w14:textId="77777777" w:rsidTr="00F52805">
        <w:tc>
          <w:tcPr>
            <w:tcW w:w="1838" w:type="dxa"/>
          </w:tcPr>
          <w:p w14:paraId="0BE4D156" w14:textId="77777777" w:rsidR="00DC0DF3" w:rsidRDefault="00DC0DF3" w:rsidP="00F52805">
            <w:pPr>
              <w:spacing w:after="0"/>
              <w:jc w:val="both"/>
            </w:pPr>
            <w:r>
              <w:t>DPER</w:t>
            </w:r>
          </w:p>
        </w:tc>
        <w:tc>
          <w:tcPr>
            <w:tcW w:w="6792" w:type="dxa"/>
          </w:tcPr>
          <w:p w14:paraId="643F9879" w14:textId="77777777" w:rsidR="00DC0DF3" w:rsidRDefault="00DC0DF3" w:rsidP="00F52805">
            <w:pPr>
              <w:spacing w:after="0"/>
              <w:jc w:val="both"/>
            </w:pPr>
            <w:r>
              <w:t>Department of Public Expenditure and Reform</w:t>
            </w:r>
          </w:p>
        </w:tc>
      </w:tr>
      <w:tr w:rsidR="004B5E45" w14:paraId="453CA8DF" w14:textId="77777777" w:rsidTr="00F52805">
        <w:tc>
          <w:tcPr>
            <w:tcW w:w="1838" w:type="dxa"/>
          </w:tcPr>
          <w:p w14:paraId="206A640F" w14:textId="77777777" w:rsidR="004B5E45" w:rsidRDefault="004B5E45" w:rsidP="00F52805">
            <w:pPr>
              <w:spacing w:after="0"/>
              <w:jc w:val="both"/>
            </w:pPr>
            <w:r>
              <w:t>DoE</w:t>
            </w:r>
          </w:p>
        </w:tc>
        <w:tc>
          <w:tcPr>
            <w:tcW w:w="6792" w:type="dxa"/>
          </w:tcPr>
          <w:p w14:paraId="2C8D5683" w14:textId="77777777" w:rsidR="004B5E45" w:rsidRDefault="004B5E45" w:rsidP="00F52805">
            <w:pPr>
              <w:spacing w:after="0"/>
              <w:jc w:val="both"/>
            </w:pPr>
            <w:r w:rsidRPr="00034D95">
              <w:rPr>
                <w:szCs w:val="26"/>
              </w:rPr>
              <w:t>Department of Education</w:t>
            </w:r>
          </w:p>
        </w:tc>
      </w:tr>
      <w:tr w:rsidR="004B5E45" w14:paraId="46038DF0" w14:textId="77777777" w:rsidTr="00F52805">
        <w:tc>
          <w:tcPr>
            <w:tcW w:w="1838" w:type="dxa"/>
          </w:tcPr>
          <w:p w14:paraId="43273F37" w14:textId="77777777" w:rsidR="004B5E45" w:rsidRDefault="004B5E45" w:rsidP="00F52805">
            <w:pPr>
              <w:spacing w:after="0"/>
              <w:jc w:val="both"/>
            </w:pPr>
            <w:r>
              <w:t>DoH</w:t>
            </w:r>
          </w:p>
        </w:tc>
        <w:tc>
          <w:tcPr>
            <w:tcW w:w="6792" w:type="dxa"/>
          </w:tcPr>
          <w:p w14:paraId="53B0F067" w14:textId="77777777" w:rsidR="004B5E45" w:rsidRDefault="004B5E45" w:rsidP="00F52805">
            <w:pPr>
              <w:spacing w:after="0"/>
              <w:jc w:val="both"/>
            </w:pPr>
            <w:r w:rsidRPr="00034D95">
              <w:rPr>
                <w:szCs w:val="26"/>
              </w:rPr>
              <w:t>Department of Health</w:t>
            </w:r>
          </w:p>
        </w:tc>
      </w:tr>
      <w:tr w:rsidR="004B5E45" w14:paraId="02A6A1DB" w14:textId="77777777" w:rsidTr="00F52805">
        <w:tc>
          <w:tcPr>
            <w:tcW w:w="1838" w:type="dxa"/>
          </w:tcPr>
          <w:p w14:paraId="116906F5" w14:textId="77777777" w:rsidR="004B5E45" w:rsidRDefault="004B5E45" w:rsidP="00F52805">
            <w:pPr>
              <w:spacing w:after="0"/>
              <w:jc w:val="both"/>
            </w:pPr>
            <w:r>
              <w:t>DSP</w:t>
            </w:r>
          </w:p>
        </w:tc>
        <w:tc>
          <w:tcPr>
            <w:tcW w:w="6792" w:type="dxa"/>
          </w:tcPr>
          <w:p w14:paraId="053CA585" w14:textId="77777777" w:rsidR="004B5E45" w:rsidRPr="00034D95" w:rsidRDefault="004B5E45" w:rsidP="00F52805">
            <w:pPr>
              <w:spacing w:after="0"/>
              <w:jc w:val="both"/>
              <w:rPr>
                <w:szCs w:val="26"/>
              </w:rPr>
            </w:pPr>
            <w:r w:rsidRPr="00034D95">
              <w:rPr>
                <w:szCs w:val="26"/>
              </w:rPr>
              <w:t>Department of Social Protection</w:t>
            </w:r>
          </w:p>
        </w:tc>
      </w:tr>
      <w:tr w:rsidR="004B5E45" w14:paraId="1E58C154" w14:textId="77777777" w:rsidTr="00F52805">
        <w:tc>
          <w:tcPr>
            <w:tcW w:w="1838" w:type="dxa"/>
          </w:tcPr>
          <w:p w14:paraId="4D9C0D6C" w14:textId="77777777" w:rsidR="004B5E45" w:rsidRDefault="004B5E45" w:rsidP="00F52805">
            <w:pPr>
              <w:spacing w:after="0"/>
              <w:jc w:val="both"/>
            </w:pPr>
            <w:r>
              <w:t>ESRI</w:t>
            </w:r>
          </w:p>
        </w:tc>
        <w:tc>
          <w:tcPr>
            <w:tcW w:w="6792" w:type="dxa"/>
          </w:tcPr>
          <w:p w14:paraId="76BBD148" w14:textId="77777777" w:rsidR="004B5E45" w:rsidRPr="00034D95" w:rsidRDefault="004B5E45" w:rsidP="00F52805">
            <w:pPr>
              <w:spacing w:after="0"/>
              <w:jc w:val="both"/>
              <w:rPr>
                <w:szCs w:val="26"/>
              </w:rPr>
            </w:pPr>
            <w:r>
              <w:rPr>
                <w:szCs w:val="26"/>
              </w:rPr>
              <w:t>Economic and Social Research Institute</w:t>
            </w:r>
          </w:p>
        </w:tc>
      </w:tr>
      <w:tr w:rsidR="004B5E45" w14:paraId="64A25B5D" w14:textId="77777777" w:rsidTr="00F52805">
        <w:tc>
          <w:tcPr>
            <w:tcW w:w="1838" w:type="dxa"/>
          </w:tcPr>
          <w:p w14:paraId="4DFD64E5" w14:textId="77777777" w:rsidR="004B5E45" w:rsidRDefault="004B5E45" w:rsidP="00F52805">
            <w:pPr>
              <w:spacing w:after="0"/>
              <w:jc w:val="both"/>
            </w:pPr>
            <w:r>
              <w:t>FET</w:t>
            </w:r>
          </w:p>
        </w:tc>
        <w:tc>
          <w:tcPr>
            <w:tcW w:w="6792" w:type="dxa"/>
          </w:tcPr>
          <w:p w14:paraId="0D147392" w14:textId="77777777" w:rsidR="004B5E45" w:rsidRPr="00034D95" w:rsidRDefault="004B5E45" w:rsidP="00F52805">
            <w:pPr>
              <w:spacing w:after="0"/>
              <w:jc w:val="both"/>
              <w:rPr>
                <w:szCs w:val="26"/>
              </w:rPr>
            </w:pPr>
            <w:r w:rsidRPr="00034D95">
              <w:rPr>
                <w:szCs w:val="26"/>
              </w:rPr>
              <w:t>Further Education &amp; Training</w:t>
            </w:r>
          </w:p>
        </w:tc>
      </w:tr>
      <w:tr w:rsidR="004B5E45" w14:paraId="3C0B84C6" w14:textId="77777777" w:rsidTr="00F52805">
        <w:tc>
          <w:tcPr>
            <w:tcW w:w="1838" w:type="dxa"/>
          </w:tcPr>
          <w:p w14:paraId="4397E8E2" w14:textId="77777777" w:rsidR="004B5E45" w:rsidRDefault="004B5E45" w:rsidP="00F52805">
            <w:pPr>
              <w:spacing w:after="0"/>
              <w:jc w:val="both"/>
            </w:pPr>
            <w:r>
              <w:t>HEA</w:t>
            </w:r>
          </w:p>
        </w:tc>
        <w:tc>
          <w:tcPr>
            <w:tcW w:w="6792" w:type="dxa"/>
          </w:tcPr>
          <w:p w14:paraId="35CE07BC" w14:textId="77777777" w:rsidR="004B5E45" w:rsidRPr="00034D95" w:rsidRDefault="004B5E45" w:rsidP="00F52805">
            <w:pPr>
              <w:spacing w:after="0"/>
              <w:jc w:val="both"/>
              <w:rPr>
                <w:szCs w:val="26"/>
              </w:rPr>
            </w:pPr>
            <w:r w:rsidRPr="00034D95">
              <w:rPr>
                <w:szCs w:val="26"/>
              </w:rPr>
              <w:t>Higher Education Authority</w:t>
            </w:r>
          </w:p>
        </w:tc>
      </w:tr>
      <w:tr w:rsidR="004B5E45" w14:paraId="2F73B7D4" w14:textId="77777777" w:rsidTr="00F52805">
        <w:tc>
          <w:tcPr>
            <w:tcW w:w="1838" w:type="dxa"/>
          </w:tcPr>
          <w:p w14:paraId="20F172BA" w14:textId="77777777" w:rsidR="004B5E45" w:rsidRDefault="004B5E45" w:rsidP="00F52805">
            <w:pPr>
              <w:spacing w:after="0"/>
              <w:jc w:val="both"/>
            </w:pPr>
            <w:r>
              <w:t>HSE</w:t>
            </w:r>
          </w:p>
        </w:tc>
        <w:tc>
          <w:tcPr>
            <w:tcW w:w="6792" w:type="dxa"/>
          </w:tcPr>
          <w:p w14:paraId="69CB1865" w14:textId="77777777" w:rsidR="004B5E45" w:rsidRPr="00034D95" w:rsidRDefault="004B5E45" w:rsidP="00F52805">
            <w:pPr>
              <w:spacing w:after="0"/>
              <w:jc w:val="both"/>
              <w:rPr>
                <w:szCs w:val="26"/>
              </w:rPr>
            </w:pPr>
            <w:r w:rsidRPr="00034D95">
              <w:rPr>
                <w:szCs w:val="26"/>
              </w:rPr>
              <w:t>Health Service Executive</w:t>
            </w:r>
          </w:p>
        </w:tc>
      </w:tr>
      <w:tr w:rsidR="00A10832" w14:paraId="65AFCB2D" w14:textId="77777777" w:rsidTr="00F52805">
        <w:tc>
          <w:tcPr>
            <w:tcW w:w="1838" w:type="dxa"/>
          </w:tcPr>
          <w:p w14:paraId="05601164" w14:textId="77777777" w:rsidR="00A10832" w:rsidRDefault="00A10832" w:rsidP="00F52805">
            <w:pPr>
              <w:spacing w:after="0"/>
              <w:jc w:val="both"/>
            </w:pPr>
            <w:r>
              <w:t>IGESES</w:t>
            </w:r>
          </w:p>
        </w:tc>
        <w:tc>
          <w:tcPr>
            <w:tcW w:w="6792" w:type="dxa"/>
          </w:tcPr>
          <w:p w14:paraId="5187E6D8" w14:textId="77777777" w:rsidR="00A10832" w:rsidRPr="00034D95" w:rsidRDefault="00A10832" w:rsidP="00F52805">
            <w:pPr>
              <w:spacing w:after="0"/>
              <w:jc w:val="both"/>
              <w:rPr>
                <w:szCs w:val="26"/>
              </w:rPr>
            </w:pPr>
            <w:r>
              <w:t>Irish Government Economic and Evaluation Service</w:t>
            </w:r>
          </w:p>
        </w:tc>
      </w:tr>
      <w:tr w:rsidR="004B5E45" w14:paraId="23073053" w14:textId="77777777" w:rsidTr="00F52805">
        <w:tc>
          <w:tcPr>
            <w:tcW w:w="1838" w:type="dxa"/>
          </w:tcPr>
          <w:p w14:paraId="24126DF8" w14:textId="77777777" w:rsidR="004B5E45" w:rsidRDefault="004B5E45" w:rsidP="00F52805">
            <w:pPr>
              <w:spacing w:after="0"/>
              <w:jc w:val="both"/>
            </w:pPr>
            <w:r>
              <w:t>IPS</w:t>
            </w:r>
          </w:p>
        </w:tc>
        <w:tc>
          <w:tcPr>
            <w:tcW w:w="6792" w:type="dxa"/>
          </w:tcPr>
          <w:p w14:paraId="721176CB" w14:textId="77777777" w:rsidR="004B5E45" w:rsidRPr="00034D95" w:rsidRDefault="004B5E45" w:rsidP="00F52805">
            <w:pPr>
              <w:spacing w:after="0"/>
              <w:jc w:val="both"/>
              <w:rPr>
                <w:szCs w:val="26"/>
              </w:rPr>
            </w:pPr>
            <w:r w:rsidRPr="00034D95">
              <w:rPr>
                <w:rFonts w:eastAsiaTheme="minorHAnsi" w:cs="Calibri"/>
                <w:szCs w:val="26"/>
              </w:rPr>
              <w:t>Individual Placement and Support</w:t>
            </w:r>
            <w:r>
              <w:rPr>
                <w:rFonts w:eastAsiaTheme="minorHAnsi" w:cs="Calibri"/>
                <w:szCs w:val="26"/>
              </w:rPr>
              <w:t>,</w:t>
            </w:r>
            <w:r w:rsidRPr="00034D95">
              <w:rPr>
                <w:rFonts w:eastAsiaTheme="minorHAnsi" w:cs="Calibri"/>
                <w:szCs w:val="26"/>
              </w:rPr>
              <w:t xml:space="preserve"> model of supported employment for people with mental health concerns</w:t>
            </w:r>
          </w:p>
        </w:tc>
      </w:tr>
      <w:tr w:rsidR="004B5E45" w14:paraId="14B3C9E5" w14:textId="77777777" w:rsidTr="00F52805">
        <w:tc>
          <w:tcPr>
            <w:tcW w:w="1838" w:type="dxa"/>
          </w:tcPr>
          <w:p w14:paraId="65D5AD40" w14:textId="77777777" w:rsidR="004B5E45" w:rsidRDefault="004B5E45" w:rsidP="00F52805">
            <w:pPr>
              <w:spacing w:after="0"/>
              <w:jc w:val="both"/>
            </w:pPr>
            <w:r>
              <w:t>NDA</w:t>
            </w:r>
          </w:p>
        </w:tc>
        <w:tc>
          <w:tcPr>
            <w:tcW w:w="6792" w:type="dxa"/>
          </w:tcPr>
          <w:p w14:paraId="51646CEE" w14:textId="77777777" w:rsidR="004B5E45" w:rsidRPr="00034D95" w:rsidRDefault="004B5E45" w:rsidP="00F52805">
            <w:pPr>
              <w:spacing w:after="0"/>
              <w:jc w:val="both"/>
              <w:rPr>
                <w:szCs w:val="26"/>
              </w:rPr>
            </w:pPr>
            <w:r>
              <w:rPr>
                <w:szCs w:val="26"/>
              </w:rPr>
              <w:t>National Disability Authority</w:t>
            </w:r>
          </w:p>
        </w:tc>
      </w:tr>
      <w:tr w:rsidR="004B5E45" w14:paraId="6D8B3F0E" w14:textId="77777777" w:rsidTr="00F52805">
        <w:tc>
          <w:tcPr>
            <w:tcW w:w="1838" w:type="dxa"/>
          </w:tcPr>
          <w:p w14:paraId="50550B17" w14:textId="77777777" w:rsidR="004B5E45" w:rsidRDefault="004B5E45" w:rsidP="00F52805">
            <w:pPr>
              <w:spacing w:after="0"/>
              <w:jc w:val="both"/>
            </w:pPr>
            <w:r>
              <w:t>NTA</w:t>
            </w:r>
          </w:p>
        </w:tc>
        <w:tc>
          <w:tcPr>
            <w:tcW w:w="6792" w:type="dxa"/>
          </w:tcPr>
          <w:p w14:paraId="69975455" w14:textId="77777777" w:rsidR="004B5E45" w:rsidRPr="00034D95" w:rsidRDefault="004B5E45" w:rsidP="00F52805">
            <w:pPr>
              <w:spacing w:after="0"/>
              <w:jc w:val="both"/>
              <w:rPr>
                <w:szCs w:val="26"/>
              </w:rPr>
            </w:pPr>
            <w:r>
              <w:rPr>
                <w:szCs w:val="26"/>
              </w:rPr>
              <w:t>National Transport Authority</w:t>
            </w:r>
          </w:p>
        </w:tc>
      </w:tr>
      <w:tr w:rsidR="004B5E45" w14:paraId="0C035369" w14:textId="77777777" w:rsidTr="00F52805">
        <w:tc>
          <w:tcPr>
            <w:tcW w:w="1838" w:type="dxa"/>
          </w:tcPr>
          <w:p w14:paraId="11FEF7CC" w14:textId="77777777" w:rsidR="004B5E45" w:rsidRDefault="004B5E45" w:rsidP="00F52805">
            <w:pPr>
              <w:spacing w:after="0"/>
              <w:jc w:val="both"/>
            </w:pPr>
            <w:r>
              <w:t>OECD</w:t>
            </w:r>
          </w:p>
        </w:tc>
        <w:tc>
          <w:tcPr>
            <w:tcW w:w="6792" w:type="dxa"/>
          </w:tcPr>
          <w:p w14:paraId="7D74FC63" w14:textId="77777777" w:rsidR="004B5E45" w:rsidRPr="00034D95" w:rsidRDefault="004B5E45" w:rsidP="00F52805">
            <w:pPr>
              <w:spacing w:after="0"/>
              <w:jc w:val="both"/>
              <w:rPr>
                <w:szCs w:val="26"/>
              </w:rPr>
            </w:pPr>
            <w:r w:rsidRPr="00034D95">
              <w:rPr>
                <w:szCs w:val="26"/>
              </w:rPr>
              <w:t>Organisation for Economic Cooperation and Development</w:t>
            </w:r>
          </w:p>
        </w:tc>
      </w:tr>
      <w:tr w:rsidR="004B5E45" w14:paraId="7733DA6C" w14:textId="77777777" w:rsidTr="00F52805">
        <w:tc>
          <w:tcPr>
            <w:tcW w:w="1838" w:type="dxa"/>
          </w:tcPr>
          <w:p w14:paraId="76A396EB" w14:textId="77777777" w:rsidR="004B5E45" w:rsidRDefault="004B5E45" w:rsidP="00F52805">
            <w:pPr>
              <w:spacing w:after="0"/>
              <w:jc w:val="both"/>
            </w:pPr>
            <w:r>
              <w:t>OWL</w:t>
            </w:r>
          </w:p>
        </w:tc>
        <w:tc>
          <w:tcPr>
            <w:tcW w:w="6792" w:type="dxa"/>
          </w:tcPr>
          <w:p w14:paraId="7CE1A2EA" w14:textId="77777777" w:rsidR="004B5E45" w:rsidRPr="004B4DD9" w:rsidRDefault="004B5E45" w:rsidP="00F52805">
            <w:pPr>
              <w:spacing w:after="0"/>
              <w:jc w:val="both"/>
              <w:rPr>
                <w:rFonts w:cstheme="minorHAnsi"/>
                <w:szCs w:val="26"/>
              </w:rPr>
            </w:pPr>
            <w:r w:rsidRPr="00034D95">
              <w:rPr>
                <w:rFonts w:cstheme="minorHAnsi"/>
                <w:szCs w:val="26"/>
              </w:rPr>
              <w:t>Oireachtas Work Learning programme for persons with intellectual disabilities</w:t>
            </w:r>
          </w:p>
        </w:tc>
      </w:tr>
      <w:tr w:rsidR="004B5E45" w14:paraId="2AF82000" w14:textId="77777777" w:rsidTr="00F52805">
        <w:tc>
          <w:tcPr>
            <w:tcW w:w="1838" w:type="dxa"/>
          </w:tcPr>
          <w:p w14:paraId="1B4F6556" w14:textId="77777777" w:rsidR="004B5E45" w:rsidRDefault="004B5E45" w:rsidP="00F52805">
            <w:pPr>
              <w:spacing w:after="0"/>
              <w:jc w:val="both"/>
            </w:pPr>
            <w:r>
              <w:t>PAS</w:t>
            </w:r>
          </w:p>
        </w:tc>
        <w:tc>
          <w:tcPr>
            <w:tcW w:w="6792" w:type="dxa"/>
          </w:tcPr>
          <w:p w14:paraId="4FEF50B5" w14:textId="77777777" w:rsidR="004B5E45" w:rsidRPr="00034D95" w:rsidRDefault="004B5E45" w:rsidP="00F52805">
            <w:pPr>
              <w:spacing w:after="0"/>
              <w:jc w:val="both"/>
              <w:rPr>
                <w:szCs w:val="26"/>
                <w:lang w:val="en"/>
              </w:rPr>
            </w:pPr>
            <w:r>
              <w:rPr>
                <w:rFonts w:cstheme="minorHAnsi"/>
                <w:szCs w:val="26"/>
              </w:rPr>
              <w:t>Public Appointments Service</w:t>
            </w:r>
          </w:p>
        </w:tc>
      </w:tr>
      <w:tr w:rsidR="00F52805" w14:paraId="56EDD832" w14:textId="77777777" w:rsidTr="00F52805">
        <w:tc>
          <w:tcPr>
            <w:tcW w:w="1838" w:type="dxa"/>
          </w:tcPr>
          <w:p w14:paraId="0BF0573A" w14:textId="77777777" w:rsidR="00F52805" w:rsidRDefault="00F52805" w:rsidP="00F52805">
            <w:pPr>
              <w:spacing w:after="0"/>
              <w:jc w:val="both"/>
            </w:pPr>
            <w:r>
              <w:t>RT</w:t>
            </w:r>
          </w:p>
        </w:tc>
        <w:tc>
          <w:tcPr>
            <w:tcW w:w="6792" w:type="dxa"/>
          </w:tcPr>
          <w:p w14:paraId="1E4EFA87" w14:textId="77777777" w:rsidR="00F52805" w:rsidRDefault="00F52805" w:rsidP="00F52805">
            <w:pPr>
              <w:spacing w:after="0"/>
              <w:jc w:val="both"/>
              <w:rPr>
                <w:rFonts w:cstheme="minorHAnsi"/>
                <w:szCs w:val="26"/>
              </w:rPr>
            </w:pPr>
            <w:r>
              <w:rPr>
                <w:rFonts w:cstheme="minorHAnsi"/>
                <w:szCs w:val="26"/>
              </w:rPr>
              <w:t>Rehabilitative Training</w:t>
            </w:r>
          </w:p>
        </w:tc>
      </w:tr>
      <w:tr w:rsidR="004B5E45" w14:paraId="430BE659" w14:textId="77777777" w:rsidTr="00F52805">
        <w:tc>
          <w:tcPr>
            <w:tcW w:w="1838" w:type="dxa"/>
          </w:tcPr>
          <w:p w14:paraId="7D8BD71E" w14:textId="77777777" w:rsidR="004B5E45" w:rsidRDefault="004B5E45" w:rsidP="00F52805">
            <w:pPr>
              <w:spacing w:after="0"/>
              <w:jc w:val="both"/>
            </w:pPr>
            <w:r>
              <w:t>Solas</w:t>
            </w:r>
          </w:p>
        </w:tc>
        <w:tc>
          <w:tcPr>
            <w:tcW w:w="6792" w:type="dxa"/>
          </w:tcPr>
          <w:p w14:paraId="78C89BBF" w14:textId="77777777" w:rsidR="004B5E45" w:rsidRPr="00034D95" w:rsidRDefault="004B5E45" w:rsidP="00F52805">
            <w:pPr>
              <w:spacing w:after="0"/>
              <w:jc w:val="both"/>
              <w:rPr>
                <w:szCs w:val="26"/>
              </w:rPr>
            </w:pPr>
            <w:r w:rsidRPr="00034D95">
              <w:rPr>
                <w:szCs w:val="26"/>
              </w:rPr>
              <w:t>Seirbhisi Oideachais Leanunaigh Agus Scileanna (Fur</w:t>
            </w:r>
            <w:r>
              <w:rPr>
                <w:szCs w:val="26"/>
              </w:rPr>
              <w:t>ther Education Skills Services)</w:t>
            </w:r>
          </w:p>
        </w:tc>
      </w:tr>
      <w:tr w:rsidR="004B5E45" w14:paraId="35BFD023" w14:textId="77777777" w:rsidTr="00F52805">
        <w:tc>
          <w:tcPr>
            <w:tcW w:w="1838" w:type="dxa"/>
          </w:tcPr>
          <w:p w14:paraId="3A90B6D4" w14:textId="77777777" w:rsidR="004B5E45" w:rsidRDefault="004B5E45" w:rsidP="00F52805">
            <w:pPr>
              <w:spacing w:after="0"/>
              <w:jc w:val="both"/>
            </w:pPr>
            <w:r>
              <w:t>UNCRPD</w:t>
            </w:r>
          </w:p>
        </w:tc>
        <w:tc>
          <w:tcPr>
            <w:tcW w:w="6792" w:type="dxa"/>
          </w:tcPr>
          <w:p w14:paraId="5CC2BC54" w14:textId="77777777" w:rsidR="004B5E45" w:rsidRPr="00034D95" w:rsidRDefault="004B5E45" w:rsidP="00F52805">
            <w:pPr>
              <w:spacing w:after="0"/>
              <w:jc w:val="both"/>
              <w:rPr>
                <w:szCs w:val="26"/>
              </w:rPr>
            </w:pPr>
            <w:r w:rsidRPr="00034D95">
              <w:rPr>
                <w:szCs w:val="26"/>
              </w:rPr>
              <w:t>United Nations Convention on the Rights of Persons with Disabilities</w:t>
            </w:r>
          </w:p>
        </w:tc>
      </w:tr>
      <w:tr w:rsidR="00DC0DF3" w14:paraId="17C6B6E9" w14:textId="77777777" w:rsidTr="00F52805">
        <w:tc>
          <w:tcPr>
            <w:tcW w:w="1838" w:type="dxa"/>
          </w:tcPr>
          <w:p w14:paraId="1AA09E97" w14:textId="77777777" w:rsidR="00DC0DF3" w:rsidRDefault="00DC0DF3" w:rsidP="00F52805">
            <w:pPr>
              <w:spacing w:after="0"/>
              <w:jc w:val="both"/>
            </w:pPr>
            <w:r>
              <w:t>WAM</w:t>
            </w:r>
          </w:p>
        </w:tc>
        <w:tc>
          <w:tcPr>
            <w:tcW w:w="6792" w:type="dxa"/>
          </w:tcPr>
          <w:p w14:paraId="1EF0D276" w14:textId="77777777" w:rsidR="00DC0DF3" w:rsidRPr="00034D95" w:rsidRDefault="00DC0DF3" w:rsidP="00F52805">
            <w:pPr>
              <w:spacing w:after="0"/>
              <w:jc w:val="both"/>
              <w:rPr>
                <w:szCs w:val="26"/>
              </w:rPr>
            </w:pPr>
            <w:r>
              <w:rPr>
                <w:szCs w:val="26"/>
              </w:rPr>
              <w:t>Willing Able and Mentoring</w:t>
            </w:r>
          </w:p>
        </w:tc>
      </w:tr>
    </w:tbl>
    <w:p w14:paraId="3D63CB68" w14:textId="77777777" w:rsidR="004B5E45" w:rsidRDefault="004B5E45">
      <w:pPr>
        <w:spacing w:after="0"/>
      </w:pPr>
    </w:p>
    <w:p w14:paraId="387F288D" w14:textId="77777777" w:rsidR="004B5E45" w:rsidRDefault="004B5E45">
      <w:pPr>
        <w:spacing w:after="0"/>
      </w:pPr>
      <w:r>
        <w:br w:type="page"/>
      </w:r>
    </w:p>
    <w:p w14:paraId="014385EA" w14:textId="77777777" w:rsidR="009C3BD7" w:rsidRDefault="00EB481D" w:rsidP="009C3BD7">
      <w:pPr>
        <w:pStyle w:val="Heading1"/>
      </w:pPr>
      <w:bookmarkStart w:id="3" w:name="_Toc101857180"/>
      <w:r>
        <w:lastRenderedPageBreak/>
        <w:t>Introduction</w:t>
      </w:r>
      <w:bookmarkEnd w:id="3"/>
    </w:p>
    <w:p w14:paraId="16750993" w14:textId="77777777" w:rsidR="00EB481D" w:rsidRDefault="00EB481D" w:rsidP="00EB481D">
      <w:r w:rsidRPr="00137A8B">
        <w:t xml:space="preserve">This paper sets out the National Disability Authority’s (NDA) independent assessment of </w:t>
      </w:r>
      <w:r w:rsidR="00D74DBE">
        <w:t xml:space="preserve">progress made regarding the </w:t>
      </w:r>
      <w:r>
        <w:t>Comprehensive Employment Strategy for people with disabilities 2015 to 2024 (</w:t>
      </w:r>
      <w:r w:rsidRPr="00137A8B">
        <w:t>CES</w:t>
      </w:r>
      <w:r>
        <w:t>)</w:t>
      </w:r>
      <w:r w:rsidRPr="00137A8B">
        <w:t xml:space="preserve"> in the context of</w:t>
      </w:r>
      <w:r>
        <w:t xml:space="preserve"> developments during 2021.</w:t>
      </w:r>
      <w:r w:rsidR="00613097">
        <w:t xml:space="preserve"> This is the </w:t>
      </w:r>
      <w:r w:rsidR="0038631E">
        <w:t>sixth</w:t>
      </w:r>
      <w:r w:rsidR="00476D15" w:rsidRPr="00476D15">
        <w:t xml:space="preserve"> </w:t>
      </w:r>
      <w:r w:rsidR="003E667D">
        <w:t xml:space="preserve">annual </w:t>
      </w:r>
      <w:r w:rsidR="00613097">
        <w:t>assessment conducted by the NDA.</w:t>
      </w:r>
    </w:p>
    <w:p w14:paraId="042CCA52" w14:textId="223660F1" w:rsidR="00DE74ED" w:rsidRDefault="00075FB8" w:rsidP="00BC3ECF">
      <w:pPr>
        <w:pStyle w:val="CommentText"/>
        <w:rPr>
          <w:rFonts w:ascii="Gill Sans MT" w:hAnsi="Gill Sans MT"/>
          <w:sz w:val="26"/>
          <w:szCs w:val="26"/>
        </w:rPr>
      </w:pPr>
      <w:r w:rsidRPr="00DD62CF">
        <w:rPr>
          <w:rFonts w:ascii="Gill Sans MT" w:hAnsi="Gill Sans MT"/>
          <w:sz w:val="26"/>
          <w:szCs w:val="26"/>
        </w:rPr>
        <w:t xml:space="preserve">The assessment is based on </w:t>
      </w:r>
      <w:r w:rsidR="00F8016A" w:rsidRPr="00DD62CF">
        <w:rPr>
          <w:rFonts w:ascii="Gill Sans MT" w:hAnsi="Gill Sans MT"/>
          <w:sz w:val="26"/>
          <w:szCs w:val="26"/>
        </w:rPr>
        <w:t xml:space="preserve">evidence gathered during the year that </w:t>
      </w:r>
      <w:r w:rsidR="00946AC0" w:rsidRPr="00DD62CF">
        <w:rPr>
          <w:rFonts w:ascii="Gill Sans MT" w:hAnsi="Gill Sans MT"/>
          <w:sz w:val="26"/>
          <w:szCs w:val="26"/>
        </w:rPr>
        <w:t>relates to</w:t>
      </w:r>
      <w:r w:rsidR="00F8016A" w:rsidRPr="00DD62CF">
        <w:rPr>
          <w:rFonts w:ascii="Gill Sans MT" w:hAnsi="Gill Sans MT"/>
          <w:sz w:val="26"/>
          <w:szCs w:val="26"/>
        </w:rPr>
        <w:t xml:space="preserve"> the </w:t>
      </w:r>
      <w:r w:rsidR="00360E98">
        <w:rPr>
          <w:rFonts w:ascii="Gill Sans MT" w:hAnsi="Gill Sans MT"/>
          <w:sz w:val="26"/>
          <w:szCs w:val="26"/>
          <w:lang w:val="en-IE"/>
        </w:rPr>
        <w:t xml:space="preserve">current </w:t>
      </w:r>
      <w:r w:rsidR="00F8016A" w:rsidRPr="00DD62CF">
        <w:rPr>
          <w:rFonts w:ascii="Gill Sans MT" w:hAnsi="Gill Sans MT"/>
          <w:sz w:val="26"/>
          <w:szCs w:val="26"/>
        </w:rPr>
        <w:t>employment environment of people with disabilities. This approach includes evidence gathered on</w:t>
      </w:r>
      <w:r w:rsidR="00840698" w:rsidRPr="00DD62CF">
        <w:rPr>
          <w:rFonts w:ascii="Gill Sans MT" w:hAnsi="Gill Sans MT"/>
          <w:sz w:val="26"/>
          <w:szCs w:val="26"/>
        </w:rPr>
        <w:t xml:space="preserve"> the</w:t>
      </w:r>
      <w:r w:rsidR="00F8016A" w:rsidRPr="00DD62CF">
        <w:rPr>
          <w:rFonts w:ascii="Gill Sans MT" w:hAnsi="Gill Sans MT"/>
          <w:sz w:val="26"/>
          <w:szCs w:val="26"/>
        </w:rPr>
        <w:t xml:space="preserve"> lived experience </w:t>
      </w:r>
      <w:r w:rsidR="00840698" w:rsidRPr="00DD62CF">
        <w:rPr>
          <w:rFonts w:ascii="Gill Sans MT" w:hAnsi="Gill Sans MT"/>
          <w:sz w:val="26"/>
          <w:szCs w:val="26"/>
        </w:rPr>
        <w:t xml:space="preserve">of </w:t>
      </w:r>
      <w:r w:rsidR="00F8016A" w:rsidRPr="00DD62CF">
        <w:rPr>
          <w:rFonts w:ascii="Gill Sans MT" w:hAnsi="Gill Sans MT"/>
          <w:sz w:val="26"/>
          <w:szCs w:val="26"/>
        </w:rPr>
        <w:t xml:space="preserve">persons with disabilities by the NDA and others, </w:t>
      </w:r>
      <w:r w:rsidRPr="00DD62CF">
        <w:rPr>
          <w:rFonts w:ascii="Gill Sans MT" w:hAnsi="Gill Sans MT"/>
          <w:sz w:val="26"/>
          <w:szCs w:val="26"/>
        </w:rPr>
        <w:t xml:space="preserve">updates provided by various government departments relating to </w:t>
      </w:r>
      <w:r w:rsidR="00360E98">
        <w:rPr>
          <w:rFonts w:ascii="Gill Sans MT" w:hAnsi="Gill Sans MT"/>
          <w:sz w:val="26"/>
          <w:szCs w:val="26"/>
          <w:lang w:val="en-IE"/>
        </w:rPr>
        <w:t>commitments under the Strategy,</w:t>
      </w:r>
      <w:r w:rsidR="00360E98" w:rsidRPr="00DD62CF">
        <w:rPr>
          <w:rFonts w:ascii="Gill Sans MT" w:hAnsi="Gill Sans MT"/>
          <w:sz w:val="26"/>
          <w:szCs w:val="26"/>
        </w:rPr>
        <w:t xml:space="preserve"> </w:t>
      </w:r>
      <w:r w:rsidRPr="00DD62CF">
        <w:rPr>
          <w:rFonts w:ascii="Gill Sans MT" w:hAnsi="Gill Sans MT"/>
          <w:sz w:val="26"/>
          <w:szCs w:val="26"/>
        </w:rPr>
        <w:t xml:space="preserve">and new reports with data </w:t>
      </w:r>
      <w:r w:rsidR="00DE74ED">
        <w:rPr>
          <w:rFonts w:ascii="Gill Sans MT" w:hAnsi="Gill Sans MT"/>
          <w:sz w:val="26"/>
          <w:szCs w:val="26"/>
          <w:lang w:val="en-IE"/>
        </w:rPr>
        <w:t>relating to</w:t>
      </w:r>
      <w:r w:rsidRPr="00DD62CF">
        <w:rPr>
          <w:rFonts w:ascii="Gill Sans MT" w:hAnsi="Gill Sans MT"/>
          <w:sz w:val="26"/>
          <w:szCs w:val="26"/>
        </w:rPr>
        <w:t xml:space="preserve"> the employment of persons with disabilities</w:t>
      </w:r>
      <w:r w:rsidR="00F8016A" w:rsidRPr="00DD62CF">
        <w:rPr>
          <w:rFonts w:ascii="Gill Sans MT" w:hAnsi="Gill Sans MT"/>
          <w:sz w:val="26"/>
          <w:szCs w:val="26"/>
        </w:rPr>
        <w:t>. In t</w:t>
      </w:r>
      <w:r w:rsidR="003E426D" w:rsidRPr="00DD62CF">
        <w:rPr>
          <w:rFonts w:ascii="Gill Sans MT" w:hAnsi="Gill Sans MT"/>
          <w:sz w:val="26"/>
          <w:szCs w:val="26"/>
        </w:rPr>
        <w:t>his paper</w:t>
      </w:r>
      <w:r w:rsidR="00840698" w:rsidRPr="00DD62CF">
        <w:rPr>
          <w:rFonts w:ascii="Gill Sans MT" w:hAnsi="Gill Sans MT"/>
          <w:sz w:val="26"/>
          <w:szCs w:val="26"/>
        </w:rPr>
        <w:t>,</w:t>
      </w:r>
      <w:r w:rsidR="003E426D" w:rsidRPr="00DD62CF">
        <w:rPr>
          <w:rFonts w:ascii="Gill Sans MT" w:hAnsi="Gill Sans MT"/>
          <w:sz w:val="26"/>
          <w:szCs w:val="26"/>
        </w:rPr>
        <w:t xml:space="preserve"> the NDA </w:t>
      </w:r>
      <w:r w:rsidR="00F8016A" w:rsidRPr="00DD62CF">
        <w:rPr>
          <w:rFonts w:ascii="Gill Sans MT" w:hAnsi="Gill Sans MT"/>
          <w:sz w:val="26"/>
          <w:szCs w:val="26"/>
        </w:rPr>
        <w:t>highlight</w:t>
      </w:r>
      <w:r w:rsidR="00840698" w:rsidRPr="00DD62CF">
        <w:rPr>
          <w:rFonts w:ascii="Gill Sans MT" w:hAnsi="Gill Sans MT"/>
          <w:sz w:val="26"/>
          <w:szCs w:val="26"/>
        </w:rPr>
        <w:t>s</w:t>
      </w:r>
      <w:r w:rsidR="00F8016A" w:rsidRPr="00DD62CF">
        <w:rPr>
          <w:rFonts w:ascii="Gill Sans MT" w:hAnsi="Gill Sans MT"/>
          <w:sz w:val="26"/>
          <w:szCs w:val="26"/>
        </w:rPr>
        <w:t xml:space="preserve"> significant government strategies published or commencing in 2021 that impact the </w:t>
      </w:r>
      <w:r w:rsidR="009917B3" w:rsidRPr="00DD62CF">
        <w:rPr>
          <w:rFonts w:ascii="Gill Sans MT" w:hAnsi="Gill Sans MT"/>
          <w:sz w:val="26"/>
          <w:szCs w:val="26"/>
        </w:rPr>
        <w:t>strategic p</w:t>
      </w:r>
      <w:r w:rsidR="008C5669" w:rsidRPr="00DD62CF">
        <w:rPr>
          <w:rFonts w:ascii="Gill Sans MT" w:hAnsi="Gill Sans MT"/>
          <w:sz w:val="26"/>
          <w:szCs w:val="26"/>
        </w:rPr>
        <w:t xml:space="preserve">riority areas </w:t>
      </w:r>
      <w:r w:rsidR="003E426D" w:rsidRPr="00DD62CF">
        <w:rPr>
          <w:rFonts w:ascii="Gill Sans MT" w:hAnsi="Gill Sans MT"/>
          <w:sz w:val="26"/>
          <w:szCs w:val="26"/>
        </w:rPr>
        <w:t>contained within the CES.</w:t>
      </w:r>
      <w:r w:rsidR="00DC0DF3" w:rsidRPr="00DD62CF">
        <w:rPr>
          <w:rFonts w:ascii="Gill Sans MT" w:hAnsi="Gill Sans MT"/>
          <w:sz w:val="26"/>
          <w:szCs w:val="26"/>
        </w:rPr>
        <w:t xml:space="preserve"> </w:t>
      </w:r>
      <w:r w:rsidR="003E426D" w:rsidRPr="00DD62CF">
        <w:rPr>
          <w:rFonts w:ascii="Gill Sans MT" w:hAnsi="Gill Sans MT"/>
          <w:sz w:val="26"/>
          <w:szCs w:val="26"/>
        </w:rPr>
        <w:t>In taking this approach</w:t>
      </w:r>
      <w:r w:rsidR="00840698" w:rsidRPr="00DD62CF">
        <w:rPr>
          <w:rFonts w:ascii="Gill Sans MT" w:hAnsi="Gill Sans MT"/>
          <w:sz w:val="26"/>
          <w:szCs w:val="26"/>
        </w:rPr>
        <w:t>,</w:t>
      </w:r>
      <w:r w:rsidR="003E426D" w:rsidRPr="00DD62CF">
        <w:rPr>
          <w:rFonts w:ascii="Gill Sans MT" w:hAnsi="Gill Sans MT"/>
          <w:sz w:val="26"/>
          <w:szCs w:val="26"/>
        </w:rPr>
        <w:t xml:space="preserve"> the NDA </w:t>
      </w:r>
      <w:r w:rsidR="00840698" w:rsidRPr="00DD62CF">
        <w:rPr>
          <w:rFonts w:ascii="Gill Sans MT" w:hAnsi="Gill Sans MT"/>
          <w:sz w:val="26"/>
          <w:szCs w:val="26"/>
        </w:rPr>
        <w:t xml:space="preserve">contextualises </w:t>
      </w:r>
      <w:r w:rsidR="003E426D" w:rsidRPr="00DD62CF">
        <w:rPr>
          <w:rFonts w:ascii="Gill Sans MT" w:hAnsi="Gill Sans MT"/>
          <w:sz w:val="26"/>
          <w:szCs w:val="26"/>
        </w:rPr>
        <w:t>CES activity during 2021 in the wider mainstream provision of employment.</w:t>
      </w:r>
      <w:r w:rsidR="00DD62CF" w:rsidRPr="00DD62CF">
        <w:rPr>
          <w:rFonts w:ascii="Gill Sans MT" w:hAnsi="Gill Sans MT"/>
          <w:sz w:val="26"/>
          <w:szCs w:val="26"/>
        </w:rPr>
        <w:t xml:space="preserve"> </w:t>
      </w:r>
    </w:p>
    <w:p w14:paraId="22FCFC49" w14:textId="0806B3CF" w:rsidR="003E426D" w:rsidRPr="00BC3ECF" w:rsidRDefault="00DD62CF" w:rsidP="00BC3ECF">
      <w:pPr>
        <w:pStyle w:val="CommentText"/>
        <w:rPr>
          <w:rFonts w:ascii="Gill Sans MT" w:hAnsi="Gill Sans MT"/>
          <w:sz w:val="26"/>
          <w:szCs w:val="26"/>
          <w:lang w:val="en-IE"/>
        </w:rPr>
      </w:pPr>
      <w:r w:rsidRPr="00DD62CF">
        <w:rPr>
          <w:rFonts w:ascii="Gill Sans MT" w:hAnsi="Gill Sans MT"/>
          <w:sz w:val="26"/>
          <w:szCs w:val="26"/>
        </w:rPr>
        <w:t xml:space="preserve">In </w:t>
      </w:r>
      <w:r w:rsidR="001C0BF3">
        <w:rPr>
          <w:rFonts w:ascii="Gill Sans MT" w:hAnsi="Gill Sans MT"/>
          <w:sz w:val="26"/>
          <w:szCs w:val="26"/>
          <w:lang w:val="en-IE"/>
        </w:rPr>
        <w:t xml:space="preserve">November </w:t>
      </w:r>
      <w:r w:rsidRPr="00DD62CF">
        <w:rPr>
          <w:rFonts w:ascii="Gill Sans MT" w:hAnsi="Gill Sans MT"/>
          <w:sz w:val="26"/>
          <w:szCs w:val="26"/>
        </w:rPr>
        <w:t>2021 the first State report on the United Nations Convention on the Rights of Persons with Disabilities was submitted by Department of Children Equality Disability Integration and Youth (DCEDIY) on behalf of Government</w:t>
      </w:r>
      <w:r w:rsidR="00DE74ED">
        <w:rPr>
          <w:rFonts w:ascii="Gill Sans MT" w:hAnsi="Gill Sans MT"/>
          <w:sz w:val="26"/>
          <w:szCs w:val="26"/>
          <w:lang w:val="en-IE"/>
        </w:rPr>
        <w:t xml:space="preserve"> to the Committee on the Rights of Persons with Disabilities</w:t>
      </w:r>
      <w:r w:rsidRPr="00DD62CF">
        <w:rPr>
          <w:rFonts w:ascii="Gill Sans MT" w:hAnsi="Gill Sans MT"/>
          <w:sz w:val="26"/>
          <w:szCs w:val="26"/>
        </w:rPr>
        <w:t xml:space="preserve">. </w:t>
      </w:r>
      <w:r w:rsidRPr="00DD62CF">
        <w:rPr>
          <w:rFonts w:ascii="Gill Sans MT" w:hAnsi="Gill Sans MT"/>
          <w:sz w:val="26"/>
          <w:szCs w:val="26"/>
          <w:lang w:val="en-IE"/>
        </w:rPr>
        <w:t xml:space="preserve">Progressive realisation </w:t>
      </w:r>
      <w:r w:rsidR="00BC3ECF">
        <w:rPr>
          <w:rFonts w:ascii="Gill Sans MT" w:hAnsi="Gill Sans MT"/>
          <w:sz w:val="26"/>
          <w:szCs w:val="26"/>
          <w:lang w:val="en-IE"/>
        </w:rPr>
        <w:t>of the</w:t>
      </w:r>
      <w:r>
        <w:rPr>
          <w:rFonts w:ascii="Gill Sans MT" w:hAnsi="Gill Sans MT"/>
          <w:sz w:val="26"/>
          <w:szCs w:val="26"/>
          <w:lang w:val="en-IE"/>
        </w:rPr>
        <w:t xml:space="preserve"> rights contained in this convention are </w:t>
      </w:r>
      <w:r w:rsidR="00BC3ECF">
        <w:rPr>
          <w:rFonts w:ascii="Gill Sans MT" w:hAnsi="Gill Sans MT"/>
          <w:sz w:val="26"/>
          <w:szCs w:val="26"/>
          <w:lang w:val="en-IE"/>
        </w:rPr>
        <w:t>directly related to the implementation of the CES.</w:t>
      </w:r>
    </w:p>
    <w:p w14:paraId="5E673E1E" w14:textId="20AC72B3" w:rsidR="00600BA8" w:rsidRDefault="008E4030" w:rsidP="0080490E">
      <w:r>
        <w:t>In addition to this body of evidence</w:t>
      </w:r>
      <w:r w:rsidR="00083380">
        <w:t>,</w:t>
      </w:r>
      <w:r>
        <w:t xml:space="preserve"> during 2021</w:t>
      </w:r>
      <w:r w:rsidR="00083380">
        <w:t>,</w:t>
      </w:r>
      <w:r>
        <w:t xml:space="preserve"> a number of collaborative initiatives between the NDA and the </w:t>
      </w:r>
      <w:r w:rsidR="00F42CBE" w:rsidRPr="0015725E">
        <w:rPr>
          <w:szCs w:val="26"/>
        </w:rPr>
        <w:t>Organisation for Economic Cooperation and Development (OECD)</w:t>
      </w:r>
      <w:r>
        <w:t xml:space="preserve">, </w:t>
      </w:r>
      <w:r w:rsidR="00A53959">
        <w:rPr>
          <w:szCs w:val="26"/>
        </w:rPr>
        <w:t>Economic and Social Research Institute (</w:t>
      </w:r>
      <w:r>
        <w:t>ESRI</w:t>
      </w:r>
      <w:r w:rsidR="00A53959">
        <w:t>)</w:t>
      </w:r>
      <w:r>
        <w:t xml:space="preserve"> and </w:t>
      </w:r>
      <w:r w:rsidR="0000084C">
        <w:t>Central Statistics Office (</w:t>
      </w:r>
      <w:r>
        <w:t>CSO</w:t>
      </w:r>
      <w:r w:rsidR="0000084C">
        <w:t>)</w:t>
      </w:r>
      <w:r>
        <w:t xml:space="preserve"> were published</w:t>
      </w:r>
      <w:r w:rsidR="00360E98">
        <w:t>, thus expanding the evidence base for consideration of the employment theme</w:t>
      </w:r>
      <w:r>
        <w:t>. The OECD report</w:t>
      </w:r>
      <w:r w:rsidR="00083380">
        <w:t xml:space="preserve"> - entitled</w:t>
      </w:r>
      <w:r>
        <w:t xml:space="preserve"> ‘</w:t>
      </w:r>
      <w:r w:rsidRPr="00013057">
        <w:t>Disability, Work and Inclusion in Ireland</w:t>
      </w:r>
      <w:r>
        <w:t xml:space="preserve">: </w:t>
      </w:r>
      <w:r w:rsidR="00DC0DF3">
        <w:rPr>
          <w:szCs w:val="26"/>
        </w:rPr>
        <w:t>E</w:t>
      </w:r>
      <w:r w:rsidRPr="0015725E">
        <w:rPr>
          <w:szCs w:val="26"/>
        </w:rPr>
        <w:t xml:space="preserve">ngaging and </w:t>
      </w:r>
      <w:r w:rsidR="00DC0DF3">
        <w:rPr>
          <w:szCs w:val="26"/>
        </w:rPr>
        <w:t>S</w:t>
      </w:r>
      <w:r w:rsidRPr="0015725E">
        <w:rPr>
          <w:szCs w:val="26"/>
        </w:rPr>
        <w:t xml:space="preserve">upporting </w:t>
      </w:r>
      <w:r w:rsidR="00DC0DF3">
        <w:rPr>
          <w:szCs w:val="26"/>
        </w:rPr>
        <w:t>E</w:t>
      </w:r>
      <w:r w:rsidRPr="0015725E">
        <w:rPr>
          <w:szCs w:val="26"/>
        </w:rPr>
        <w:t>mployers</w:t>
      </w:r>
      <w:r w:rsidR="00960135">
        <w:rPr>
          <w:rStyle w:val="FootnoteReference"/>
          <w:szCs w:val="26"/>
        </w:rPr>
        <w:footnoteReference w:id="1"/>
      </w:r>
      <w:r>
        <w:t>’</w:t>
      </w:r>
      <w:r w:rsidR="00083380">
        <w:t xml:space="preserve"> -</w:t>
      </w:r>
      <w:r>
        <w:t xml:space="preserve"> has considerations that are relevant and pertinent to the development of the final </w:t>
      </w:r>
      <w:r w:rsidR="00FB28B3">
        <w:t>three</w:t>
      </w:r>
      <w:r w:rsidR="00D57B49">
        <w:t>-</w:t>
      </w:r>
      <w:r>
        <w:t xml:space="preserve">year </w:t>
      </w:r>
      <w:r w:rsidR="00083380">
        <w:t xml:space="preserve">CES </w:t>
      </w:r>
      <w:r>
        <w:t>action plan. On the p</w:t>
      </w:r>
      <w:r w:rsidR="00184C56">
        <w:t xml:space="preserve">ractical information </w:t>
      </w:r>
      <w:r>
        <w:t xml:space="preserve">of employer experience, </w:t>
      </w:r>
      <w:r w:rsidR="003A6EE6" w:rsidRPr="008D1367">
        <w:t xml:space="preserve">AHEAD published a survey of </w:t>
      </w:r>
      <w:r w:rsidR="00BB7717" w:rsidRPr="008D1367">
        <w:t>employer</w:t>
      </w:r>
      <w:r w:rsidR="00083380">
        <w:t>s</w:t>
      </w:r>
      <w:r w:rsidR="00BB7717" w:rsidRPr="008D1367">
        <w:t>’</w:t>
      </w:r>
      <w:r w:rsidR="003A6EE6" w:rsidRPr="008D1367">
        <w:t xml:space="preserve"> experience</w:t>
      </w:r>
      <w:r w:rsidR="00083380">
        <w:t>s</w:t>
      </w:r>
      <w:r w:rsidR="003A6EE6" w:rsidRPr="008D1367">
        <w:t xml:space="preserve"> of </w:t>
      </w:r>
      <w:r w:rsidR="00DC0DF3">
        <w:t>their Willing Able and Mentoring (</w:t>
      </w:r>
      <w:r w:rsidR="003A6EE6" w:rsidRPr="008D1367">
        <w:t>WAM</w:t>
      </w:r>
      <w:r w:rsidR="00DC0DF3">
        <w:t>) programme</w:t>
      </w:r>
      <w:r w:rsidR="003A6EE6" w:rsidRPr="008D1367">
        <w:t xml:space="preserve"> whil</w:t>
      </w:r>
      <w:r w:rsidR="004329C9">
        <w:t>e Ibec</w:t>
      </w:r>
      <w:r w:rsidR="00DC0DF3">
        <w:rPr>
          <w:rStyle w:val="FootnoteReference"/>
        </w:rPr>
        <w:footnoteReference w:id="2"/>
      </w:r>
      <w:r w:rsidR="004329C9">
        <w:t xml:space="preserve"> and Employers for Change</w:t>
      </w:r>
      <w:r w:rsidR="003A6EE6" w:rsidRPr="008D1367">
        <w:t xml:space="preserve"> jointly</w:t>
      </w:r>
      <w:r w:rsidR="0003066A" w:rsidRPr="008D1367">
        <w:t xml:space="preserve"> published </w:t>
      </w:r>
      <w:r w:rsidR="003A6EE6" w:rsidRPr="008D1367">
        <w:t xml:space="preserve">advice </w:t>
      </w:r>
      <w:r w:rsidR="0003066A" w:rsidRPr="008D1367">
        <w:t>and</w:t>
      </w:r>
      <w:r w:rsidR="003A6EE6" w:rsidRPr="008D1367">
        <w:t xml:space="preserve"> recommendations to improve the employment of persons with disabilities. </w:t>
      </w:r>
      <w:r>
        <w:t>D</w:t>
      </w:r>
      <w:r w:rsidR="003A6EE6" w:rsidRPr="008D1367">
        <w:t xml:space="preserve">isability specific contributions were made, </w:t>
      </w:r>
      <w:r w:rsidR="00083380">
        <w:t xml:space="preserve">with </w:t>
      </w:r>
      <w:r w:rsidR="0000084C">
        <w:t>AsIA</w:t>
      </w:r>
      <w:r w:rsidR="003A6EE6" w:rsidRPr="008D1367">
        <w:t>m</w:t>
      </w:r>
      <w:r w:rsidR="00BB7717" w:rsidRPr="008D1367">
        <w:t xml:space="preserve"> detail</w:t>
      </w:r>
      <w:r w:rsidR="00083380">
        <w:t>ing</w:t>
      </w:r>
      <w:r w:rsidR="00BB7717" w:rsidRPr="008D1367">
        <w:t xml:space="preserve"> </w:t>
      </w:r>
      <w:r w:rsidR="00BB7717" w:rsidRPr="008D1367">
        <w:lastRenderedPageBreak/>
        <w:t>the experiences of autistic people in the workplace</w:t>
      </w:r>
      <w:r w:rsidR="00F3581D">
        <w:rPr>
          <w:rStyle w:val="FootnoteReference"/>
        </w:rPr>
        <w:footnoteReference w:id="3"/>
      </w:r>
      <w:r w:rsidR="002921B9">
        <w:t xml:space="preserve"> </w:t>
      </w:r>
      <w:r w:rsidR="00A10832">
        <w:t>and publishing research on same.</w:t>
      </w:r>
      <w:r w:rsidR="00A10832" w:rsidRPr="00A10832">
        <w:rPr>
          <w:rStyle w:val="FootnoteReference"/>
        </w:rPr>
        <w:t xml:space="preserve"> </w:t>
      </w:r>
      <w:r w:rsidR="00A10832">
        <w:rPr>
          <w:rStyle w:val="FootnoteReference"/>
        </w:rPr>
        <w:footnoteReference w:id="4"/>
      </w:r>
      <w:r w:rsidR="0003066A" w:rsidRPr="008D1367">
        <w:t xml:space="preserve"> </w:t>
      </w:r>
      <w:r w:rsidR="0003066A" w:rsidRPr="004D089F">
        <w:t>Employers for C</w:t>
      </w:r>
      <w:r w:rsidR="00BB7717" w:rsidRPr="004D089F">
        <w:t>hange published a report on experience</w:t>
      </w:r>
      <w:r w:rsidR="002921B9" w:rsidRPr="004D089F">
        <w:t>s</w:t>
      </w:r>
      <w:r w:rsidR="00BB7717" w:rsidRPr="004D089F">
        <w:t xml:space="preserve"> of remote working</w:t>
      </w:r>
      <w:r w:rsidR="004E21F1">
        <w:t xml:space="preserve"> during COVID-19</w:t>
      </w:r>
      <w:r w:rsidR="00F3581D" w:rsidRPr="004D089F">
        <w:rPr>
          <w:rStyle w:val="FootnoteReference"/>
        </w:rPr>
        <w:footnoteReference w:id="5"/>
      </w:r>
      <w:r w:rsidR="00BB7717" w:rsidRPr="004D089F">
        <w:t>.</w:t>
      </w:r>
      <w:r w:rsidR="00AB0BF6">
        <w:t xml:space="preserve"> </w:t>
      </w:r>
      <w:r w:rsidR="005E2E1A">
        <w:t xml:space="preserve">This </w:t>
      </w:r>
      <w:r w:rsidR="004A395F">
        <w:t xml:space="preserve">body of evidence </w:t>
      </w:r>
      <w:r w:rsidR="005E2E1A">
        <w:t xml:space="preserve">highlights the opportunities that exist to include more people with disabilities at work while acknowledging that challenges continue to exist. </w:t>
      </w:r>
    </w:p>
    <w:p w14:paraId="39C6F2EE" w14:textId="12141ED3" w:rsidR="0003066A" w:rsidRPr="008D1367" w:rsidRDefault="00360E98" w:rsidP="00EB481D">
      <w:r>
        <w:t xml:space="preserve">The following </w:t>
      </w:r>
      <w:r w:rsidR="00223AE7">
        <w:t>s</w:t>
      </w:r>
      <w:r w:rsidR="00BB7717" w:rsidRPr="008D1367">
        <w:t xml:space="preserve">trategic </w:t>
      </w:r>
      <w:r w:rsidR="008C5669" w:rsidRPr="008D1367">
        <w:t>d</w:t>
      </w:r>
      <w:r w:rsidR="00BB7717" w:rsidRPr="008D1367">
        <w:t>ocuments</w:t>
      </w:r>
      <w:r w:rsidR="00223AE7">
        <w:t xml:space="preserve"> </w:t>
      </w:r>
      <w:r>
        <w:t xml:space="preserve">are </w:t>
      </w:r>
      <w:r w:rsidR="00223AE7">
        <w:t xml:space="preserve">each </w:t>
      </w:r>
      <w:r w:rsidR="00997111">
        <w:t xml:space="preserve">relevant to </w:t>
      </w:r>
      <w:r w:rsidR="00CD0C13">
        <w:t xml:space="preserve">the </w:t>
      </w:r>
      <w:r w:rsidR="00997111">
        <w:t xml:space="preserve">current and future </w:t>
      </w:r>
      <w:r w:rsidR="008343E3">
        <w:t xml:space="preserve">provision of </w:t>
      </w:r>
      <w:r w:rsidR="006D369D">
        <w:t xml:space="preserve">mainstream and </w:t>
      </w:r>
      <w:r w:rsidR="00997111">
        <w:t>d</w:t>
      </w:r>
      <w:r w:rsidR="008343E3">
        <w:t>isability services and supports</w:t>
      </w:r>
      <w:r w:rsidR="0003066A" w:rsidRPr="008D1367">
        <w:t>:</w:t>
      </w:r>
    </w:p>
    <w:p w14:paraId="20627785" w14:textId="5F8476A8" w:rsidR="0003066A" w:rsidRPr="005575DA" w:rsidRDefault="008C5669" w:rsidP="0013742F">
      <w:pPr>
        <w:pStyle w:val="ListParagraph"/>
        <w:numPr>
          <w:ilvl w:val="0"/>
          <w:numId w:val="12"/>
        </w:numPr>
        <w:rPr>
          <w:rFonts w:eastAsia="Lato-Semibold" w:cs="Lato-SemiboldItalic"/>
          <w:iCs/>
          <w:szCs w:val="26"/>
          <w:lang w:eastAsia="en-IE"/>
        </w:rPr>
      </w:pPr>
      <w:r w:rsidRPr="008D1367">
        <w:t xml:space="preserve">The </w:t>
      </w:r>
      <w:r w:rsidR="001C0BF3">
        <w:t xml:space="preserve">Indecon </w:t>
      </w:r>
      <w:r w:rsidR="005575DA">
        <w:t>‘</w:t>
      </w:r>
      <w:r w:rsidRPr="008D1367">
        <w:t>Cost of Disability</w:t>
      </w:r>
      <w:r w:rsidR="001C0BF3">
        <w:t xml:space="preserve"> in Ireland</w:t>
      </w:r>
      <w:r w:rsidR="005575DA">
        <w:t>’</w:t>
      </w:r>
      <w:r w:rsidRPr="008D1367">
        <w:t xml:space="preserve"> report</w:t>
      </w:r>
      <w:r w:rsidR="005575DA">
        <w:t xml:space="preserve"> and the ‘</w:t>
      </w:r>
      <w:r w:rsidR="005575DA" w:rsidRPr="005575DA">
        <w:rPr>
          <w:rFonts w:eastAsia="Lato-Semibold" w:cs="Lato-SemiboldItalic"/>
          <w:iCs/>
          <w:szCs w:val="26"/>
          <w:lang w:eastAsia="en-IE"/>
        </w:rPr>
        <w:t xml:space="preserve">Pathways to Work 2021- 2025’ </w:t>
      </w:r>
      <w:r w:rsidR="005575DA">
        <w:t>published by the Department of Social Protection</w:t>
      </w:r>
      <w:r w:rsidRPr="008D1367">
        <w:t xml:space="preserve">. </w:t>
      </w:r>
    </w:p>
    <w:p w14:paraId="7C8FE1BC" w14:textId="4196229A" w:rsidR="00D74DBE" w:rsidRPr="006E6FAE" w:rsidRDefault="00D74DBE" w:rsidP="0013742F">
      <w:pPr>
        <w:pStyle w:val="Default"/>
        <w:numPr>
          <w:ilvl w:val="0"/>
          <w:numId w:val="12"/>
        </w:numPr>
        <w:rPr>
          <w:rFonts w:ascii="Gill Sans MT" w:hAnsi="Gill Sans MT"/>
          <w:sz w:val="26"/>
          <w:szCs w:val="26"/>
        </w:rPr>
      </w:pPr>
      <w:r w:rsidRPr="00997111">
        <w:rPr>
          <w:rFonts w:ascii="Gill Sans MT" w:hAnsi="Gill Sans MT"/>
          <w:bCs/>
          <w:sz w:val="26"/>
          <w:szCs w:val="26"/>
        </w:rPr>
        <w:t xml:space="preserve">Spending Review 2021 Disability and Special Education Expenditure: Lifecycle of Supports </w:t>
      </w:r>
      <w:r w:rsidR="00997111" w:rsidRPr="00997111">
        <w:rPr>
          <w:rFonts w:ascii="Gill Sans MT" w:hAnsi="Gill Sans MT"/>
          <w:bCs/>
          <w:sz w:val="26"/>
          <w:szCs w:val="26"/>
        </w:rPr>
        <w:t>by</w:t>
      </w:r>
      <w:r w:rsidR="005007EA">
        <w:rPr>
          <w:rFonts w:ascii="Gill Sans MT" w:hAnsi="Gill Sans MT"/>
          <w:bCs/>
          <w:sz w:val="26"/>
          <w:szCs w:val="26"/>
        </w:rPr>
        <w:t xml:space="preserve"> -</w:t>
      </w:r>
      <w:r w:rsidR="00A10832">
        <w:rPr>
          <w:rFonts w:ascii="Gill Sans MT" w:hAnsi="Gill Sans MT"/>
          <w:bCs/>
          <w:sz w:val="26"/>
          <w:szCs w:val="26"/>
        </w:rPr>
        <w:t xml:space="preserve"> </w:t>
      </w:r>
      <w:r w:rsidR="00A10832">
        <w:rPr>
          <w:rFonts w:ascii="Gill Sans MT" w:eastAsia="Times New Roman" w:hAnsi="Gill Sans MT" w:cs="Times New Roman"/>
          <w:color w:val="auto"/>
          <w:sz w:val="26"/>
          <w:lang w:eastAsia="en-US"/>
        </w:rPr>
        <w:t>Irish Government Economic and Evaluation Service</w:t>
      </w:r>
      <w:r w:rsidR="00997111" w:rsidRPr="00997111">
        <w:rPr>
          <w:rFonts w:ascii="Gill Sans MT" w:hAnsi="Gill Sans MT"/>
          <w:bCs/>
          <w:sz w:val="26"/>
          <w:szCs w:val="26"/>
        </w:rPr>
        <w:t xml:space="preserve"> </w:t>
      </w:r>
      <w:r w:rsidR="00A10832">
        <w:rPr>
          <w:rFonts w:ascii="Gill Sans MT" w:hAnsi="Gill Sans MT"/>
          <w:bCs/>
          <w:sz w:val="26"/>
          <w:szCs w:val="26"/>
        </w:rPr>
        <w:t>(</w:t>
      </w:r>
      <w:r w:rsidR="00997111" w:rsidRPr="00997111">
        <w:rPr>
          <w:rFonts w:ascii="Gill Sans MT" w:hAnsi="Gill Sans MT"/>
          <w:bCs/>
          <w:sz w:val="26"/>
          <w:szCs w:val="26"/>
        </w:rPr>
        <w:t>IGEES</w:t>
      </w:r>
      <w:r w:rsidR="00A10832">
        <w:rPr>
          <w:rFonts w:ascii="Gill Sans MT" w:hAnsi="Gill Sans MT"/>
          <w:bCs/>
          <w:sz w:val="26"/>
          <w:szCs w:val="26"/>
        </w:rPr>
        <w:t>)</w:t>
      </w:r>
      <w:r w:rsidR="005007EA">
        <w:rPr>
          <w:rFonts w:ascii="Gill Sans MT" w:hAnsi="Gill Sans MT"/>
          <w:bCs/>
          <w:sz w:val="26"/>
          <w:szCs w:val="26"/>
        </w:rPr>
        <w:t xml:space="preserve">- </w:t>
      </w:r>
      <w:r w:rsidR="00997111" w:rsidRPr="00997111">
        <w:rPr>
          <w:rFonts w:ascii="Gill Sans MT" w:hAnsi="Gill Sans MT"/>
          <w:bCs/>
          <w:sz w:val="26"/>
          <w:szCs w:val="26"/>
        </w:rPr>
        <w:t xml:space="preserve"> staff in the Department of Public Expenditure and Reform</w:t>
      </w:r>
      <w:r w:rsidR="00997111">
        <w:rPr>
          <w:rStyle w:val="FootnoteReference"/>
          <w:bCs/>
          <w:szCs w:val="26"/>
        </w:rPr>
        <w:footnoteReference w:id="6"/>
      </w:r>
    </w:p>
    <w:p w14:paraId="36D3E0E2" w14:textId="77777777" w:rsidR="006E6FAE" w:rsidRPr="006E6FAE" w:rsidRDefault="009C0782" w:rsidP="0013742F">
      <w:pPr>
        <w:pStyle w:val="Default"/>
        <w:numPr>
          <w:ilvl w:val="0"/>
          <w:numId w:val="12"/>
        </w:numPr>
        <w:rPr>
          <w:rFonts w:ascii="Gill Sans MT" w:hAnsi="Gill Sans MT"/>
          <w:sz w:val="26"/>
          <w:szCs w:val="26"/>
        </w:rPr>
      </w:pPr>
      <w:r>
        <w:rPr>
          <w:rFonts w:ascii="Gill Sans MT" w:hAnsi="Gill Sans MT"/>
          <w:bCs/>
          <w:sz w:val="26"/>
          <w:szCs w:val="26"/>
        </w:rPr>
        <w:t>Department of Enterprise</w:t>
      </w:r>
      <w:r w:rsidR="00A10832">
        <w:rPr>
          <w:rFonts w:ascii="Gill Sans MT" w:hAnsi="Gill Sans MT"/>
          <w:bCs/>
          <w:sz w:val="26"/>
          <w:szCs w:val="26"/>
        </w:rPr>
        <w:t>,</w:t>
      </w:r>
      <w:r>
        <w:rPr>
          <w:rFonts w:ascii="Gill Sans MT" w:hAnsi="Gill Sans MT"/>
          <w:bCs/>
          <w:sz w:val="26"/>
          <w:szCs w:val="26"/>
        </w:rPr>
        <w:t xml:space="preserve"> </w:t>
      </w:r>
      <w:r w:rsidR="00A10832">
        <w:rPr>
          <w:rFonts w:ascii="Gill Sans MT" w:hAnsi="Gill Sans MT"/>
          <w:bCs/>
          <w:sz w:val="26"/>
          <w:szCs w:val="26"/>
        </w:rPr>
        <w:t xml:space="preserve">Trade </w:t>
      </w:r>
      <w:r>
        <w:rPr>
          <w:rFonts w:ascii="Gill Sans MT" w:hAnsi="Gill Sans MT"/>
          <w:bCs/>
          <w:sz w:val="26"/>
          <w:szCs w:val="26"/>
        </w:rPr>
        <w:t>and Employment</w:t>
      </w:r>
      <w:r w:rsidR="00A10832">
        <w:rPr>
          <w:rFonts w:ascii="Gill Sans MT" w:hAnsi="Gill Sans MT"/>
          <w:bCs/>
          <w:sz w:val="26"/>
          <w:szCs w:val="26"/>
        </w:rPr>
        <w:t xml:space="preserve"> (DETE)</w:t>
      </w:r>
      <w:r>
        <w:rPr>
          <w:rFonts w:ascii="Gill Sans MT" w:hAnsi="Gill Sans MT"/>
          <w:bCs/>
          <w:sz w:val="26"/>
          <w:szCs w:val="26"/>
        </w:rPr>
        <w:t xml:space="preserve"> </w:t>
      </w:r>
      <w:r w:rsidR="0019211B">
        <w:rPr>
          <w:rFonts w:ascii="Gill Sans MT" w:hAnsi="Gill Sans MT"/>
          <w:bCs/>
          <w:sz w:val="26"/>
          <w:szCs w:val="26"/>
        </w:rPr>
        <w:t>plans</w:t>
      </w:r>
      <w:r>
        <w:rPr>
          <w:rFonts w:ascii="Gill Sans MT" w:hAnsi="Gill Sans MT"/>
          <w:bCs/>
          <w:sz w:val="26"/>
          <w:szCs w:val="26"/>
        </w:rPr>
        <w:t xml:space="preserve"> to </w:t>
      </w:r>
      <w:r w:rsidR="0019211B">
        <w:rPr>
          <w:rFonts w:ascii="Gill Sans MT" w:hAnsi="Gill Sans MT"/>
          <w:bCs/>
          <w:sz w:val="26"/>
          <w:szCs w:val="26"/>
        </w:rPr>
        <w:t>develop Remote W</w:t>
      </w:r>
      <w:r w:rsidR="006E6FAE">
        <w:rPr>
          <w:rFonts w:ascii="Gill Sans MT" w:hAnsi="Gill Sans MT"/>
          <w:bCs/>
          <w:sz w:val="26"/>
          <w:szCs w:val="26"/>
        </w:rPr>
        <w:t>orking</w:t>
      </w:r>
      <w:r w:rsidR="0019211B">
        <w:rPr>
          <w:rStyle w:val="FootnoteReference"/>
          <w:bCs/>
          <w:szCs w:val="26"/>
        </w:rPr>
        <w:footnoteReference w:id="7"/>
      </w:r>
      <w:r w:rsidR="006E6FAE">
        <w:rPr>
          <w:rFonts w:ascii="Gill Sans MT" w:hAnsi="Gill Sans MT"/>
          <w:bCs/>
          <w:sz w:val="26"/>
          <w:szCs w:val="26"/>
        </w:rPr>
        <w:t xml:space="preserve"> </w:t>
      </w:r>
      <w:r w:rsidR="0019211B">
        <w:rPr>
          <w:rFonts w:ascii="Gill Sans MT" w:hAnsi="Gill Sans MT"/>
          <w:bCs/>
          <w:sz w:val="26"/>
          <w:szCs w:val="26"/>
        </w:rPr>
        <w:t>and Sick Leave</w:t>
      </w:r>
      <w:r w:rsidR="006022BF">
        <w:rPr>
          <w:rStyle w:val="FootnoteReference"/>
          <w:bCs/>
          <w:szCs w:val="26"/>
        </w:rPr>
        <w:footnoteReference w:id="8"/>
      </w:r>
      <w:r w:rsidR="0019211B">
        <w:rPr>
          <w:rFonts w:ascii="Gill Sans MT" w:hAnsi="Gill Sans MT"/>
          <w:bCs/>
          <w:sz w:val="26"/>
          <w:szCs w:val="26"/>
        </w:rPr>
        <w:t xml:space="preserve"> arrangements </w:t>
      </w:r>
    </w:p>
    <w:p w14:paraId="7967140B" w14:textId="33706D0B" w:rsidR="00997111" w:rsidRPr="008343E3" w:rsidRDefault="00997111" w:rsidP="0013742F">
      <w:pPr>
        <w:pStyle w:val="Default"/>
        <w:numPr>
          <w:ilvl w:val="0"/>
          <w:numId w:val="12"/>
        </w:numPr>
        <w:rPr>
          <w:rFonts w:ascii="Gill Sans MT" w:hAnsi="Gill Sans MT"/>
          <w:sz w:val="26"/>
          <w:szCs w:val="26"/>
        </w:rPr>
      </w:pPr>
      <w:r>
        <w:rPr>
          <w:rFonts w:ascii="Gill Sans MT" w:hAnsi="Gill Sans MT"/>
          <w:bCs/>
          <w:sz w:val="26"/>
          <w:szCs w:val="26"/>
        </w:rPr>
        <w:t>Disability Capacity Review by the Department of Health</w:t>
      </w:r>
      <w:r>
        <w:rPr>
          <w:rStyle w:val="FootnoteReference"/>
          <w:bCs/>
          <w:szCs w:val="26"/>
        </w:rPr>
        <w:footnoteReference w:id="9"/>
      </w:r>
      <w:r w:rsidR="003F2E78">
        <w:rPr>
          <w:rFonts w:ascii="Gill Sans MT" w:hAnsi="Gill Sans MT"/>
          <w:bCs/>
          <w:sz w:val="26"/>
          <w:szCs w:val="26"/>
        </w:rPr>
        <w:t>.</w:t>
      </w:r>
    </w:p>
    <w:p w14:paraId="0278D0F4" w14:textId="77777777" w:rsidR="0003066A" w:rsidRDefault="0003066A" w:rsidP="00EB481D">
      <w:pPr>
        <w:rPr>
          <w:highlight w:val="yellow"/>
        </w:rPr>
      </w:pPr>
    </w:p>
    <w:p w14:paraId="6FF4C3EE" w14:textId="28CBD3B6" w:rsidR="0073047C" w:rsidRDefault="00FB28B3" w:rsidP="00EB481D">
      <w:r>
        <w:t>As t</w:t>
      </w:r>
      <w:r w:rsidR="001C0BF3">
        <w:t>he</w:t>
      </w:r>
      <w:r w:rsidR="008343E3">
        <w:t xml:space="preserve"> CES </w:t>
      </w:r>
      <w:r w:rsidR="001C0BF3">
        <w:t>enters</w:t>
      </w:r>
      <w:r w:rsidR="00360E98">
        <w:t xml:space="preserve"> </w:t>
      </w:r>
      <w:r w:rsidR="000D44D3">
        <w:t xml:space="preserve">its final </w:t>
      </w:r>
      <w:r w:rsidR="004B6AF9">
        <w:t>three</w:t>
      </w:r>
      <w:r>
        <w:t>-</w:t>
      </w:r>
      <w:r w:rsidR="004B6AF9">
        <w:t xml:space="preserve">year </w:t>
      </w:r>
      <w:r w:rsidR="000D44D3">
        <w:t xml:space="preserve">action plan </w:t>
      </w:r>
      <w:r w:rsidR="004B6AF9">
        <w:t>(2022-2024)</w:t>
      </w:r>
      <w:r w:rsidR="00D57B49">
        <w:t>,</w:t>
      </w:r>
      <w:r w:rsidR="000D44D3">
        <w:t xml:space="preserve"> i</w:t>
      </w:r>
      <w:r w:rsidR="008343E3">
        <w:t xml:space="preserve">mplementation of these </w:t>
      </w:r>
      <w:r w:rsidR="000D44D3">
        <w:t>key polic</w:t>
      </w:r>
      <w:r w:rsidR="004B6AF9">
        <w:t>ies and</w:t>
      </w:r>
      <w:r w:rsidR="000D44D3">
        <w:t xml:space="preserve"> </w:t>
      </w:r>
      <w:r w:rsidR="006D6890">
        <w:t>strategies</w:t>
      </w:r>
      <w:r w:rsidR="004B6AF9">
        <w:t xml:space="preserve"> and the learning from recent research and evaluations</w:t>
      </w:r>
      <w:r w:rsidR="008343E3">
        <w:t xml:space="preserve"> will </w:t>
      </w:r>
      <w:r w:rsidR="00344613">
        <w:t>ai</w:t>
      </w:r>
      <w:r w:rsidR="008343E3">
        <w:t>d the delivery of the long term goal of the CES</w:t>
      </w:r>
      <w:r w:rsidR="004B6AF9">
        <w:t xml:space="preserve"> which is for p</w:t>
      </w:r>
      <w:r w:rsidR="004B6AF9">
        <w:rPr>
          <w:rFonts w:cs="Calibri"/>
        </w:rPr>
        <w:t>eople with disabilities</w:t>
      </w:r>
      <w:r w:rsidR="00360E98">
        <w:rPr>
          <w:rFonts w:cs="Calibri"/>
        </w:rPr>
        <w:t xml:space="preserve"> who wish to work</w:t>
      </w:r>
      <w:r w:rsidR="004B6AF9">
        <w:rPr>
          <w:rFonts w:cs="Calibri"/>
        </w:rPr>
        <w:t xml:space="preserve"> to get a job and enjoy a rewarding career</w:t>
      </w:r>
      <w:r w:rsidR="00D07F0A">
        <w:t xml:space="preserve">. </w:t>
      </w:r>
      <w:r w:rsidR="00050DA4">
        <w:t>Similarly</w:t>
      </w:r>
      <w:r w:rsidR="00D57B49">
        <w:t>,</w:t>
      </w:r>
      <w:r w:rsidR="00050DA4">
        <w:t xml:space="preserve"> through measures completed </w:t>
      </w:r>
      <w:r w:rsidR="00360E98">
        <w:t xml:space="preserve">under </w:t>
      </w:r>
      <w:r w:rsidR="00050DA4">
        <w:t xml:space="preserve">the CES, </w:t>
      </w:r>
      <w:r w:rsidR="00D07F0A">
        <w:t>increase</w:t>
      </w:r>
      <w:r w:rsidR="00050DA4">
        <w:t>d</w:t>
      </w:r>
      <w:r w:rsidR="00D07F0A">
        <w:t xml:space="preserve"> access to mainstream and specialist supports</w:t>
      </w:r>
      <w:r w:rsidR="008343E3">
        <w:t xml:space="preserve"> </w:t>
      </w:r>
      <w:r w:rsidR="00D07F0A">
        <w:t>in a more tailored manner will</w:t>
      </w:r>
      <w:r w:rsidR="008343E3">
        <w:t xml:space="preserve"> support more people with disabilitie</w:t>
      </w:r>
      <w:r w:rsidR="0034561C">
        <w:t>s into</w:t>
      </w:r>
      <w:r w:rsidR="00D16125">
        <w:t xml:space="preserve"> careers and jobs of their</w:t>
      </w:r>
      <w:r w:rsidR="008343E3">
        <w:t xml:space="preserve"> choice. </w:t>
      </w:r>
    </w:p>
    <w:p w14:paraId="1C0D7082" w14:textId="3D777A5C" w:rsidR="006E51BA" w:rsidRDefault="006E51BA" w:rsidP="00EB481D">
      <w:r>
        <w:t xml:space="preserve">The NDA </w:t>
      </w:r>
      <w:r w:rsidR="00360E98">
        <w:t xml:space="preserve">advises </w:t>
      </w:r>
      <w:r>
        <w:t xml:space="preserve">the following actions </w:t>
      </w:r>
      <w:r w:rsidR="00EC73D1">
        <w:t>are included for delivery</w:t>
      </w:r>
      <w:r>
        <w:t xml:space="preserve"> in the final </w:t>
      </w:r>
      <w:r w:rsidR="00C10528">
        <w:t>three-</w:t>
      </w:r>
      <w:r>
        <w:t>year action plan:</w:t>
      </w:r>
    </w:p>
    <w:p w14:paraId="4AA1FD1F" w14:textId="77777777" w:rsidR="006E51BA" w:rsidRPr="008E0CD5" w:rsidRDefault="006E51BA" w:rsidP="006E51BA">
      <w:pPr>
        <w:numPr>
          <w:ilvl w:val="0"/>
          <w:numId w:val="28"/>
        </w:numPr>
        <w:contextualSpacing/>
        <w:rPr>
          <w:rFonts w:cs="Calibri"/>
          <w:szCs w:val="26"/>
        </w:rPr>
      </w:pPr>
      <w:r w:rsidRPr="008E0CD5">
        <w:rPr>
          <w:szCs w:val="26"/>
        </w:rPr>
        <w:t>Develop a return to work approach for people with (acquired) disabilities who have employment connection and require support via a vocational rehabilitation process</w:t>
      </w:r>
    </w:p>
    <w:p w14:paraId="43787C8E" w14:textId="77777777" w:rsidR="006E51BA" w:rsidRPr="008E0CD5" w:rsidRDefault="006E51BA" w:rsidP="006E51BA">
      <w:pPr>
        <w:numPr>
          <w:ilvl w:val="0"/>
          <w:numId w:val="28"/>
        </w:numPr>
        <w:contextualSpacing/>
        <w:rPr>
          <w:rFonts w:cs="Calibri"/>
          <w:szCs w:val="26"/>
        </w:rPr>
      </w:pPr>
      <w:r w:rsidRPr="008E0CD5">
        <w:rPr>
          <w:szCs w:val="26"/>
        </w:rPr>
        <w:t>Utilise the Pathways to Work strategy to ensure the OECD recommendations on employer engagement are implemented</w:t>
      </w:r>
    </w:p>
    <w:p w14:paraId="004F3BD1" w14:textId="77777777" w:rsidR="006E51BA" w:rsidRPr="008E0CD5" w:rsidRDefault="006E51BA" w:rsidP="006E51BA">
      <w:pPr>
        <w:numPr>
          <w:ilvl w:val="0"/>
          <w:numId w:val="28"/>
        </w:numPr>
        <w:contextualSpacing/>
        <w:rPr>
          <w:rFonts w:cs="Calibri"/>
          <w:szCs w:val="26"/>
        </w:rPr>
      </w:pPr>
      <w:r w:rsidRPr="008E0CD5">
        <w:rPr>
          <w:rFonts w:cs="Calibri"/>
          <w:szCs w:val="26"/>
        </w:rPr>
        <w:t>Support actions relating to transition planning across the strategy</w:t>
      </w:r>
    </w:p>
    <w:p w14:paraId="7AB66770" w14:textId="77777777" w:rsidR="006E51BA" w:rsidRPr="008E0CD5" w:rsidRDefault="00EC73D1" w:rsidP="006E51BA">
      <w:pPr>
        <w:numPr>
          <w:ilvl w:val="0"/>
          <w:numId w:val="28"/>
        </w:numPr>
        <w:contextualSpacing/>
        <w:rPr>
          <w:rFonts w:cs="Calibri"/>
          <w:szCs w:val="26"/>
        </w:rPr>
      </w:pPr>
      <w:r>
        <w:rPr>
          <w:rFonts w:cs="Calibri"/>
          <w:szCs w:val="26"/>
        </w:rPr>
        <w:t>Address</w:t>
      </w:r>
      <w:r w:rsidR="006E51BA" w:rsidRPr="008E0CD5">
        <w:rPr>
          <w:rFonts w:cs="Calibri"/>
          <w:szCs w:val="26"/>
        </w:rPr>
        <w:t xml:space="preserve"> the lack of progress on the provision of Career Guidance for learners with disabilities in special and mainstream school settings</w:t>
      </w:r>
    </w:p>
    <w:p w14:paraId="42AB1B77" w14:textId="77777777" w:rsidR="006E51BA" w:rsidRPr="008E0CD5" w:rsidRDefault="00EC73D1" w:rsidP="006E51BA">
      <w:pPr>
        <w:numPr>
          <w:ilvl w:val="0"/>
          <w:numId w:val="28"/>
        </w:numPr>
        <w:contextualSpacing/>
        <w:rPr>
          <w:rFonts w:cs="Calibri"/>
          <w:szCs w:val="26"/>
        </w:rPr>
      </w:pPr>
      <w:r>
        <w:rPr>
          <w:rFonts w:cs="Calibri"/>
          <w:szCs w:val="26"/>
        </w:rPr>
        <w:t>Address</w:t>
      </w:r>
      <w:r w:rsidR="006E51BA" w:rsidRPr="008E0CD5">
        <w:rPr>
          <w:rFonts w:cs="Calibri"/>
          <w:szCs w:val="26"/>
        </w:rPr>
        <w:t xml:space="preserve"> implementation of the agreed policy under CES action 5.1 </w:t>
      </w:r>
    </w:p>
    <w:p w14:paraId="39497C1F" w14:textId="77777777" w:rsidR="006E51BA" w:rsidRDefault="0038631E" w:rsidP="006E51BA">
      <w:pPr>
        <w:numPr>
          <w:ilvl w:val="0"/>
          <w:numId w:val="28"/>
        </w:numPr>
        <w:contextualSpacing/>
        <w:rPr>
          <w:szCs w:val="26"/>
        </w:rPr>
      </w:pPr>
      <w:r>
        <w:rPr>
          <w:szCs w:val="26"/>
        </w:rPr>
        <w:t>Extract</w:t>
      </w:r>
      <w:r w:rsidR="006E51BA" w:rsidRPr="008E0CD5">
        <w:rPr>
          <w:szCs w:val="26"/>
        </w:rPr>
        <w:t xml:space="preserve"> learning from </w:t>
      </w:r>
      <w:r>
        <w:rPr>
          <w:szCs w:val="26"/>
        </w:rPr>
        <w:t>the Ability Projects and share</w:t>
      </w:r>
      <w:r w:rsidR="006E51BA" w:rsidRPr="008E0CD5">
        <w:rPr>
          <w:szCs w:val="26"/>
        </w:rPr>
        <w:t xml:space="preserve"> that information across the system, therefore ensuring that the learning from these projects is mainstreamed </w:t>
      </w:r>
    </w:p>
    <w:p w14:paraId="532B8D93" w14:textId="77777777" w:rsidR="006E51BA" w:rsidRPr="008E0CD5" w:rsidRDefault="00121ED0" w:rsidP="006E51BA">
      <w:pPr>
        <w:numPr>
          <w:ilvl w:val="0"/>
          <w:numId w:val="28"/>
        </w:numPr>
        <w:contextualSpacing/>
        <w:rPr>
          <w:szCs w:val="26"/>
        </w:rPr>
      </w:pPr>
      <w:r>
        <w:rPr>
          <w:szCs w:val="26"/>
        </w:rPr>
        <w:t xml:space="preserve">Give further consideration to </w:t>
      </w:r>
      <w:r w:rsidR="006E51BA">
        <w:rPr>
          <w:szCs w:val="26"/>
        </w:rPr>
        <w:t>the issues raised in the Cost of Disability review, ensuring that a</w:t>
      </w:r>
      <w:r>
        <w:rPr>
          <w:szCs w:val="26"/>
        </w:rPr>
        <w:t>ny responses developed take a</w:t>
      </w:r>
      <w:r w:rsidR="006E51BA">
        <w:rPr>
          <w:szCs w:val="26"/>
        </w:rPr>
        <w:t xml:space="preserve"> system wide </w:t>
      </w:r>
      <w:r>
        <w:rPr>
          <w:szCs w:val="26"/>
        </w:rPr>
        <w:t>approach</w:t>
      </w:r>
    </w:p>
    <w:p w14:paraId="48E311D9" w14:textId="77777777" w:rsidR="006E51BA" w:rsidRPr="008E0CD5" w:rsidRDefault="004A395F" w:rsidP="006E51BA">
      <w:pPr>
        <w:numPr>
          <w:ilvl w:val="0"/>
          <w:numId w:val="28"/>
        </w:numPr>
        <w:contextualSpacing/>
        <w:rPr>
          <w:rFonts w:cs="Calibri"/>
          <w:szCs w:val="26"/>
        </w:rPr>
      </w:pPr>
      <w:r>
        <w:rPr>
          <w:rFonts w:cs="Calibri"/>
          <w:szCs w:val="26"/>
        </w:rPr>
        <w:t xml:space="preserve">Implement </w:t>
      </w:r>
      <w:r w:rsidR="006E51BA" w:rsidRPr="008E0CD5">
        <w:rPr>
          <w:rFonts w:cs="Calibri"/>
          <w:szCs w:val="26"/>
        </w:rPr>
        <w:t xml:space="preserve">the </w:t>
      </w:r>
      <w:r w:rsidR="006E51BA" w:rsidRPr="008E0CD5">
        <w:rPr>
          <w:szCs w:val="26"/>
        </w:rPr>
        <w:t xml:space="preserve">DSP early engagement process </w:t>
      </w:r>
    </w:p>
    <w:p w14:paraId="4A309CAE" w14:textId="6E033124" w:rsidR="006E51BA" w:rsidRPr="008E0CD5" w:rsidRDefault="0038631E" w:rsidP="006E51BA">
      <w:pPr>
        <w:numPr>
          <w:ilvl w:val="0"/>
          <w:numId w:val="28"/>
        </w:numPr>
        <w:contextualSpacing/>
        <w:rPr>
          <w:rFonts w:cs="Calibri"/>
          <w:szCs w:val="26"/>
        </w:rPr>
      </w:pPr>
      <w:r>
        <w:rPr>
          <w:rFonts w:cs="Calibri"/>
          <w:szCs w:val="26"/>
        </w:rPr>
        <w:t xml:space="preserve">Conduct a review of the </w:t>
      </w:r>
      <w:r w:rsidRPr="008E0CD5">
        <w:rPr>
          <w:rFonts w:cs="Calibri"/>
          <w:szCs w:val="26"/>
        </w:rPr>
        <w:t>reasonable accommodation fund</w:t>
      </w:r>
      <w:r w:rsidR="00C10528">
        <w:rPr>
          <w:rFonts w:cs="Calibri"/>
          <w:szCs w:val="26"/>
        </w:rPr>
        <w:t xml:space="preserve"> and</w:t>
      </w:r>
      <w:r w:rsidR="003F2E78">
        <w:rPr>
          <w:rFonts w:cs="Calibri"/>
          <w:szCs w:val="26"/>
        </w:rPr>
        <w:t xml:space="preserve"> </w:t>
      </w:r>
      <w:r>
        <w:rPr>
          <w:rFonts w:cs="Calibri"/>
          <w:szCs w:val="26"/>
        </w:rPr>
        <w:t>implement</w:t>
      </w:r>
      <w:r w:rsidR="006E51BA" w:rsidRPr="008E0CD5">
        <w:rPr>
          <w:rFonts w:cs="Calibri"/>
          <w:szCs w:val="26"/>
        </w:rPr>
        <w:t xml:space="preserve"> the recommendations emanating from the review </w:t>
      </w:r>
    </w:p>
    <w:p w14:paraId="45F799CD" w14:textId="77777777" w:rsidR="008D0E2E" w:rsidRPr="0038631E" w:rsidRDefault="006E51BA" w:rsidP="00EB481D">
      <w:pPr>
        <w:numPr>
          <w:ilvl w:val="0"/>
          <w:numId w:val="28"/>
        </w:numPr>
        <w:contextualSpacing/>
        <w:rPr>
          <w:szCs w:val="26"/>
        </w:rPr>
      </w:pPr>
      <w:r>
        <w:rPr>
          <w:rFonts w:cs="Calibri"/>
          <w:szCs w:val="26"/>
        </w:rPr>
        <w:t>Put</w:t>
      </w:r>
      <w:r w:rsidRPr="008E0CD5">
        <w:rPr>
          <w:rFonts w:cs="Calibri"/>
          <w:szCs w:val="26"/>
        </w:rPr>
        <w:t xml:space="preserve"> in place actionable measures to achieve the increased target of 6% of persons employed in the public service by the agreed date of 2024</w:t>
      </w:r>
    </w:p>
    <w:p w14:paraId="46D4181A" w14:textId="77777777" w:rsidR="00EB481D" w:rsidRDefault="0005677B" w:rsidP="00EB481D">
      <w:pPr>
        <w:pStyle w:val="Heading1"/>
      </w:pPr>
      <w:bookmarkStart w:id="4" w:name="_Toc101857181"/>
      <w:r>
        <w:t>The 2021 Context</w:t>
      </w:r>
      <w:bookmarkEnd w:id="4"/>
      <w:r>
        <w:t xml:space="preserve"> </w:t>
      </w:r>
    </w:p>
    <w:p w14:paraId="209487BD" w14:textId="22D15958" w:rsidR="001A1A5A" w:rsidRDefault="001C0BF3" w:rsidP="00B62A86">
      <w:pPr>
        <w:rPr>
          <w:szCs w:val="26"/>
        </w:rPr>
      </w:pPr>
      <w:r>
        <w:rPr>
          <w:szCs w:val="26"/>
        </w:rPr>
        <w:t>2021 was</w:t>
      </w:r>
      <w:r w:rsidR="00C336F3" w:rsidRPr="00C4750F">
        <w:rPr>
          <w:szCs w:val="26"/>
        </w:rPr>
        <w:t xml:space="preserve"> the final year of th</w:t>
      </w:r>
      <w:r w:rsidR="00D57B49">
        <w:rPr>
          <w:szCs w:val="26"/>
        </w:rPr>
        <w:t>e second</w:t>
      </w:r>
      <w:r w:rsidR="00C336F3" w:rsidRPr="00C4750F">
        <w:rPr>
          <w:szCs w:val="26"/>
        </w:rPr>
        <w:t xml:space="preserve"> </w:t>
      </w:r>
      <w:r w:rsidR="00C10528">
        <w:rPr>
          <w:szCs w:val="26"/>
        </w:rPr>
        <w:t>three</w:t>
      </w:r>
      <w:r w:rsidR="00D57B49">
        <w:rPr>
          <w:szCs w:val="26"/>
        </w:rPr>
        <w:t>-</w:t>
      </w:r>
      <w:r w:rsidR="00E34626">
        <w:rPr>
          <w:szCs w:val="26"/>
        </w:rPr>
        <w:t xml:space="preserve">year </w:t>
      </w:r>
      <w:r w:rsidR="004B6AF9">
        <w:rPr>
          <w:szCs w:val="26"/>
        </w:rPr>
        <w:t>CES a</w:t>
      </w:r>
      <w:r w:rsidR="004B6AF9" w:rsidRPr="00C4750F">
        <w:rPr>
          <w:szCs w:val="26"/>
        </w:rPr>
        <w:t xml:space="preserve">ction </w:t>
      </w:r>
      <w:r w:rsidR="00C336F3" w:rsidRPr="00C4750F">
        <w:rPr>
          <w:szCs w:val="26"/>
        </w:rPr>
        <w:t xml:space="preserve">plan and </w:t>
      </w:r>
      <w:r w:rsidR="006C53DB">
        <w:rPr>
          <w:szCs w:val="26"/>
        </w:rPr>
        <w:t xml:space="preserve">during the year </w:t>
      </w:r>
      <w:r w:rsidR="00C336F3" w:rsidRPr="00C4750F">
        <w:rPr>
          <w:szCs w:val="26"/>
        </w:rPr>
        <w:t>the impact of</w:t>
      </w:r>
      <w:r w:rsidR="004B6AF9">
        <w:rPr>
          <w:szCs w:val="26"/>
        </w:rPr>
        <w:t xml:space="preserve"> COVID</w:t>
      </w:r>
      <w:r w:rsidR="00D57B49">
        <w:rPr>
          <w:szCs w:val="26"/>
        </w:rPr>
        <w:t>-</w:t>
      </w:r>
      <w:r w:rsidR="00C336F3" w:rsidRPr="00C4750F">
        <w:rPr>
          <w:szCs w:val="26"/>
        </w:rPr>
        <w:t xml:space="preserve">19 continued to </w:t>
      </w:r>
      <w:r w:rsidR="006C53DB">
        <w:rPr>
          <w:szCs w:val="26"/>
        </w:rPr>
        <w:t>be felt across society, including by</w:t>
      </w:r>
      <w:r w:rsidR="00C336F3" w:rsidRPr="00C4750F">
        <w:rPr>
          <w:szCs w:val="26"/>
        </w:rPr>
        <w:t xml:space="preserve"> persons with disabilities. </w:t>
      </w:r>
      <w:r w:rsidR="001A1A5A">
        <w:rPr>
          <w:szCs w:val="26"/>
        </w:rPr>
        <w:t>This section outlines</w:t>
      </w:r>
      <w:r w:rsidR="001A1A5A" w:rsidRPr="001A1A5A">
        <w:rPr>
          <w:szCs w:val="26"/>
        </w:rPr>
        <w:t xml:space="preserve"> </w:t>
      </w:r>
      <w:r w:rsidR="007677B7">
        <w:rPr>
          <w:szCs w:val="26"/>
        </w:rPr>
        <w:t>the evidence base for this assessment</w:t>
      </w:r>
      <w:r w:rsidR="001A1A5A">
        <w:rPr>
          <w:szCs w:val="26"/>
        </w:rPr>
        <w:t xml:space="preserve"> regarding the disability employment landscape from a number of sources</w:t>
      </w:r>
      <w:r w:rsidR="007677B7">
        <w:rPr>
          <w:szCs w:val="26"/>
        </w:rPr>
        <w:t>. It also includes a brief overview of relevant policies, strategies and research reports and includ</w:t>
      </w:r>
      <w:r w:rsidR="00473148">
        <w:rPr>
          <w:szCs w:val="26"/>
        </w:rPr>
        <w:t>e</w:t>
      </w:r>
      <w:r w:rsidR="007677B7">
        <w:rPr>
          <w:szCs w:val="26"/>
        </w:rPr>
        <w:t>s</w:t>
      </w:r>
      <w:r w:rsidR="001A1A5A">
        <w:rPr>
          <w:szCs w:val="26"/>
        </w:rPr>
        <w:t xml:space="preserve"> the lived experience of persons with disabilities.</w:t>
      </w:r>
    </w:p>
    <w:p w14:paraId="1167B1DE" w14:textId="77777777" w:rsidR="001A1A5A" w:rsidRDefault="001A1A5A" w:rsidP="001A1A5A">
      <w:pPr>
        <w:pStyle w:val="Heading2"/>
      </w:pPr>
      <w:bookmarkStart w:id="5" w:name="_Toc101857182"/>
      <w:r>
        <w:t>Evidence base for assessment</w:t>
      </w:r>
      <w:bookmarkEnd w:id="5"/>
    </w:p>
    <w:p w14:paraId="521F54B5" w14:textId="77777777" w:rsidR="001A1A5A" w:rsidRDefault="001A1A5A" w:rsidP="001A1A5A">
      <w:r>
        <w:t xml:space="preserve">This assessment paper is informed by a range of inputs, including the lived experience of people with disabilities, gathered from a range of sources and engagement opportunities: </w:t>
      </w:r>
    </w:p>
    <w:p w14:paraId="17019366" w14:textId="77777777" w:rsidR="001A1A5A" w:rsidRDefault="001A1A5A" w:rsidP="001A1A5A">
      <w:pPr>
        <w:pStyle w:val="ListBullet"/>
      </w:pPr>
      <w:r w:rsidRPr="00BC706B">
        <w:t xml:space="preserve">Presentations and discussion by members of </w:t>
      </w:r>
      <w:r>
        <w:t xml:space="preserve">the </w:t>
      </w:r>
      <w:r w:rsidRPr="00BC706B">
        <w:t>CES Implementation Group at meetings</w:t>
      </w:r>
      <w:r>
        <w:t xml:space="preserve"> under the 2021</w:t>
      </w:r>
      <w:r w:rsidRPr="00BC706B">
        <w:t xml:space="preserve"> themes as co-ordinated </w:t>
      </w:r>
      <w:r>
        <w:t>by</w:t>
      </w:r>
      <w:r w:rsidRPr="007C6B18">
        <w:rPr>
          <w:rFonts w:eastAsiaTheme="minorHAnsi"/>
          <w:szCs w:val="26"/>
        </w:rPr>
        <w:t xml:space="preserve"> </w:t>
      </w:r>
      <w:r>
        <w:t>DCEDIY</w:t>
      </w:r>
    </w:p>
    <w:p w14:paraId="32807C42" w14:textId="77777777" w:rsidR="001A1A5A" w:rsidRDefault="001A1A5A" w:rsidP="001A1A5A">
      <w:pPr>
        <w:spacing w:after="0"/>
      </w:pPr>
      <w:r w:rsidRPr="00BC706B">
        <w:t xml:space="preserve"> </w:t>
      </w:r>
    </w:p>
    <w:p w14:paraId="062BBF68" w14:textId="77777777" w:rsidR="001A1A5A" w:rsidRPr="00BC706B" w:rsidRDefault="001A1A5A" w:rsidP="001A1A5A">
      <w:pPr>
        <w:pStyle w:val="ListParagraph"/>
        <w:numPr>
          <w:ilvl w:val="0"/>
          <w:numId w:val="7"/>
        </w:numPr>
        <w:spacing w:before="120"/>
      </w:pPr>
      <w:r>
        <w:t>Analysis of end of year action plan updates by government departments and agencies responsible for implementing CES actions and involved in the CES implementation Group</w:t>
      </w:r>
    </w:p>
    <w:p w14:paraId="575A9A93" w14:textId="77777777" w:rsidR="001A1A5A" w:rsidRDefault="001A1A5A" w:rsidP="001A1A5A">
      <w:pPr>
        <w:pStyle w:val="ListParagraph"/>
        <w:numPr>
          <w:ilvl w:val="0"/>
          <w:numId w:val="7"/>
        </w:numPr>
        <w:spacing w:before="120"/>
      </w:pPr>
      <w:r w:rsidRPr="00BC706B">
        <w:t>NDA analysis of data on the experience of people with disabilities</w:t>
      </w:r>
      <w:r>
        <w:t>, and specific consultations with persons with disabilities on a range of topics during 2021</w:t>
      </w:r>
    </w:p>
    <w:p w14:paraId="49E8D02B" w14:textId="77777777" w:rsidR="001A1A5A" w:rsidRDefault="001A1A5A" w:rsidP="001A1A5A">
      <w:pPr>
        <w:pStyle w:val="ListParagraph"/>
        <w:numPr>
          <w:ilvl w:val="0"/>
          <w:numId w:val="7"/>
        </w:numPr>
        <w:spacing w:before="120"/>
      </w:pPr>
      <w:r>
        <w:t>E</w:t>
      </w:r>
      <w:r w:rsidRPr="00BC706B">
        <w:t xml:space="preserve">ngagements with departments </w:t>
      </w:r>
      <w:r>
        <w:t xml:space="preserve">through their Disability Consultative Committees </w:t>
      </w:r>
    </w:p>
    <w:p w14:paraId="0386E880" w14:textId="2141B524" w:rsidR="001A1A5A" w:rsidRDefault="001A1A5A" w:rsidP="001A1A5A">
      <w:pPr>
        <w:pStyle w:val="ListParagraph"/>
        <w:numPr>
          <w:ilvl w:val="0"/>
          <w:numId w:val="7"/>
        </w:numPr>
        <w:spacing w:before="120"/>
      </w:pPr>
      <w:r>
        <w:t>Analysis of evidence including newly-collected data and information, including collaborations with the CSO, ESRI and OECD during 2021.</w:t>
      </w:r>
      <w:r w:rsidR="00291452">
        <w:t xml:space="preserve"> More information on these are provided later in this report. </w:t>
      </w:r>
    </w:p>
    <w:p w14:paraId="7BBA1F5D" w14:textId="20B7999E" w:rsidR="001A1A5A" w:rsidRDefault="001A1A5A" w:rsidP="00B62A86">
      <w:pPr>
        <w:pStyle w:val="ListParagraph"/>
        <w:numPr>
          <w:ilvl w:val="0"/>
          <w:numId w:val="7"/>
        </w:numPr>
        <w:spacing w:before="120"/>
      </w:pPr>
      <w:r>
        <w:t xml:space="preserve">Analysis of new strategies, policies and reports relevant to the employment of persons with disabilities. </w:t>
      </w:r>
    </w:p>
    <w:p w14:paraId="3E8D11F9" w14:textId="77777777" w:rsidR="00F87D42" w:rsidRPr="00F87D42" w:rsidRDefault="00F87D42" w:rsidP="00F87D42">
      <w:pPr>
        <w:pStyle w:val="ListParagraph"/>
        <w:spacing w:before="120"/>
      </w:pPr>
    </w:p>
    <w:p w14:paraId="00CDF00C" w14:textId="77777777" w:rsidR="007677B7" w:rsidRDefault="007677B7" w:rsidP="00B73186">
      <w:pPr>
        <w:pStyle w:val="Heading2"/>
      </w:pPr>
      <w:bookmarkStart w:id="6" w:name="_Toc101857183"/>
      <w:r>
        <w:t>Mainstream policy and strategy developments during 2021</w:t>
      </w:r>
      <w:bookmarkEnd w:id="6"/>
    </w:p>
    <w:p w14:paraId="777EB1A1" w14:textId="77777777" w:rsidR="007677B7" w:rsidRPr="001F06CC" w:rsidRDefault="007677B7" w:rsidP="007677B7">
      <w:r>
        <w:t xml:space="preserve">During 2021, a number of initiatives occurred that will have an impact on the delivery of the CES. In the NDA Assessment of CES for 2020, an outline was given of the </w:t>
      </w:r>
      <w:r>
        <w:rPr>
          <w:rFonts w:eastAsia="Lato-Semibold" w:cs="Lato-Semibold"/>
          <w:szCs w:val="26"/>
          <w:lang w:eastAsia="en-IE"/>
        </w:rPr>
        <w:t>DSP’s ‘</w:t>
      </w:r>
      <w:r w:rsidRPr="00DE6B97">
        <w:rPr>
          <w:rFonts w:eastAsia="Lato-Semibold" w:cs="Lato-SemiboldItalic"/>
          <w:iCs/>
          <w:szCs w:val="26"/>
          <w:lang w:eastAsia="en-IE"/>
        </w:rPr>
        <w:t xml:space="preserve">Roadmap for Social Inclusion 2020-2025: Ambition, Goals, and Commitments’. </w:t>
      </w:r>
      <w:r>
        <w:rPr>
          <w:rFonts w:eastAsia="Lato-Semibold" w:cs="Lato-SemiboldItalic"/>
          <w:iCs/>
          <w:szCs w:val="26"/>
          <w:lang w:eastAsia="en-IE"/>
        </w:rPr>
        <w:t>Those commitments were</w:t>
      </w:r>
      <w:r>
        <w:rPr>
          <w:rFonts w:eastAsia="Lato-Semibold" w:cs="Lato-SemiboldItalic"/>
          <w:i/>
          <w:iCs/>
          <w:szCs w:val="26"/>
          <w:lang w:eastAsia="en-IE"/>
        </w:rPr>
        <w:t xml:space="preserve"> </w:t>
      </w:r>
      <w:r w:rsidRPr="00220D50">
        <w:rPr>
          <w:rFonts w:eastAsia="Lato-Semibold" w:cs="Lato-SemiboldItalic"/>
          <w:iCs/>
          <w:szCs w:val="26"/>
          <w:lang w:eastAsia="en-IE"/>
        </w:rPr>
        <w:t>reiterated in</w:t>
      </w:r>
      <w:r>
        <w:rPr>
          <w:rFonts w:eastAsia="Lato-Semibold" w:cs="Lato-SemiboldItalic"/>
          <w:iCs/>
          <w:szCs w:val="26"/>
          <w:lang w:eastAsia="en-IE"/>
        </w:rPr>
        <w:t xml:space="preserve"> the ‘</w:t>
      </w:r>
      <w:r w:rsidRPr="00D85C0B">
        <w:rPr>
          <w:rFonts w:eastAsia="Lato-Semibold" w:cs="Lato-SemiboldItalic"/>
          <w:iCs/>
          <w:szCs w:val="26"/>
          <w:lang w:eastAsia="en-IE"/>
        </w:rPr>
        <w:t>Pathways to Work 2021- 2025</w:t>
      </w:r>
      <w:r>
        <w:rPr>
          <w:rFonts w:eastAsia="Lato-Semibold" w:cs="Lato-SemiboldItalic"/>
          <w:iCs/>
          <w:szCs w:val="26"/>
          <w:lang w:eastAsia="en-IE"/>
        </w:rPr>
        <w:t xml:space="preserve"> strategy</w:t>
      </w:r>
      <w:r>
        <w:rPr>
          <w:rStyle w:val="FootnoteReference"/>
          <w:rFonts w:eastAsia="Lato-Semibold" w:cs="Lato-SemiboldItalic"/>
          <w:iCs/>
          <w:szCs w:val="26"/>
          <w:lang w:eastAsia="en-IE"/>
        </w:rPr>
        <w:footnoteReference w:id="10"/>
      </w:r>
      <w:r>
        <w:rPr>
          <w:rStyle w:val="EndnoteReference"/>
          <w:rFonts w:eastAsia="Lato-Semibold" w:cs="Lato-SemiboldItalic"/>
          <w:i/>
          <w:iCs/>
          <w:szCs w:val="26"/>
          <w:lang w:eastAsia="en-IE"/>
        </w:rPr>
        <w:endnoteReference w:id="1"/>
      </w:r>
      <w:r w:rsidRPr="00AA01CE">
        <w:rPr>
          <w:rFonts w:eastAsia="Lato-Semibold" w:cs="Lato-SemiboldItalic"/>
          <w:i/>
          <w:iCs/>
          <w:szCs w:val="26"/>
          <w:lang w:eastAsia="en-IE"/>
        </w:rPr>
        <w:t xml:space="preserve"> </w:t>
      </w:r>
      <w:r>
        <w:rPr>
          <w:rFonts w:eastAsia="Lato-Semibold" w:cs="Lato-Semibold"/>
          <w:szCs w:val="26"/>
          <w:lang w:eastAsia="en-IE"/>
        </w:rPr>
        <w:t>published in July 2021 where DSP stated:</w:t>
      </w:r>
    </w:p>
    <w:p w14:paraId="52717350" w14:textId="77777777" w:rsidR="007677B7" w:rsidRDefault="007677B7" w:rsidP="007677B7">
      <w:pPr>
        <w:autoSpaceDE w:val="0"/>
        <w:autoSpaceDN w:val="0"/>
        <w:adjustRightInd w:val="0"/>
        <w:spacing w:after="0"/>
        <w:ind w:left="720"/>
        <w:rPr>
          <w:rFonts w:eastAsia="Lato-Semibold" w:cs="Lato-Semibold"/>
          <w:szCs w:val="26"/>
          <w:lang w:eastAsia="en-IE"/>
        </w:rPr>
      </w:pPr>
      <w:r>
        <w:rPr>
          <w:rFonts w:eastAsia="Lato-Semibold" w:cs="Lato-Semibold"/>
          <w:szCs w:val="26"/>
          <w:lang w:eastAsia="en-IE"/>
        </w:rPr>
        <w:t>‘G</w:t>
      </w:r>
      <w:r w:rsidRPr="008604EB">
        <w:rPr>
          <w:rFonts w:eastAsia="Lato-Semibold" w:cs="Lato-Semibold"/>
          <w:szCs w:val="26"/>
          <w:lang w:eastAsia="en-IE"/>
        </w:rPr>
        <w:t>reater integration of income supports with employment, training and activation measures, closer engagement with employers and robust evaluation of labour market policies and outcomes, to support clients, on the route back to employment and self-sufficiency</w:t>
      </w:r>
      <w:r>
        <w:rPr>
          <w:rFonts w:eastAsia="Lato-Semibold" w:cs="Lato-Semibold"/>
          <w:szCs w:val="26"/>
          <w:lang w:eastAsia="en-IE"/>
        </w:rPr>
        <w:t>’</w:t>
      </w:r>
      <w:r w:rsidRPr="008604EB">
        <w:rPr>
          <w:rFonts w:eastAsia="Lato-Semibold" w:cs="Lato-Semibold"/>
          <w:szCs w:val="26"/>
          <w:lang w:eastAsia="en-IE"/>
        </w:rPr>
        <w:t>.</w:t>
      </w:r>
      <w:r>
        <w:rPr>
          <w:rFonts w:eastAsia="Lato-Semibold" w:cs="Lato-Semibold"/>
          <w:szCs w:val="26"/>
          <w:lang w:eastAsia="en-IE"/>
        </w:rPr>
        <w:t xml:space="preserve"> </w:t>
      </w:r>
    </w:p>
    <w:p w14:paraId="656192CF" w14:textId="77777777" w:rsidR="007677B7" w:rsidRDefault="007677B7" w:rsidP="007677B7">
      <w:pPr>
        <w:autoSpaceDE w:val="0"/>
        <w:autoSpaceDN w:val="0"/>
        <w:adjustRightInd w:val="0"/>
        <w:spacing w:after="0"/>
        <w:rPr>
          <w:rFonts w:eastAsia="Lato-Semibold" w:cs="Lato-Semibold"/>
          <w:szCs w:val="26"/>
          <w:lang w:eastAsia="en-IE"/>
        </w:rPr>
      </w:pPr>
    </w:p>
    <w:p w14:paraId="6B4A0BBA" w14:textId="77777777" w:rsidR="007677B7" w:rsidRDefault="007677B7" w:rsidP="007677B7">
      <w:pPr>
        <w:autoSpaceDE w:val="0"/>
        <w:autoSpaceDN w:val="0"/>
        <w:adjustRightInd w:val="0"/>
        <w:spacing w:after="0"/>
      </w:pPr>
      <w:r>
        <w:rPr>
          <w:rFonts w:eastAsia="Lato-Semibold" w:cs="Lato-Semibold"/>
          <w:szCs w:val="26"/>
          <w:lang w:eastAsia="en-IE"/>
        </w:rPr>
        <w:t xml:space="preserve">Especially noteworthy is the </w:t>
      </w:r>
      <w:r w:rsidRPr="00075C39">
        <w:rPr>
          <w:rFonts w:eastAsia="Lato-Semibold" w:cs="Lato-SemiboldItalic"/>
          <w:iCs/>
          <w:szCs w:val="26"/>
          <w:lang w:eastAsia="en-IE"/>
        </w:rPr>
        <w:t>Pathways to Work</w:t>
      </w:r>
      <w:r w:rsidRPr="00AA01CE">
        <w:rPr>
          <w:rFonts w:eastAsia="Lato-Semibold" w:cs="Lato-SemiboldItalic"/>
          <w:i/>
          <w:iCs/>
          <w:szCs w:val="26"/>
          <w:lang w:eastAsia="en-IE"/>
        </w:rPr>
        <w:t xml:space="preserve"> </w:t>
      </w:r>
      <w:r>
        <w:rPr>
          <w:rFonts w:eastAsia="Lato-Semibold" w:cs="Lato-SemiboldItalic"/>
          <w:iCs/>
          <w:szCs w:val="26"/>
          <w:lang w:eastAsia="en-IE"/>
        </w:rPr>
        <w:t>strategic approach</w:t>
      </w:r>
      <w:r>
        <w:rPr>
          <w:rFonts w:eastAsia="Lato-Semibold" w:cs="Lato-SemiboldItalic"/>
          <w:i/>
          <w:iCs/>
          <w:szCs w:val="26"/>
          <w:lang w:eastAsia="en-IE"/>
        </w:rPr>
        <w:t xml:space="preserve"> </w:t>
      </w:r>
      <w:r>
        <w:rPr>
          <w:rFonts w:eastAsia="Lato-Semibold" w:cs="Lato-Semibold"/>
          <w:szCs w:val="26"/>
          <w:lang w:eastAsia="en-IE"/>
        </w:rPr>
        <w:t>to</w:t>
      </w:r>
      <w:r w:rsidRPr="00AA01CE">
        <w:rPr>
          <w:rFonts w:eastAsia="Lato-Semibold" w:cs="Lato-Semibold"/>
          <w:szCs w:val="26"/>
          <w:lang w:eastAsia="en-IE"/>
        </w:rPr>
        <w:t xml:space="preserve"> extend and enhance the provision of</w:t>
      </w:r>
      <w:r w:rsidRPr="00AA01CE">
        <w:rPr>
          <w:rFonts w:eastAsia="Lato-Semibold" w:cs="Lato-SemiboldItalic"/>
          <w:i/>
          <w:iCs/>
          <w:szCs w:val="26"/>
          <w:lang w:eastAsia="en-IE"/>
        </w:rPr>
        <w:t xml:space="preserve"> </w:t>
      </w:r>
      <w:r w:rsidRPr="00AA01CE">
        <w:rPr>
          <w:rFonts w:eastAsia="Lato-Semibold" w:cs="Lato-Semibold"/>
          <w:szCs w:val="26"/>
          <w:lang w:eastAsia="en-IE"/>
        </w:rPr>
        <w:t>employment services beyond the registered unemployed</w:t>
      </w:r>
      <w:r>
        <w:rPr>
          <w:rFonts w:eastAsia="Lato-Semibold" w:cs="Lato-Semibold"/>
          <w:szCs w:val="26"/>
          <w:lang w:eastAsia="en-IE"/>
        </w:rPr>
        <w:t>,</w:t>
      </w:r>
      <w:r w:rsidRPr="00AA01CE">
        <w:rPr>
          <w:rFonts w:eastAsia="Lato-Semibold" w:cs="Lato-SemiboldItalic"/>
          <w:i/>
          <w:iCs/>
          <w:szCs w:val="26"/>
          <w:lang w:eastAsia="en-IE"/>
        </w:rPr>
        <w:t xml:space="preserve"> </w:t>
      </w:r>
      <w:r w:rsidRPr="00AA01CE">
        <w:rPr>
          <w:rFonts w:eastAsia="Lato-Semibold" w:cs="Lato-Semibold"/>
          <w:szCs w:val="26"/>
          <w:lang w:eastAsia="en-IE"/>
        </w:rPr>
        <w:t>to include additional groups such as those with caring</w:t>
      </w:r>
      <w:r w:rsidRPr="00AA01CE">
        <w:rPr>
          <w:rFonts w:eastAsia="Lato-Semibold" w:cs="Lato-SemiboldItalic"/>
          <w:i/>
          <w:iCs/>
          <w:szCs w:val="26"/>
          <w:lang w:eastAsia="en-IE"/>
        </w:rPr>
        <w:t xml:space="preserve"> </w:t>
      </w:r>
      <w:r w:rsidRPr="00AA01CE">
        <w:rPr>
          <w:rFonts w:eastAsia="Lato-Semibold" w:cs="Lato-Semibold"/>
          <w:szCs w:val="26"/>
          <w:lang w:eastAsia="en-IE"/>
        </w:rPr>
        <w:t>responsibilities, people with disabilities and qualified</w:t>
      </w:r>
      <w:r w:rsidRPr="00AA01CE">
        <w:rPr>
          <w:rFonts w:eastAsia="Lato-Semibold" w:cs="Lato-SemiboldItalic"/>
          <w:i/>
          <w:iCs/>
          <w:szCs w:val="26"/>
          <w:lang w:eastAsia="en-IE"/>
        </w:rPr>
        <w:t xml:space="preserve"> </w:t>
      </w:r>
      <w:r w:rsidRPr="00AA01CE">
        <w:rPr>
          <w:rFonts w:eastAsia="Lato-Semibold" w:cs="Lato-Semibold"/>
          <w:szCs w:val="26"/>
          <w:lang w:eastAsia="en-IE"/>
        </w:rPr>
        <w:t>adult dependents of recipients of working-age payments</w:t>
      </w:r>
      <w:r>
        <w:rPr>
          <w:rFonts w:eastAsia="Lato-Semibold" w:cs="Lato-Semibold"/>
          <w:szCs w:val="26"/>
          <w:lang w:eastAsia="en-IE"/>
        </w:rPr>
        <w:t xml:space="preserve">. The implementation of supports necessary for </w:t>
      </w:r>
      <w:r>
        <w:t xml:space="preserve">persons with disabilities wishing to work will be an important element of </w:t>
      </w:r>
      <w:r>
        <w:rPr>
          <w:rFonts w:eastAsia="Lato-Semibold" w:cs="Lato-SemiboldItalic"/>
          <w:iCs/>
          <w:szCs w:val="26"/>
          <w:lang w:eastAsia="en-IE"/>
        </w:rPr>
        <w:t>this strategy.</w:t>
      </w:r>
    </w:p>
    <w:p w14:paraId="12B0DA6E" w14:textId="77777777" w:rsidR="007677B7" w:rsidRPr="0008329F" w:rsidRDefault="007677B7" w:rsidP="007677B7">
      <w:pPr>
        <w:shd w:val="clear" w:color="auto" w:fill="FFFFFF"/>
        <w:spacing w:before="100" w:beforeAutospacing="1" w:after="150"/>
        <w:rPr>
          <w:szCs w:val="26"/>
          <w:lang w:eastAsia="en-IE"/>
        </w:rPr>
      </w:pPr>
      <w:r w:rsidRPr="0008329F">
        <w:rPr>
          <w:szCs w:val="26"/>
        </w:rPr>
        <w:t xml:space="preserve">In </w:t>
      </w:r>
      <w:r>
        <w:rPr>
          <w:szCs w:val="26"/>
        </w:rPr>
        <w:t>December</w:t>
      </w:r>
      <w:r w:rsidRPr="0008329F">
        <w:rPr>
          <w:szCs w:val="26"/>
        </w:rPr>
        <w:t xml:space="preserve"> 2021, a Cost of Disability study </w:t>
      </w:r>
      <w:r>
        <w:rPr>
          <w:szCs w:val="26"/>
        </w:rPr>
        <w:t xml:space="preserve">carried out by </w:t>
      </w:r>
      <w:r w:rsidRPr="0008329F">
        <w:rPr>
          <w:szCs w:val="26"/>
        </w:rPr>
        <w:t>Indecon economic consultants was published by DSP. This study included a survey of</w:t>
      </w:r>
      <w:r w:rsidRPr="0008329F">
        <w:rPr>
          <w:szCs w:val="26"/>
          <w:lang w:eastAsia="en-IE"/>
        </w:rPr>
        <w:t xml:space="preserve"> 4,734 people with disabilities, the majority of whom were receiving disability benefits. Respondents explained that they </w:t>
      </w:r>
      <w:r>
        <w:rPr>
          <w:szCs w:val="26"/>
          <w:lang w:eastAsia="en-IE"/>
        </w:rPr>
        <w:t>incurred</w:t>
      </w:r>
      <w:r w:rsidRPr="0008329F">
        <w:rPr>
          <w:szCs w:val="26"/>
          <w:lang w:eastAsia="en-IE"/>
        </w:rPr>
        <w:t xml:space="preserve"> additional costs relating to equipment, aids and appliances, mobility, transport, medicines, care and assistance services, communications and additional living expenses. The survey results emphasised that </w:t>
      </w:r>
      <w:r>
        <w:rPr>
          <w:szCs w:val="26"/>
        </w:rPr>
        <w:t>t</w:t>
      </w:r>
      <w:r w:rsidRPr="0008329F">
        <w:rPr>
          <w:szCs w:val="26"/>
        </w:rPr>
        <w:t xml:space="preserve">here is no one single or typical cost of disability, but rather a range of costs from very low to extremely high depending on a person's individual circumstances. </w:t>
      </w:r>
      <w:r w:rsidRPr="0008329F">
        <w:rPr>
          <w:szCs w:val="26"/>
          <w:lang w:eastAsia="en-IE"/>
        </w:rPr>
        <w:t xml:space="preserve">Certain factors that resulted in increased costs included age, household type, and the severity and nature of the disability. The report authors recommended that additional supports for individuals with a disability “should be focused on the alleviation of poverty, reducing inequality and improving social inclusion and the quality of life of individuals with disabilities in Ireland”. They also recognised that increasing employment opportunities for persons with disabilities was one way to support </w:t>
      </w:r>
      <w:r>
        <w:rPr>
          <w:szCs w:val="26"/>
          <w:lang w:eastAsia="en-IE"/>
        </w:rPr>
        <w:t xml:space="preserve">some </w:t>
      </w:r>
      <w:r w:rsidRPr="0008329F">
        <w:rPr>
          <w:szCs w:val="26"/>
          <w:lang w:eastAsia="en-IE"/>
        </w:rPr>
        <w:t xml:space="preserve">people </w:t>
      </w:r>
      <w:r>
        <w:rPr>
          <w:szCs w:val="26"/>
          <w:lang w:eastAsia="en-IE"/>
        </w:rPr>
        <w:t xml:space="preserve">with disabilities </w:t>
      </w:r>
      <w:r w:rsidRPr="0008329F">
        <w:rPr>
          <w:szCs w:val="26"/>
          <w:lang w:eastAsia="en-IE"/>
        </w:rPr>
        <w:t>to meet the additional costs of their disabilities</w:t>
      </w:r>
      <w:r>
        <w:rPr>
          <w:szCs w:val="26"/>
          <w:lang w:eastAsia="en-IE"/>
        </w:rPr>
        <w:t>, and so there are implications for the final stages of implementation of the CES</w:t>
      </w:r>
      <w:r w:rsidRPr="0008329F">
        <w:rPr>
          <w:szCs w:val="26"/>
          <w:lang w:eastAsia="en-IE"/>
        </w:rPr>
        <w:t xml:space="preserve">. </w:t>
      </w:r>
    </w:p>
    <w:p w14:paraId="530863C6" w14:textId="77777777" w:rsidR="007677B7" w:rsidRDefault="007677B7" w:rsidP="00B62A86">
      <w:pPr>
        <w:rPr>
          <w:szCs w:val="26"/>
        </w:rPr>
      </w:pPr>
    </w:p>
    <w:p w14:paraId="0074E701" w14:textId="227BEEE6" w:rsidR="00E34626" w:rsidRDefault="00E34626" w:rsidP="00E34626">
      <w:pPr>
        <w:pStyle w:val="Heading2"/>
        <w:rPr>
          <w:shd w:val="clear" w:color="auto" w:fill="FFFFFF"/>
        </w:rPr>
      </w:pPr>
      <w:bookmarkStart w:id="7" w:name="_Toc101857184"/>
      <w:r>
        <w:rPr>
          <w:shd w:val="clear" w:color="auto" w:fill="FFFFFF"/>
        </w:rPr>
        <w:t>Experiences</w:t>
      </w:r>
      <w:r w:rsidR="001A1A5A">
        <w:rPr>
          <w:shd w:val="clear" w:color="auto" w:fill="FFFFFF"/>
        </w:rPr>
        <w:t xml:space="preserve"> of disabled people</w:t>
      </w:r>
      <w:r>
        <w:rPr>
          <w:shd w:val="clear" w:color="auto" w:fill="FFFFFF"/>
        </w:rPr>
        <w:t xml:space="preserve"> during </w:t>
      </w:r>
      <w:r w:rsidR="004B6AF9">
        <w:rPr>
          <w:shd w:val="clear" w:color="auto" w:fill="FFFFFF"/>
        </w:rPr>
        <w:t>COVID</w:t>
      </w:r>
      <w:r>
        <w:rPr>
          <w:shd w:val="clear" w:color="auto" w:fill="FFFFFF"/>
        </w:rPr>
        <w:t>-19</w:t>
      </w:r>
      <w:bookmarkEnd w:id="7"/>
    </w:p>
    <w:p w14:paraId="5AA267B3" w14:textId="47743D8D" w:rsidR="00F85D7C" w:rsidRDefault="003F2E78" w:rsidP="00B62A86">
      <w:pPr>
        <w:rPr>
          <w:szCs w:val="26"/>
        </w:rPr>
      </w:pPr>
      <w:r>
        <w:rPr>
          <w:szCs w:val="26"/>
        </w:rPr>
        <w:t xml:space="preserve">COVID -19 continued to have an impact </w:t>
      </w:r>
      <w:r w:rsidR="00F85D7C">
        <w:rPr>
          <w:szCs w:val="26"/>
        </w:rPr>
        <w:t xml:space="preserve">in different ways </w:t>
      </w:r>
      <w:r>
        <w:rPr>
          <w:szCs w:val="26"/>
        </w:rPr>
        <w:t>on the lives of people with dis</w:t>
      </w:r>
      <w:r w:rsidR="00F85D7C">
        <w:rPr>
          <w:szCs w:val="26"/>
        </w:rPr>
        <w:t>abilities. In this section</w:t>
      </w:r>
      <w:r w:rsidR="00C10528">
        <w:rPr>
          <w:szCs w:val="26"/>
        </w:rPr>
        <w:t>,</w:t>
      </w:r>
      <w:r w:rsidR="00F85D7C">
        <w:rPr>
          <w:szCs w:val="26"/>
        </w:rPr>
        <w:t xml:space="preserve"> ex</w:t>
      </w:r>
      <w:r w:rsidR="00015E16">
        <w:rPr>
          <w:szCs w:val="26"/>
        </w:rPr>
        <w:t>periences</w:t>
      </w:r>
      <w:r w:rsidR="00C10528">
        <w:rPr>
          <w:szCs w:val="26"/>
        </w:rPr>
        <w:t>,</w:t>
      </w:r>
      <w:r w:rsidR="00015E16">
        <w:rPr>
          <w:szCs w:val="26"/>
        </w:rPr>
        <w:t xml:space="preserve"> </w:t>
      </w:r>
      <w:r w:rsidR="00BA7DB3">
        <w:rPr>
          <w:szCs w:val="26"/>
        </w:rPr>
        <w:t xml:space="preserve">some of which were due to public health guidance, </w:t>
      </w:r>
      <w:r w:rsidR="00015E16">
        <w:rPr>
          <w:szCs w:val="26"/>
        </w:rPr>
        <w:t xml:space="preserve">such as interruptions to day service </w:t>
      </w:r>
      <w:r w:rsidR="009C6770">
        <w:rPr>
          <w:szCs w:val="26"/>
        </w:rPr>
        <w:t>and schools</w:t>
      </w:r>
      <w:r w:rsidR="00F85D7C">
        <w:rPr>
          <w:szCs w:val="26"/>
        </w:rPr>
        <w:t xml:space="preserve"> to supporting return to workplaces</w:t>
      </w:r>
      <w:r w:rsidR="00BA7DB3">
        <w:rPr>
          <w:szCs w:val="26"/>
        </w:rPr>
        <w:t>,</w:t>
      </w:r>
      <w:r w:rsidR="00F85D7C">
        <w:rPr>
          <w:szCs w:val="26"/>
        </w:rPr>
        <w:t xml:space="preserve"> are described. </w:t>
      </w:r>
    </w:p>
    <w:p w14:paraId="5BEC0C0F" w14:textId="2EBB185D" w:rsidR="00B62A86" w:rsidRDefault="00B62A86" w:rsidP="00B62A86">
      <w:pPr>
        <w:rPr>
          <w:szCs w:val="26"/>
        </w:rPr>
      </w:pPr>
      <w:r w:rsidRPr="00C4750F">
        <w:rPr>
          <w:szCs w:val="26"/>
        </w:rPr>
        <w:t>Th</w:t>
      </w:r>
      <w:r w:rsidR="00953582">
        <w:rPr>
          <w:szCs w:val="26"/>
        </w:rPr>
        <w:t>e National Advocacy Service (NAS)</w:t>
      </w:r>
      <w:r w:rsidRPr="00C4750F">
        <w:rPr>
          <w:szCs w:val="26"/>
        </w:rPr>
        <w:t xml:space="preserve"> revealed some of the more challenging experiences</w:t>
      </w:r>
      <w:r w:rsidR="00C4750F" w:rsidRPr="00C4750F">
        <w:rPr>
          <w:szCs w:val="26"/>
        </w:rPr>
        <w:t>,</w:t>
      </w:r>
      <w:r w:rsidRPr="00C4750F">
        <w:rPr>
          <w:szCs w:val="26"/>
        </w:rPr>
        <w:t xml:space="preserve"> </w:t>
      </w:r>
      <w:r w:rsidR="00C4750F" w:rsidRPr="00C4750F">
        <w:rPr>
          <w:szCs w:val="26"/>
        </w:rPr>
        <w:t>especially t</w:t>
      </w:r>
      <w:r w:rsidR="00C1763C" w:rsidRPr="00C4750F">
        <w:rPr>
          <w:rFonts w:cs="Arial"/>
          <w:szCs w:val="26"/>
          <w:shd w:val="clear" w:color="auto" w:fill="FFFFFF"/>
        </w:rPr>
        <w:t>he closure an</w:t>
      </w:r>
      <w:r w:rsidR="00675CBB">
        <w:rPr>
          <w:rFonts w:cs="Arial"/>
          <w:szCs w:val="26"/>
          <w:shd w:val="clear" w:color="auto" w:fill="FFFFFF"/>
        </w:rPr>
        <w:t>d reduction of day services</w:t>
      </w:r>
      <w:r w:rsidR="00BA0730">
        <w:rPr>
          <w:rFonts w:cs="Arial"/>
          <w:szCs w:val="26"/>
          <w:shd w:val="clear" w:color="auto" w:fill="FFFFFF"/>
        </w:rPr>
        <w:t>. This</w:t>
      </w:r>
      <w:r w:rsidR="00C1763C" w:rsidRPr="00C4750F">
        <w:rPr>
          <w:rFonts w:cs="Arial"/>
          <w:szCs w:val="26"/>
          <w:shd w:val="clear" w:color="auto" w:fill="FFFFFF"/>
        </w:rPr>
        <w:t xml:space="preserve"> had a serious impact on the mental health of people who lost access to social interaction and structure, leading to isolation, anxiety and a loss of confidence and skills</w:t>
      </w:r>
      <w:r w:rsidR="004054CA">
        <w:rPr>
          <w:rFonts w:cs="Arial"/>
          <w:szCs w:val="26"/>
          <w:shd w:val="clear" w:color="auto" w:fill="FFFFFF"/>
        </w:rPr>
        <w:t>.</w:t>
      </w:r>
      <w:r w:rsidR="00C1763C" w:rsidRPr="00C4750F">
        <w:rPr>
          <w:rStyle w:val="FootnoteReference"/>
          <w:rFonts w:ascii="Gill Sans MT" w:hAnsi="Gill Sans MT" w:cs="Arial"/>
          <w:sz w:val="26"/>
          <w:szCs w:val="26"/>
          <w:shd w:val="clear" w:color="auto" w:fill="FFFFFF"/>
        </w:rPr>
        <w:footnoteReference w:id="11"/>
      </w:r>
      <w:r w:rsidRPr="00C4750F">
        <w:rPr>
          <w:szCs w:val="26"/>
        </w:rPr>
        <w:t xml:space="preserve"> </w:t>
      </w:r>
      <w:r w:rsidR="0057759A">
        <w:rPr>
          <w:szCs w:val="26"/>
        </w:rPr>
        <w:t xml:space="preserve">For some, day services are a route of entry into work and therefore losing skills can have a detrimental impact on becoming work ready. </w:t>
      </w:r>
    </w:p>
    <w:p w14:paraId="3B668209" w14:textId="42458740" w:rsidR="00D8324B" w:rsidRPr="00D8324B" w:rsidRDefault="00D8324B" w:rsidP="00B62A86">
      <w:pPr>
        <w:rPr>
          <w:szCs w:val="26"/>
          <w:shd w:val="clear" w:color="auto" w:fill="FFFFFF"/>
        </w:rPr>
      </w:pPr>
      <w:r w:rsidRPr="00D8324B">
        <w:rPr>
          <w:rFonts w:cs="Poppins"/>
          <w:szCs w:val="26"/>
          <w:shd w:val="clear" w:color="auto" w:fill="FFFFFF"/>
        </w:rPr>
        <w:t xml:space="preserve">A research project conducted by and with people with intellectual disabilities, called </w:t>
      </w:r>
      <w:r w:rsidRPr="00D8324B">
        <w:rPr>
          <w:szCs w:val="26"/>
          <w:shd w:val="clear" w:color="auto" w:fill="FFFFFF"/>
        </w:rPr>
        <w:t xml:space="preserve">‘The </w:t>
      </w:r>
      <w:r w:rsidRPr="00C4750F">
        <w:rPr>
          <w:szCs w:val="26"/>
          <w:shd w:val="clear" w:color="auto" w:fill="FFFFFF"/>
        </w:rPr>
        <w:t>Experiences of Adults with Intell</w:t>
      </w:r>
      <w:r>
        <w:rPr>
          <w:szCs w:val="26"/>
          <w:shd w:val="clear" w:color="auto" w:fill="FFFFFF"/>
        </w:rPr>
        <w:t>ectual Disabilities in Ireland d</w:t>
      </w:r>
      <w:r w:rsidRPr="00C4750F">
        <w:rPr>
          <w:szCs w:val="26"/>
          <w:shd w:val="clear" w:color="auto" w:fill="FFFFFF"/>
        </w:rPr>
        <w:t xml:space="preserve">uring the </w:t>
      </w:r>
      <w:r w:rsidRPr="006C4541">
        <w:rPr>
          <w:szCs w:val="26"/>
          <w:shd w:val="clear" w:color="auto" w:fill="FFFFFF"/>
        </w:rPr>
        <w:t>COVID</w:t>
      </w:r>
      <w:r>
        <w:rPr>
          <w:szCs w:val="26"/>
          <w:shd w:val="clear" w:color="auto" w:fill="FFFFFF"/>
        </w:rPr>
        <w:t xml:space="preserve">-19 Crisis’. This was a collaborative project </w:t>
      </w:r>
      <w:r w:rsidRPr="00C4750F">
        <w:rPr>
          <w:szCs w:val="26"/>
          <w:shd w:val="clear" w:color="auto" w:fill="FFFFFF"/>
        </w:rPr>
        <w:t xml:space="preserve">by Inclusion Ireland and </w:t>
      </w:r>
      <w:r w:rsidR="00473148" w:rsidRPr="00C4750F">
        <w:rPr>
          <w:szCs w:val="26"/>
          <w:shd w:val="clear" w:color="auto" w:fill="FFFFFF"/>
        </w:rPr>
        <w:t>Techn</w:t>
      </w:r>
      <w:r w:rsidR="00473148">
        <w:rPr>
          <w:szCs w:val="26"/>
          <w:shd w:val="clear" w:color="auto" w:fill="FFFFFF"/>
        </w:rPr>
        <w:t>ological</w:t>
      </w:r>
      <w:r w:rsidRPr="00C4750F">
        <w:rPr>
          <w:szCs w:val="26"/>
          <w:shd w:val="clear" w:color="auto" w:fill="FFFFFF"/>
        </w:rPr>
        <w:t xml:space="preserve"> University of Ireland</w:t>
      </w:r>
      <w:r w:rsidR="00C10528">
        <w:rPr>
          <w:szCs w:val="26"/>
          <w:shd w:val="clear" w:color="auto" w:fill="FFFFFF"/>
        </w:rPr>
        <w:t>.</w:t>
      </w:r>
      <w:r>
        <w:rPr>
          <w:rStyle w:val="FootnoteReference"/>
          <w:szCs w:val="26"/>
          <w:shd w:val="clear" w:color="auto" w:fill="FFFFFF"/>
        </w:rPr>
        <w:footnoteReference w:id="12"/>
      </w:r>
      <w:r>
        <w:rPr>
          <w:szCs w:val="26"/>
          <w:shd w:val="clear" w:color="auto" w:fill="FFFFFF"/>
        </w:rPr>
        <w:t xml:space="preserve"> </w:t>
      </w:r>
      <w:r w:rsidR="00C10528">
        <w:rPr>
          <w:szCs w:val="26"/>
          <w:shd w:val="clear" w:color="auto" w:fill="FFFFFF"/>
        </w:rPr>
        <w:t>I</w:t>
      </w:r>
      <w:r>
        <w:rPr>
          <w:szCs w:val="26"/>
          <w:shd w:val="clear" w:color="auto" w:fill="FFFFFF"/>
        </w:rPr>
        <w:t xml:space="preserve">t </w:t>
      </w:r>
      <w:r w:rsidR="00C10528">
        <w:rPr>
          <w:szCs w:val="26"/>
          <w:shd w:val="clear" w:color="auto" w:fill="FFFFFF"/>
        </w:rPr>
        <w:t>found</w:t>
      </w:r>
      <w:r w:rsidR="00C10528" w:rsidRPr="00C4750F">
        <w:rPr>
          <w:szCs w:val="26"/>
          <w:shd w:val="clear" w:color="auto" w:fill="FFFFFF"/>
        </w:rPr>
        <w:t xml:space="preserve"> </w:t>
      </w:r>
      <w:r w:rsidRPr="00C4750F">
        <w:rPr>
          <w:szCs w:val="26"/>
          <w:shd w:val="clear" w:color="auto" w:fill="FFFFFF"/>
        </w:rPr>
        <w:t xml:space="preserve">that </w:t>
      </w:r>
      <w:r>
        <w:rPr>
          <w:szCs w:val="26"/>
          <w:shd w:val="clear" w:color="auto" w:fill="FFFFFF"/>
        </w:rPr>
        <w:t xml:space="preserve">the </w:t>
      </w:r>
      <w:r w:rsidRPr="00C4750F">
        <w:rPr>
          <w:szCs w:val="26"/>
          <w:shd w:val="clear" w:color="auto" w:fill="FFFFFF"/>
        </w:rPr>
        <w:t>participants int</w:t>
      </w:r>
      <w:r>
        <w:rPr>
          <w:szCs w:val="26"/>
          <w:shd w:val="clear" w:color="auto" w:fill="FFFFFF"/>
        </w:rPr>
        <w:t>erviewed had particular needs</w:t>
      </w:r>
      <w:r w:rsidRPr="00C4750F">
        <w:rPr>
          <w:szCs w:val="26"/>
          <w:shd w:val="clear" w:color="auto" w:fill="FFFFFF"/>
        </w:rPr>
        <w:t xml:space="preserve"> regarding the return to workplaces affected by </w:t>
      </w:r>
      <w:r>
        <w:rPr>
          <w:szCs w:val="26"/>
        </w:rPr>
        <w:t>COVID</w:t>
      </w:r>
      <w:r w:rsidRPr="00C4750F" w:rsidDel="0057759A">
        <w:rPr>
          <w:szCs w:val="26"/>
          <w:shd w:val="clear" w:color="auto" w:fill="FFFFFF"/>
        </w:rPr>
        <w:t xml:space="preserve"> </w:t>
      </w:r>
      <w:r w:rsidRPr="00C4750F">
        <w:rPr>
          <w:szCs w:val="26"/>
          <w:shd w:val="clear" w:color="auto" w:fill="FFFFFF"/>
        </w:rPr>
        <w:t>-19</w:t>
      </w:r>
      <w:r>
        <w:rPr>
          <w:szCs w:val="26"/>
          <w:shd w:val="clear" w:color="auto" w:fill="FFFFFF"/>
        </w:rPr>
        <w:t>. This</w:t>
      </w:r>
      <w:r w:rsidRPr="00C4750F">
        <w:rPr>
          <w:szCs w:val="26"/>
          <w:shd w:val="clear" w:color="auto" w:fill="FFFFFF"/>
        </w:rPr>
        <w:t xml:space="preserve"> included a call for better, clearer information about the crisis</w:t>
      </w:r>
      <w:r>
        <w:rPr>
          <w:szCs w:val="26"/>
          <w:shd w:val="clear" w:color="auto" w:fill="FFFFFF"/>
        </w:rPr>
        <w:t>,</w:t>
      </w:r>
      <w:r w:rsidRPr="00C4750F">
        <w:rPr>
          <w:szCs w:val="26"/>
          <w:shd w:val="clear" w:color="auto" w:fill="FFFFFF"/>
        </w:rPr>
        <w:t xml:space="preserve"> and especially about mask-wearing. </w:t>
      </w:r>
    </w:p>
    <w:p w14:paraId="09978B35" w14:textId="77777777" w:rsidR="00953582" w:rsidRDefault="00876059" w:rsidP="00876059">
      <w:pPr>
        <w:rPr>
          <w:szCs w:val="26"/>
        </w:rPr>
      </w:pPr>
      <w:r w:rsidRPr="007777AB">
        <w:rPr>
          <w:szCs w:val="26"/>
          <w:shd w:val="clear" w:color="auto" w:fill="FFFFFF"/>
        </w:rPr>
        <w:t xml:space="preserve">The NDA </w:t>
      </w:r>
      <w:r w:rsidR="006C53DB">
        <w:rPr>
          <w:szCs w:val="26"/>
          <w:shd w:val="clear" w:color="auto" w:fill="FFFFFF"/>
        </w:rPr>
        <w:t xml:space="preserve">also </w:t>
      </w:r>
      <w:r w:rsidR="00344613" w:rsidRPr="007777AB">
        <w:rPr>
          <w:szCs w:val="26"/>
          <w:shd w:val="clear" w:color="auto" w:fill="FFFFFF"/>
        </w:rPr>
        <w:t>examined</w:t>
      </w:r>
      <w:r w:rsidRPr="007777AB">
        <w:rPr>
          <w:szCs w:val="26"/>
          <w:shd w:val="clear" w:color="auto" w:fill="FFFFFF"/>
        </w:rPr>
        <w:t xml:space="preserve"> </w:t>
      </w:r>
      <w:r w:rsidR="00675CBB">
        <w:rPr>
          <w:szCs w:val="26"/>
          <w:shd w:val="clear" w:color="auto" w:fill="FFFFFF"/>
        </w:rPr>
        <w:t xml:space="preserve">experiences </w:t>
      </w:r>
      <w:r w:rsidRPr="007777AB">
        <w:rPr>
          <w:szCs w:val="26"/>
          <w:shd w:val="clear" w:color="auto" w:fill="FFFFFF"/>
        </w:rPr>
        <w:t xml:space="preserve">during </w:t>
      </w:r>
      <w:r w:rsidR="004B6AF9">
        <w:rPr>
          <w:szCs w:val="26"/>
          <w:shd w:val="clear" w:color="auto" w:fill="FFFFFF"/>
        </w:rPr>
        <w:t>COVID</w:t>
      </w:r>
      <w:r w:rsidR="00344613">
        <w:rPr>
          <w:szCs w:val="26"/>
          <w:shd w:val="clear" w:color="auto" w:fill="FFFFFF"/>
        </w:rPr>
        <w:t>-19</w:t>
      </w:r>
      <w:r w:rsidR="004B32D5">
        <w:rPr>
          <w:szCs w:val="26"/>
          <w:shd w:val="clear" w:color="auto" w:fill="FFFFFF"/>
        </w:rPr>
        <w:t xml:space="preserve"> with a view to documenting interventions and approaches that people would like to see retained after the pandemic</w:t>
      </w:r>
      <w:r w:rsidR="00675CBB">
        <w:rPr>
          <w:szCs w:val="26"/>
          <w:shd w:val="clear" w:color="auto" w:fill="FFFFFF"/>
        </w:rPr>
        <w:t xml:space="preserve">. </w:t>
      </w:r>
      <w:r w:rsidR="009A44E0">
        <w:t>T</w:t>
      </w:r>
      <w:r w:rsidR="006D6890" w:rsidRPr="00707895">
        <w:t>he views of participants who attended an NDA</w:t>
      </w:r>
      <w:r w:rsidR="004054CA">
        <w:t xml:space="preserve"> consultation event </w:t>
      </w:r>
      <w:r w:rsidR="00AF2562">
        <w:t xml:space="preserve">entitled </w:t>
      </w:r>
      <w:r w:rsidR="00AF2562" w:rsidRPr="00707895">
        <w:t>‘Building</w:t>
      </w:r>
      <w:r w:rsidR="006D6890" w:rsidRPr="00707895">
        <w:t xml:space="preserve"> Back Better post </w:t>
      </w:r>
      <w:r w:rsidR="004B6AF9">
        <w:t>COVID</w:t>
      </w:r>
      <w:r w:rsidR="006D6890" w:rsidRPr="00707895">
        <w:t>-19</w:t>
      </w:r>
      <w:r w:rsidR="004054CA">
        <w:t>’</w:t>
      </w:r>
      <w:r w:rsidR="006D6890" w:rsidRPr="00707895">
        <w:t xml:space="preserve"> </w:t>
      </w:r>
      <w:r w:rsidR="004329C9">
        <w:t>spoke</w:t>
      </w:r>
      <w:r w:rsidR="009A44E0">
        <w:t xml:space="preserve"> </w:t>
      </w:r>
      <w:r w:rsidRPr="007777AB">
        <w:rPr>
          <w:szCs w:val="26"/>
          <w:shd w:val="clear" w:color="auto" w:fill="FFFFFF"/>
        </w:rPr>
        <w:t>abo</w:t>
      </w:r>
      <w:r w:rsidR="00675CBB">
        <w:rPr>
          <w:szCs w:val="26"/>
          <w:shd w:val="clear" w:color="auto" w:fill="FFFFFF"/>
        </w:rPr>
        <w:t>ut their experiences</w:t>
      </w:r>
      <w:r w:rsidR="004054CA">
        <w:rPr>
          <w:szCs w:val="26"/>
          <w:shd w:val="clear" w:color="auto" w:fill="FFFFFF"/>
        </w:rPr>
        <w:t xml:space="preserve">. </w:t>
      </w:r>
      <w:r w:rsidR="0057759A">
        <w:rPr>
          <w:szCs w:val="26"/>
          <w:shd w:val="clear" w:color="auto" w:fill="FFFFFF"/>
        </w:rPr>
        <w:t>Some of the experiences expressed in this consultation were subsequently included in another piece of NDA work</w:t>
      </w:r>
      <w:r w:rsidRPr="007777AB">
        <w:rPr>
          <w:szCs w:val="26"/>
          <w:shd w:val="clear" w:color="auto" w:fill="FFFFFF"/>
        </w:rPr>
        <w:t xml:space="preserve"> </w:t>
      </w:r>
      <w:r w:rsidR="004054CA">
        <w:rPr>
          <w:szCs w:val="26"/>
          <w:shd w:val="clear" w:color="auto" w:fill="FFFFFF"/>
        </w:rPr>
        <w:t xml:space="preserve">entitled </w:t>
      </w:r>
      <w:r w:rsidRPr="007777AB">
        <w:rPr>
          <w:szCs w:val="26"/>
          <w:shd w:val="clear" w:color="auto" w:fill="FFFFFF"/>
        </w:rPr>
        <w:t>‘</w:t>
      </w:r>
      <w:bookmarkStart w:id="8" w:name="_Toc78385912"/>
      <w:r w:rsidRPr="007777AB">
        <w:rPr>
          <w:szCs w:val="26"/>
        </w:rPr>
        <w:t>Lockdowns Unlock Innovation</w:t>
      </w:r>
      <w:bookmarkStart w:id="9" w:name="_Toc72152443"/>
      <w:bookmarkStart w:id="10" w:name="_Toc73516495"/>
      <w:bookmarkStart w:id="11" w:name="_Toc73516640"/>
      <w:bookmarkStart w:id="12" w:name="_Toc73518183"/>
      <w:bookmarkStart w:id="13" w:name="_Toc73518493"/>
      <w:bookmarkStart w:id="14" w:name="_Toc73604537"/>
      <w:bookmarkStart w:id="15" w:name="_Toc73613501"/>
      <w:bookmarkStart w:id="16" w:name="_Toc73626032"/>
      <w:bookmarkStart w:id="17" w:name="_Toc73626262"/>
      <w:bookmarkStart w:id="18" w:name="_Toc74147953"/>
      <w:bookmarkStart w:id="19" w:name="_Toc74227144"/>
      <w:bookmarkStart w:id="20" w:name="_Toc74657539"/>
      <w:bookmarkStart w:id="21" w:name="_Toc75267555"/>
      <w:bookmarkStart w:id="22" w:name="_Toc75360865"/>
      <w:bookmarkStart w:id="23" w:name="_Toc75420494"/>
      <w:bookmarkStart w:id="24" w:name="_Toc75421389"/>
      <w:bookmarkStart w:id="25" w:name="_Toc75437083"/>
      <w:bookmarkStart w:id="26" w:name="_Toc76241670"/>
      <w:bookmarkStart w:id="27" w:name="_Toc76241789"/>
      <w:bookmarkStart w:id="28" w:name="_Toc78385913"/>
      <w:bookmarkEnd w:id="8"/>
      <w:r w:rsidR="00675CBB">
        <w:rPr>
          <w:szCs w:val="26"/>
        </w:rPr>
        <w:t>’. This report was</w:t>
      </w:r>
      <w:r w:rsidRPr="007777AB">
        <w:rPr>
          <w:szCs w:val="26"/>
        </w:rPr>
        <w:t xml:space="preserve"> a </w:t>
      </w:r>
      <w:r w:rsidR="00675CBB">
        <w:rPr>
          <w:szCs w:val="26"/>
        </w:rPr>
        <w:t>r</w:t>
      </w:r>
      <w:r w:rsidRPr="007777AB">
        <w:rPr>
          <w:szCs w:val="26"/>
        </w:rPr>
        <w:t xml:space="preserve">eview of innovations and adaptations </w:t>
      </w:r>
      <w:r w:rsidR="004054CA">
        <w:rPr>
          <w:szCs w:val="26"/>
        </w:rPr>
        <w:t xml:space="preserve">put in place to navigate through restrictions arising from the Government’s response to </w:t>
      </w:r>
      <w:r w:rsidR="004B6AF9">
        <w:rPr>
          <w:szCs w:val="26"/>
        </w:rPr>
        <w:t>COVID</w:t>
      </w:r>
      <w:r w:rsidR="004B6AF9" w:rsidRPr="007777AB" w:rsidDel="004B6AF9">
        <w:rPr>
          <w:szCs w:val="26"/>
        </w:rPr>
        <w:t xml:space="preserve"> </w:t>
      </w:r>
      <w:r w:rsidRPr="007777AB">
        <w:rPr>
          <w:szCs w:val="26"/>
        </w:rPr>
        <w:t>-19</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675CBB">
        <w:rPr>
          <w:szCs w:val="26"/>
        </w:rPr>
        <w:t>.</w:t>
      </w:r>
      <w:r w:rsidRPr="007777AB">
        <w:rPr>
          <w:rStyle w:val="FootnoteReference"/>
          <w:rFonts w:ascii="Gill Sans MT" w:hAnsi="Gill Sans MT"/>
          <w:sz w:val="26"/>
          <w:szCs w:val="26"/>
        </w:rPr>
        <w:footnoteReference w:id="13"/>
      </w:r>
      <w:r w:rsidR="00675CBB">
        <w:rPr>
          <w:szCs w:val="26"/>
        </w:rPr>
        <w:t xml:space="preserve"> Th</w:t>
      </w:r>
      <w:r w:rsidR="004054CA">
        <w:rPr>
          <w:szCs w:val="26"/>
        </w:rPr>
        <w:t>e</w:t>
      </w:r>
      <w:r w:rsidR="00675CBB">
        <w:rPr>
          <w:szCs w:val="26"/>
        </w:rPr>
        <w:t xml:space="preserve"> report revealed that many people experience</w:t>
      </w:r>
      <w:r w:rsidR="009A44E0">
        <w:rPr>
          <w:szCs w:val="26"/>
        </w:rPr>
        <w:t>d</w:t>
      </w:r>
      <w:r w:rsidR="00675CBB">
        <w:rPr>
          <w:szCs w:val="26"/>
        </w:rPr>
        <w:t xml:space="preserve"> </w:t>
      </w:r>
      <w:r w:rsidR="004B6AF9">
        <w:rPr>
          <w:szCs w:val="26"/>
        </w:rPr>
        <w:t>COVID</w:t>
      </w:r>
      <w:r w:rsidR="004B6AF9" w:rsidDel="004B6AF9">
        <w:rPr>
          <w:szCs w:val="26"/>
        </w:rPr>
        <w:t xml:space="preserve"> </w:t>
      </w:r>
      <w:r w:rsidR="00EA4CD0">
        <w:rPr>
          <w:szCs w:val="26"/>
        </w:rPr>
        <w:t>-</w:t>
      </w:r>
      <w:r w:rsidR="00675CBB">
        <w:rPr>
          <w:szCs w:val="26"/>
        </w:rPr>
        <w:t>19 in different ways</w:t>
      </w:r>
      <w:r w:rsidRPr="007777AB">
        <w:rPr>
          <w:szCs w:val="26"/>
        </w:rPr>
        <w:t xml:space="preserve">. </w:t>
      </w:r>
      <w:r w:rsidR="00327076">
        <w:rPr>
          <w:szCs w:val="26"/>
        </w:rPr>
        <w:t>One finding showed that</w:t>
      </w:r>
      <w:r w:rsidR="004B32D5">
        <w:rPr>
          <w:szCs w:val="26"/>
        </w:rPr>
        <w:t xml:space="preserve"> </w:t>
      </w:r>
      <w:r w:rsidR="009A44E0">
        <w:rPr>
          <w:szCs w:val="26"/>
        </w:rPr>
        <w:t>the impact of school closures was</w:t>
      </w:r>
      <w:r w:rsidRPr="007777AB">
        <w:rPr>
          <w:szCs w:val="26"/>
        </w:rPr>
        <w:t xml:space="preserve"> likely to</w:t>
      </w:r>
      <w:r w:rsidR="009A44E0">
        <w:rPr>
          <w:szCs w:val="26"/>
        </w:rPr>
        <w:t xml:space="preserve"> have</w:t>
      </w:r>
      <w:r w:rsidRPr="007777AB">
        <w:rPr>
          <w:szCs w:val="26"/>
        </w:rPr>
        <w:t xml:space="preserve"> increase</w:t>
      </w:r>
      <w:r w:rsidR="009A44E0">
        <w:rPr>
          <w:szCs w:val="26"/>
        </w:rPr>
        <w:t>d</w:t>
      </w:r>
      <w:r w:rsidRPr="007777AB">
        <w:rPr>
          <w:szCs w:val="26"/>
        </w:rPr>
        <w:t xml:space="preserve"> inequalities in educational attainment. The review also acknowledged that the shift to remot</w:t>
      </w:r>
      <w:r w:rsidR="009A44E0">
        <w:rPr>
          <w:szCs w:val="26"/>
        </w:rPr>
        <w:t xml:space="preserve">e learning had </w:t>
      </w:r>
      <w:r w:rsidRPr="007777AB">
        <w:rPr>
          <w:szCs w:val="26"/>
        </w:rPr>
        <w:t>adversely affected many children and young people</w:t>
      </w:r>
      <w:r w:rsidR="00327076">
        <w:rPr>
          <w:szCs w:val="26"/>
        </w:rPr>
        <w:t>,</w:t>
      </w:r>
      <w:r w:rsidRPr="007777AB">
        <w:rPr>
          <w:szCs w:val="26"/>
        </w:rPr>
        <w:t xml:space="preserve"> especially those with additional needs. </w:t>
      </w:r>
    </w:p>
    <w:p w14:paraId="15C433B1" w14:textId="77777777" w:rsidR="00953582" w:rsidRDefault="00953582" w:rsidP="00876059">
      <w:pPr>
        <w:rPr>
          <w:szCs w:val="26"/>
        </w:rPr>
      </w:pPr>
      <w:r>
        <w:rPr>
          <w:szCs w:val="26"/>
        </w:rPr>
        <w:t>These consultations on</w:t>
      </w:r>
      <w:r w:rsidR="00876059" w:rsidRPr="007777AB">
        <w:rPr>
          <w:szCs w:val="26"/>
        </w:rPr>
        <w:t xml:space="preserve"> experiences</w:t>
      </w:r>
      <w:r w:rsidR="0067136B">
        <w:rPr>
          <w:szCs w:val="26"/>
        </w:rPr>
        <w:t xml:space="preserve"> during </w:t>
      </w:r>
      <w:r w:rsidR="004B6AF9">
        <w:rPr>
          <w:szCs w:val="26"/>
        </w:rPr>
        <w:t>COVID</w:t>
      </w:r>
      <w:r w:rsidR="004B6AF9" w:rsidDel="004B6AF9">
        <w:rPr>
          <w:szCs w:val="26"/>
        </w:rPr>
        <w:t xml:space="preserve"> </w:t>
      </w:r>
      <w:r w:rsidR="00327076">
        <w:rPr>
          <w:szCs w:val="26"/>
        </w:rPr>
        <w:t>-19</w:t>
      </w:r>
      <w:r w:rsidR="0067136B">
        <w:rPr>
          <w:szCs w:val="26"/>
        </w:rPr>
        <w:t xml:space="preserve"> reveal</w:t>
      </w:r>
      <w:r>
        <w:rPr>
          <w:szCs w:val="26"/>
        </w:rPr>
        <w:t xml:space="preserve">ed that: </w:t>
      </w:r>
    </w:p>
    <w:p w14:paraId="22FFD310" w14:textId="77777777" w:rsidR="00953582" w:rsidRPr="00953582" w:rsidRDefault="0034561C" w:rsidP="00953582">
      <w:pPr>
        <w:pStyle w:val="ListParagraph"/>
        <w:numPr>
          <w:ilvl w:val="0"/>
          <w:numId w:val="25"/>
        </w:numPr>
        <w:rPr>
          <w:szCs w:val="26"/>
        </w:rPr>
      </w:pPr>
      <w:r w:rsidRPr="00953582">
        <w:rPr>
          <w:szCs w:val="26"/>
        </w:rPr>
        <w:t>T</w:t>
      </w:r>
      <w:r w:rsidR="00876059" w:rsidRPr="00953582">
        <w:rPr>
          <w:szCs w:val="26"/>
        </w:rPr>
        <w:t>he closure of educational institutions had driven schools a</w:t>
      </w:r>
      <w:r w:rsidR="004329C9" w:rsidRPr="00953582">
        <w:rPr>
          <w:szCs w:val="26"/>
        </w:rPr>
        <w:t>nd colleges to embrace and embed</w:t>
      </w:r>
      <w:r w:rsidR="00876059" w:rsidRPr="00953582">
        <w:rPr>
          <w:szCs w:val="26"/>
        </w:rPr>
        <w:t xml:space="preserve"> technology at pace </w:t>
      </w:r>
    </w:p>
    <w:p w14:paraId="4B50C469" w14:textId="77777777" w:rsidR="00953582" w:rsidRPr="00953582" w:rsidRDefault="00876059" w:rsidP="00953582">
      <w:pPr>
        <w:pStyle w:val="ListParagraph"/>
        <w:numPr>
          <w:ilvl w:val="0"/>
          <w:numId w:val="25"/>
        </w:numPr>
        <w:rPr>
          <w:szCs w:val="26"/>
        </w:rPr>
      </w:pPr>
      <w:r w:rsidRPr="00953582">
        <w:rPr>
          <w:szCs w:val="26"/>
        </w:rPr>
        <w:t xml:space="preserve">New avenues and opportunities for learning </w:t>
      </w:r>
      <w:r w:rsidR="00344613" w:rsidRPr="00953582">
        <w:rPr>
          <w:szCs w:val="26"/>
        </w:rPr>
        <w:t xml:space="preserve">delivered </w:t>
      </w:r>
      <w:r w:rsidR="00327076">
        <w:rPr>
          <w:szCs w:val="26"/>
        </w:rPr>
        <w:t xml:space="preserve">through </w:t>
      </w:r>
      <w:r w:rsidR="00344613" w:rsidRPr="00953582">
        <w:rPr>
          <w:szCs w:val="26"/>
        </w:rPr>
        <w:t>partnership and collaborat</w:t>
      </w:r>
      <w:r w:rsidR="00327076">
        <w:rPr>
          <w:szCs w:val="26"/>
        </w:rPr>
        <w:t>ion</w:t>
      </w:r>
      <w:r w:rsidR="00344613" w:rsidRPr="00953582">
        <w:rPr>
          <w:szCs w:val="26"/>
        </w:rPr>
        <w:t xml:space="preserve"> had</w:t>
      </w:r>
      <w:r w:rsidRPr="00953582">
        <w:rPr>
          <w:szCs w:val="26"/>
        </w:rPr>
        <w:t xml:space="preserve"> be</w:t>
      </w:r>
      <w:r w:rsidR="00344613" w:rsidRPr="00953582">
        <w:rPr>
          <w:szCs w:val="26"/>
        </w:rPr>
        <w:t>en fou</w:t>
      </w:r>
      <w:r w:rsidR="00D85304" w:rsidRPr="00953582">
        <w:rPr>
          <w:szCs w:val="26"/>
        </w:rPr>
        <w:t>nd for some</w:t>
      </w:r>
      <w:r w:rsidR="00AF2562">
        <w:rPr>
          <w:szCs w:val="26"/>
        </w:rPr>
        <w:t xml:space="preserve"> people</w:t>
      </w:r>
      <w:r w:rsidR="004329C9" w:rsidRPr="00953582">
        <w:rPr>
          <w:szCs w:val="26"/>
        </w:rPr>
        <w:t>, while</w:t>
      </w:r>
      <w:r w:rsidR="00D85304" w:rsidRPr="00953582">
        <w:rPr>
          <w:szCs w:val="26"/>
        </w:rPr>
        <w:t xml:space="preserve"> </w:t>
      </w:r>
      <w:r w:rsidR="00344613" w:rsidRPr="00953582">
        <w:rPr>
          <w:szCs w:val="26"/>
        </w:rPr>
        <w:t>online delivery</w:t>
      </w:r>
      <w:r w:rsidRPr="00953582">
        <w:rPr>
          <w:szCs w:val="26"/>
        </w:rPr>
        <w:t xml:space="preserve"> ensure</w:t>
      </w:r>
      <w:r w:rsidR="00344613" w:rsidRPr="00953582">
        <w:rPr>
          <w:szCs w:val="26"/>
        </w:rPr>
        <w:t>d that a wider audience</w:t>
      </w:r>
      <w:r w:rsidRPr="00953582">
        <w:rPr>
          <w:szCs w:val="26"/>
        </w:rPr>
        <w:t xml:space="preserve"> access</w:t>
      </w:r>
      <w:r w:rsidR="00344613" w:rsidRPr="00953582">
        <w:rPr>
          <w:szCs w:val="26"/>
        </w:rPr>
        <w:t>ed</w:t>
      </w:r>
      <w:r w:rsidRPr="00953582">
        <w:rPr>
          <w:szCs w:val="26"/>
        </w:rPr>
        <w:t xml:space="preserve"> resources </w:t>
      </w:r>
    </w:p>
    <w:p w14:paraId="748BC170" w14:textId="77777777" w:rsidR="00D85304" w:rsidRPr="00953582" w:rsidRDefault="008231FE" w:rsidP="00953582">
      <w:pPr>
        <w:pStyle w:val="ListParagraph"/>
        <w:numPr>
          <w:ilvl w:val="0"/>
          <w:numId w:val="25"/>
        </w:numPr>
        <w:rPr>
          <w:szCs w:val="26"/>
        </w:rPr>
      </w:pPr>
      <w:r>
        <w:rPr>
          <w:szCs w:val="26"/>
        </w:rPr>
        <w:t>B</w:t>
      </w:r>
      <w:r w:rsidR="00876059" w:rsidRPr="00953582">
        <w:rPr>
          <w:szCs w:val="26"/>
        </w:rPr>
        <w:t>lended learning formats that combine in-person teaching with digital resources ha</w:t>
      </w:r>
      <w:r w:rsidR="00344613" w:rsidRPr="00953582">
        <w:rPr>
          <w:szCs w:val="26"/>
        </w:rPr>
        <w:t>d</w:t>
      </w:r>
      <w:r w:rsidR="00876059" w:rsidRPr="00953582">
        <w:rPr>
          <w:szCs w:val="26"/>
        </w:rPr>
        <w:t xml:space="preserve"> the potential to result in a more inclusive model of education, particularly at third level. </w:t>
      </w:r>
    </w:p>
    <w:p w14:paraId="3088E8F7" w14:textId="77777777" w:rsidR="00953582" w:rsidRDefault="00953582" w:rsidP="00035049">
      <w:pPr>
        <w:rPr>
          <w:rFonts w:eastAsiaTheme="minorEastAsia"/>
        </w:rPr>
      </w:pPr>
    </w:p>
    <w:p w14:paraId="0F5E0833" w14:textId="1553721E" w:rsidR="00953582" w:rsidRDefault="00035049" w:rsidP="00035049">
      <w:pPr>
        <w:rPr>
          <w:szCs w:val="26"/>
        </w:rPr>
      </w:pPr>
      <w:r w:rsidRPr="004C147C">
        <w:rPr>
          <w:rFonts w:eastAsiaTheme="minorEastAsia"/>
        </w:rPr>
        <w:t xml:space="preserve">The lived experience of learners with disabilities during </w:t>
      </w:r>
      <w:r w:rsidR="004B6AF9">
        <w:rPr>
          <w:szCs w:val="26"/>
        </w:rPr>
        <w:t>COVID</w:t>
      </w:r>
      <w:r w:rsidR="004B6AF9" w:rsidRPr="004C147C" w:rsidDel="004B6AF9">
        <w:rPr>
          <w:rFonts w:eastAsiaTheme="minorEastAsia"/>
        </w:rPr>
        <w:t xml:space="preserve"> </w:t>
      </w:r>
      <w:r w:rsidR="00155BD6">
        <w:rPr>
          <w:rFonts w:eastAsiaTheme="minorEastAsia"/>
        </w:rPr>
        <w:t>-</w:t>
      </w:r>
      <w:r w:rsidRPr="004C147C">
        <w:rPr>
          <w:rFonts w:eastAsiaTheme="minorEastAsia"/>
        </w:rPr>
        <w:t>19 was capture</w:t>
      </w:r>
      <w:r w:rsidR="00AF2562">
        <w:rPr>
          <w:rFonts w:eastAsiaTheme="minorEastAsia"/>
        </w:rPr>
        <w:t>d in a survey conducted by AHEAD</w:t>
      </w:r>
      <w:r w:rsidR="004C147C">
        <w:rPr>
          <w:rFonts w:eastAsiaTheme="minorEastAsia"/>
        </w:rPr>
        <w:t>.</w:t>
      </w:r>
      <w:r w:rsidRPr="008F5AEB">
        <w:rPr>
          <w:rStyle w:val="FootnoteReference"/>
          <w:rFonts w:ascii="Gill Sans MT" w:eastAsiaTheme="minorEastAsia" w:hAnsi="Gill Sans MT" w:cstheme="minorBidi"/>
          <w:sz w:val="26"/>
          <w:szCs w:val="26"/>
        </w:rPr>
        <w:footnoteReference w:id="14"/>
      </w:r>
      <w:r w:rsidR="004C147C">
        <w:rPr>
          <w:rFonts w:eastAsiaTheme="minorEastAsia"/>
        </w:rPr>
        <w:t xml:space="preserve"> </w:t>
      </w:r>
      <w:r w:rsidRPr="008F5AEB">
        <w:rPr>
          <w:rFonts w:eastAsiaTheme="minorEastAsia" w:cstheme="minorBidi"/>
          <w:szCs w:val="26"/>
        </w:rPr>
        <w:t>This survey</w:t>
      </w:r>
      <w:r w:rsidR="000402C9">
        <w:rPr>
          <w:rFonts w:eastAsiaTheme="minorEastAsia" w:cstheme="minorBidi"/>
          <w:szCs w:val="26"/>
        </w:rPr>
        <w:t xml:space="preserve"> used the Likert Response Scale that provided </w:t>
      </w:r>
      <w:r w:rsidR="00F875D8">
        <w:rPr>
          <w:rFonts w:eastAsiaTheme="minorEastAsia" w:cstheme="minorBidi"/>
          <w:szCs w:val="26"/>
        </w:rPr>
        <w:t>answer</w:t>
      </w:r>
      <w:r w:rsidR="000402C9">
        <w:rPr>
          <w:rFonts w:eastAsiaTheme="minorEastAsia" w:cstheme="minorBidi"/>
          <w:szCs w:val="26"/>
        </w:rPr>
        <w:t>s to choose from the following range,</w:t>
      </w:r>
      <w:r w:rsidR="00F875D8">
        <w:rPr>
          <w:rFonts w:eastAsiaTheme="minorEastAsia" w:cstheme="minorBidi"/>
          <w:szCs w:val="26"/>
        </w:rPr>
        <w:t xml:space="preserve"> </w:t>
      </w:r>
      <w:r w:rsidR="000402C9">
        <w:rPr>
          <w:rFonts w:eastAsiaTheme="minorEastAsia" w:cstheme="minorBidi"/>
          <w:szCs w:val="26"/>
        </w:rPr>
        <w:t>‘</w:t>
      </w:r>
      <w:r w:rsidR="00F875D8">
        <w:rPr>
          <w:rFonts w:eastAsiaTheme="minorEastAsia" w:cstheme="minorBidi"/>
          <w:szCs w:val="26"/>
        </w:rPr>
        <w:t>strongly agree, agree, neither agree or disagree, disagree or strongly disagree</w:t>
      </w:r>
      <w:r w:rsidR="000402C9">
        <w:rPr>
          <w:rFonts w:eastAsiaTheme="minorEastAsia" w:cstheme="minorBidi"/>
          <w:szCs w:val="26"/>
        </w:rPr>
        <w:t>’</w:t>
      </w:r>
      <w:r w:rsidR="00F875D8">
        <w:rPr>
          <w:rFonts w:eastAsiaTheme="minorEastAsia" w:cstheme="minorBidi"/>
          <w:szCs w:val="26"/>
        </w:rPr>
        <w:t>. The results</w:t>
      </w:r>
      <w:r w:rsidRPr="008F5AEB">
        <w:rPr>
          <w:rFonts w:eastAsiaTheme="minorEastAsia" w:cstheme="minorBidi"/>
          <w:szCs w:val="26"/>
        </w:rPr>
        <w:t xml:space="preserve"> </w:t>
      </w:r>
      <w:r w:rsidRPr="008F5AEB">
        <w:rPr>
          <w:szCs w:val="26"/>
        </w:rPr>
        <w:t>revealed the reality for students with di</w:t>
      </w:r>
      <w:r w:rsidR="004C147C">
        <w:rPr>
          <w:szCs w:val="26"/>
        </w:rPr>
        <w:t xml:space="preserve">sabilities who </w:t>
      </w:r>
      <w:r w:rsidRPr="008F5AEB">
        <w:rPr>
          <w:szCs w:val="26"/>
        </w:rPr>
        <w:t>continued learning ‘as normal’</w:t>
      </w:r>
      <w:r w:rsidR="00F875D8">
        <w:rPr>
          <w:rStyle w:val="FootnoteReference"/>
          <w:szCs w:val="26"/>
        </w:rPr>
        <w:footnoteReference w:id="15"/>
      </w:r>
      <w:r w:rsidRPr="008F5AEB">
        <w:rPr>
          <w:szCs w:val="26"/>
        </w:rPr>
        <w:t xml:space="preserve">. </w:t>
      </w:r>
    </w:p>
    <w:p w14:paraId="256D5669" w14:textId="77777777" w:rsidR="00953582" w:rsidRPr="00953582" w:rsidRDefault="008231FE" w:rsidP="00953582">
      <w:pPr>
        <w:pStyle w:val="ListParagraph"/>
        <w:numPr>
          <w:ilvl w:val="0"/>
          <w:numId w:val="26"/>
        </w:numPr>
        <w:rPr>
          <w:szCs w:val="26"/>
        </w:rPr>
      </w:pPr>
      <w:r>
        <w:rPr>
          <w:szCs w:val="26"/>
        </w:rPr>
        <w:t xml:space="preserve">Of the </w:t>
      </w:r>
      <w:r w:rsidR="00953582">
        <w:rPr>
          <w:szCs w:val="26"/>
        </w:rPr>
        <w:t xml:space="preserve">students surveyed </w:t>
      </w:r>
      <w:r w:rsidR="00035049" w:rsidRPr="00953582">
        <w:rPr>
          <w:szCs w:val="26"/>
        </w:rPr>
        <w:t xml:space="preserve">66% of respondents </w:t>
      </w:r>
      <w:r>
        <w:rPr>
          <w:szCs w:val="26"/>
        </w:rPr>
        <w:t xml:space="preserve">were </w:t>
      </w:r>
      <w:r w:rsidR="00953582">
        <w:rPr>
          <w:szCs w:val="26"/>
        </w:rPr>
        <w:t xml:space="preserve">in </w:t>
      </w:r>
      <w:r>
        <w:rPr>
          <w:szCs w:val="26"/>
        </w:rPr>
        <w:t xml:space="preserve">a </w:t>
      </w:r>
      <w:r w:rsidR="00035049" w:rsidRPr="00953582">
        <w:rPr>
          <w:szCs w:val="26"/>
        </w:rPr>
        <w:t>higher education course, while 34% were in a Further Education Training (FET)</w:t>
      </w:r>
      <w:r>
        <w:rPr>
          <w:szCs w:val="26"/>
        </w:rPr>
        <w:t xml:space="preserve"> course or</w:t>
      </w:r>
      <w:r w:rsidR="006C4541">
        <w:rPr>
          <w:szCs w:val="26"/>
        </w:rPr>
        <w:t xml:space="preserve"> </w:t>
      </w:r>
      <w:r w:rsidR="00035049" w:rsidRPr="00953582">
        <w:rPr>
          <w:szCs w:val="26"/>
        </w:rPr>
        <w:t xml:space="preserve">other programme </w:t>
      </w:r>
    </w:p>
    <w:p w14:paraId="6E98B15D" w14:textId="77777777" w:rsidR="00035049" w:rsidRPr="00953582" w:rsidRDefault="008231FE" w:rsidP="00953582">
      <w:pPr>
        <w:pStyle w:val="ListParagraph"/>
        <w:numPr>
          <w:ilvl w:val="0"/>
          <w:numId w:val="26"/>
        </w:numPr>
        <w:rPr>
          <w:rFonts w:eastAsiaTheme="minorEastAsia"/>
        </w:rPr>
      </w:pPr>
      <w:r>
        <w:rPr>
          <w:szCs w:val="26"/>
        </w:rPr>
        <w:t xml:space="preserve">When students were asked their agreement with </w:t>
      </w:r>
      <w:r w:rsidR="00035049" w:rsidRPr="00953582">
        <w:rPr>
          <w:szCs w:val="26"/>
        </w:rPr>
        <w:t xml:space="preserve">the statement ‘I am coping well with learning from home’ </w:t>
      </w:r>
      <w:r>
        <w:rPr>
          <w:szCs w:val="26"/>
        </w:rPr>
        <w:t>67% of</w:t>
      </w:r>
      <w:r w:rsidRPr="00953582">
        <w:rPr>
          <w:szCs w:val="26"/>
        </w:rPr>
        <w:t xml:space="preserve"> </w:t>
      </w:r>
      <w:r w:rsidR="00035049" w:rsidRPr="00953582">
        <w:rPr>
          <w:szCs w:val="26"/>
        </w:rPr>
        <w:t xml:space="preserve">those with a Mental Health Condition, </w:t>
      </w:r>
      <w:r>
        <w:rPr>
          <w:szCs w:val="26"/>
        </w:rPr>
        <w:t xml:space="preserve">62% of those with </w:t>
      </w:r>
      <w:r w:rsidR="00035049" w:rsidRPr="00953582">
        <w:rPr>
          <w:szCs w:val="26"/>
        </w:rPr>
        <w:t xml:space="preserve">ADD/ADHD  </w:t>
      </w:r>
      <w:r>
        <w:rPr>
          <w:szCs w:val="26"/>
        </w:rPr>
        <w:t>and 58% of those with a</w:t>
      </w:r>
      <w:r w:rsidR="006C4541">
        <w:rPr>
          <w:szCs w:val="26"/>
        </w:rPr>
        <w:t xml:space="preserve"> </w:t>
      </w:r>
      <w:r w:rsidR="00035049" w:rsidRPr="00953582">
        <w:rPr>
          <w:szCs w:val="26"/>
        </w:rPr>
        <w:t xml:space="preserve">Specific Learning Difficulty (58%) </w:t>
      </w:r>
      <w:r w:rsidR="00163753">
        <w:rPr>
          <w:szCs w:val="26"/>
        </w:rPr>
        <w:t>disagreed or strongly disagreed</w:t>
      </w:r>
    </w:p>
    <w:p w14:paraId="72D937F7" w14:textId="77777777" w:rsidR="00155BD6" w:rsidRDefault="00163753" w:rsidP="00953582">
      <w:pPr>
        <w:pStyle w:val="ListParagraph"/>
        <w:numPr>
          <w:ilvl w:val="0"/>
          <w:numId w:val="26"/>
        </w:numPr>
        <w:rPr>
          <w:szCs w:val="26"/>
        </w:rPr>
      </w:pPr>
      <w:r>
        <w:rPr>
          <w:szCs w:val="26"/>
        </w:rPr>
        <w:t xml:space="preserve">Students that agreed or strongly agreed with the statement were those with </w:t>
      </w:r>
      <w:r w:rsidR="00035049" w:rsidRPr="00953582">
        <w:rPr>
          <w:szCs w:val="26"/>
        </w:rPr>
        <w:t xml:space="preserve">Physical Disability (42%), Autistic Spectrum Disorder (37%) and Deaf/Hard of Hearing (36%). </w:t>
      </w:r>
    </w:p>
    <w:p w14:paraId="1244F040" w14:textId="77777777" w:rsidR="00035049" w:rsidRPr="00155BD6" w:rsidRDefault="00035049" w:rsidP="00155BD6">
      <w:pPr>
        <w:rPr>
          <w:szCs w:val="26"/>
        </w:rPr>
      </w:pPr>
      <w:r w:rsidRPr="00155BD6">
        <w:rPr>
          <w:szCs w:val="26"/>
        </w:rPr>
        <w:t>This study provided a series of recommendations that are useful to consider as a hybrid sy</w:t>
      </w:r>
      <w:r w:rsidR="004C147C" w:rsidRPr="00155BD6">
        <w:rPr>
          <w:szCs w:val="26"/>
        </w:rPr>
        <w:t xml:space="preserve">stem of learning is developed. </w:t>
      </w:r>
    </w:p>
    <w:p w14:paraId="5356218C" w14:textId="4924C2A6" w:rsidR="00FF48E9" w:rsidRDefault="00675CBB" w:rsidP="00F87D42">
      <w:r>
        <w:t>The</w:t>
      </w:r>
      <w:r w:rsidR="0034561C">
        <w:t xml:space="preserve"> reviews and consultations show clearly that the</w:t>
      </w:r>
      <w:r>
        <w:t xml:space="preserve"> experience of person</w:t>
      </w:r>
      <w:r w:rsidR="0034561C">
        <w:t xml:space="preserve">s with disabilities during </w:t>
      </w:r>
      <w:r w:rsidR="004B6AF9">
        <w:rPr>
          <w:szCs w:val="26"/>
        </w:rPr>
        <w:t>COVID</w:t>
      </w:r>
      <w:r w:rsidR="0034561C">
        <w:t>-</w:t>
      </w:r>
      <w:r>
        <w:t xml:space="preserve">19 depended on many variables, including </w:t>
      </w:r>
      <w:r w:rsidR="00163753">
        <w:t xml:space="preserve">the </w:t>
      </w:r>
      <w:r>
        <w:t xml:space="preserve">nature and severity of disability and of access to supports and </w:t>
      </w:r>
      <w:r w:rsidR="00FE3B63" w:rsidRPr="00844F7C">
        <w:t>services</w:t>
      </w:r>
      <w:r w:rsidRPr="00844F7C">
        <w:t>.</w:t>
      </w:r>
      <w:r w:rsidR="00ED752F" w:rsidRPr="00844F7C">
        <w:t xml:space="preserve"> A by-product of the </w:t>
      </w:r>
      <w:r w:rsidR="004B6AF9">
        <w:rPr>
          <w:szCs w:val="26"/>
        </w:rPr>
        <w:t>COVID</w:t>
      </w:r>
      <w:r w:rsidR="00D62C78">
        <w:t>-</w:t>
      </w:r>
      <w:r w:rsidR="00ED752F" w:rsidRPr="00844F7C">
        <w:t xml:space="preserve">19 response has been the realisation that collaborative working across layers of government is necessary to have real impact on </w:t>
      </w:r>
      <w:r w:rsidR="003800E8" w:rsidRPr="00844F7C">
        <w:t>the education and training experience of persons with disabilities</w:t>
      </w:r>
      <w:r w:rsidR="00ED752F" w:rsidRPr="00844F7C">
        <w:t>.</w:t>
      </w:r>
      <w:r w:rsidR="003800E8">
        <w:t xml:space="preserve"> It is hoped that</w:t>
      </w:r>
      <w:r w:rsidR="00D62C78">
        <w:t>,</w:t>
      </w:r>
      <w:r w:rsidR="003800E8">
        <w:t xml:space="preserve"> for those where online delivery </w:t>
      </w:r>
      <w:r w:rsidR="00D62C78">
        <w:t xml:space="preserve">has </w:t>
      </w:r>
      <w:r w:rsidR="003800E8">
        <w:t>worked</w:t>
      </w:r>
      <w:r w:rsidR="00D62C78">
        <w:t>,</w:t>
      </w:r>
      <w:r w:rsidR="003800E8">
        <w:t xml:space="preserve"> a hybrid system will remain.</w:t>
      </w:r>
      <w:r w:rsidR="00ED752F">
        <w:t xml:space="preserve"> </w:t>
      </w:r>
    </w:p>
    <w:p w14:paraId="1A4F6826" w14:textId="77777777" w:rsidR="00DE6B97" w:rsidRPr="00E67C38" w:rsidRDefault="00D62C93" w:rsidP="00DE6B97">
      <w:pPr>
        <w:pStyle w:val="Heading1"/>
        <w:rPr>
          <w:lang w:eastAsia="en-IE"/>
        </w:rPr>
      </w:pPr>
      <w:bookmarkStart w:id="29" w:name="_Toc101857185"/>
      <w:r>
        <w:rPr>
          <w:lang w:eastAsia="en-IE"/>
        </w:rPr>
        <w:t xml:space="preserve">Key </w:t>
      </w:r>
      <w:r w:rsidR="00994D21">
        <w:rPr>
          <w:lang w:eastAsia="en-IE"/>
        </w:rPr>
        <w:t xml:space="preserve">Developments </w:t>
      </w:r>
      <w:r w:rsidR="00DE6B97">
        <w:rPr>
          <w:lang w:eastAsia="en-IE"/>
        </w:rPr>
        <w:t>during 2021</w:t>
      </w:r>
      <w:bookmarkEnd w:id="29"/>
    </w:p>
    <w:p w14:paraId="735B3046" w14:textId="56A6B7D2" w:rsidR="006345DF" w:rsidRPr="005567CC" w:rsidRDefault="003800E8" w:rsidP="005567CC">
      <w:pPr>
        <w:rPr>
          <w:szCs w:val="26"/>
        </w:rPr>
      </w:pPr>
      <w:r>
        <w:rPr>
          <w:szCs w:val="26"/>
        </w:rPr>
        <w:t>Complementing the data presented</w:t>
      </w:r>
      <w:r w:rsidR="0006236F">
        <w:rPr>
          <w:szCs w:val="26"/>
        </w:rPr>
        <w:t xml:space="preserve"> thus far</w:t>
      </w:r>
      <w:r>
        <w:rPr>
          <w:szCs w:val="26"/>
        </w:rPr>
        <w:t>, t</w:t>
      </w:r>
      <w:r w:rsidR="006345DF" w:rsidRPr="00AB1474">
        <w:rPr>
          <w:szCs w:val="26"/>
        </w:rPr>
        <w:t>h</w:t>
      </w:r>
      <w:r w:rsidR="006345DF">
        <w:rPr>
          <w:szCs w:val="26"/>
        </w:rPr>
        <w:t>is</w:t>
      </w:r>
      <w:r w:rsidR="006345DF" w:rsidRPr="00AB1474">
        <w:rPr>
          <w:szCs w:val="26"/>
        </w:rPr>
        <w:t xml:space="preserve"> section summarises </w:t>
      </w:r>
      <w:r w:rsidR="006345DF">
        <w:rPr>
          <w:szCs w:val="26"/>
        </w:rPr>
        <w:t>key findings in relation to CES activity in 2021</w:t>
      </w:r>
      <w:r w:rsidR="007677B7">
        <w:rPr>
          <w:szCs w:val="26"/>
        </w:rPr>
        <w:t xml:space="preserve"> and notes</w:t>
      </w:r>
      <w:r w:rsidR="00226368">
        <w:rPr>
          <w:szCs w:val="26"/>
        </w:rPr>
        <w:t xml:space="preserve"> </w:t>
      </w:r>
      <w:r w:rsidR="006345DF">
        <w:rPr>
          <w:szCs w:val="26"/>
        </w:rPr>
        <w:t xml:space="preserve">that </w:t>
      </w:r>
      <w:r w:rsidR="005567CC">
        <w:rPr>
          <w:szCs w:val="26"/>
        </w:rPr>
        <w:t xml:space="preserve">completion of </w:t>
      </w:r>
      <w:r w:rsidR="006345DF">
        <w:rPr>
          <w:szCs w:val="26"/>
        </w:rPr>
        <w:t>some actions will require a more concerted effort.</w:t>
      </w:r>
      <w:r w:rsidR="006345DF" w:rsidRPr="00AB1474">
        <w:rPr>
          <w:szCs w:val="26"/>
        </w:rPr>
        <w:t xml:space="preserve"> </w:t>
      </w:r>
    </w:p>
    <w:p w14:paraId="0C57EFA9" w14:textId="77777777" w:rsidR="00D74DBE" w:rsidRPr="00DE6B97" w:rsidRDefault="00EA4CD0" w:rsidP="00251212">
      <w:pPr>
        <w:pStyle w:val="Heading2"/>
      </w:pPr>
      <w:bookmarkStart w:id="30" w:name="_Toc101857186"/>
      <w:r w:rsidRPr="00DE6B97">
        <w:t xml:space="preserve">Actions progressed </w:t>
      </w:r>
      <w:r w:rsidR="00251212" w:rsidRPr="00DE6B97">
        <w:t>in 2021</w:t>
      </w:r>
      <w:bookmarkEnd w:id="30"/>
    </w:p>
    <w:p w14:paraId="2491CE2F" w14:textId="77777777" w:rsidR="003D63B4" w:rsidRDefault="00E23E31" w:rsidP="004A395F">
      <w:r>
        <w:t>T</w:t>
      </w:r>
      <w:r w:rsidR="0034561C">
        <w:t xml:space="preserve">he following </w:t>
      </w:r>
      <w:r w:rsidR="003D63B4">
        <w:t xml:space="preserve">offers a high level summary of those </w:t>
      </w:r>
      <w:r>
        <w:t>CES actions</w:t>
      </w:r>
      <w:r w:rsidR="003D63B4">
        <w:t xml:space="preserve"> where good progress was made during 2021, although noting in some cases that activity will continue on into the next three year action plan</w:t>
      </w:r>
      <w:r w:rsidR="00C97D3C">
        <w:t>.</w:t>
      </w:r>
    </w:p>
    <w:p w14:paraId="6FAAB905" w14:textId="02AC0A0E" w:rsidR="002A0142" w:rsidRPr="002A0142" w:rsidRDefault="002A0142" w:rsidP="00E21D49">
      <w:pPr>
        <w:pStyle w:val="ListParagraph"/>
        <w:numPr>
          <w:ilvl w:val="0"/>
          <w:numId w:val="13"/>
        </w:numPr>
        <w:spacing w:before="120"/>
        <w:rPr>
          <w:szCs w:val="26"/>
        </w:rPr>
      </w:pPr>
      <w:r w:rsidRPr="002A0142">
        <w:rPr>
          <w:szCs w:val="26"/>
        </w:rPr>
        <w:t>Continued roll out of the Individual Placement and Support (IPS) programme of supports for those with mental health issues. Especially welcome is the recruitment of the Mental Health Engagement Head with Lived Experience</w:t>
      </w:r>
      <w:r w:rsidR="00F954DA">
        <w:rPr>
          <w:szCs w:val="26"/>
        </w:rPr>
        <w:t xml:space="preserve"> by the HSE.</w:t>
      </w:r>
    </w:p>
    <w:p w14:paraId="0388D554" w14:textId="2791875C" w:rsidR="00374F35" w:rsidRDefault="00AE5C75" w:rsidP="00E21D49">
      <w:pPr>
        <w:pStyle w:val="ListParagraph"/>
        <w:numPr>
          <w:ilvl w:val="0"/>
          <w:numId w:val="13"/>
        </w:numPr>
        <w:spacing w:before="120"/>
      </w:pPr>
      <w:r>
        <w:t>Continued s</w:t>
      </w:r>
      <w:r w:rsidR="00374F35">
        <w:t>uccessf</w:t>
      </w:r>
      <w:r>
        <w:t xml:space="preserve">ul implementation and review by </w:t>
      </w:r>
      <w:r w:rsidR="00374F35">
        <w:t xml:space="preserve">the HSE </w:t>
      </w:r>
      <w:r>
        <w:t xml:space="preserve">of </w:t>
      </w:r>
      <w:r w:rsidR="00E23E31">
        <w:t>its</w:t>
      </w:r>
      <w:r>
        <w:t xml:space="preserve"> </w:t>
      </w:r>
      <w:r w:rsidR="00374F35">
        <w:t xml:space="preserve">deferral process for young people with disabilities leaving </w:t>
      </w:r>
      <w:r w:rsidR="00927AEE">
        <w:t xml:space="preserve">special education or mainstream </w:t>
      </w:r>
      <w:r w:rsidR="00374F35">
        <w:t>school</w:t>
      </w:r>
      <w:r w:rsidR="00927AEE">
        <w:t>, who ordinarily would transfer to Adult Day Services.</w:t>
      </w:r>
      <w:r w:rsidR="00733128">
        <w:t xml:space="preserve"> This process has </w:t>
      </w:r>
      <w:r w:rsidR="00FB294D">
        <w:t xml:space="preserve">supported 83 young people and has </w:t>
      </w:r>
      <w:r w:rsidR="00733128">
        <w:t xml:space="preserve">moved from pilot status to </w:t>
      </w:r>
      <w:r w:rsidR="00FB294D">
        <w:t xml:space="preserve">a </w:t>
      </w:r>
      <w:r w:rsidR="00733128">
        <w:t>permanent activity post education.</w:t>
      </w:r>
    </w:p>
    <w:p w14:paraId="336CA932" w14:textId="77AC6D3A" w:rsidR="009B5F70" w:rsidRDefault="00D50C01" w:rsidP="00E21D49">
      <w:pPr>
        <w:pStyle w:val="ListParagraph"/>
        <w:numPr>
          <w:ilvl w:val="0"/>
          <w:numId w:val="13"/>
        </w:numPr>
        <w:spacing w:before="120"/>
      </w:pPr>
      <w:r>
        <w:t>DSP introduced</w:t>
      </w:r>
      <w:r w:rsidR="005F5714">
        <w:t xml:space="preserve"> a</w:t>
      </w:r>
      <w:r w:rsidR="009B5F70">
        <w:t xml:space="preserve"> </w:t>
      </w:r>
      <w:r w:rsidR="00E23E31">
        <w:t xml:space="preserve">€1,000 </w:t>
      </w:r>
      <w:r w:rsidR="009B5F70">
        <w:t>trainin</w:t>
      </w:r>
      <w:r w:rsidR="00DA566A">
        <w:t>g grant for</w:t>
      </w:r>
      <w:r w:rsidR="001F1AFF">
        <w:t xml:space="preserve"> Jobseekers with disabilities availing of services provided by contractors delivering the EmployAbility </w:t>
      </w:r>
      <w:r w:rsidR="00DA566A">
        <w:t>s</w:t>
      </w:r>
      <w:r w:rsidR="001F1AFF">
        <w:t>ervice</w:t>
      </w:r>
      <w:r w:rsidR="007C6B18">
        <w:rPr>
          <w:rStyle w:val="FootnoteReference"/>
        </w:rPr>
        <w:footnoteReference w:id="16"/>
      </w:r>
    </w:p>
    <w:p w14:paraId="6AA3A70C" w14:textId="01C45FE2" w:rsidR="009B5F70" w:rsidRPr="000E6D89" w:rsidRDefault="00D50C01" w:rsidP="00E21D49">
      <w:pPr>
        <w:pStyle w:val="ListParagraph"/>
        <w:numPr>
          <w:ilvl w:val="0"/>
          <w:numId w:val="13"/>
        </w:numPr>
        <w:spacing w:before="120"/>
        <w:rPr>
          <w:szCs w:val="26"/>
        </w:rPr>
      </w:pPr>
      <w:r w:rsidRPr="00995AB2">
        <w:rPr>
          <w:szCs w:val="26"/>
        </w:rPr>
        <w:t xml:space="preserve">DSP </w:t>
      </w:r>
      <w:r w:rsidR="001F1AFF" w:rsidRPr="00995AB2">
        <w:rPr>
          <w:szCs w:val="26"/>
        </w:rPr>
        <w:t>is making three grants available</w:t>
      </w:r>
      <w:r w:rsidR="009B5F70" w:rsidRPr="00995AB2">
        <w:rPr>
          <w:szCs w:val="26"/>
        </w:rPr>
        <w:t xml:space="preserve"> for </w:t>
      </w:r>
      <w:r w:rsidR="001F1AFF" w:rsidRPr="00995AB2">
        <w:rPr>
          <w:szCs w:val="26"/>
        </w:rPr>
        <w:t xml:space="preserve">jobseekers/existing employees with disabilities and </w:t>
      </w:r>
      <w:r w:rsidR="009B5F70" w:rsidRPr="00995AB2">
        <w:rPr>
          <w:szCs w:val="26"/>
        </w:rPr>
        <w:t xml:space="preserve">Employers using </w:t>
      </w:r>
      <w:r w:rsidR="001F1AFF" w:rsidRPr="00995AB2">
        <w:rPr>
          <w:szCs w:val="26"/>
        </w:rPr>
        <w:t xml:space="preserve">the </w:t>
      </w:r>
      <w:r w:rsidR="009B5F70" w:rsidRPr="00995AB2">
        <w:rPr>
          <w:szCs w:val="26"/>
        </w:rPr>
        <w:t>EmployAbility</w:t>
      </w:r>
      <w:r w:rsidR="001F1AFF" w:rsidRPr="00995AB2">
        <w:rPr>
          <w:szCs w:val="26"/>
        </w:rPr>
        <w:t xml:space="preserve"> service</w:t>
      </w:r>
      <w:r w:rsidR="00E667DE">
        <w:rPr>
          <w:szCs w:val="26"/>
        </w:rPr>
        <w:t xml:space="preserve"> that were previously not available to these groups</w:t>
      </w:r>
      <w:r w:rsidR="001F1AFF" w:rsidRPr="00995AB2">
        <w:rPr>
          <w:szCs w:val="26"/>
        </w:rPr>
        <w:t xml:space="preserve">. These grants include </w:t>
      </w:r>
      <w:r w:rsidR="00995AB2" w:rsidRPr="00995AB2">
        <w:rPr>
          <w:szCs w:val="26"/>
        </w:rPr>
        <w:t xml:space="preserve">the </w:t>
      </w:r>
      <w:r w:rsidR="001F1AFF" w:rsidRPr="00995AB2">
        <w:rPr>
          <w:rFonts w:cs="Open Sans"/>
          <w:spacing w:val="3"/>
          <w:szCs w:val="26"/>
          <w:shd w:val="clear" w:color="auto" w:fill="FFFFFF"/>
        </w:rPr>
        <w:t>Workplace Equipment Adaptation Grant (</w:t>
      </w:r>
      <w:r w:rsidR="001F1AFF" w:rsidRPr="00995AB2">
        <w:rPr>
          <w:szCs w:val="26"/>
        </w:rPr>
        <w:t>WEAG)</w:t>
      </w:r>
      <w:r w:rsidR="00995AB2" w:rsidRPr="00995AB2">
        <w:rPr>
          <w:szCs w:val="26"/>
        </w:rPr>
        <w:t xml:space="preserve">, </w:t>
      </w:r>
      <w:r w:rsidR="00995AB2" w:rsidRPr="00995AB2">
        <w:rPr>
          <w:rFonts w:cs="Open Sans"/>
          <w:spacing w:val="3"/>
          <w:szCs w:val="26"/>
          <w:shd w:val="clear" w:color="auto" w:fill="FFFFFF"/>
        </w:rPr>
        <w:t>Personal Reader grant (PPG) and the Job Interview Interpreter Grant (JIIG)</w:t>
      </w:r>
      <w:r w:rsidR="00DA566A" w:rsidRPr="00995AB2">
        <w:rPr>
          <w:rStyle w:val="FootnoteReference"/>
          <w:rFonts w:ascii="Gill Sans MT" w:hAnsi="Gill Sans MT"/>
          <w:sz w:val="26"/>
          <w:szCs w:val="26"/>
        </w:rPr>
        <w:footnoteReference w:id="17"/>
      </w:r>
    </w:p>
    <w:p w14:paraId="3D72500C" w14:textId="7F4F6CD6" w:rsidR="000E6D89" w:rsidRDefault="000E6D89" w:rsidP="000E6D89">
      <w:pPr>
        <w:pStyle w:val="ListParagraph"/>
        <w:numPr>
          <w:ilvl w:val="0"/>
          <w:numId w:val="13"/>
        </w:numPr>
        <w:spacing w:before="120" w:line="238" w:lineRule="auto"/>
        <w:rPr>
          <w:szCs w:val="26"/>
          <w:lang w:val="en-GB"/>
        </w:rPr>
      </w:pPr>
      <w:r>
        <w:rPr>
          <w:szCs w:val="26"/>
          <w:lang w:val="en-GB"/>
        </w:rPr>
        <w:t>DSP introduced an increase to the upper earnings disregards for both its Disability Allowance and Blind Pension, by €25 per week, from €350 to €375 in budget 2022</w:t>
      </w:r>
      <w:r w:rsidR="007608CD">
        <w:rPr>
          <w:szCs w:val="26"/>
          <w:lang w:val="en-GB"/>
        </w:rPr>
        <w:t xml:space="preserve"> thus further incentivising this group to seek employment</w:t>
      </w:r>
      <w:r>
        <w:rPr>
          <w:szCs w:val="26"/>
          <w:lang w:val="en-GB"/>
        </w:rPr>
        <w:t>.</w:t>
      </w:r>
    </w:p>
    <w:p w14:paraId="02725774" w14:textId="5E84E927" w:rsidR="000E6D89" w:rsidRDefault="000E6D89" w:rsidP="000E6D89">
      <w:pPr>
        <w:pStyle w:val="ListParagraph"/>
        <w:numPr>
          <w:ilvl w:val="0"/>
          <w:numId w:val="13"/>
        </w:numPr>
        <w:spacing w:before="120" w:line="238" w:lineRule="auto"/>
        <w:rPr>
          <w:szCs w:val="26"/>
          <w:lang w:val="en-GB"/>
        </w:rPr>
      </w:pPr>
      <w:r>
        <w:rPr>
          <w:szCs w:val="26"/>
          <w:lang w:val="en-GB"/>
        </w:rPr>
        <w:t xml:space="preserve">In budget 2022, DSP introduced an increase to </w:t>
      </w:r>
      <w:r w:rsidRPr="00E929D2">
        <w:rPr>
          <w:szCs w:val="26"/>
          <w:lang w:val="en-GB"/>
        </w:rPr>
        <w:t>the general weekly means disregard entry point for its Disability allowance</w:t>
      </w:r>
      <w:r w:rsidRPr="006F509B">
        <w:rPr>
          <w:szCs w:val="26"/>
          <w:lang w:val="en-GB"/>
        </w:rPr>
        <w:t xml:space="preserve"> from €2.50 to €7.60</w:t>
      </w:r>
      <w:r>
        <w:rPr>
          <w:szCs w:val="26"/>
          <w:lang w:val="en-GB"/>
        </w:rPr>
        <w:t xml:space="preserve"> per week.</w:t>
      </w:r>
      <w:r w:rsidRPr="00E929D2">
        <w:rPr>
          <w:szCs w:val="26"/>
          <w:lang w:val="en-GB"/>
        </w:rPr>
        <w:t xml:space="preserve"> The effect of this measure will be to increase the weekly rate of payment by up to €5.10 per week for Disability Allowance recipients who have means. This also aligns the general weekly disregard for the Disability Allowance with that for the Blind Pension at €7.60 per week.</w:t>
      </w:r>
    </w:p>
    <w:p w14:paraId="0C654D9D" w14:textId="77777777" w:rsidR="00041F40" w:rsidRDefault="00041F40" w:rsidP="00041F40">
      <w:pPr>
        <w:pStyle w:val="ListParagraph"/>
        <w:numPr>
          <w:ilvl w:val="0"/>
          <w:numId w:val="13"/>
        </w:numPr>
        <w:spacing w:before="120" w:after="240"/>
        <w:rPr>
          <w:szCs w:val="26"/>
        </w:rPr>
      </w:pPr>
      <w:r>
        <w:rPr>
          <w:szCs w:val="26"/>
        </w:rPr>
        <w:t>DSP introduced a €20,000 disregard in the means test, for persons in receipt of the Disability Allowance or the Blind Pension, who receive a scholarship, bursary or stipend to complete a PhD.</w:t>
      </w:r>
    </w:p>
    <w:p w14:paraId="255F2607" w14:textId="77777777" w:rsidR="00041F40" w:rsidRPr="004D4F43" w:rsidRDefault="00041F40" w:rsidP="00041F40">
      <w:pPr>
        <w:pStyle w:val="ListParagraph"/>
        <w:numPr>
          <w:ilvl w:val="0"/>
          <w:numId w:val="13"/>
        </w:numPr>
        <w:spacing w:before="120" w:after="240"/>
        <w:rPr>
          <w:szCs w:val="26"/>
        </w:rPr>
      </w:pPr>
      <w:r>
        <w:rPr>
          <w:szCs w:val="26"/>
        </w:rPr>
        <w:t>DSP, through</w:t>
      </w:r>
      <w:r w:rsidRPr="009F4D19">
        <w:rPr>
          <w:szCs w:val="26"/>
        </w:rPr>
        <w:t xml:space="preserve"> the Dormant Accounts Action Plan 2021, </w:t>
      </w:r>
      <w:r>
        <w:rPr>
          <w:szCs w:val="26"/>
        </w:rPr>
        <w:t>provided</w:t>
      </w:r>
      <w:r w:rsidRPr="009F4D19">
        <w:rPr>
          <w:szCs w:val="26"/>
        </w:rPr>
        <w:t xml:space="preserve"> </w:t>
      </w:r>
      <w:r>
        <w:rPr>
          <w:szCs w:val="26"/>
        </w:rPr>
        <w:t xml:space="preserve">funding for 45 projects, </w:t>
      </w:r>
      <w:r w:rsidRPr="000A4360">
        <w:rPr>
          <w:szCs w:val="26"/>
        </w:rPr>
        <w:t>amounting to over €7.5 million, to support initiatives under the heading of "Measures to Support Employment, Education and Training Outcomes for People with a Disability and Family Carers".</w:t>
      </w:r>
    </w:p>
    <w:p w14:paraId="2BF1725B" w14:textId="29751BA3" w:rsidR="00041F40" w:rsidRPr="00F87D42" w:rsidRDefault="00041F40" w:rsidP="00F87D42">
      <w:pPr>
        <w:pStyle w:val="NoSpacing"/>
        <w:numPr>
          <w:ilvl w:val="0"/>
          <w:numId w:val="13"/>
        </w:numPr>
        <w:spacing w:before="120"/>
        <w:jc w:val="left"/>
        <w:rPr>
          <w:rFonts w:ascii="Gill Sans MT" w:hAnsi="Gill Sans MT"/>
          <w:iCs/>
          <w:sz w:val="26"/>
          <w:szCs w:val="26"/>
        </w:rPr>
      </w:pPr>
      <w:r>
        <w:rPr>
          <w:rFonts w:ascii="Gill Sans MT" w:hAnsi="Gill Sans MT"/>
          <w:iCs/>
          <w:sz w:val="26"/>
          <w:szCs w:val="26"/>
        </w:rPr>
        <w:t>DSP produced a guide entitled ‘Get work supports if you have a disability</w:t>
      </w:r>
      <w:r>
        <w:rPr>
          <w:rStyle w:val="FootnoteReference"/>
          <w:iCs/>
          <w:szCs w:val="26"/>
        </w:rPr>
        <w:footnoteReference w:id="18"/>
      </w:r>
      <w:r>
        <w:rPr>
          <w:rFonts w:ascii="Gill Sans MT" w:hAnsi="Gill Sans MT"/>
          <w:iCs/>
          <w:sz w:val="26"/>
          <w:szCs w:val="26"/>
        </w:rPr>
        <w:t>’, to provide clear information for persons with disabilities on work supports that would be available to them on taking up employment.</w:t>
      </w:r>
    </w:p>
    <w:p w14:paraId="234C66EE" w14:textId="77777777" w:rsidR="0008329F" w:rsidRPr="0008329F" w:rsidRDefault="0008329F" w:rsidP="00E21D49">
      <w:pPr>
        <w:pStyle w:val="ListParagraph"/>
        <w:numPr>
          <w:ilvl w:val="0"/>
          <w:numId w:val="13"/>
        </w:numPr>
        <w:spacing w:before="120" w:line="238" w:lineRule="auto"/>
        <w:rPr>
          <w:szCs w:val="26"/>
          <w:lang w:val="en-GB"/>
        </w:rPr>
      </w:pPr>
      <w:r w:rsidRPr="0008329F" w:rsidDel="00CD1956">
        <w:rPr>
          <w:szCs w:val="26"/>
          <w:lang w:val="en-GB"/>
        </w:rPr>
        <w:t>NDA published and disseminated policy advice on</w:t>
      </w:r>
      <w:r w:rsidR="0095685C">
        <w:rPr>
          <w:szCs w:val="26"/>
          <w:lang w:val="en-GB"/>
        </w:rPr>
        <w:t xml:space="preserve"> what would be required to establish a coordinated programme of</w:t>
      </w:r>
      <w:r w:rsidRPr="0008329F" w:rsidDel="00CD1956">
        <w:rPr>
          <w:szCs w:val="26"/>
          <w:lang w:val="en-GB"/>
        </w:rPr>
        <w:t xml:space="preserve"> vocational rehabilitation in Ireland. This comprised both research on vocational rehabilitation systems and a consultation of persons with acquired disabilities in Ireland.</w:t>
      </w:r>
    </w:p>
    <w:p w14:paraId="45157DB2" w14:textId="38CDBB66" w:rsidR="00251212" w:rsidRDefault="00E23E31" w:rsidP="00E21D49">
      <w:pPr>
        <w:pStyle w:val="ListParagraph"/>
        <w:numPr>
          <w:ilvl w:val="0"/>
          <w:numId w:val="13"/>
        </w:numPr>
        <w:spacing w:before="120"/>
      </w:pPr>
      <w:r>
        <w:t>The newly commenced Employers for Change service</w:t>
      </w:r>
      <w:r w:rsidR="007608CD">
        <w:t>,</w:t>
      </w:r>
      <w:r w:rsidR="000E6D89">
        <w:t>funded by DCEDIY and</w:t>
      </w:r>
      <w:r>
        <w:t xml:space="preserve"> managed by the Open Doors Initiative</w:t>
      </w:r>
      <w:r w:rsidR="007608CD">
        <w:t>,</w:t>
      </w:r>
      <w:r>
        <w:t xml:space="preserve"> led </w:t>
      </w:r>
      <w:r w:rsidR="007608CD">
        <w:t xml:space="preserve">to </w:t>
      </w:r>
      <w:r>
        <w:t>a s</w:t>
      </w:r>
      <w:r w:rsidR="00251212">
        <w:t xml:space="preserve">ignificant programme of </w:t>
      </w:r>
      <w:r w:rsidR="007D2BC1">
        <w:t xml:space="preserve">employer engagement </w:t>
      </w:r>
      <w:r w:rsidR="00964BCD">
        <w:t>work</w:t>
      </w:r>
      <w:r w:rsidR="00927AEE">
        <w:t xml:space="preserve"> during 2021</w:t>
      </w:r>
      <w:r w:rsidR="000E6D89">
        <w:t>.</w:t>
      </w:r>
    </w:p>
    <w:p w14:paraId="4C2C798A" w14:textId="622616BA" w:rsidR="00041F40" w:rsidRDefault="00041F40" w:rsidP="00F87D42">
      <w:pPr>
        <w:pStyle w:val="ListBullet"/>
        <w:numPr>
          <w:ilvl w:val="0"/>
          <w:numId w:val="13"/>
        </w:numPr>
      </w:pPr>
      <w:r>
        <w:t xml:space="preserve">A cross departmental approach convened by DCEDIY with several departments and bodies has </w:t>
      </w:r>
      <w:r w:rsidRPr="00E23E31">
        <w:t>established a</w:t>
      </w:r>
      <w:r>
        <w:t xml:space="preserve"> programme of work in regard to supporting transitions from school, which incorporates activities to promote post school options for learners with disabilities</w:t>
      </w:r>
      <w:r w:rsidR="00F87D42">
        <w:t>.</w:t>
      </w:r>
    </w:p>
    <w:p w14:paraId="6483E935" w14:textId="629FA568" w:rsidR="00374F35" w:rsidRPr="0067136B" w:rsidRDefault="0095685C" w:rsidP="00E21D49">
      <w:pPr>
        <w:pStyle w:val="ListParagraph"/>
        <w:numPr>
          <w:ilvl w:val="0"/>
          <w:numId w:val="13"/>
        </w:numPr>
        <w:spacing w:before="120"/>
      </w:pPr>
      <w:r>
        <w:t>Noting the importance of accessible public transport in supporting disabled people to access employment, d</w:t>
      </w:r>
      <w:r w:rsidR="00011812" w:rsidRPr="0067136B">
        <w:t>uring 2021</w:t>
      </w:r>
      <w:r w:rsidR="005F5714">
        <w:t>,</w:t>
      </w:r>
      <w:r w:rsidR="00011812" w:rsidRPr="0067136B">
        <w:t xml:space="preserve"> Changing Places facilities were installed in Connolly Train Station</w:t>
      </w:r>
      <w:r w:rsidR="005F5714">
        <w:t>.</w:t>
      </w:r>
      <w:r w:rsidR="0067136B">
        <w:t xml:space="preserve"> The National</w:t>
      </w:r>
      <w:r w:rsidR="00011812" w:rsidRPr="0067136B">
        <w:t xml:space="preserve"> Transpo</w:t>
      </w:r>
      <w:r w:rsidR="0067136B">
        <w:t xml:space="preserve">rt </w:t>
      </w:r>
      <w:r w:rsidR="004B5E45">
        <w:t>Authority (NTA)</w:t>
      </w:r>
      <w:r w:rsidR="0067136B">
        <w:t xml:space="preserve"> has plans to further expand these facilities</w:t>
      </w:r>
      <w:r w:rsidR="000E6D89">
        <w:t>.</w:t>
      </w:r>
    </w:p>
    <w:p w14:paraId="33968466" w14:textId="3C657152" w:rsidR="007D2BC1" w:rsidRDefault="00927AEE" w:rsidP="00E21D49">
      <w:pPr>
        <w:pStyle w:val="ListParagraph"/>
        <w:numPr>
          <w:ilvl w:val="0"/>
          <w:numId w:val="13"/>
        </w:numPr>
        <w:spacing w:before="120"/>
      </w:pPr>
      <w:r>
        <w:t>Sponsored by Pobal and supported by the Open Doors Initiative</w:t>
      </w:r>
      <w:r w:rsidR="005F5714">
        <w:t>,</w:t>
      </w:r>
      <w:r w:rsidR="004D4F43">
        <w:t xml:space="preserve"> Technological University</w:t>
      </w:r>
      <w:r>
        <w:t xml:space="preserve"> Dublin established a pilot</w:t>
      </w:r>
      <w:r w:rsidR="0047113B">
        <w:t xml:space="preserve"> programme on</w:t>
      </w:r>
      <w:r w:rsidR="007D2BC1">
        <w:t xml:space="preserve"> </w:t>
      </w:r>
      <w:r w:rsidR="0034561C">
        <w:t>self-employment</w:t>
      </w:r>
      <w:r w:rsidR="007D2BC1">
        <w:t xml:space="preserve"> </w:t>
      </w:r>
      <w:r>
        <w:t xml:space="preserve">and </w:t>
      </w:r>
      <w:r w:rsidR="0047113B">
        <w:t>entrepreneurship</w:t>
      </w:r>
      <w:r w:rsidR="007D2BC1">
        <w:t xml:space="preserve"> </w:t>
      </w:r>
      <w:r>
        <w:t>for people with disabilities</w:t>
      </w:r>
      <w:r w:rsidR="009C5439">
        <w:t>.</w:t>
      </w:r>
      <w:r w:rsidR="009C5439" w:rsidRPr="009C5439">
        <w:rPr>
          <w:color w:val="000000"/>
          <w:szCs w:val="26"/>
        </w:rPr>
        <w:t xml:space="preserve"> </w:t>
      </w:r>
      <w:r w:rsidR="009C5439">
        <w:rPr>
          <w:color w:val="000000"/>
          <w:szCs w:val="26"/>
        </w:rPr>
        <w:t>This 12 week</w:t>
      </w:r>
      <w:r w:rsidR="009C5439" w:rsidRPr="00702618">
        <w:rPr>
          <w:color w:val="000000"/>
          <w:szCs w:val="26"/>
        </w:rPr>
        <w:t xml:space="preserve"> programme was open to person</w:t>
      </w:r>
      <w:r w:rsidR="009C5439">
        <w:rPr>
          <w:color w:val="000000"/>
          <w:szCs w:val="26"/>
        </w:rPr>
        <w:t>s</w:t>
      </w:r>
      <w:r w:rsidR="009C5439" w:rsidRPr="00702618">
        <w:rPr>
          <w:color w:val="000000"/>
          <w:szCs w:val="26"/>
        </w:rPr>
        <w:t xml:space="preserve"> who had a business idea and wanted to evaluate the viability of their business proposition</w:t>
      </w:r>
      <w:r w:rsidR="009C5439">
        <w:rPr>
          <w:color w:val="000000"/>
          <w:szCs w:val="26"/>
        </w:rPr>
        <w:t>.</w:t>
      </w:r>
    </w:p>
    <w:p w14:paraId="3E266016" w14:textId="6FCC3891" w:rsidR="0073192C" w:rsidRDefault="00D50C01" w:rsidP="00E21D49">
      <w:pPr>
        <w:pStyle w:val="ListParagraph"/>
        <w:numPr>
          <w:ilvl w:val="0"/>
          <w:numId w:val="13"/>
        </w:numPr>
        <w:spacing w:before="120"/>
      </w:pPr>
      <w:r>
        <w:t>DPER</w:t>
      </w:r>
      <w:r w:rsidR="00927AEE">
        <w:t xml:space="preserve"> continued to s</w:t>
      </w:r>
      <w:r w:rsidR="0073192C">
        <w:t>uccessful</w:t>
      </w:r>
      <w:r w:rsidR="00927AEE">
        <w:t>ly support the</w:t>
      </w:r>
      <w:r w:rsidR="0073192C">
        <w:t xml:space="preserve"> progression from internships to civil service</w:t>
      </w:r>
      <w:r w:rsidR="005F5714">
        <w:t xml:space="preserve"> employment</w:t>
      </w:r>
      <w:r w:rsidR="0073192C">
        <w:t xml:space="preserve"> for WAM and </w:t>
      </w:r>
      <w:r w:rsidR="00F42CBE" w:rsidRPr="00034D95">
        <w:rPr>
          <w:rFonts w:cstheme="minorHAnsi"/>
          <w:szCs w:val="26"/>
        </w:rPr>
        <w:t xml:space="preserve">Oireachtas Work Learning </w:t>
      </w:r>
      <w:r w:rsidR="00F42CBE">
        <w:rPr>
          <w:rFonts w:cstheme="minorHAnsi"/>
          <w:szCs w:val="26"/>
        </w:rPr>
        <w:t>(</w:t>
      </w:r>
      <w:r w:rsidR="0073192C">
        <w:t>OWL</w:t>
      </w:r>
      <w:r w:rsidR="00F42CBE">
        <w:t>) programme</w:t>
      </w:r>
      <w:r w:rsidR="0073192C">
        <w:t xml:space="preserve"> graduates</w:t>
      </w:r>
      <w:r w:rsidR="007608CD">
        <w:t>.</w:t>
      </w:r>
    </w:p>
    <w:p w14:paraId="61411304" w14:textId="772238CB" w:rsidR="00227A80" w:rsidRPr="0082682B" w:rsidRDefault="00AF2562" w:rsidP="00E21D49">
      <w:pPr>
        <w:pStyle w:val="ListParagraph"/>
        <w:numPr>
          <w:ilvl w:val="0"/>
          <w:numId w:val="13"/>
        </w:numPr>
        <w:spacing w:before="120"/>
        <w:rPr>
          <w:szCs w:val="26"/>
        </w:rPr>
      </w:pPr>
      <w:r w:rsidRPr="0082682B">
        <w:rPr>
          <w:szCs w:val="26"/>
          <w:lang w:eastAsia="en-IE"/>
        </w:rPr>
        <w:t>Solas</w:t>
      </w:r>
      <w:r w:rsidR="00227A80" w:rsidRPr="0082682B">
        <w:rPr>
          <w:szCs w:val="26"/>
          <w:lang w:eastAsia="en-IE"/>
        </w:rPr>
        <w:t xml:space="preserve"> published and disseminated guidance</w:t>
      </w:r>
      <w:r w:rsidR="005F5714" w:rsidRPr="0082682B">
        <w:rPr>
          <w:szCs w:val="26"/>
          <w:lang w:eastAsia="en-IE"/>
        </w:rPr>
        <w:t xml:space="preserve"> entitled</w:t>
      </w:r>
      <w:r w:rsidR="00733128" w:rsidRPr="0082682B">
        <w:rPr>
          <w:szCs w:val="26"/>
          <w:lang w:eastAsia="en-IE"/>
        </w:rPr>
        <w:t xml:space="preserve"> ‘New Universal Design f</w:t>
      </w:r>
      <w:r w:rsidR="00227A80" w:rsidRPr="0082682B">
        <w:rPr>
          <w:szCs w:val="26"/>
          <w:lang w:eastAsia="en-IE"/>
        </w:rPr>
        <w:t>or Learning guidance published for Further Education and Training’</w:t>
      </w:r>
      <w:r w:rsidR="005F5714" w:rsidRPr="0082682B">
        <w:rPr>
          <w:szCs w:val="26"/>
          <w:lang w:eastAsia="en-IE"/>
        </w:rPr>
        <w:t>. This</w:t>
      </w:r>
      <w:r w:rsidR="00227A80" w:rsidRPr="0082682B">
        <w:rPr>
          <w:szCs w:val="26"/>
          <w:lang w:eastAsia="en-IE"/>
        </w:rPr>
        <w:t xml:space="preserve"> work aims to reduce the barriers to learning for all </w:t>
      </w:r>
      <w:r w:rsidR="005F5714" w:rsidRPr="0082682B">
        <w:rPr>
          <w:szCs w:val="26"/>
          <w:lang w:eastAsia="en-IE"/>
        </w:rPr>
        <w:t>l</w:t>
      </w:r>
      <w:r w:rsidR="00227A80" w:rsidRPr="0082682B">
        <w:rPr>
          <w:szCs w:val="26"/>
          <w:lang w:eastAsia="en-IE"/>
        </w:rPr>
        <w:t>earners</w:t>
      </w:r>
      <w:r w:rsidR="005F5714" w:rsidRPr="0082682B">
        <w:rPr>
          <w:szCs w:val="26"/>
          <w:lang w:eastAsia="en-IE"/>
        </w:rPr>
        <w:t>. S</w:t>
      </w:r>
      <w:r w:rsidR="008F4DBF" w:rsidRPr="0082682B">
        <w:rPr>
          <w:szCs w:val="26"/>
          <w:lang w:eastAsia="en-IE"/>
        </w:rPr>
        <w:t>olas also led the work to produce</w:t>
      </w:r>
      <w:r w:rsidR="00441604" w:rsidRPr="0082682B">
        <w:rPr>
          <w:szCs w:val="26"/>
          <w:lang w:eastAsia="en-IE"/>
        </w:rPr>
        <w:t xml:space="preserve"> and launch </w:t>
      </w:r>
      <w:r w:rsidR="0082682B" w:rsidRPr="0082682B">
        <w:rPr>
          <w:szCs w:val="26"/>
          <w:lang w:eastAsia="en-IE"/>
        </w:rPr>
        <w:t xml:space="preserve">the </w:t>
      </w:r>
      <w:r w:rsidR="0082682B" w:rsidRPr="0082682B">
        <w:rPr>
          <w:rFonts w:cs="Open Sans"/>
          <w:szCs w:val="26"/>
        </w:rPr>
        <w:t>10 year Adult Literacy for Life Strategy (2021-30)</w:t>
      </w:r>
      <w:r w:rsidR="007608CD">
        <w:rPr>
          <w:rFonts w:cs="Open Sans"/>
          <w:szCs w:val="26"/>
        </w:rPr>
        <w:t>.</w:t>
      </w:r>
      <w:r w:rsidR="0082682B">
        <w:rPr>
          <w:rStyle w:val="FootnoteReference"/>
          <w:rFonts w:cs="Open Sans"/>
          <w:szCs w:val="26"/>
        </w:rPr>
        <w:footnoteReference w:id="19"/>
      </w:r>
    </w:p>
    <w:p w14:paraId="1883774B" w14:textId="77777777" w:rsidR="007D2BC1" w:rsidRDefault="00BB0DCA" w:rsidP="00E21D49">
      <w:pPr>
        <w:pStyle w:val="ListParagraph"/>
        <w:numPr>
          <w:ilvl w:val="0"/>
          <w:numId w:val="13"/>
        </w:numPr>
        <w:spacing w:before="120"/>
      </w:pPr>
      <w:r>
        <w:t>Solas provided</w:t>
      </w:r>
      <w:r w:rsidR="007D2BC1">
        <w:t xml:space="preserve"> additional supports in further education and training</w:t>
      </w:r>
      <w:r w:rsidR="005335D8">
        <w:t xml:space="preserve"> </w:t>
      </w:r>
      <w:r w:rsidR="007D2BC1">
        <w:t xml:space="preserve">to support </w:t>
      </w:r>
      <w:r w:rsidR="0047113B">
        <w:t xml:space="preserve">improved </w:t>
      </w:r>
      <w:r w:rsidR="007D2BC1">
        <w:t xml:space="preserve">access </w:t>
      </w:r>
      <w:r w:rsidR="0047113B">
        <w:t xml:space="preserve">and progression for </w:t>
      </w:r>
      <w:r w:rsidR="007D2BC1">
        <w:t xml:space="preserve">persons with disabilities </w:t>
      </w:r>
    </w:p>
    <w:p w14:paraId="06842EDF" w14:textId="6C860702" w:rsidR="002A0142" w:rsidRPr="00BF4AF9" w:rsidRDefault="00FA01D8" w:rsidP="00E21D49">
      <w:pPr>
        <w:pStyle w:val="ListParagraph"/>
        <w:numPr>
          <w:ilvl w:val="0"/>
          <w:numId w:val="13"/>
        </w:numPr>
        <w:spacing w:before="120"/>
        <w:rPr>
          <w:szCs w:val="26"/>
        </w:rPr>
      </w:pPr>
      <w:r w:rsidRPr="00BF4AF9">
        <w:rPr>
          <w:szCs w:val="26"/>
        </w:rPr>
        <w:t>Higher Education Authority (</w:t>
      </w:r>
      <w:r w:rsidR="0073261F" w:rsidRPr="00BF4AF9">
        <w:rPr>
          <w:szCs w:val="26"/>
        </w:rPr>
        <w:t>HEA</w:t>
      </w:r>
      <w:r w:rsidRPr="00BF4AF9">
        <w:rPr>
          <w:szCs w:val="26"/>
        </w:rPr>
        <w:t>)</w:t>
      </w:r>
      <w:r w:rsidR="0073261F" w:rsidRPr="00BF4AF9">
        <w:rPr>
          <w:szCs w:val="26"/>
        </w:rPr>
        <w:t xml:space="preserve"> </w:t>
      </w:r>
      <w:r w:rsidR="00737AD6">
        <w:rPr>
          <w:szCs w:val="26"/>
        </w:rPr>
        <w:t>Programme for Access to Higher Education (</w:t>
      </w:r>
      <w:r w:rsidR="00BF4AF9">
        <w:rPr>
          <w:szCs w:val="26"/>
        </w:rPr>
        <w:t>PATH 3</w:t>
      </w:r>
      <w:r w:rsidR="00737AD6">
        <w:rPr>
          <w:szCs w:val="26"/>
        </w:rPr>
        <w:t>)</w:t>
      </w:r>
      <w:r w:rsidR="00BF4AF9">
        <w:rPr>
          <w:szCs w:val="26"/>
        </w:rPr>
        <w:t xml:space="preserve"> </w:t>
      </w:r>
      <w:r w:rsidR="0073261F" w:rsidRPr="00BF4AF9">
        <w:rPr>
          <w:szCs w:val="26"/>
        </w:rPr>
        <w:t xml:space="preserve">funded programmes to </w:t>
      </w:r>
      <w:r w:rsidR="00BF4AF9" w:rsidRPr="00BF4AF9">
        <w:rPr>
          <w:rFonts w:cs="Arial"/>
          <w:color w:val="000000"/>
          <w:szCs w:val="26"/>
          <w:shd w:val="clear" w:color="auto" w:fill="FFFFFF"/>
        </w:rPr>
        <w:t>support the development of regional and community partnership strategies for increasing access to higher education by specified groups</w:t>
      </w:r>
      <w:r w:rsidR="00BF4AF9">
        <w:rPr>
          <w:rStyle w:val="FootnoteReference"/>
          <w:rFonts w:cs="Arial"/>
          <w:color w:val="000000"/>
          <w:szCs w:val="26"/>
          <w:shd w:val="clear" w:color="auto" w:fill="FFFFFF"/>
        </w:rPr>
        <w:footnoteReference w:id="20"/>
      </w:r>
      <w:r w:rsidR="00BF4AF9">
        <w:rPr>
          <w:szCs w:val="26"/>
        </w:rPr>
        <w:t>.</w:t>
      </w:r>
      <w:r w:rsidR="0047113B" w:rsidRPr="00BF4AF9">
        <w:rPr>
          <w:szCs w:val="26"/>
        </w:rPr>
        <w:t xml:space="preserve"> </w:t>
      </w:r>
    </w:p>
    <w:p w14:paraId="1806E473" w14:textId="494C1832" w:rsidR="0073261F" w:rsidRPr="002A0142" w:rsidRDefault="002A0142" w:rsidP="00E21D49">
      <w:pPr>
        <w:pStyle w:val="ListParagraph"/>
        <w:numPr>
          <w:ilvl w:val="0"/>
          <w:numId w:val="13"/>
        </w:numPr>
        <w:spacing w:before="120"/>
        <w:rPr>
          <w:szCs w:val="26"/>
        </w:rPr>
      </w:pPr>
      <w:r w:rsidRPr="002A0142">
        <w:rPr>
          <w:szCs w:val="26"/>
        </w:rPr>
        <w:t>HEA operated</w:t>
      </w:r>
      <w:r w:rsidR="0047113B" w:rsidRPr="002A0142">
        <w:rPr>
          <w:szCs w:val="26"/>
        </w:rPr>
        <w:t xml:space="preserve"> 1916 bursaries</w:t>
      </w:r>
      <w:r w:rsidRPr="002A0142">
        <w:rPr>
          <w:szCs w:val="26"/>
        </w:rPr>
        <w:t xml:space="preserve"> </w:t>
      </w:r>
      <w:r w:rsidRPr="002A0142">
        <w:rPr>
          <w:rFonts w:cs="Arial"/>
          <w:color w:val="000000"/>
          <w:szCs w:val="26"/>
          <w:shd w:val="clear" w:color="auto" w:fill="FFFFFF"/>
        </w:rPr>
        <w:t>that encourage participation by students from sections of society that are significantly under-represented in higher education</w:t>
      </w:r>
      <w:r w:rsidR="0099361A">
        <w:rPr>
          <w:rFonts w:cs="Arial"/>
          <w:color w:val="000000"/>
          <w:szCs w:val="26"/>
          <w:shd w:val="clear" w:color="auto" w:fill="FFFFFF"/>
        </w:rPr>
        <w:t>, including learners with disabilities</w:t>
      </w:r>
      <w:r w:rsidR="00804F41">
        <w:rPr>
          <w:rStyle w:val="FootnoteReference"/>
          <w:rFonts w:cs="Arial"/>
          <w:color w:val="000000"/>
          <w:szCs w:val="26"/>
          <w:shd w:val="clear" w:color="auto" w:fill="FFFFFF"/>
        </w:rPr>
        <w:footnoteReference w:id="21"/>
      </w:r>
    </w:p>
    <w:p w14:paraId="5B76D589" w14:textId="6E5CF5BC" w:rsidR="00FB31EA" w:rsidRDefault="008F4DBF" w:rsidP="00E21D49">
      <w:pPr>
        <w:pStyle w:val="ListParagraph"/>
        <w:numPr>
          <w:ilvl w:val="0"/>
          <w:numId w:val="13"/>
        </w:numPr>
        <w:spacing w:before="120" w:after="240"/>
        <w:rPr>
          <w:szCs w:val="26"/>
        </w:rPr>
      </w:pPr>
      <w:r w:rsidRPr="002A0142">
        <w:rPr>
          <w:szCs w:val="26"/>
        </w:rPr>
        <w:t xml:space="preserve">Funding </w:t>
      </w:r>
      <w:r w:rsidR="0078638D">
        <w:rPr>
          <w:szCs w:val="26"/>
        </w:rPr>
        <w:t xml:space="preserve">was </w:t>
      </w:r>
      <w:r w:rsidRPr="002A0142">
        <w:rPr>
          <w:szCs w:val="26"/>
        </w:rPr>
        <w:t>made available in 2021 to support people wit</w:t>
      </w:r>
      <w:r w:rsidR="00FA01D8">
        <w:rPr>
          <w:szCs w:val="26"/>
        </w:rPr>
        <w:t>h intellectual disabilities in higher e</w:t>
      </w:r>
      <w:r w:rsidRPr="002A0142">
        <w:rPr>
          <w:szCs w:val="26"/>
        </w:rPr>
        <w:t>ducation</w:t>
      </w:r>
      <w:r w:rsidR="006318C5">
        <w:rPr>
          <w:szCs w:val="26"/>
        </w:rPr>
        <w:t xml:space="preserve">. This funding </w:t>
      </w:r>
      <w:r w:rsidR="00627090">
        <w:rPr>
          <w:szCs w:val="26"/>
        </w:rPr>
        <w:t>will support</w:t>
      </w:r>
      <w:r w:rsidR="006318C5">
        <w:rPr>
          <w:szCs w:val="26"/>
        </w:rPr>
        <w:t xml:space="preserve"> a number of</w:t>
      </w:r>
      <w:r w:rsidR="002A0142" w:rsidRPr="002A0142">
        <w:rPr>
          <w:szCs w:val="26"/>
        </w:rPr>
        <w:t xml:space="preserve"> initiative</w:t>
      </w:r>
      <w:r w:rsidR="00BB0DCA">
        <w:rPr>
          <w:szCs w:val="26"/>
        </w:rPr>
        <w:t>s</w:t>
      </w:r>
      <w:r w:rsidR="006318C5">
        <w:rPr>
          <w:szCs w:val="26"/>
        </w:rPr>
        <w:t xml:space="preserve">, including the </w:t>
      </w:r>
      <w:r w:rsidR="002A0142" w:rsidRPr="002A0142">
        <w:rPr>
          <w:szCs w:val="26"/>
        </w:rPr>
        <w:t>TCD In</w:t>
      </w:r>
      <w:r w:rsidR="002A0142">
        <w:rPr>
          <w:szCs w:val="26"/>
        </w:rPr>
        <w:t>tellectual Disability programme</w:t>
      </w:r>
      <w:r w:rsidR="00DE6B97" w:rsidRPr="002A0142">
        <w:rPr>
          <w:rStyle w:val="FootnoteReference"/>
          <w:rFonts w:ascii="Gill Sans MT" w:hAnsi="Gill Sans MT"/>
          <w:sz w:val="26"/>
          <w:szCs w:val="26"/>
        </w:rPr>
        <w:footnoteReference w:id="22"/>
      </w:r>
      <w:r w:rsidR="006318C5">
        <w:rPr>
          <w:szCs w:val="26"/>
        </w:rPr>
        <w:t xml:space="preserve"> and the University </w:t>
      </w:r>
      <w:r w:rsidR="00E33886">
        <w:rPr>
          <w:szCs w:val="26"/>
        </w:rPr>
        <w:t>College Cork Programme</w:t>
      </w:r>
      <w:r w:rsidR="00E33886">
        <w:rPr>
          <w:rStyle w:val="FootnoteReference"/>
          <w:szCs w:val="26"/>
        </w:rPr>
        <w:footnoteReference w:id="23"/>
      </w:r>
      <w:r w:rsidR="00E33886">
        <w:rPr>
          <w:szCs w:val="26"/>
        </w:rPr>
        <w:t>. These programme will require evaluation and lessons for scaling up.</w:t>
      </w:r>
    </w:p>
    <w:p w14:paraId="78EAC6BA" w14:textId="77777777" w:rsidR="0047113B" w:rsidRPr="00374F35" w:rsidRDefault="00F10ED3" w:rsidP="0080490E">
      <w:pPr>
        <w:pStyle w:val="Heading2"/>
      </w:pPr>
      <w:bookmarkStart w:id="31" w:name="_Toc101857187"/>
      <w:r>
        <w:t>Actions with s</w:t>
      </w:r>
      <w:r w:rsidR="0067136B">
        <w:t>low</w:t>
      </w:r>
      <w:r w:rsidR="0047113B" w:rsidRPr="00374F35">
        <w:t xml:space="preserve"> progress</w:t>
      </w:r>
      <w:r w:rsidR="00374F35" w:rsidRPr="00374F35">
        <w:t xml:space="preserve"> during 2021</w:t>
      </w:r>
      <w:bookmarkEnd w:id="31"/>
    </w:p>
    <w:p w14:paraId="61D6C53B" w14:textId="27654E1B" w:rsidR="00374F35" w:rsidRDefault="0099361A" w:rsidP="008D0E2E">
      <w:pPr>
        <w:ind w:left="360"/>
      </w:pPr>
      <w:r>
        <w:t>The</w:t>
      </w:r>
      <w:r w:rsidR="00374F35">
        <w:t xml:space="preserve"> follow</w:t>
      </w:r>
      <w:r w:rsidR="002A0142">
        <w:t xml:space="preserve">ing action areas </w:t>
      </w:r>
      <w:r w:rsidR="00E3204E">
        <w:t xml:space="preserve">showed </w:t>
      </w:r>
      <w:r w:rsidR="002A0142">
        <w:t xml:space="preserve">slower </w:t>
      </w:r>
      <w:r w:rsidR="00374F35">
        <w:t>progress</w:t>
      </w:r>
      <w:r>
        <w:t xml:space="preserve"> than anticipated</w:t>
      </w:r>
      <w:r w:rsidR="00374F35">
        <w:t xml:space="preserve"> during 2021. </w:t>
      </w:r>
      <w:r w:rsidR="005B381B">
        <w:t>There are many reasons for limited progress</w:t>
      </w:r>
      <w:r w:rsidR="001E3C97">
        <w:t xml:space="preserve">, in some cases </w:t>
      </w:r>
      <w:r w:rsidR="0067136B">
        <w:t>including</w:t>
      </w:r>
      <w:r w:rsidR="005B381B">
        <w:t xml:space="preserve"> reallocatio</w:t>
      </w:r>
      <w:r w:rsidR="0067136B">
        <w:t xml:space="preserve">n of staff </w:t>
      </w:r>
      <w:r>
        <w:t xml:space="preserve">within public bodies as part of the response </w:t>
      </w:r>
      <w:r w:rsidR="0067136B">
        <w:t xml:space="preserve">to </w:t>
      </w:r>
      <w:r w:rsidR="004B6AF9">
        <w:rPr>
          <w:szCs w:val="26"/>
        </w:rPr>
        <w:t>COVID</w:t>
      </w:r>
      <w:r w:rsidR="004B6AF9" w:rsidDel="004B6AF9">
        <w:t xml:space="preserve"> </w:t>
      </w:r>
      <w:r w:rsidR="00AF2562">
        <w:t>19.</w:t>
      </w:r>
      <w:r w:rsidR="003D0957">
        <w:t xml:space="preserve"> </w:t>
      </w:r>
      <w:r w:rsidR="002A0142">
        <w:t xml:space="preserve">These actions will be described in further detail </w:t>
      </w:r>
      <w:r w:rsidR="00FC30C3">
        <w:t>in the strategic priorities section.</w:t>
      </w:r>
    </w:p>
    <w:p w14:paraId="228F02AF" w14:textId="77777777" w:rsidR="00DE715C" w:rsidRDefault="00BB0DCA" w:rsidP="00E21D49">
      <w:pPr>
        <w:pStyle w:val="ListParagraph"/>
        <w:numPr>
          <w:ilvl w:val="0"/>
          <w:numId w:val="34"/>
        </w:numPr>
        <w:spacing w:before="120"/>
        <w:ind w:left="927"/>
      </w:pPr>
      <w:r>
        <w:t xml:space="preserve">Some of the recommendations of the </w:t>
      </w:r>
      <w:r w:rsidR="0047113B">
        <w:t>Make Work Pay</w:t>
      </w:r>
      <w:r w:rsidR="00E3204E">
        <w:t xml:space="preserve"> Report,</w:t>
      </w:r>
      <w:r w:rsidR="0047113B">
        <w:t xml:space="preserve"> published in 2017</w:t>
      </w:r>
      <w:r>
        <w:t xml:space="preserve"> are not yet </w:t>
      </w:r>
      <w:r w:rsidR="001E3C97">
        <w:t xml:space="preserve">fully </w:t>
      </w:r>
      <w:r>
        <w:t>advanced including the</w:t>
      </w:r>
      <w:r w:rsidR="006C4541">
        <w:t xml:space="preserve"> </w:t>
      </w:r>
      <w:r w:rsidR="00DE715C">
        <w:t xml:space="preserve">interplay between the medical card and access to </w:t>
      </w:r>
      <w:r w:rsidR="00FB31EA">
        <w:t>assistive technology,</w:t>
      </w:r>
      <w:r w:rsidR="0047113B">
        <w:t xml:space="preserve"> a</w:t>
      </w:r>
      <w:r w:rsidR="00DE715C">
        <w:t>nd development of a</w:t>
      </w:r>
      <w:r w:rsidR="00FB31EA">
        <w:t xml:space="preserve"> new</w:t>
      </w:r>
      <w:r w:rsidR="0047113B">
        <w:t xml:space="preserve"> mobility allowance scheme</w:t>
      </w:r>
      <w:r w:rsidR="00374F35">
        <w:t xml:space="preserve">, </w:t>
      </w:r>
    </w:p>
    <w:p w14:paraId="06C903AC" w14:textId="18471177" w:rsidR="00C17CA8" w:rsidRDefault="001E3C97" w:rsidP="00E21D49">
      <w:pPr>
        <w:pStyle w:val="ListParagraph"/>
        <w:numPr>
          <w:ilvl w:val="0"/>
          <w:numId w:val="34"/>
        </w:numPr>
        <w:spacing w:before="120"/>
        <w:ind w:left="927"/>
      </w:pPr>
      <w:r>
        <w:t>Implementation of the agreed cross-departmental policy in relation to a coordinated programme of supported employment (</w:t>
      </w:r>
      <w:r w:rsidR="00BB0DCA">
        <w:t>Action</w:t>
      </w:r>
      <w:r w:rsidR="00C17CA8">
        <w:t xml:space="preserve"> 5.1</w:t>
      </w:r>
      <w:r>
        <w:t>)</w:t>
      </w:r>
      <w:r w:rsidR="00C17CA8">
        <w:t xml:space="preserve"> </w:t>
      </w:r>
      <w:r>
        <w:t>was not progressed significantly during 2021</w:t>
      </w:r>
      <w:r w:rsidR="00BB0DCA">
        <w:t xml:space="preserve">. It is welcome to see some aspects of this </w:t>
      </w:r>
      <w:r>
        <w:t xml:space="preserve">policy </w:t>
      </w:r>
      <w:r w:rsidR="00C17CA8">
        <w:t xml:space="preserve">described in the current Pathways to Work plan </w:t>
      </w:r>
      <w:r>
        <w:t xml:space="preserve">including the proposed </w:t>
      </w:r>
      <w:r w:rsidR="00C17CA8">
        <w:t xml:space="preserve">job coach role </w:t>
      </w:r>
      <w:r>
        <w:t xml:space="preserve">within the </w:t>
      </w:r>
      <w:r w:rsidR="00C17CA8">
        <w:t>Intreo</w:t>
      </w:r>
      <w:r w:rsidR="00BB0DCA">
        <w:t>. H</w:t>
      </w:r>
      <w:r w:rsidR="00C17CA8">
        <w:t>owever</w:t>
      </w:r>
      <w:r w:rsidR="00BB0DCA">
        <w:t>,</w:t>
      </w:r>
      <w:r w:rsidR="00C17CA8">
        <w:t xml:space="preserve"> the requirement to</w:t>
      </w:r>
      <w:r w:rsidR="00441604">
        <w:t xml:space="preserve"> develop a supported employment </w:t>
      </w:r>
      <w:r w:rsidR="00C17CA8">
        <w:t>programme</w:t>
      </w:r>
      <w:r>
        <w:t xml:space="preserve"> for those with higher support needs</w:t>
      </w:r>
      <w:r w:rsidR="00C17CA8">
        <w:t xml:space="preserve"> </w:t>
      </w:r>
      <w:r w:rsidR="003D0957">
        <w:t>has not yet been</w:t>
      </w:r>
      <w:r w:rsidR="00C17CA8">
        <w:t xml:space="preserve"> achieved</w:t>
      </w:r>
      <w:r>
        <w:t>, although we note the DCEDIY application for ESF</w:t>
      </w:r>
      <w:r w:rsidR="00FB31EA">
        <w:t xml:space="preserve"> funding</w:t>
      </w:r>
      <w:r w:rsidR="00EC6363">
        <w:t xml:space="preserve"> to develop such a programme</w:t>
      </w:r>
      <w:r w:rsidR="00E21D49">
        <w:t>,</w:t>
      </w:r>
    </w:p>
    <w:p w14:paraId="689EA33E" w14:textId="3CC81B27" w:rsidR="008D0E2E" w:rsidRDefault="00B15879" w:rsidP="00E21D49">
      <w:pPr>
        <w:pStyle w:val="ListParagraph"/>
        <w:numPr>
          <w:ilvl w:val="0"/>
          <w:numId w:val="34"/>
        </w:numPr>
        <w:spacing w:before="120"/>
        <w:ind w:left="927"/>
      </w:pPr>
      <w:r>
        <w:t>There has been a l</w:t>
      </w:r>
      <w:r w:rsidR="00FB31EA">
        <w:t>ack</w:t>
      </w:r>
      <w:r w:rsidR="0047113B">
        <w:t xml:space="preserve"> of progress on the </w:t>
      </w:r>
      <w:r w:rsidR="00FB31EA">
        <w:t>implementation</w:t>
      </w:r>
      <w:r w:rsidR="0047113B">
        <w:t xml:space="preserve"> of career guidance in special education and mainstream sett</w:t>
      </w:r>
      <w:r w:rsidR="00374F35">
        <w:t>ing for those with disabilities</w:t>
      </w:r>
      <w:r w:rsidR="001E3C97">
        <w:t xml:space="preserve"> as committed in the first three year action plan</w:t>
      </w:r>
      <w:r w:rsidR="00DE715C">
        <w:t>,</w:t>
      </w:r>
    </w:p>
    <w:p w14:paraId="28E95F7C" w14:textId="1D4EB881" w:rsidR="00374F35" w:rsidRDefault="00285F75" w:rsidP="00E21D49">
      <w:pPr>
        <w:pStyle w:val="ListParagraph"/>
        <w:numPr>
          <w:ilvl w:val="0"/>
          <w:numId w:val="34"/>
        </w:numPr>
        <w:spacing w:before="120"/>
        <w:ind w:left="927"/>
      </w:pPr>
      <w:r>
        <w:t>A lack of progress on DSP</w:t>
      </w:r>
      <w:r w:rsidR="00B15879">
        <w:t xml:space="preserve"> r</w:t>
      </w:r>
      <w:r w:rsidR="00374F35">
        <w:t xml:space="preserve">eview of reasonable accommodation </w:t>
      </w:r>
      <w:r w:rsidR="00C17CA8">
        <w:t>fund</w:t>
      </w:r>
      <w:r w:rsidR="00B15879">
        <w:t>ing</w:t>
      </w:r>
      <w:r w:rsidR="00C17CA8">
        <w:t xml:space="preserve"> available to employers</w:t>
      </w:r>
      <w:r w:rsidR="00DE715C">
        <w:t>,</w:t>
      </w:r>
      <w:r w:rsidR="00041F40">
        <w:t xml:space="preserve"> although it is noted that this has commenced in 2022.</w:t>
      </w:r>
    </w:p>
    <w:p w14:paraId="279CC85E" w14:textId="2C1C7D89" w:rsidR="00DE715C" w:rsidRDefault="00DE715C" w:rsidP="00E21D49">
      <w:pPr>
        <w:pStyle w:val="ListParagraph"/>
        <w:numPr>
          <w:ilvl w:val="0"/>
          <w:numId w:val="34"/>
        </w:numPr>
        <w:spacing w:before="120"/>
        <w:ind w:left="927"/>
      </w:pPr>
      <w:r>
        <w:t>While policy advice in relation to development of a coordinated programme of vocational rehabilitation was circulated to relevant Departments in 2021,</w:t>
      </w:r>
      <w:r w:rsidR="00041F40">
        <w:t xml:space="preserve"> not action was taken and</w:t>
      </w:r>
      <w:r>
        <w:t xml:space="preserve"> further focus will be required in 2022 in order to implement this advice and test provision</w:t>
      </w:r>
      <w:r w:rsidR="00285F75">
        <w:t>,</w:t>
      </w:r>
    </w:p>
    <w:p w14:paraId="6A04B1E1" w14:textId="18469D4A" w:rsidR="0039304E" w:rsidRDefault="0005677B" w:rsidP="00E21D49">
      <w:pPr>
        <w:pStyle w:val="ListParagraph"/>
        <w:numPr>
          <w:ilvl w:val="0"/>
          <w:numId w:val="34"/>
        </w:numPr>
        <w:spacing w:before="120"/>
        <w:ind w:left="927"/>
      </w:pPr>
      <w:r>
        <w:t xml:space="preserve">The NDA continues to advise </w:t>
      </w:r>
      <w:r w:rsidR="0097551C">
        <w:t xml:space="preserve">on </w:t>
      </w:r>
      <w:r>
        <w:t>the importance of clearly communicating policy changes made, and their impact on the employment opportunities available to disabled people, noting that it is still common for individuals not to be aware of developments in this space.</w:t>
      </w:r>
    </w:p>
    <w:p w14:paraId="5128E791" w14:textId="77777777" w:rsidR="00216DFF" w:rsidRDefault="00216DFF" w:rsidP="007A7793"/>
    <w:p w14:paraId="294895EC" w14:textId="77777777" w:rsidR="007A7793" w:rsidRPr="00137A8B" w:rsidRDefault="007A7793" w:rsidP="007A7793">
      <w:pPr>
        <w:pStyle w:val="Heading1"/>
        <w:rPr>
          <w:b w:val="0"/>
        </w:rPr>
      </w:pPr>
      <w:r w:rsidRPr="00137A8B">
        <w:rPr>
          <w:lang w:val="en-US"/>
        </w:rPr>
        <w:t xml:space="preserve"> </w:t>
      </w:r>
      <w:bookmarkStart w:id="32" w:name="_Toc101857188"/>
      <w:r w:rsidRPr="00137A8B">
        <w:rPr>
          <w:lang w:val="en-US"/>
        </w:rPr>
        <w:t>Strategic Priorities 1- 6</w:t>
      </w:r>
      <w:r>
        <w:rPr>
          <w:lang w:val="en-US"/>
        </w:rPr>
        <w:t xml:space="preserve"> </w:t>
      </w:r>
      <w:r w:rsidR="0024354B">
        <w:rPr>
          <w:lang w:val="en-US"/>
        </w:rPr>
        <w:t xml:space="preserve">progress during </w:t>
      </w:r>
      <w:r>
        <w:rPr>
          <w:lang w:val="en-US"/>
        </w:rPr>
        <w:t>2021</w:t>
      </w:r>
      <w:bookmarkEnd w:id="32"/>
    </w:p>
    <w:p w14:paraId="3AE5F3D1" w14:textId="309E529D" w:rsidR="00627090" w:rsidRPr="00BD03B2" w:rsidRDefault="007A7793" w:rsidP="00BD03B2">
      <w:pPr>
        <w:shd w:val="clear" w:color="auto" w:fill="FFFFFF"/>
        <w:spacing w:before="100" w:beforeAutospacing="1" w:after="150"/>
        <w:rPr>
          <w:szCs w:val="26"/>
          <w:lang w:eastAsia="en-IE"/>
        </w:rPr>
      </w:pPr>
      <w:r w:rsidRPr="00137A8B">
        <w:t xml:space="preserve">This section of the paper </w:t>
      </w:r>
      <w:r w:rsidR="00994D21">
        <w:t>provides further detail</w:t>
      </w:r>
      <w:r w:rsidRPr="00137A8B">
        <w:t xml:space="preserve"> </w:t>
      </w:r>
      <w:r w:rsidR="00994D21">
        <w:t>on specific actions</w:t>
      </w:r>
      <w:r w:rsidR="00994D21" w:rsidRPr="00137A8B">
        <w:t xml:space="preserve"> </w:t>
      </w:r>
      <w:r w:rsidR="00994D21">
        <w:t>progressed</w:t>
      </w:r>
      <w:r w:rsidR="00994D21" w:rsidRPr="00137A8B">
        <w:t xml:space="preserve"> </w:t>
      </w:r>
      <w:r w:rsidRPr="00137A8B">
        <w:t>by departm</w:t>
      </w:r>
      <w:r w:rsidR="00BE5A27">
        <w:t>ents and</w:t>
      </w:r>
      <w:r w:rsidR="005E54E8">
        <w:t>/</w:t>
      </w:r>
      <w:r w:rsidR="00BE5A27">
        <w:t>or agencies during 2021</w:t>
      </w:r>
      <w:r w:rsidRPr="00137A8B">
        <w:t xml:space="preserve"> </w:t>
      </w:r>
      <w:r w:rsidR="005E54E8">
        <w:t>under the CES</w:t>
      </w:r>
      <w:r w:rsidR="004B73DE">
        <w:t xml:space="preserve"> using the format of </w:t>
      </w:r>
      <w:r w:rsidRPr="00137A8B">
        <w:t xml:space="preserve">the six strategic priority </w:t>
      </w:r>
      <w:r>
        <w:rPr>
          <w:rFonts w:cs="Arial"/>
          <w:szCs w:val="26"/>
        </w:rPr>
        <w:t>(SP)</w:t>
      </w:r>
      <w:r w:rsidRPr="001C0754">
        <w:rPr>
          <w:rFonts w:cs="Arial"/>
          <w:szCs w:val="26"/>
        </w:rPr>
        <w:t xml:space="preserve"> </w:t>
      </w:r>
      <w:r w:rsidR="00E21D49">
        <w:t>areas</w:t>
      </w:r>
      <w:r w:rsidRPr="00137A8B">
        <w:t>.</w:t>
      </w:r>
      <w:r w:rsidR="00BE5A27">
        <w:t xml:space="preserve"> </w:t>
      </w:r>
      <w:r w:rsidR="00627090">
        <w:t xml:space="preserve">The original vision and values of the strategy </w:t>
      </w:r>
      <w:r w:rsidR="00BD03B2">
        <w:t>are worth reiterating as the strategy enters its final 3 year action plan.</w:t>
      </w:r>
    </w:p>
    <w:p w14:paraId="499ECCD3" w14:textId="77777777" w:rsidR="00A3269A" w:rsidRPr="00A3269A" w:rsidRDefault="00A3269A" w:rsidP="00A3269A">
      <w:pPr>
        <w:pStyle w:val="Heading2"/>
      </w:pPr>
      <w:bookmarkStart w:id="33" w:name="_Toc101857189"/>
      <w:r w:rsidRPr="00A3269A">
        <w:t>Vision and underpinning values</w:t>
      </w:r>
      <w:bookmarkEnd w:id="33"/>
    </w:p>
    <w:p w14:paraId="6C2485CE" w14:textId="77777777" w:rsidR="00A3269A" w:rsidRPr="00A3269A" w:rsidRDefault="00A3269A" w:rsidP="00A3269A">
      <w:pPr>
        <w:spacing w:after="120"/>
      </w:pPr>
      <w:r w:rsidRPr="00A3269A">
        <w:t xml:space="preserve">The vision for this strategy is that </w:t>
      </w:r>
      <w:r>
        <w:t>p</w:t>
      </w:r>
      <w:r w:rsidRPr="00A3269A">
        <w:t>eople with disabilities can get a job and enjoy a rewarding career. T</w:t>
      </w:r>
      <w:r>
        <w:t xml:space="preserve">he </w:t>
      </w:r>
      <w:r w:rsidRPr="00A3269A">
        <w:t xml:space="preserve">values </w:t>
      </w:r>
      <w:r>
        <w:t xml:space="preserve">that </w:t>
      </w:r>
      <w:r w:rsidRPr="00A3269A">
        <w:t>underpin this</w:t>
      </w:r>
      <w:r>
        <w:t xml:space="preserve"> strategy are as follows:</w:t>
      </w:r>
    </w:p>
    <w:p w14:paraId="502E10CB" w14:textId="77777777" w:rsidR="00A3269A" w:rsidRPr="00A3269A" w:rsidRDefault="00A3269A" w:rsidP="00E21D49">
      <w:pPr>
        <w:pStyle w:val="ListBullet"/>
        <w:tabs>
          <w:tab w:val="clear" w:pos="360"/>
          <w:tab w:val="num" w:pos="720"/>
        </w:tabs>
        <w:spacing w:after="0"/>
        <w:ind w:left="720"/>
      </w:pPr>
      <w:r w:rsidRPr="00A3269A">
        <w:t>People with disabilities are enabled to have jobs, earn a living and make a contribution</w:t>
      </w:r>
    </w:p>
    <w:p w14:paraId="12471763" w14:textId="77777777" w:rsidR="00A3269A" w:rsidRPr="00A3269A" w:rsidRDefault="00A3269A" w:rsidP="00E21D49">
      <w:pPr>
        <w:pStyle w:val="ListBullet"/>
        <w:tabs>
          <w:tab w:val="clear" w:pos="360"/>
          <w:tab w:val="num" w:pos="720"/>
        </w:tabs>
        <w:spacing w:after="0"/>
        <w:ind w:left="720"/>
      </w:pPr>
      <w:r w:rsidRPr="00A3269A">
        <w:t>People with disabilities are supported to maximise their potential</w:t>
      </w:r>
    </w:p>
    <w:p w14:paraId="4C58EA0F" w14:textId="77777777" w:rsidR="00A3269A" w:rsidRPr="00A3269A" w:rsidRDefault="00A3269A" w:rsidP="00E21D49">
      <w:pPr>
        <w:pStyle w:val="ListBullet"/>
        <w:tabs>
          <w:tab w:val="clear" w:pos="360"/>
          <w:tab w:val="num" w:pos="720"/>
        </w:tabs>
        <w:spacing w:after="0"/>
        <w:ind w:left="720"/>
      </w:pPr>
      <w:r w:rsidRPr="00A3269A">
        <w:t>The focus is on a person’s capacity not their incapacity</w:t>
      </w:r>
    </w:p>
    <w:p w14:paraId="0A182B07" w14:textId="77777777" w:rsidR="00A3269A" w:rsidRPr="00A3269A" w:rsidRDefault="00A3269A" w:rsidP="00E21D49">
      <w:pPr>
        <w:pStyle w:val="ListBullet"/>
        <w:tabs>
          <w:tab w:val="clear" w:pos="360"/>
          <w:tab w:val="num" w:pos="720"/>
        </w:tabs>
        <w:spacing w:after="0"/>
        <w:ind w:left="720"/>
      </w:pPr>
      <w:r w:rsidRPr="00A3269A">
        <w:t>The strategy covers people across the spectrum of disability</w:t>
      </w:r>
    </w:p>
    <w:p w14:paraId="5C375C65" w14:textId="77777777" w:rsidR="00A3269A" w:rsidRPr="00A3269A" w:rsidRDefault="00A3269A" w:rsidP="00E21D49">
      <w:pPr>
        <w:pStyle w:val="ListBullet"/>
        <w:tabs>
          <w:tab w:val="clear" w:pos="360"/>
          <w:tab w:val="num" w:pos="720"/>
        </w:tabs>
        <w:spacing w:after="0"/>
        <w:ind w:left="720"/>
      </w:pPr>
      <w:r w:rsidRPr="00A3269A">
        <w:t>It pays to have a job</w:t>
      </w:r>
    </w:p>
    <w:p w14:paraId="52E07904" w14:textId="77777777" w:rsidR="00A3269A" w:rsidRPr="00A3269A" w:rsidRDefault="00A3269A" w:rsidP="00E21D49">
      <w:pPr>
        <w:pStyle w:val="ListBullet"/>
        <w:tabs>
          <w:tab w:val="clear" w:pos="360"/>
          <w:tab w:val="num" w:pos="720"/>
        </w:tabs>
        <w:spacing w:after="0"/>
        <w:ind w:left="720"/>
      </w:pPr>
      <w:r w:rsidRPr="00A3269A">
        <w:t xml:space="preserve">People with disabilities get the supports they need to work </w:t>
      </w:r>
    </w:p>
    <w:p w14:paraId="088F5EA1" w14:textId="77777777" w:rsidR="00A3269A" w:rsidRPr="00A3269A" w:rsidRDefault="00A3269A" w:rsidP="00E21D49">
      <w:pPr>
        <w:pStyle w:val="ListBullet"/>
        <w:tabs>
          <w:tab w:val="clear" w:pos="360"/>
          <w:tab w:val="num" w:pos="720"/>
        </w:tabs>
        <w:spacing w:after="0"/>
        <w:ind w:left="720"/>
      </w:pPr>
      <w:r w:rsidRPr="00A3269A">
        <w:t>Support systems that cross departmental or agency boundaries are mutually coherent and provide a joined-up system and joined-up pathways</w:t>
      </w:r>
    </w:p>
    <w:p w14:paraId="7F2E0799" w14:textId="77777777" w:rsidR="00A3269A" w:rsidRPr="00A3269A" w:rsidRDefault="00A3269A" w:rsidP="00B73186">
      <w:pPr>
        <w:pStyle w:val="ListBullet"/>
        <w:tabs>
          <w:tab w:val="clear" w:pos="360"/>
          <w:tab w:val="num" w:pos="720"/>
        </w:tabs>
        <w:ind w:left="720"/>
      </w:pPr>
      <w:r>
        <w:t>Actions in this s</w:t>
      </w:r>
      <w:r w:rsidRPr="00A3269A">
        <w:t>trategy are built into the mainstream national employment strategy</w:t>
      </w:r>
    </w:p>
    <w:p w14:paraId="5AD172E8" w14:textId="77777777" w:rsidR="007A7793" w:rsidRPr="00501E5F" w:rsidRDefault="007A7793" w:rsidP="00501E5F">
      <w:pPr>
        <w:pStyle w:val="Heading2"/>
        <w:rPr>
          <w:rFonts w:eastAsiaTheme="minorEastAsia"/>
        </w:rPr>
      </w:pPr>
      <w:bookmarkStart w:id="34" w:name="_Toc101857190"/>
      <w:r w:rsidRPr="00501E5F">
        <w:rPr>
          <w:rFonts w:eastAsiaTheme="minorEastAsia"/>
        </w:rPr>
        <w:t>SP1 Build skills, capacity and independence</w:t>
      </w:r>
      <w:bookmarkEnd w:id="34"/>
    </w:p>
    <w:p w14:paraId="30321A54" w14:textId="77777777" w:rsidR="00196BC3" w:rsidRDefault="00196BC3" w:rsidP="00196BC3">
      <w:pPr>
        <w:rPr>
          <w:rFonts w:eastAsiaTheme="minorEastAsia" w:cstheme="minorBidi"/>
          <w:szCs w:val="26"/>
        </w:rPr>
      </w:pPr>
      <w:r>
        <w:rPr>
          <w:rFonts w:eastAsiaTheme="minorEastAsia" w:cstheme="minorBidi"/>
          <w:szCs w:val="26"/>
        </w:rPr>
        <w:t xml:space="preserve">This pillar of CES activity focuses on addressing gaps in education that may </w:t>
      </w:r>
      <w:r w:rsidR="004F1EF7">
        <w:rPr>
          <w:rFonts w:eastAsiaTheme="minorEastAsia" w:cstheme="minorBidi"/>
          <w:szCs w:val="26"/>
        </w:rPr>
        <w:t>exist</w:t>
      </w:r>
      <w:r>
        <w:rPr>
          <w:rFonts w:eastAsiaTheme="minorEastAsia" w:cstheme="minorBidi"/>
          <w:szCs w:val="26"/>
        </w:rPr>
        <w:t xml:space="preserve"> for people with disabilities</w:t>
      </w:r>
      <w:r w:rsidR="00994D21">
        <w:rPr>
          <w:rFonts w:eastAsiaTheme="minorEastAsia" w:cstheme="minorBidi"/>
          <w:szCs w:val="26"/>
        </w:rPr>
        <w:t>, thereby impacting on employment outcomes</w:t>
      </w:r>
      <w:r>
        <w:rPr>
          <w:rFonts w:eastAsiaTheme="minorEastAsia" w:cstheme="minorBidi"/>
          <w:szCs w:val="26"/>
        </w:rPr>
        <w:t>. Issues that require action include</w:t>
      </w:r>
      <w:r w:rsidR="003A44DE">
        <w:rPr>
          <w:rFonts w:eastAsiaTheme="minorEastAsia" w:cstheme="minorBidi"/>
          <w:szCs w:val="26"/>
        </w:rPr>
        <w:t xml:space="preserve"> raising expectations regarding employment and </w:t>
      </w:r>
      <w:r w:rsidR="00751E84">
        <w:rPr>
          <w:rFonts w:eastAsiaTheme="minorEastAsia" w:cstheme="minorBidi"/>
          <w:szCs w:val="26"/>
        </w:rPr>
        <w:t>developing</w:t>
      </w:r>
      <w:r w:rsidR="003A44DE">
        <w:rPr>
          <w:rFonts w:eastAsiaTheme="minorEastAsia" w:cstheme="minorBidi"/>
          <w:szCs w:val="26"/>
        </w:rPr>
        <w:t xml:space="preserve"> transition plans and approaches.</w:t>
      </w:r>
      <w:r w:rsidR="004F1EF7">
        <w:rPr>
          <w:rFonts w:eastAsiaTheme="minorEastAsia" w:cstheme="minorBidi"/>
          <w:szCs w:val="26"/>
        </w:rPr>
        <w:t xml:space="preserve"> </w:t>
      </w:r>
    </w:p>
    <w:p w14:paraId="0D28DF83" w14:textId="77777777" w:rsidR="004F1EF7" w:rsidRDefault="004F1EF7" w:rsidP="004F1EF7">
      <w:pPr>
        <w:pStyle w:val="Heading3"/>
      </w:pPr>
      <w:bookmarkStart w:id="35" w:name="_Toc101857191"/>
      <w:r>
        <w:t>Early years transition to primary education</w:t>
      </w:r>
      <w:bookmarkEnd w:id="35"/>
    </w:p>
    <w:p w14:paraId="741353A4" w14:textId="5DB3771D" w:rsidR="004F1EF7" w:rsidRDefault="004F1EF7" w:rsidP="004F1EF7">
      <w:r>
        <w:t xml:space="preserve">The </w:t>
      </w:r>
      <w:r w:rsidR="00235477">
        <w:t>‘</w:t>
      </w:r>
      <w:r>
        <w:t>Let’s Get Ready</w:t>
      </w:r>
      <w:r w:rsidR="009C6770">
        <w:rPr>
          <w:rStyle w:val="FootnoteReference"/>
        </w:rPr>
        <w:footnoteReference w:id="24"/>
      </w:r>
      <w:r w:rsidR="00235477">
        <w:t>’</w:t>
      </w:r>
      <w:r>
        <w:t xml:space="preserve"> transitio</w:t>
      </w:r>
      <w:r w:rsidR="00235477">
        <w:t>n campaign ran in 2020 and 2021</w:t>
      </w:r>
      <w:r w:rsidR="00D145EB">
        <w:t>. I</w:t>
      </w:r>
      <w:r w:rsidR="00235477">
        <w:t>t was</w:t>
      </w:r>
      <w:r>
        <w:t xml:space="preserve"> led by DCEDIY</w:t>
      </w:r>
      <w:r w:rsidR="00D145EB">
        <w:t>, who worked</w:t>
      </w:r>
      <w:r>
        <w:t xml:space="preserve"> with the Department of Education and a wide range of stakeholders</w:t>
      </w:r>
      <w:r w:rsidR="00994D21">
        <w:t xml:space="preserve"> to provide </w:t>
      </w:r>
      <w:r>
        <w:t xml:space="preserve">guidance for parents on practical steps they could take to support their children in the months leading up to the transition to primary school. The </w:t>
      </w:r>
      <w:r w:rsidR="00D145EB">
        <w:t>‘</w:t>
      </w:r>
      <w:r>
        <w:t>Let’s Get Ready</w:t>
      </w:r>
      <w:r w:rsidR="00D145EB">
        <w:t>’</w:t>
      </w:r>
      <w:r>
        <w:t xml:space="preserve"> website provided tips on what children and parents could expect on their transition or return to pre-school and primary school. The campaign included a Transitions Pa</w:t>
      </w:r>
      <w:r w:rsidR="0097551C">
        <w:t>ck that</w:t>
      </w:r>
      <w:r>
        <w:t xml:space="preserve"> was distributed over the summer to all pre-schools and Home School Liaison Co-ordinators through the City and County Childcare Committees. Pre-school services sent them to over 50,000 children who were starting school for the first time. The pack included a tip sheet for parents on supporting independence skills and well-being; a postcard for children to draw a picture of themselves for their new teacher; and the National Council for Curriculum and Assessment's Mo Scéal template for parents to fill in and provide information on their child for the school.</w:t>
      </w:r>
      <w:r w:rsidR="00685F56">
        <w:t xml:space="preserve"> </w:t>
      </w:r>
    </w:p>
    <w:p w14:paraId="247CBD7B" w14:textId="13E27FE0" w:rsidR="004F1EF7" w:rsidRDefault="00592067" w:rsidP="004F1EF7">
      <w:r>
        <w:t xml:space="preserve">Establishing the practice of managed and supported transitions along the education journey are </w:t>
      </w:r>
      <w:r w:rsidR="00643CFB">
        <w:t>an important feature</w:t>
      </w:r>
      <w:r>
        <w:t xml:space="preserve"> of support the learner with disabilities </w:t>
      </w:r>
      <w:r w:rsidR="00643CFB">
        <w:t xml:space="preserve">requires </w:t>
      </w:r>
      <w:r>
        <w:t>as they build their skills and gain confidence.</w:t>
      </w:r>
      <w:r w:rsidR="00643CFB">
        <w:t xml:space="preserve"> </w:t>
      </w:r>
    </w:p>
    <w:p w14:paraId="607DD7BF" w14:textId="77777777" w:rsidR="00436F98" w:rsidRDefault="00506CC3" w:rsidP="0080490E">
      <w:pPr>
        <w:pStyle w:val="Heading3"/>
      </w:pPr>
      <w:bookmarkStart w:id="36" w:name="_Toc101857192"/>
      <w:r>
        <w:t>P</w:t>
      </w:r>
      <w:r w:rsidR="00436F98">
        <w:t>roviding a transition programme for all school leavers</w:t>
      </w:r>
      <w:r>
        <w:t xml:space="preserve"> (CES action 1.3)</w:t>
      </w:r>
      <w:bookmarkEnd w:id="36"/>
    </w:p>
    <w:p w14:paraId="56CA9FD7" w14:textId="48ED7624" w:rsidR="00436F98" w:rsidRDefault="00436F98" w:rsidP="00B72465">
      <w:r w:rsidRPr="00F50278">
        <w:t>A cross</w:t>
      </w:r>
      <w:r w:rsidR="00D3268B" w:rsidRPr="00F50278">
        <w:t>-</w:t>
      </w:r>
      <w:r w:rsidRPr="00F50278">
        <w:t>departmental and agency team consisting of</w:t>
      </w:r>
      <w:r w:rsidR="009D0D89" w:rsidRPr="00F50278">
        <w:t xml:space="preserve"> </w:t>
      </w:r>
      <w:r w:rsidR="006060A3" w:rsidRPr="00F50278">
        <w:t>Department of Education</w:t>
      </w:r>
      <w:r w:rsidRPr="00F50278">
        <w:t xml:space="preserve">, </w:t>
      </w:r>
      <w:r w:rsidR="008B063D">
        <w:t xml:space="preserve">Department of Health, </w:t>
      </w:r>
      <w:r w:rsidRPr="00F50278">
        <w:t xml:space="preserve">DFHERIS, </w:t>
      </w:r>
      <w:r w:rsidR="00670DF3" w:rsidRPr="00F50278">
        <w:t>ETBI (</w:t>
      </w:r>
      <w:r w:rsidR="009D0D89" w:rsidRPr="00F50278">
        <w:t>Education Training Boards Ireland</w:t>
      </w:r>
      <w:r w:rsidR="00670DF3" w:rsidRPr="00F50278">
        <w:t xml:space="preserve">), </w:t>
      </w:r>
      <w:r w:rsidRPr="00F50278">
        <w:t xml:space="preserve">HEA, HSE, </w:t>
      </w:r>
      <w:r w:rsidR="009D0D89" w:rsidRPr="00F50278">
        <w:t xml:space="preserve">National Council </w:t>
      </w:r>
      <w:r w:rsidR="006060A3" w:rsidRPr="00F50278">
        <w:t xml:space="preserve">for </w:t>
      </w:r>
      <w:r w:rsidR="009D0D89" w:rsidRPr="00F50278">
        <w:t>Special Education (</w:t>
      </w:r>
      <w:r w:rsidRPr="00F50278">
        <w:t>NCSE</w:t>
      </w:r>
      <w:r w:rsidR="009D0D89" w:rsidRPr="00F50278">
        <w:t>)</w:t>
      </w:r>
      <w:r w:rsidR="00670DF3" w:rsidRPr="00F50278">
        <w:t xml:space="preserve"> and Solas </w:t>
      </w:r>
      <w:r w:rsidRPr="00F50278">
        <w:t xml:space="preserve">have </w:t>
      </w:r>
      <w:r w:rsidR="00825269" w:rsidRPr="00F50278">
        <w:t xml:space="preserve">developed a </w:t>
      </w:r>
      <w:r w:rsidR="00D3268B" w:rsidRPr="00F50278">
        <w:t>‘T</w:t>
      </w:r>
      <w:r w:rsidR="00825269" w:rsidRPr="00F50278">
        <w:t xml:space="preserve">ransition from </w:t>
      </w:r>
      <w:r w:rsidR="00D3268B" w:rsidRPr="00F50278">
        <w:t>S</w:t>
      </w:r>
      <w:r w:rsidR="00825269" w:rsidRPr="00F50278">
        <w:t>chool</w:t>
      </w:r>
      <w:r w:rsidR="00D3268B" w:rsidRPr="00F50278">
        <w:t>’</w:t>
      </w:r>
      <w:r w:rsidR="00825269" w:rsidRPr="00F50278">
        <w:t xml:space="preserve"> pilot project</w:t>
      </w:r>
      <w:r w:rsidR="006060A3" w:rsidRPr="00F50278">
        <w:t xml:space="preserve"> during 2021</w:t>
      </w:r>
      <w:r w:rsidR="00825269" w:rsidRPr="00F50278">
        <w:t xml:space="preserve">. </w:t>
      </w:r>
      <w:r w:rsidR="00F50278" w:rsidRPr="00F50278">
        <w:t xml:space="preserve">This project builds on evidence that has shown </w:t>
      </w:r>
      <w:r w:rsidR="00F50278" w:rsidRPr="00F50278">
        <w:rPr>
          <w:rFonts w:cs="Arial"/>
          <w:shd w:val="clear" w:color="auto" w:fill="FFFFFF"/>
        </w:rPr>
        <w:t>effective practices</w:t>
      </w:r>
      <w:r w:rsidR="0097551C">
        <w:rPr>
          <w:rFonts w:cs="Arial"/>
          <w:shd w:val="clear" w:color="auto" w:fill="FFFFFF"/>
        </w:rPr>
        <w:t xml:space="preserve"> </w:t>
      </w:r>
      <w:r w:rsidR="00F50278" w:rsidRPr="00F50278">
        <w:rPr>
          <w:rFonts w:cs="Arial"/>
          <w:shd w:val="clear" w:color="auto" w:fill="FFFFFF"/>
        </w:rPr>
        <w:t>such as family involvement, inclusion in general education, work-based learning, and interagency collaboration</w:t>
      </w:r>
      <w:r w:rsidR="00F50278" w:rsidRPr="00F50278">
        <w:rPr>
          <w:shd w:val="clear" w:color="auto" w:fill="FFFFFF"/>
        </w:rPr>
        <w:t xml:space="preserve"> is necessary to help young people with disabilities reach their potential</w:t>
      </w:r>
      <w:r w:rsidR="00F50278">
        <w:rPr>
          <w:rStyle w:val="FootnoteReference"/>
          <w:shd w:val="clear" w:color="auto" w:fill="FFFFFF"/>
        </w:rPr>
        <w:footnoteReference w:id="25"/>
      </w:r>
      <w:r w:rsidR="00F50278">
        <w:rPr>
          <w:shd w:val="clear" w:color="auto" w:fill="FFFFFF"/>
        </w:rPr>
        <w:t xml:space="preserve">. </w:t>
      </w:r>
      <w:r w:rsidR="00825269">
        <w:t>This</w:t>
      </w:r>
      <w:r>
        <w:t xml:space="preserve"> pilot </w:t>
      </w:r>
      <w:r w:rsidR="00D3268B">
        <w:t xml:space="preserve">project, </w:t>
      </w:r>
      <w:r w:rsidR="00825269">
        <w:t>which will commence i</w:t>
      </w:r>
      <w:r w:rsidR="00D3268B">
        <w:t>n</w:t>
      </w:r>
      <w:r w:rsidR="00825269">
        <w:t xml:space="preserve"> 2022, </w:t>
      </w:r>
      <w:r>
        <w:t xml:space="preserve">aims to provide all school leavers who require specialist supports with access to a transitions programme. The pilot will take place over 2.5 to 3 years in two demonstration sites (North Dublin and Galway). A project coordinator is in place and partners from across the education </w:t>
      </w:r>
      <w:r w:rsidR="006060A3">
        <w:t xml:space="preserve">sector </w:t>
      </w:r>
      <w:r>
        <w:t>will ensure that all young people involved will have a transition plan.</w:t>
      </w:r>
      <w:r w:rsidR="00825269">
        <w:t xml:space="preserve"> The project coordinator </w:t>
      </w:r>
      <w:r w:rsidR="008B063D">
        <w:t>is conducting</w:t>
      </w:r>
      <w:r w:rsidR="00825269">
        <w:t xml:space="preserve"> a mapping of provision in the </w:t>
      </w:r>
      <w:r w:rsidR="00D3268B">
        <w:t>two</w:t>
      </w:r>
      <w:r w:rsidR="00825269">
        <w:t xml:space="preserve"> pilot locations.</w:t>
      </w:r>
    </w:p>
    <w:p w14:paraId="3662D2B3" w14:textId="3561816E" w:rsidR="00A84869" w:rsidRDefault="00436F98" w:rsidP="00B72465">
      <w:r>
        <w:t xml:space="preserve">Actions </w:t>
      </w:r>
      <w:r w:rsidR="00757393">
        <w:t xml:space="preserve">in this project </w:t>
      </w:r>
      <w:r>
        <w:t xml:space="preserve">include reaching out to rural, urban, DEIS and Gaeltacht schools, be they special schools, mainstream schools </w:t>
      </w:r>
      <w:r w:rsidR="006060A3">
        <w:t xml:space="preserve">or </w:t>
      </w:r>
      <w:r>
        <w:t>mainstream schools with special classes. The pilot will track the journey of the young person, parents and schools and will be adapted as it goes</w:t>
      </w:r>
      <w:r w:rsidR="006060A3">
        <w:t xml:space="preserve"> in order to address the specific transition needs of participants</w:t>
      </w:r>
      <w:r>
        <w:t xml:space="preserve">. </w:t>
      </w:r>
    </w:p>
    <w:p w14:paraId="5546A11A" w14:textId="77777777" w:rsidR="00291452" w:rsidRDefault="00291452" w:rsidP="00B73186">
      <w:pPr>
        <w:pStyle w:val="Heading4"/>
      </w:pPr>
      <w:r>
        <w:t>HSE Adult Day Services</w:t>
      </w:r>
    </w:p>
    <w:p w14:paraId="119F4C9F" w14:textId="77777777" w:rsidR="00291452" w:rsidRDefault="00291452" w:rsidP="00291452">
      <w:pPr>
        <w:rPr>
          <w:color w:val="000000"/>
          <w:szCs w:val="26"/>
        </w:rPr>
      </w:pPr>
      <w:r w:rsidRPr="0080490E">
        <w:t>The picture presented by HSE funded Adult Day Services illustrates the level of movement and demand for these services during 2021. Nationally, the HSE processed in excess of 1,800 referrals from Rehabilitation Training (RT) or School Leavers. This process involves an extensive profiling of these referrals. Of note is that approximately 200-300 of those referrals do not enter HSE services. Instead, these young people - with support from disability providers, families and mainstream education providers - choose to access a mainstream option or remain with their current educational service for another</w:t>
      </w:r>
      <w:r w:rsidRPr="00CD6900">
        <w:rPr>
          <w:color w:val="000000"/>
          <w:szCs w:val="26"/>
        </w:rPr>
        <w:t xml:space="preserve"> year.</w:t>
      </w:r>
      <w:r>
        <w:rPr>
          <w:color w:val="000000"/>
          <w:szCs w:val="26"/>
        </w:rPr>
        <w:t xml:space="preserve"> Further analysis of the profiling data outlining what supports encouraged young people to defer an ADS place would be helpful to plan better transitions.</w:t>
      </w:r>
    </w:p>
    <w:p w14:paraId="274B3200" w14:textId="77777777" w:rsidR="00291452" w:rsidRPr="00884F61" w:rsidRDefault="00291452" w:rsidP="00291452">
      <w:pPr>
        <w:rPr>
          <w:b/>
          <w:sz w:val="22"/>
          <w:szCs w:val="22"/>
        </w:rPr>
      </w:pPr>
      <w:r w:rsidRPr="00884F61">
        <w:rPr>
          <w:b/>
          <w:sz w:val="22"/>
          <w:szCs w:val="22"/>
        </w:rPr>
        <w:t>Table 1 – Number of people in day services or rehabilitative training 2021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2835"/>
      </w:tblGrid>
      <w:tr w:rsidR="00291452" w:rsidRPr="00E324D4" w14:paraId="3F2D4BBD" w14:textId="77777777" w:rsidTr="00737AD6">
        <w:tc>
          <w:tcPr>
            <w:tcW w:w="4673" w:type="dxa"/>
            <w:tcBorders>
              <w:top w:val="single" w:sz="4" w:space="0" w:color="auto"/>
              <w:left w:val="single" w:sz="4" w:space="0" w:color="auto"/>
              <w:bottom w:val="single" w:sz="4" w:space="0" w:color="auto"/>
              <w:right w:val="single" w:sz="4" w:space="0" w:color="auto"/>
            </w:tcBorders>
            <w:hideMark/>
          </w:tcPr>
          <w:p w14:paraId="0AC9F35C" w14:textId="77777777" w:rsidR="00291452" w:rsidRPr="00E324D4" w:rsidRDefault="00291452" w:rsidP="00737AD6">
            <w:pPr>
              <w:rPr>
                <w:szCs w:val="26"/>
              </w:rPr>
            </w:pPr>
            <w:r w:rsidRPr="00E324D4">
              <w:rPr>
                <w:szCs w:val="26"/>
              </w:rPr>
              <w:t xml:space="preserve">Number of Adults in Day Services </w:t>
            </w:r>
          </w:p>
        </w:tc>
        <w:tc>
          <w:tcPr>
            <w:tcW w:w="2835" w:type="dxa"/>
            <w:tcBorders>
              <w:top w:val="single" w:sz="4" w:space="0" w:color="auto"/>
              <w:left w:val="single" w:sz="4" w:space="0" w:color="auto"/>
              <w:bottom w:val="single" w:sz="4" w:space="0" w:color="auto"/>
              <w:right w:val="single" w:sz="4" w:space="0" w:color="auto"/>
            </w:tcBorders>
            <w:hideMark/>
          </w:tcPr>
          <w:p w14:paraId="0089BD3C" w14:textId="77777777" w:rsidR="00291452" w:rsidRPr="00E324D4" w:rsidRDefault="00291452" w:rsidP="00737AD6">
            <w:pPr>
              <w:jc w:val="right"/>
              <w:rPr>
                <w:szCs w:val="26"/>
              </w:rPr>
            </w:pPr>
            <w:r w:rsidRPr="00E324D4">
              <w:rPr>
                <w:szCs w:val="26"/>
              </w:rPr>
              <w:t>17,500</w:t>
            </w:r>
          </w:p>
        </w:tc>
      </w:tr>
      <w:tr w:rsidR="00291452" w:rsidRPr="00E324D4" w14:paraId="322BB3D8" w14:textId="77777777" w:rsidTr="00737AD6">
        <w:tc>
          <w:tcPr>
            <w:tcW w:w="4673" w:type="dxa"/>
            <w:tcBorders>
              <w:top w:val="single" w:sz="4" w:space="0" w:color="auto"/>
              <w:left w:val="single" w:sz="4" w:space="0" w:color="auto"/>
              <w:bottom w:val="single" w:sz="4" w:space="0" w:color="auto"/>
              <w:right w:val="single" w:sz="4" w:space="0" w:color="auto"/>
            </w:tcBorders>
            <w:hideMark/>
          </w:tcPr>
          <w:p w14:paraId="47BF5A31" w14:textId="77777777" w:rsidR="00291452" w:rsidRPr="00E324D4" w:rsidRDefault="00291452" w:rsidP="00737AD6">
            <w:pPr>
              <w:rPr>
                <w:szCs w:val="26"/>
              </w:rPr>
            </w:pPr>
            <w:r w:rsidRPr="00E324D4">
              <w:rPr>
                <w:szCs w:val="26"/>
              </w:rPr>
              <w:t xml:space="preserve">Number of People </w:t>
            </w:r>
            <w:r>
              <w:rPr>
                <w:szCs w:val="26"/>
              </w:rPr>
              <w:t xml:space="preserve">engaged </w:t>
            </w:r>
            <w:r w:rsidRPr="00E324D4">
              <w:rPr>
                <w:szCs w:val="26"/>
              </w:rPr>
              <w:t>in RT</w:t>
            </w:r>
          </w:p>
        </w:tc>
        <w:tc>
          <w:tcPr>
            <w:tcW w:w="2835" w:type="dxa"/>
            <w:tcBorders>
              <w:top w:val="single" w:sz="4" w:space="0" w:color="auto"/>
              <w:left w:val="single" w:sz="4" w:space="0" w:color="auto"/>
              <w:bottom w:val="single" w:sz="4" w:space="0" w:color="auto"/>
              <w:right w:val="single" w:sz="4" w:space="0" w:color="auto"/>
            </w:tcBorders>
            <w:hideMark/>
          </w:tcPr>
          <w:p w14:paraId="12F3E883" w14:textId="77777777" w:rsidR="00291452" w:rsidRPr="00E324D4" w:rsidRDefault="00291452" w:rsidP="00737AD6">
            <w:pPr>
              <w:jc w:val="right"/>
              <w:rPr>
                <w:szCs w:val="26"/>
              </w:rPr>
            </w:pPr>
            <w:r>
              <w:rPr>
                <w:szCs w:val="26"/>
              </w:rPr>
              <w:t>3078</w:t>
            </w:r>
          </w:p>
        </w:tc>
      </w:tr>
      <w:tr w:rsidR="00291452" w:rsidRPr="00E324D4" w14:paraId="0F5ED294" w14:textId="77777777" w:rsidTr="00737AD6">
        <w:tc>
          <w:tcPr>
            <w:tcW w:w="4673" w:type="dxa"/>
            <w:tcBorders>
              <w:top w:val="single" w:sz="4" w:space="0" w:color="auto"/>
              <w:left w:val="single" w:sz="4" w:space="0" w:color="auto"/>
              <w:bottom w:val="single" w:sz="4" w:space="0" w:color="auto"/>
              <w:right w:val="single" w:sz="4" w:space="0" w:color="auto"/>
            </w:tcBorders>
          </w:tcPr>
          <w:p w14:paraId="519F3F88" w14:textId="77777777" w:rsidR="00291452" w:rsidRPr="00E324D4" w:rsidRDefault="00291452" w:rsidP="00737AD6">
            <w:pPr>
              <w:rPr>
                <w:szCs w:val="26"/>
              </w:rPr>
            </w:pPr>
            <w:r>
              <w:rPr>
                <w:szCs w:val="26"/>
              </w:rPr>
              <w:t>Other: Non SL/RT</w:t>
            </w:r>
          </w:p>
        </w:tc>
        <w:tc>
          <w:tcPr>
            <w:tcW w:w="2835" w:type="dxa"/>
            <w:tcBorders>
              <w:top w:val="single" w:sz="4" w:space="0" w:color="auto"/>
              <w:left w:val="single" w:sz="4" w:space="0" w:color="auto"/>
              <w:bottom w:val="single" w:sz="4" w:space="0" w:color="auto"/>
              <w:right w:val="single" w:sz="4" w:space="0" w:color="auto"/>
            </w:tcBorders>
          </w:tcPr>
          <w:p w14:paraId="65552AFB" w14:textId="77777777" w:rsidR="00291452" w:rsidRPr="00E324D4" w:rsidRDefault="00291452" w:rsidP="00737AD6">
            <w:pPr>
              <w:jc w:val="right"/>
              <w:rPr>
                <w:szCs w:val="26"/>
              </w:rPr>
            </w:pPr>
            <w:r>
              <w:rPr>
                <w:szCs w:val="26"/>
              </w:rPr>
              <w:t>292</w:t>
            </w:r>
          </w:p>
        </w:tc>
      </w:tr>
      <w:tr w:rsidR="00291452" w:rsidRPr="00E324D4" w14:paraId="502C5DDC" w14:textId="77777777" w:rsidTr="00737AD6">
        <w:tc>
          <w:tcPr>
            <w:tcW w:w="4673" w:type="dxa"/>
            <w:tcBorders>
              <w:top w:val="single" w:sz="4" w:space="0" w:color="auto"/>
              <w:left w:val="single" w:sz="4" w:space="0" w:color="auto"/>
              <w:bottom w:val="single" w:sz="4" w:space="0" w:color="auto"/>
              <w:right w:val="single" w:sz="4" w:space="0" w:color="auto"/>
            </w:tcBorders>
            <w:hideMark/>
          </w:tcPr>
          <w:p w14:paraId="43C120C0" w14:textId="77777777" w:rsidR="00291452" w:rsidRPr="00E324D4" w:rsidRDefault="00291452" w:rsidP="00737AD6">
            <w:pPr>
              <w:rPr>
                <w:szCs w:val="26"/>
              </w:rPr>
            </w:pPr>
            <w:r w:rsidRPr="00E324D4">
              <w:rPr>
                <w:szCs w:val="26"/>
              </w:rPr>
              <w:t xml:space="preserve">Number of Deferred placements RT/School Leavers 2021 </w:t>
            </w:r>
          </w:p>
        </w:tc>
        <w:tc>
          <w:tcPr>
            <w:tcW w:w="2835" w:type="dxa"/>
            <w:tcBorders>
              <w:top w:val="single" w:sz="4" w:space="0" w:color="auto"/>
              <w:left w:val="single" w:sz="4" w:space="0" w:color="auto"/>
              <w:bottom w:val="single" w:sz="4" w:space="0" w:color="auto"/>
              <w:right w:val="single" w:sz="4" w:space="0" w:color="auto"/>
            </w:tcBorders>
            <w:hideMark/>
          </w:tcPr>
          <w:p w14:paraId="63124D4D" w14:textId="77777777" w:rsidR="00291452" w:rsidRPr="00E324D4" w:rsidRDefault="00291452" w:rsidP="00737AD6">
            <w:pPr>
              <w:jc w:val="right"/>
              <w:rPr>
                <w:szCs w:val="26"/>
              </w:rPr>
            </w:pPr>
            <w:r>
              <w:rPr>
                <w:szCs w:val="26"/>
              </w:rPr>
              <w:t xml:space="preserve"> </w:t>
            </w:r>
            <w:r w:rsidRPr="00E324D4">
              <w:rPr>
                <w:szCs w:val="26"/>
              </w:rPr>
              <w:t xml:space="preserve"> 83</w:t>
            </w:r>
          </w:p>
        </w:tc>
      </w:tr>
    </w:tbl>
    <w:p w14:paraId="78AF2F0D" w14:textId="0D59511B" w:rsidR="00291452" w:rsidRPr="00F87D42" w:rsidRDefault="00291452" w:rsidP="00F87D42">
      <w:pPr>
        <w:spacing w:after="160" w:line="256" w:lineRule="auto"/>
        <w:contextualSpacing/>
        <w:rPr>
          <w:szCs w:val="26"/>
          <w:lang w:eastAsia="en-IE"/>
        </w:rPr>
      </w:pPr>
      <w:r>
        <w:rPr>
          <w:szCs w:val="26"/>
          <w:lang w:eastAsia="en-IE"/>
        </w:rPr>
        <w:br w:type="textWrapping" w:clear="all"/>
      </w:r>
    </w:p>
    <w:p w14:paraId="0839DD78" w14:textId="77777777" w:rsidR="00AB69E8" w:rsidRDefault="00AB69E8" w:rsidP="0080490E">
      <w:pPr>
        <w:pStyle w:val="Heading3"/>
        <w:rPr>
          <w:rFonts w:eastAsiaTheme="minorEastAsia"/>
        </w:rPr>
      </w:pPr>
      <w:bookmarkStart w:id="37" w:name="_Toc101857193"/>
      <w:r>
        <w:rPr>
          <w:rFonts w:eastAsiaTheme="minorEastAsia"/>
        </w:rPr>
        <w:t>Additional progress during 2021</w:t>
      </w:r>
      <w:bookmarkEnd w:id="37"/>
    </w:p>
    <w:p w14:paraId="0C2B904A" w14:textId="658EF9BC" w:rsidR="008B6494" w:rsidRDefault="000A4352" w:rsidP="008B6494">
      <w:pPr>
        <w:rPr>
          <w:rFonts w:ascii="Calibri" w:hAnsi="Calibri"/>
          <w:sz w:val="22"/>
          <w:szCs w:val="22"/>
        </w:rPr>
      </w:pPr>
      <w:r w:rsidRPr="00AB69E8">
        <w:rPr>
          <w:szCs w:val="26"/>
        </w:rPr>
        <w:t>During 2021</w:t>
      </w:r>
      <w:r w:rsidR="00D3268B">
        <w:rPr>
          <w:szCs w:val="26"/>
        </w:rPr>
        <w:t>,</w:t>
      </w:r>
      <w:r w:rsidRPr="00AB69E8">
        <w:rPr>
          <w:szCs w:val="26"/>
        </w:rPr>
        <w:t xml:space="preserve"> DSP continued to fund the Ability Programme of pilot projects.</w:t>
      </w:r>
      <w:r w:rsidR="0000084C">
        <w:rPr>
          <w:rStyle w:val="FootnoteReference"/>
          <w:szCs w:val="26"/>
        </w:rPr>
        <w:footnoteReference w:id="26"/>
      </w:r>
      <w:r w:rsidRPr="00AB69E8">
        <w:rPr>
          <w:szCs w:val="26"/>
        </w:rPr>
        <w:t xml:space="preserve"> A final evaluation report is </w:t>
      </w:r>
      <w:r w:rsidR="006060A3">
        <w:rPr>
          <w:szCs w:val="26"/>
        </w:rPr>
        <w:t>in development</w:t>
      </w:r>
      <w:r w:rsidRPr="00AB69E8">
        <w:rPr>
          <w:szCs w:val="26"/>
        </w:rPr>
        <w:t xml:space="preserve">, with dissemination to </w:t>
      </w:r>
      <w:r w:rsidR="006060A3">
        <w:rPr>
          <w:szCs w:val="26"/>
        </w:rPr>
        <w:t xml:space="preserve">the </w:t>
      </w:r>
      <w:r w:rsidRPr="00AB69E8">
        <w:rPr>
          <w:szCs w:val="26"/>
        </w:rPr>
        <w:t>CES</w:t>
      </w:r>
      <w:r w:rsidR="006060A3">
        <w:rPr>
          <w:szCs w:val="26"/>
        </w:rPr>
        <w:t xml:space="preserve"> Implementation Group </w:t>
      </w:r>
      <w:r w:rsidR="00F10ED3">
        <w:rPr>
          <w:szCs w:val="26"/>
        </w:rPr>
        <w:t>expected</w:t>
      </w:r>
      <w:r w:rsidRPr="00AB69E8">
        <w:rPr>
          <w:szCs w:val="26"/>
        </w:rPr>
        <w:t xml:space="preserve"> in </w:t>
      </w:r>
      <w:r w:rsidR="00724945">
        <w:rPr>
          <w:szCs w:val="26"/>
        </w:rPr>
        <w:t>the first half of</w:t>
      </w:r>
      <w:r w:rsidR="00724945" w:rsidRPr="00AB69E8">
        <w:rPr>
          <w:szCs w:val="26"/>
        </w:rPr>
        <w:t xml:space="preserve"> </w:t>
      </w:r>
      <w:r w:rsidRPr="00AB69E8">
        <w:rPr>
          <w:szCs w:val="26"/>
        </w:rPr>
        <w:t xml:space="preserve">2022. The Willing Able and Mentoring </w:t>
      </w:r>
      <w:r w:rsidR="00D3268B">
        <w:rPr>
          <w:szCs w:val="26"/>
        </w:rPr>
        <w:t>(</w:t>
      </w:r>
      <w:r w:rsidR="00F10ED3">
        <w:rPr>
          <w:szCs w:val="26"/>
        </w:rPr>
        <w:t>WAM</w:t>
      </w:r>
      <w:r w:rsidR="00D3268B">
        <w:rPr>
          <w:szCs w:val="26"/>
        </w:rPr>
        <w:t>)</w:t>
      </w:r>
      <w:r w:rsidR="00976150" w:rsidRPr="00AB69E8">
        <w:rPr>
          <w:rStyle w:val="FootnoteReference"/>
          <w:rFonts w:ascii="Gill Sans MT" w:hAnsi="Gill Sans MT"/>
          <w:sz w:val="26"/>
          <w:szCs w:val="26"/>
        </w:rPr>
        <w:footnoteReference w:id="27"/>
      </w:r>
      <w:r w:rsidR="00976150" w:rsidRPr="00AB69E8">
        <w:rPr>
          <w:szCs w:val="26"/>
        </w:rPr>
        <w:t xml:space="preserve"> </w:t>
      </w:r>
      <w:r w:rsidRPr="00AB69E8">
        <w:rPr>
          <w:szCs w:val="26"/>
        </w:rPr>
        <w:t>programme</w:t>
      </w:r>
      <w:r w:rsidR="00D3268B">
        <w:rPr>
          <w:szCs w:val="26"/>
        </w:rPr>
        <w:t>,</w:t>
      </w:r>
      <w:r w:rsidRPr="00AB69E8">
        <w:rPr>
          <w:szCs w:val="26"/>
        </w:rPr>
        <w:t xml:space="preserve"> also funded by DSP continued in 2021. This programme is uniquely placed to supp</w:t>
      </w:r>
      <w:r w:rsidR="00976150" w:rsidRPr="00AB69E8">
        <w:rPr>
          <w:szCs w:val="26"/>
        </w:rPr>
        <w:t xml:space="preserve">ort graduates with disabilities in </w:t>
      </w:r>
      <w:r w:rsidR="00976150" w:rsidRPr="00AB69E8">
        <w:rPr>
          <w:bCs/>
          <w:szCs w:val="26"/>
          <w:shd w:val="clear" w:color="auto" w:fill="FFFFFF"/>
        </w:rPr>
        <w:t>mentored</w:t>
      </w:r>
      <w:r w:rsidR="00D3268B">
        <w:rPr>
          <w:bCs/>
          <w:szCs w:val="26"/>
          <w:shd w:val="clear" w:color="auto" w:fill="FFFFFF"/>
        </w:rPr>
        <w:t xml:space="preserve"> and</w:t>
      </w:r>
      <w:r w:rsidR="00976150" w:rsidRPr="00AB69E8">
        <w:rPr>
          <w:bCs/>
          <w:szCs w:val="26"/>
          <w:shd w:val="clear" w:color="auto" w:fill="FFFFFF"/>
        </w:rPr>
        <w:t xml:space="preserve"> paid work placements. </w:t>
      </w:r>
      <w:r w:rsidR="008B6494">
        <w:t xml:space="preserve">In 2021, WAM supported a total of 85 graduates securing paid, mentored positions with 16 private sector companies and 16 Civil Service employers. All positions were full time and paid at graduate level. Positions varied in duration from six-months, one year to even some permanent contracts, all exclusively ring-fenced for graduates with disabilities. </w:t>
      </w:r>
    </w:p>
    <w:p w14:paraId="14FD0E3F" w14:textId="00568BC9" w:rsidR="00A44CF4" w:rsidRDefault="00A800C5" w:rsidP="00196BC3">
      <w:r>
        <w:t xml:space="preserve">As the </w:t>
      </w:r>
      <w:r w:rsidR="00DC6FC0">
        <w:t>Further Education Strategy was published in 2020</w:t>
      </w:r>
      <w:r w:rsidR="00DC6FC0">
        <w:rPr>
          <w:rStyle w:val="FootnoteReference"/>
        </w:rPr>
        <w:footnoteReference w:id="28"/>
      </w:r>
      <w:r>
        <w:t xml:space="preserve">, </w:t>
      </w:r>
      <w:r w:rsidR="00A44CF4">
        <w:t>a portion of the Fund for Disabled S</w:t>
      </w:r>
      <w:r w:rsidR="00670DF3">
        <w:t>tudents was transferred to Solas</w:t>
      </w:r>
      <w:r w:rsidR="00A44CF4">
        <w:t xml:space="preserve"> to support learners with disabilities. It will be important to </w:t>
      </w:r>
      <w:r w:rsidR="0002799D">
        <w:t>capture</w:t>
      </w:r>
      <w:r w:rsidR="00A44CF4">
        <w:t xml:space="preserve"> the data on </w:t>
      </w:r>
      <w:r w:rsidR="006060A3">
        <w:t>how this fund is used, and the outcomes associated with this expenditure</w:t>
      </w:r>
      <w:r w:rsidR="00670DF3">
        <w:t>.</w:t>
      </w:r>
      <w:r w:rsidR="00A44CF4">
        <w:t xml:space="preserve"> </w:t>
      </w:r>
    </w:p>
    <w:p w14:paraId="4B184933" w14:textId="1EA4BB09" w:rsidR="00DC6FC0" w:rsidRPr="00196BC3" w:rsidRDefault="00235477" w:rsidP="00196BC3">
      <w:r>
        <w:t>The NDA</w:t>
      </w:r>
      <w:r w:rsidR="006421C5">
        <w:t>,</w:t>
      </w:r>
      <w:r>
        <w:t xml:space="preserve"> in its assessment of SP 1</w:t>
      </w:r>
      <w:r w:rsidR="006421C5">
        <w:t>,</w:t>
      </w:r>
      <w:r>
        <w:t xml:space="preserve"> suggest</w:t>
      </w:r>
      <w:r w:rsidR="006421C5">
        <w:t>s</w:t>
      </w:r>
      <w:r>
        <w:t xml:space="preserve"> that the current FET strategy outlines how a cross-government policy can demonstrate and deliver reform. </w:t>
      </w:r>
      <w:r w:rsidR="00DC6FC0">
        <w:t xml:space="preserve">This reform and the other key actions outlined in the FET strategy </w:t>
      </w:r>
      <w:r w:rsidR="00643CFB">
        <w:t>can</w:t>
      </w:r>
      <w:r w:rsidR="00DC6FC0">
        <w:t xml:space="preserve"> deliver tangible change that better serves both the needs of the learner and the </w:t>
      </w:r>
      <w:r w:rsidR="00C27D5E">
        <w:t>labour market</w:t>
      </w:r>
      <w:r w:rsidR="00643CFB">
        <w:t>. This will require c</w:t>
      </w:r>
      <w:r w:rsidR="00DC6FC0">
        <w:t xml:space="preserve">ontinuing to build and strengthen pathways from secondary school to FET </w:t>
      </w:r>
      <w:r w:rsidR="00643CFB">
        <w:t xml:space="preserve">for the learner with a disability and </w:t>
      </w:r>
      <w:r w:rsidR="00DC6FC0">
        <w:t>is a key strategic objective for S</w:t>
      </w:r>
      <w:r w:rsidR="00670DF3">
        <w:t>olas</w:t>
      </w:r>
      <w:r w:rsidR="00DC6FC0">
        <w:t xml:space="preserve"> and the wider FET sector. </w:t>
      </w:r>
      <w:r w:rsidR="00036601">
        <w:t>Other measures</w:t>
      </w:r>
      <w:r w:rsidR="00643CFB">
        <w:t xml:space="preserve"> necessary </w:t>
      </w:r>
      <w:r w:rsidR="00724945">
        <w:t xml:space="preserve">to unlocking learners potential </w:t>
      </w:r>
      <w:r w:rsidR="00643CFB">
        <w:t>include ensuring access to vocational options during transition year</w:t>
      </w:r>
      <w:r w:rsidR="00DC6FC0">
        <w:t xml:space="preserve"> and senior cycle, and continuing to work with guidance professionals</w:t>
      </w:r>
      <w:r w:rsidR="00724945">
        <w:t>.</w:t>
      </w:r>
    </w:p>
    <w:p w14:paraId="7DBCF9D9" w14:textId="77777777" w:rsidR="00E67C38" w:rsidRDefault="00C27D5E">
      <w:pPr>
        <w:spacing w:after="0"/>
      </w:pPr>
      <w:r>
        <w:t>The NDA advises that there are s</w:t>
      </w:r>
      <w:r w:rsidR="0087393C">
        <w:t xml:space="preserve">pecific actions </w:t>
      </w:r>
      <w:r>
        <w:t>where</w:t>
      </w:r>
      <w:r w:rsidR="0087393C">
        <w:t xml:space="preserve"> further information</w:t>
      </w:r>
      <w:r>
        <w:t xml:space="preserve"> is required</w:t>
      </w:r>
      <w:r w:rsidR="00AB69E8">
        <w:t>:</w:t>
      </w:r>
    </w:p>
    <w:p w14:paraId="55C9EF3E" w14:textId="45825D9B" w:rsidR="0087393C" w:rsidRDefault="00724945" w:rsidP="00776272">
      <w:pPr>
        <w:pStyle w:val="ListParagraph"/>
        <w:numPr>
          <w:ilvl w:val="0"/>
          <w:numId w:val="32"/>
        </w:numPr>
        <w:spacing w:before="120"/>
      </w:pPr>
      <w:r>
        <w:t xml:space="preserve">Completion of the </w:t>
      </w:r>
      <w:r w:rsidR="0087393C">
        <w:t>Solas review o</w:t>
      </w:r>
      <w:r w:rsidR="00776272">
        <w:t>f Specialist Training Provision</w:t>
      </w:r>
      <w:r>
        <w:t>. This review was interrupted by COVID-19</w:t>
      </w:r>
    </w:p>
    <w:p w14:paraId="3EEC0FA4" w14:textId="6D0CE68B" w:rsidR="0087393C" w:rsidRDefault="0087393C" w:rsidP="00B72465">
      <w:pPr>
        <w:pStyle w:val="ListParagraph"/>
        <w:numPr>
          <w:ilvl w:val="0"/>
          <w:numId w:val="32"/>
        </w:numPr>
      </w:pPr>
      <w:r>
        <w:t xml:space="preserve">Solas </w:t>
      </w:r>
      <w:r w:rsidR="00724945">
        <w:t xml:space="preserve">to gather </w:t>
      </w:r>
      <w:r>
        <w:t>data on pre-apprenticeship developments to support people with disabilities</w:t>
      </w:r>
      <w:r w:rsidR="00776272">
        <w:t>.</w:t>
      </w:r>
    </w:p>
    <w:p w14:paraId="633A7277" w14:textId="039AD5BF" w:rsidR="00A90FD7" w:rsidRDefault="00A90FD7">
      <w:pPr>
        <w:spacing w:after="0"/>
      </w:pPr>
    </w:p>
    <w:p w14:paraId="54463A1D" w14:textId="77777777" w:rsidR="00A90FD7" w:rsidRPr="00A800C5" w:rsidRDefault="00A90FD7" w:rsidP="00A800C5">
      <w:pPr>
        <w:pStyle w:val="Heading2"/>
      </w:pPr>
      <w:bookmarkStart w:id="38" w:name="_Toc101857194"/>
      <w:r w:rsidRPr="00A800C5">
        <w:t>SP2 Provide bridges and supports into work</w:t>
      </w:r>
      <w:bookmarkEnd w:id="38"/>
    </w:p>
    <w:p w14:paraId="25304BA5" w14:textId="77777777" w:rsidR="00A431C0" w:rsidRDefault="00F33B6F" w:rsidP="00F33B6F">
      <w:pPr>
        <w:rPr>
          <w:szCs w:val="26"/>
          <w:lang w:eastAsia="en-IE"/>
        </w:rPr>
      </w:pPr>
      <w:r>
        <w:rPr>
          <w:szCs w:val="26"/>
          <w:lang w:eastAsia="en-IE"/>
        </w:rPr>
        <w:t>This strategic priority is concerned with s</w:t>
      </w:r>
      <w:r w:rsidRPr="000A127D">
        <w:rPr>
          <w:szCs w:val="26"/>
          <w:lang w:eastAsia="en-IE"/>
        </w:rPr>
        <w:t xml:space="preserve">temming the flow of people with </w:t>
      </w:r>
      <w:r>
        <w:rPr>
          <w:szCs w:val="26"/>
          <w:lang w:eastAsia="en-IE"/>
        </w:rPr>
        <w:t>disabilities into joblessness</w:t>
      </w:r>
      <w:r w:rsidRPr="000A127D">
        <w:rPr>
          <w:szCs w:val="26"/>
          <w:lang w:eastAsia="en-IE"/>
        </w:rPr>
        <w:t>.</w:t>
      </w:r>
      <w:r>
        <w:rPr>
          <w:szCs w:val="26"/>
          <w:lang w:eastAsia="en-IE"/>
        </w:rPr>
        <w:t xml:space="preserve"> </w:t>
      </w:r>
      <w:r w:rsidR="00571E6F">
        <w:rPr>
          <w:szCs w:val="26"/>
          <w:lang w:eastAsia="en-IE"/>
        </w:rPr>
        <w:t>Post</w:t>
      </w:r>
      <w:r w:rsidR="00EA29AA">
        <w:rPr>
          <w:szCs w:val="26"/>
          <w:lang w:eastAsia="en-IE"/>
        </w:rPr>
        <w:t>-</w:t>
      </w:r>
      <w:r w:rsidR="00571E6F">
        <w:rPr>
          <w:szCs w:val="26"/>
          <w:lang w:eastAsia="en-IE"/>
        </w:rPr>
        <w:t>age 16 options are critical</w:t>
      </w:r>
      <w:r>
        <w:rPr>
          <w:szCs w:val="26"/>
          <w:lang w:eastAsia="en-IE"/>
        </w:rPr>
        <w:t xml:space="preserve"> to ensuring that this does not occur</w:t>
      </w:r>
      <w:r w:rsidR="00571E6F">
        <w:rPr>
          <w:szCs w:val="26"/>
          <w:lang w:eastAsia="en-IE"/>
        </w:rPr>
        <w:t xml:space="preserve">. </w:t>
      </w:r>
      <w:r w:rsidR="00670DF3">
        <w:rPr>
          <w:szCs w:val="26"/>
          <w:lang w:eastAsia="en-IE"/>
        </w:rPr>
        <w:t>As evidenced by research</w:t>
      </w:r>
      <w:r w:rsidR="00C27D5E">
        <w:rPr>
          <w:szCs w:val="26"/>
          <w:lang w:eastAsia="en-IE"/>
        </w:rPr>
        <w:t>,</w:t>
      </w:r>
      <w:r w:rsidR="00670DF3">
        <w:rPr>
          <w:szCs w:val="26"/>
          <w:lang w:eastAsia="en-IE"/>
        </w:rPr>
        <w:t xml:space="preserve"> </w:t>
      </w:r>
      <w:r w:rsidR="00571E6F">
        <w:rPr>
          <w:szCs w:val="26"/>
          <w:lang w:eastAsia="en-IE"/>
        </w:rPr>
        <w:t>s</w:t>
      </w:r>
      <w:r w:rsidRPr="000A127D">
        <w:rPr>
          <w:szCs w:val="26"/>
          <w:lang w:eastAsia="en-IE"/>
        </w:rPr>
        <w:t xml:space="preserve">chool leavers </w:t>
      </w:r>
      <w:r w:rsidR="00C27D5E">
        <w:rPr>
          <w:szCs w:val="26"/>
          <w:lang w:eastAsia="en-IE"/>
        </w:rPr>
        <w:t xml:space="preserve">with disabilities </w:t>
      </w:r>
      <w:r w:rsidR="00A431C0">
        <w:rPr>
          <w:szCs w:val="26"/>
          <w:lang w:eastAsia="en-IE"/>
        </w:rPr>
        <w:t>require pathways into further education training and</w:t>
      </w:r>
      <w:r w:rsidR="00EA29AA">
        <w:rPr>
          <w:szCs w:val="26"/>
          <w:lang w:eastAsia="en-IE"/>
        </w:rPr>
        <w:t>/</w:t>
      </w:r>
      <w:r w:rsidR="00A431C0">
        <w:rPr>
          <w:szCs w:val="26"/>
          <w:lang w:eastAsia="en-IE"/>
        </w:rPr>
        <w:t xml:space="preserve">or higher education that are based on effective career guidance and </w:t>
      </w:r>
      <w:r w:rsidR="00571E6F">
        <w:rPr>
          <w:szCs w:val="26"/>
          <w:lang w:eastAsia="en-IE"/>
        </w:rPr>
        <w:t>appropriate support</w:t>
      </w:r>
      <w:r w:rsidR="00041A12">
        <w:rPr>
          <w:szCs w:val="26"/>
          <w:lang w:eastAsia="en-IE"/>
        </w:rPr>
        <w:t xml:space="preserve">. </w:t>
      </w:r>
    </w:p>
    <w:p w14:paraId="48D2BC01" w14:textId="77777777" w:rsidR="00772126" w:rsidRPr="00041A12" w:rsidRDefault="009A60D8" w:rsidP="00F33B6F">
      <w:pPr>
        <w:rPr>
          <w:szCs w:val="26"/>
          <w:lang w:eastAsia="en-IE"/>
        </w:rPr>
      </w:pPr>
      <w:r>
        <w:rPr>
          <w:szCs w:val="26"/>
          <w:lang w:eastAsia="en-IE"/>
        </w:rPr>
        <w:t>CSO e</w:t>
      </w:r>
      <w:r w:rsidR="00772126">
        <w:rPr>
          <w:szCs w:val="26"/>
          <w:lang w:eastAsia="en-IE"/>
        </w:rPr>
        <w:t>vid</w:t>
      </w:r>
      <w:r>
        <w:rPr>
          <w:szCs w:val="26"/>
          <w:lang w:eastAsia="en-IE"/>
        </w:rPr>
        <w:t>ence shows that</w:t>
      </w:r>
      <w:r w:rsidR="00772126">
        <w:rPr>
          <w:szCs w:val="26"/>
          <w:lang w:eastAsia="en-IE"/>
        </w:rPr>
        <w:t xml:space="preserve"> more learners with disabilities are choosing furth</w:t>
      </w:r>
      <w:r w:rsidR="00ED4089">
        <w:rPr>
          <w:szCs w:val="26"/>
          <w:lang w:eastAsia="en-IE"/>
        </w:rPr>
        <w:t>er and higher education opt</w:t>
      </w:r>
      <w:r>
        <w:rPr>
          <w:szCs w:val="26"/>
          <w:lang w:eastAsia="en-IE"/>
        </w:rPr>
        <w:t>ions. This is supported by Solas</w:t>
      </w:r>
      <w:r w:rsidR="00ED4089">
        <w:rPr>
          <w:szCs w:val="26"/>
          <w:lang w:eastAsia="en-IE"/>
        </w:rPr>
        <w:t xml:space="preserve"> data from </w:t>
      </w:r>
      <w:r w:rsidR="00C27D5E">
        <w:rPr>
          <w:szCs w:val="26"/>
          <w:lang w:eastAsia="en-IE"/>
        </w:rPr>
        <w:t xml:space="preserve">previous </w:t>
      </w:r>
      <w:r w:rsidR="00ED4089">
        <w:rPr>
          <w:szCs w:val="26"/>
          <w:lang w:eastAsia="en-IE"/>
        </w:rPr>
        <w:t>years</w:t>
      </w:r>
      <w:r w:rsidR="00EA29AA">
        <w:rPr>
          <w:szCs w:val="26"/>
          <w:lang w:eastAsia="en-IE"/>
        </w:rPr>
        <w:t>.</w:t>
      </w:r>
      <w:r>
        <w:rPr>
          <w:szCs w:val="26"/>
          <w:lang w:eastAsia="en-IE"/>
        </w:rPr>
        <w:t xml:space="preserve"> </w:t>
      </w:r>
      <w:r w:rsidR="00EA29AA">
        <w:rPr>
          <w:szCs w:val="26"/>
          <w:lang w:eastAsia="en-IE"/>
        </w:rPr>
        <w:t>H</w:t>
      </w:r>
      <w:r w:rsidR="00772126">
        <w:rPr>
          <w:szCs w:val="26"/>
          <w:lang w:eastAsia="en-IE"/>
        </w:rPr>
        <w:t>owever</w:t>
      </w:r>
      <w:r w:rsidR="00EA29AA">
        <w:rPr>
          <w:szCs w:val="26"/>
          <w:lang w:eastAsia="en-IE"/>
        </w:rPr>
        <w:t>,</w:t>
      </w:r>
      <w:r w:rsidR="00772126">
        <w:rPr>
          <w:szCs w:val="26"/>
          <w:lang w:eastAsia="en-IE"/>
        </w:rPr>
        <w:t xml:space="preserve"> it is </w:t>
      </w:r>
      <w:r w:rsidR="00AB69E8">
        <w:rPr>
          <w:szCs w:val="26"/>
          <w:lang w:eastAsia="en-IE"/>
        </w:rPr>
        <w:t xml:space="preserve">difficult </w:t>
      </w:r>
      <w:r w:rsidR="00772126">
        <w:rPr>
          <w:szCs w:val="26"/>
          <w:lang w:eastAsia="en-IE"/>
        </w:rPr>
        <w:t xml:space="preserve">to ascertain if these students are </w:t>
      </w:r>
      <w:r w:rsidR="001E409F">
        <w:rPr>
          <w:szCs w:val="26"/>
          <w:lang w:eastAsia="en-IE"/>
        </w:rPr>
        <w:t xml:space="preserve">completing </w:t>
      </w:r>
      <w:r w:rsidR="00ED4089">
        <w:rPr>
          <w:szCs w:val="26"/>
          <w:lang w:eastAsia="en-IE"/>
        </w:rPr>
        <w:t>these courses and progressing through education and onto employment.</w:t>
      </w:r>
    </w:p>
    <w:p w14:paraId="57833BA4" w14:textId="30A812D3" w:rsidR="00043632" w:rsidRDefault="00415A0B" w:rsidP="00043632">
      <w:pPr>
        <w:rPr>
          <w:szCs w:val="26"/>
          <w:lang w:eastAsia="en-IE"/>
        </w:rPr>
      </w:pPr>
      <w:r>
        <w:rPr>
          <w:szCs w:val="26"/>
          <w:lang w:eastAsia="en-IE"/>
        </w:rPr>
        <w:t xml:space="preserve">Maintaining supports </w:t>
      </w:r>
      <w:r w:rsidR="008D44C8">
        <w:rPr>
          <w:szCs w:val="26"/>
          <w:lang w:eastAsia="en-IE"/>
        </w:rPr>
        <w:t>during COVI -19 and ensuring</w:t>
      </w:r>
      <w:r>
        <w:rPr>
          <w:szCs w:val="26"/>
          <w:lang w:eastAsia="en-IE"/>
        </w:rPr>
        <w:t xml:space="preserve"> that young people </w:t>
      </w:r>
      <w:r w:rsidR="008D44C8">
        <w:rPr>
          <w:szCs w:val="26"/>
          <w:lang w:eastAsia="en-IE"/>
        </w:rPr>
        <w:t xml:space="preserve">with disabilities </w:t>
      </w:r>
      <w:r>
        <w:rPr>
          <w:szCs w:val="26"/>
          <w:lang w:eastAsia="en-IE"/>
        </w:rPr>
        <w:t>progress</w:t>
      </w:r>
      <w:r w:rsidR="008D44C8">
        <w:rPr>
          <w:szCs w:val="26"/>
          <w:lang w:eastAsia="en-IE"/>
        </w:rPr>
        <w:t>ed</w:t>
      </w:r>
      <w:r>
        <w:rPr>
          <w:szCs w:val="26"/>
          <w:lang w:eastAsia="en-IE"/>
        </w:rPr>
        <w:t xml:space="preserve"> through education was examined by a </w:t>
      </w:r>
      <w:r w:rsidR="002849A4">
        <w:rPr>
          <w:lang w:val="en"/>
        </w:rPr>
        <w:t>Trinity College Dublin</w:t>
      </w:r>
      <w:r w:rsidR="00900499">
        <w:rPr>
          <w:lang w:val="en"/>
        </w:rPr>
        <w:t xml:space="preserve"> (TCD)</w:t>
      </w:r>
      <w:r w:rsidR="002B5CA6">
        <w:rPr>
          <w:lang w:val="en"/>
        </w:rPr>
        <w:t xml:space="preserve"> </w:t>
      </w:r>
      <w:r>
        <w:rPr>
          <w:lang w:val="en"/>
        </w:rPr>
        <w:t xml:space="preserve">project. TCD </w:t>
      </w:r>
      <w:r w:rsidR="002B5CA6">
        <w:rPr>
          <w:lang w:val="en"/>
        </w:rPr>
        <w:t xml:space="preserve">reviewed </w:t>
      </w:r>
      <w:r w:rsidR="00043632">
        <w:t xml:space="preserve">some of the initial literature regarding </w:t>
      </w:r>
      <w:r w:rsidR="00235477">
        <w:t>student</w:t>
      </w:r>
      <w:r w:rsidR="00900499">
        <w:t>s</w:t>
      </w:r>
      <w:r w:rsidR="00235477">
        <w:t>’</w:t>
      </w:r>
      <w:r w:rsidR="009A60D8">
        <w:t xml:space="preserve"> experience</w:t>
      </w:r>
      <w:r w:rsidR="00900499">
        <w:t>s</w:t>
      </w:r>
      <w:r w:rsidR="009A60D8">
        <w:t xml:space="preserve"> of online learning.</w:t>
      </w:r>
      <w:r w:rsidR="001E409F">
        <w:t xml:space="preserve"> This review was followed up with a </w:t>
      </w:r>
      <w:r w:rsidR="00043632">
        <w:rPr>
          <w:szCs w:val="26"/>
          <w:lang w:eastAsia="en-IE"/>
        </w:rPr>
        <w:t xml:space="preserve">survey of 141 </w:t>
      </w:r>
      <w:r w:rsidR="001E409F">
        <w:rPr>
          <w:szCs w:val="26"/>
          <w:lang w:eastAsia="en-IE"/>
        </w:rPr>
        <w:t xml:space="preserve">TCD </w:t>
      </w:r>
      <w:r w:rsidR="00043632">
        <w:rPr>
          <w:szCs w:val="26"/>
          <w:lang w:eastAsia="en-IE"/>
        </w:rPr>
        <w:t>students</w:t>
      </w:r>
      <w:r w:rsidR="00AB69E8">
        <w:rPr>
          <w:rStyle w:val="FootnoteReference"/>
          <w:szCs w:val="26"/>
          <w:lang w:eastAsia="en-IE"/>
        </w:rPr>
        <w:footnoteReference w:id="29"/>
      </w:r>
      <w:r w:rsidR="00900499">
        <w:rPr>
          <w:szCs w:val="26"/>
          <w:lang w:eastAsia="en-IE"/>
        </w:rPr>
        <w:t xml:space="preserve">, the results of which </w:t>
      </w:r>
      <w:r w:rsidR="00043632">
        <w:rPr>
          <w:szCs w:val="26"/>
          <w:lang w:eastAsia="en-IE"/>
        </w:rPr>
        <w:t xml:space="preserve">stated that </w:t>
      </w:r>
    </w:p>
    <w:p w14:paraId="6093F524" w14:textId="3AE6F83A" w:rsidR="00ED4089" w:rsidRDefault="002849A4" w:rsidP="00B72465">
      <w:pPr>
        <w:pStyle w:val="BlockQuote"/>
        <w:rPr>
          <w:lang w:eastAsia="en-IE"/>
        </w:rPr>
      </w:pPr>
      <w:r w:rsidRPr="002849A4">
        <w:rPr>
          <w:lang w:eastAsia="en-IE"/>
        </w:rPr>
        <w:t xml:space="preserve"> ‘</w:t>
      </w:r>
      <w:r w:rsidRPr="002849A4">
        <w:rPr>
          <w:shd w:val="clear" w:color="auto" w:fill="FAFAFA"/>
        </w:rPr>
        <w:t xml:space="preserve">For most students, the hybrid model of teaching (or blended learning) aspired to over the summer never materialised. Instead, due to the continued spread of </w:t>
      </w:r>
      <w:r w:rsidR="004B6AF9">
        <w:t>COVID</w:t>
      </w:r>
      <w:r w:rsidRPr="002849A4">
        <w:rPr>
          <w:shd w:val="clear" w:color="auto" w:fill="FAFAFA"/>
        </w:rPr>
        <w:t>-19 in the autumn, students have been forced to be over-reliant on technology while fundamental opportunities for academic, social, and personal development have been severely limited and hollowed out. While technology has provided us with many tools to enable us to study and work from home, many of these solutions have created new problems that technology alone cannot solve; loneliness, isolation, anxiety, frustration and boredom</w:t>
      </w:r>
      <w:r w:rsidR="00043632">
        <w:rPr>
          <w:rStyle w:val="FootnoteReference"/>
          <w:color w:val="000000"/>
          <w:szCs w:val="26"/>
          <w:shd w:val="clear" w:color="auto" w:fill="FAFAFA"/>
        </w:rPr>
        <w:footnoteReference w:id="30"/>
      </w:r>
      <w:r w:rsidR="001E409F">
        <w:rPr>
          <w:shd w:val="clear" w:color="auto" w:fill="FAFAFA"/>
        </w:rPr>
        <w:t>’.</w:t>
      </w:r>
    </w:p>
    <w:p w14:paraId="1C7178EF" w14:textId="705FDCC8" w:rsidR="006161CB" w:rsidRDefault="00ED4089" w:rsidP="00705185">
      <w:pPr>
        <w:rPr>
          <w:szCs w:val="26"/>
          <w:lang w:eastAsia="en-IE"/>
        </w:rPr>
      </w:pPr>
      <w:r>
        <w:rPr>
          <w:szCs w:val="26"/>
          <w:lang w:eastAsia="en-IE"/>
        </w:rPr>
        <w:t xml:space="preserve">The evidence from </w:t>
      </w:r>
      <w:r w:rsidR="00D81A70">
        <w:rPr>
          <w:szCs w:val="26"/>
          <w:lang w:eastAsia="en-IE"/>
        </w:rPr>
        <w:t xml:space="preserve">the </w:t>
      </w:r>
      <w:r>
        <w:rPr>
          <w:szCs w:val="26"/>
          <w:lang w:eastAsia="en-IE"/>
        </w:rPr>
        <w:t>experience</w:t>
      </w:r>
      <w:r w:rsidR="00D81A70">
        <w:rPr>
          <w:szCs w:val="26"/>
          <w:lang w:eastAsia="en-IE"/>
        </w:rPr>
        <w:t>s</w:t>
      </w:r>
      <w:r>
        <w:rPr>
          <w:szCs w:val="26"/>
          <w:lang w:eastAsia="en-IE"/>
        </w:rPr>
        <w:t xml:space="preserve"> of persons with disabilities such as the TCD survey illustrate that while the responses to COVID</w:t>
      </w:r>
      <w:r w:rsidR="00D81A70">
        <w:rPr>
          <w:szCs w:val="26"/>
          <w:lang w:eastAsia="en-IE"/>
        </w:rPr>
        <w:t>-</w:t>
      </w:r>
      <w:r>
        <w:rPr>
          <w:szCs w:val="26"/>
          <w:lang w:eastAsia="en-IE"/>
        </w:rPr>
        <w:t>19 were welcomed</w:t>
      </w:r>
      <w:r w:rsidR="00900499">
        <w:rPr>
          <w:szCs w:val="26"/>
          <w:lang w:eastAsia="en-IE"/>
        </w:rPr>
        <w:t>,</w:t>
      </w:r>
      <w:r>
        <w:rPr>
          <w:szCs w:val="26"/>
          <w:lang w:eastAsia="en-IE"/>
        </w:rPr>
        <w:t xml:space="preserve"> the supports to </w:t>
      </w:r>
      <w:r w:rsidR="00D81A70">
        <w:rPr>
          <w:szCs w:val="26"/>
          <w:lang w:eastAsia="en-IE"/>
        </w:rPr>
        <w:t xml:space="preserve">implement </w:t>
      </w:r>
      <w:r>
        <w:rPr>
          <w:szCs w:val="26"/>
          <w:lang w:eastAsia="en-IE"/>
        </w:rPr>
        <w:t>them were slow to materialise.</w:t>
      </w:r>
      <w:r w:rsidR="006161CB">
        <w:rPr>
          <w:szCs w:val="26"/>
          <w:lang w:eastAsia="en-IE"/>
        </w:rPr>
        <w:t xml:space="preserve"> </w:t>
      </w:r>
      <w:r w:rsidR="00705185">
        <w:rPr>
          <w:szCs w:val="26"/>
          <w:lang w:eastAsia="en-IE"/>
        </w:rPr>
        <w:t xml:space="preserve">Without necessary supports in place learners will have difficulty in completing their courses. </w:t>
      </w:r>
    </w:p>
    <w:p w14:paraId="62B9FF83" w14:textId="33FE047B" w:rsidR="00705185" w:rsidRDefault="00705185" w:rsidP="00B73186">
      <w:pPr>
        <w:rPr>
          <w:lang w:eastAsia="en-IE"/>
        </w:rPr>
      </w:pPr>
      <w:r>
        <w:rPr>
          <w:lang w:eastAsia="en-IE"/>
        </w:rPr>
        <w:t xml:space="preserve">Progress </w:t>
      </w:r>
      <w:r w:rsidR="00776272">
        <w:rPr>
          <w:lang w:eastAsia="en-IE"/>
        </w:rPr>
        <w:t xml:space="preserve">on </w:t>
      </w:r>
      <w:r>
        <w:rPr>
          <w:lang w:eastAsia="en-IE"/>
        </w:rPr>
        <w:t>supports into work for people with disabilities</w:t>
      </w:r>
      <w:r w:rsidR="00291452">
        <w:rPr>
          <w:lang w:eastAsia="en-IE"/>
        </w:rPr>
        <w:t xml:space="preserve"> are outlined below</w:t>
      </w:r>
      <w:r>
        <w:rPr>
          <w:lang w:eastAsia="en-IE"/>
        </w:rPr>
        <w:t>.</w:t>
      </w:r>
    </w:p>
    <w:p w14:paraId="05411BCF" w14:textId="42EBE245" w:rsidR="005C00E2" w:rsidRPr="005549CF" w:rsidRDefault="00264D40" w:rsidP="00264D40">
      <w:pPr>
        <w:pStyle w:val="Heading3"/>
      </w:pPr>
      <w:bookmarkStart w:id="39" w:name="_Toc101857195"/>
      <w:r>
        <w:t>Department of Social Protection measures</w:t>
      </w:r>
      <w:bookmarkEnd w:id="39"/>
    </w:p>
    <w:p w14:paraId="765F11CF" w14:textId="620A3B6E" w:rsidR="004F1EF7" w:rsidRPr="00DA0B82" w:rsidRDefault="005C3242" w:rsidP="00DA0B82">
      <w:pPr>
        <w:spacing w:before="240"/>
        <w:rPr>
          <w:rFonts w:ascii="Gill Sans" w:hAnsi="Gill Sans"/>
        </w:rPr>
      </w:pPr>
      <w:r>
        <w:rPr>
          <w:rFonts w:ascii="Gill Sans" w:hAnsi="Gill Sans"/>
        </w:rPr>
        <w:t xml:space="preserve">In 2021 the </w:t>
      </w:r>
      <w:r w:rsidR="00ED4089">
        <w:rPr>
          <w:rFonts w:ascii="Gill Sans" w:hAnsi="Gill Sans"/>
        </w:rPr>
        <w:t xml:space="preserve">Department of Social Protection </w:t>
      </w:r>
      <w:r w:rsidR="005C00E2">
        <w:rPr>
          <w:rFonts w:ascii="Gill Sans" w:hAnsi="Gill Sans"/>
        </w:rPr>
        <w:t xml:space="preserve">(DSP) </w:t>
      </w:r>
      <w:r w:rsidR="00ED4089">
        <w:rPr>
          <w:rFonts w:ascii="Gill Sans" w:hAnsi="Gill Sans"/>
        </w:rPr>
        <w:t xml:space="preserve">introduced </w:t>
      </w:r>
      <w:r w:rsidR="005C00E2">
        <w:rPr>
          <w:rFonts w:ascii="Gill Sans" w:hAnsi="Gill Sans"/>
        </w:rPr>
        <w:t xml:space="preserve">a number of </w:t>
      </w:r>
      <w:r w:rsidR="00ED4089">
        <w:rPr>
          <w:rFonts w:ascii="Gill Sans" w:hAnsi="Gill Sans"/>
        </w:rPr>
        <w:t xml:space="preserve">new measures </w:t>
      </w:r>
      <w:r w:rsidR="00DA0B82">
        <w:rPr>
          <w:rFonts w:ascii="Gill Sans" w:hAnsi="Gill Sans"/>
        </w:rPr>
        <w:t>to the EmployAbility supported employment scheme</w:t>
      </w:r>
      <w:r w:rsidR="005C00E2">
        <w:rPr>
          <w:rFonts w:ascii="Gill Sans" w:hAnsi="Gill Sans"/>
        </w:rPr>
        <w:t xml:space="preserve"> that will</w:t>
      </w:r>
      <w:r w:rsidR="00900499">
        <w:rPr>
          <w:rFonts w:ascii="Gill Sans" w:hAnsi="Gill Sans"/>
        </w:rPr>
        <w:t>,</w:t>
      </w:r>
      <w:r w:rsidR="005C00E2">
        <w:rPr>
          <w:rFonts w:ascii="Gill Sans" w:hAnsi="Gill Sans"/>
        </w:rPr>
        <w:t xml:space="preserve"> over time</w:t>
      </w:r>
      <w:r w:rsidR="00900499">
        <w:rPr>
          <w:rFonts w:ascii="Gill Sans" w:hAnsi="Gill Sans"/>
        </w:rPr>
        <w:t>,</w:t>
      </w:r>
      <w:r w:rsidR="005C00E2">
        <w:rPr>
          <w:rFonts w:ascii="Gill Sans" w:hAnsi="Gill Sans"/>
        </w:rPr>
        <w:t xml:space="preserve"> have </w:t>
      </w:r>
      <w:r w:rsidR="00C27D5E">
        <w:rPr>
          <w:rFonts w:ascii="Gill Sans" w:hAnsi="Gill Sans"/>
        </w:rPr>
        <w:t xml:space="preserve">positive </w:t>
      </w:r>
      <w:r w:rsidR="00ED4089">
        <w:rPr>
          <w:rFonts w:ascii="Gill Sans" w:hAnsi="Gill Sans"/>
        </w:rPr>
        <w:t>impact</w:t>
      </w:r>
      <w:r w:rsidR="00C27D5E">
        <w:rPr>
          <w:rFonts w:ascii="Gill Sans" w:hAnsi="Gill Sans"/>
        </w:rPr>
        <w:t>s</w:t>
      </w:r>
      <w:r w:rsidR="00ED4089">
        <w:rPr>
          <w:rFonts w:ascii="Gill Sans" w:hAnsi="Gill Sans"/>
        </w:rPr>
        <w:t xml:space="preserve"> </w:t>
      </w:r>
      <w:r w:rsidR="00C27D5E">
        <w:rPr>
          <w:rFonts w:ascii="Gill Sans" w:hAnsi="Gill Sans"/>
        </w:rPr>
        <w:t xml:space="preserve">for </w:t>
      </w:r>
      <w:r w:rsidR="008D44C8">
        <w:rPr>
          <w:rFonts w:ascii="Gill Sans" w:hAnsi="Gill Sans"/>
        </w:rPr>
        <w:t>persons with disabilities. The</w:t>
      </w:r>
      <w:r w:rsidR="00DA0B82">
        <w:rPr>
          <w:rFonts w:ascii="Gill Sans" w:hAnsi="Gill Sans"/>
        </w:rPr>
        <w:t xml:space="preserve"> measures included a </w:t>
      </w:r>
      <w:r w:rsidR="001077E5" w:rsidRPr="003230AB">
        <w:rPr>
          <w:rFonts w:ascii="Gill Sans" w:hAnsi="Gill Sans"/>
        </w:rPr>
        <w:t xml:space="preserve">training grant </w:t>
      </w:r>
      <w:r w:rsidR="00DA0B82">
        <w:rPr>
          <w:rFonts w:ascii="Gill Sans" w:hAnsi="Gill Sans"/>
        </w:rPr>
        <w:t xml:space="preserve">for participants </w:t>
      </w:r>
      <w:r w:rsidR="001077E5" w:rsidRPr="003230AB">
        <w:rPr>
          <w:rFonts w:ascii="Gill Sans" w:hAnsi="Gill Sans"/>
        </w:rPr>
        <w:t xml:space="preserve">of up to €1,000. </w:t>
      </w:r>
      <w:r w:rsidR="001077E5" w:rsidRPr="00DA0B82">
        <w:rPr>
          <w:szCs w:val="26"/>
        </w:rPr>
        <w:t xml:space="preserve">Budget 2022 </w:t>
      </w:r>
      <w:r w:rsidR="00DA0B82">
        <w:rPr>
          <w:szCs w:val="26"/>
        </w:rPr>
        <w:t xml:space="preserve">also </w:t>
      </w:r>
      <w:r w:rsidR="001077E5" w:rsidRPr="00DA0B82">
        <w:rPr>
          <w:szCs w:val="26"/>
        </w:rPr>
        <w:t xml:space="preserve">introduced a measure that will </w:t>
      </w:r>
      <w:r w:rsidR="002B5CA6" w:rsidRPr="00DA0B82">
        <w:rPr>
          <w:szCs w:val="26"/>
        </w:rPr>
        <w:t xml:space="preserve">make </w:t>
      </w:r>
      <w:r w:rsidR="001077E5" w:rsidRPr="00DA0B82">
        <w:rPr>
          <w:szCs w:val="26"/>
        </w:rPr>
        <w:t xml:space="preserve">reasonable accommodation </w:t>
      </w:r>
      <w:r w:rsidR="00737AD6" w:rsidRPr="00DA0B82">
        <w:rPr>
          <w:szCs w:val="26"/>
        </w:rPr>
        <w:t>grants</w:t>
      </w:r>
      <w:r w:rsidR="00737AD6">
        <w:rPr>
          <w:szCs w:val="26"/>
        </w:rPr>
        <w:t xml:space="preserve"> that</w:t>
      </w:r>
      <w:r w:rsidR="00554D4B" w:rsidRPr="00DA0B82">
        <w:rPr>
          <w:szCs w:val="26"/>
        </w:rPr>
        <w:t xml:space="preserve"> are currently only available through Intreo centres,</w:t>
      </w:r>
      <w:r w:rsidR="008D44C8">
        <w:rPr>
          <w:szCs w:val="26"/>
        </w:rPr>
        <w:t xml:space="preserve"> </w:t>
      </w:r>
      <w:r w:rsidR="001077E5" w:rsidRPr="00DA0B82">
        <w:rPr>
          <w:szCs w:val="26"/>
        </w:rPr>
        <w:t xml:space="preserve">available </w:t>
      </w:r>
      <w:r w:rsidR="00DA0B82">
        <w:rPr>
          <w:szCs w:val="26"/>
        </w:rPr>
        <w:t>to</w:t>
      </w:r>
      <w:r w:rsidR="001077E5" w:rsidRPr="00DA0B82">
        <w:rPr>
          <w:szCs w:val="26"/>
        </w:rPr>
        <w:t xml:space="preserve"> </w:t>
      </w:r>
      <w:r w:rsidR="00DA0B82">
        <w:rPr>
          <w:szCs w:val="26"/>
        </w:rPr>
        <w:t xml:space="preserve">employers who enter into </w:t>
      </w:r>
      <w:r w:rsidR="0087393C" w:rsidRPr="00DA0B82">
        <w:rPr>
          <w:szCs w:val="26"/>
        </w:rPr>
        <w:t xml:space="preserve">EmployAbility </w:t>
      </w:r>
      <w:r w:rsidR="001077E5" w:rsidRPr="00DA0B82">
        <w:rPr>
          <w:szCs w:val="26"/>
        </w:rPr>
        <w:t xml:space="preserve">contracts </w:t>
      </w:r>
      <w:r w:rsidR="00DA0B82">
        <w:rPr>
          <w:szCs w:val="26"/>
        </w:rPr>
        <w:t xml:space="preserve">during </w:t>
      </w:r>
      <w:r w:rsidR="003230AB" w:rsidRPr="00DA0B82">
        <w:rPr>
          <w:szCs w:val="26"/>
        </w:rPr>
        <w:t>2022</w:t>
      </w:r>
      <w:r w:rsidR="00036601">
        <w:rPr>
          <w:szCs w:val="26"/>
        </w:rPr>
        <w:t>. These g</w:t>
      </w:r>
      <w:r w:rsidR="00DA0B82" w:rsidRPr="00757964">
        <w:rPr>
          <w:szCs w:val="26"/>
        </w:rPr>
        <w:t>ra</w:t>
      </w:r>
      <w:r w:rsidR="00036601">
        <w:rPr>
          <w:szCs w:val="26"/>
        </w:rPr>
        <w:t xml:space="preserve">nts </w:t>
      </w:r>
      <w:r>
        <w:rPr>
          <w:szCs w:val="26"/>
        </w:rPr>
        <w:t>w</w:t>
      </w:r>
      <w:r w:rsidR="00DA0B82" w:rsidRPr="00757964">
        <w:rPr>
          <w:szCs w:val="26"/>
        </w:rPr>
        <w:t xml:space="preserve">ill be available for </w:t>
      </w:r>
      <w:hyperlink r:id="rId9" w:history="1">
        <w:r w:rsidR="004F1EF7" w:rsidRPr="00757964">
          <w:rPr>
            <w:rFonts w:cs="Arial"/>
            <w:szCs w:val="26"/>
            <w:lang w:val="en" w:eastAsia="en-IE"/>
          </w:rPr>
          <w:t>Personal Reader</w:t>
        </w:r>
        <w:r w:rsidR="00D81A70">
          <w:rPr>
            <w:rFonts w:cs="Arial"/>
            <w:szCs w:val="26"/>
            <w:lang w:val="en" w:eastAsia="en-IE"/>
          </w:rPr>
          <w:t>s</w:t>
        </w:r>
      </w:hyperlink>
      <w:r w:rsidR="00DA0B82" w:rsidRPr="00757964">
        <w:rPr>
          <w:rFonts w:cs="Arial"/>
          <w:szCs w:val="26"/>
          <w:lang w:val="en" w:eastAsia="en-IE"/>
        </w:rPr>
        <w:t xml:space="preserve">, </w:t>
      </w:r>
      <w:hyperlink r:id="rId10" w:history="1">
        <w:r w:rsidR="004F1EF7" w:rsidRPr="00757964">
          <w:rPr>
            <w:rFonts w:cs="Arial"/>
            <w:szCs w:val="26"/>
            <w:lang w:val="en" w:eastAsia="en-IE"/>
          </w:rPr>
          <w:t>Job Interview Interpreter</w:t>
        </w:r>
        <w:r w:rsidR="00D81A70">
          <w:rPr>
            <w:rFonts w:cs="Arial"/>
            <w:szCs w:val="26"/>
            <w:lang w:val="en" w:eastAsia="en-IE"/>
          </w:rPr>
          <w:t>s</w:t>
        </w:r>
      </w:hyperlink>
      <w:r w:rsidR="00DA0B82" w:rsidRPr="00757964">
        <w:rPr>
          <w:rFonts w:cs="Arial"/>
          <w:szCs w:val="26"/>
          <w:lang w:val="en" w:eastAsia="en-IE"/>
        </w:rPr>
        <w:t>,</w:t>
      </w:r>
      <w:r>
        <w:rPr>
          <w:rFonts w:cs="Arial"/>
          <w:szCs w:val="26"/>
          <w:lang w:val="en" w:eastAsia="en-IE"/>
        </w:rPr>
        <w:t xml:space="preserve"> and </w:t>
      </w:r>
      <w:hyperlink r:id="rId11" w:history="1">
        <w:r w:rsidR="004F1EF7" w:rsidRPr="00757964">
          <w:rPr>
            <w:rFonts w:cs="Arial"/>
            <w:szCs w:val="26"/>
            <w:lang w:val="en" w:eastAsia="en-IE"/>
          </w:rPr>
          <w:t xml:space="preserve">Workplace Equipment Adaptation </w:t>
        </w:r>
      </w:hyperlink>
      <w:r w:rsidR="00DA0B82" w:rsidRPr="00757964">
        <w:rPr>
          <w:rFonts w:cs="Arial"/>
          <w:color w:val="000000"/>
          <w:szCs w:val="26"/>
          <w:lang w:val="en" w:eastAsia="en-IE"/>
        </w:rPr>
        <w:t>. These two measures should provide further support to both employer and employee involved with EmployAbilty</w:t>
      </w:r>
    </w:p>
    <w:p w14:paraId="383B16D4" w14:textId="2EF43C46" w:rsidR="00B72465" w:rsidRDefault="00C23883" w:rsidP="00757964">
      <w:pPr>
        <w:rPr>
          <w:szCs w:val="26"/>
        </w:rPr>
      </w:pPr>
      <w:r>
        <w:rPr>
          <w:szCs w:val="26"/>
        </w:rPr>
        <w:t>DSP</w:t>
      </w:r>
      <w:r w:rsidR="002E7399" w:rsidRPr="00757964">
        <w:rPr>
          <w:szCs w:val="26"/>
        </w:rPr>
        <w:t xml:space="preserve"> </w:t>
      </w:r>
      <w:r w:rsidR="00757964" w:rsidRPr="00757964">
        <w:rPr>
          <w:szCs w:val="26"/>
        </w:rPr>
        <w:t xml:space="preserve">established an </w:t>
      </w:r>
      <w:r w:rsidR="002E7399" w:rsidRPr="00757964">
        <w:rPr>
          <w:szCs w:val="26"/>
        </w:rPr>
        <w:t>activation programme board</w:t>
      </w:r>
      <w:r w:rsidR="00757964" w:rsidRPr="00757964">
        <w:rPr>
          <w:szCs w:val="26"/>
        </w:rPr>
        <w:t xml:space="preserve"> as part of the Pathways to Work strategy</w:t>
      </w:r>
      <w:r w:rsidR="00D81A70">
        <w:rPr>
          <w:szCs w:val="26"/>
        </w:rPr>
        <w:t>. T</w:t>
      </w:r>
      <w:r w:rsidR="00757964" w:rsidRPr="00757964">
        <w:rPr>
          <w:szCs w:val="26"/>
        </w:rPr>
        <w:t xml:space="preserve">his board has </w:t>
      </w:r>
      <w:r w:rsidR="002E7399" w:rsidRPr="00757964">
        <w:rPr>
          <w:szCs w:val="26"/>
        </w:rPr>
        <w:t xml:space="preserve">agreed to deliver on the early engagement actions </w:t>
      </w:r>
      <w:r w:rsidR="00D81A70">
        <w:rPr>
          <w:szCs w:val="26"/>
        </w:rPr>
        <w:t xml:space="preserve">arising originally from the </w:t>
      </w:r>
      <w:r w:rsidR="002E7399" w:rsidRPr="00757964">
        <w:rPr>
          <w:szCs w:val="26"/>
        </w:rPr>
        <w:t>Make Work Pay report</w:t>
      </w:r>
      <w:r w:rsidR="00D81A70">
        <w:rPr>
          <w:szCs w:val="26"/>
        </w:rPr>
        <w:t xml:space="preserve"> and carried through to the Pathways to Works Strategy.  </w:t>
      </w:r>
      <w:r w:rsidR="002E7399" w:rsidRPr="00757964">
        <w:rPr>
          <w:szCs w:val="26"/>
        </w:rPr>
        <w:t>. A 2017 /2018 consultation exercise on the topic agreed six principles</w:t>
      </w:r>
      <w:r w:rsidR="002E7399">
        <w:rPr>
          <w:rStyle w:val="FootnoteReference"/>
          <w:szCs w:val="26"/>
        </w:rPr>
        <w:footnoteReference w:id="31"/>
      </w:r>
      <w:r w:rsidR="002E7399" w:rsidRPr="00757964">
        <w:rPr>
          <w:szCs w:val="26"/>
        </w:rPr>
        <w:t xml:space="preserve">, </w:t>
      </w:r>
      <w:r w:rsidR="00554D4B" w:rsidRPr="00757964">
        <w:rPr>
          <w:szCs w:val="26"/>
        </w:rPr>
        <w:t xml:space="preserve">and </w:t>
      </w:r>
      <w:r w:rsidR="002E7399" w:rsidRPr="00757964">
        <w:rPr>
          <w:szCs w:val="26"/>
        </w:rPr>
        <w:t xml:space="preserve">these </w:t>
      </w:r>
      <w:r w:rsidR="00900499" w:rsidRPr="00757964">
        <w:rPr>
          <w:szCs w:val="26"/>
        </w:rPr>
        <w:t xml:space="preserve">principles </w:t>
      </w:r>
      <w:r w:rsidR="002E7399" w:rsidRPr="00757964">
        <w:rPr>
          <w:szCs w:val="26"/>
        </w:rPr>
        <w:t>will un</w:t>
      </w:r>
      <w:r w:rsidR="008D44C8">
        <w:rPr>
          <w:szCs w:val="26"/>
        </w:rPr>
        <w:t xml:space="preserve">derpin early engagement </w:t>
      </w:r>
      <w:r w:rsidR="004B6782">
        <w:rPr>
          <w:szCs w:val="26"/>
        </w:rPr>
        <w:t>commitments</w:t>
      </w:r>
      <w:r w:rsidR="002E7399" w:rsidRPr="00757964">
        <w:rPr>
          <w:szCs w:val="26"/>
        </w:rPr>
        <w:t xml:space="preserve"> as set out in the new Pathways to Work 2021-2025 strategy</w:t>
      </w:r>
      <w:r w:rsidR="008D44C8">
        <w:rPr>
          <w:rStyle w:val="FootnoteReference"/>
          <w:szCs w:val="26"/>
        </w:rPr>
        <w:footnoteReference w:id="32"/>
      </w:r>
      <w:r w:rsidR="002E7399" w:rsidRPr="00757964">
        <w:rPr>
          <w:szCs w:val="26"/>
        </w:rPr>
        <w:t xml:space="preserve">. </w:t>
      </w:r>
    </w:p>
    <w:p w14:paraId="6ACB6824" w14:textId="77C209FB" w:rsidR="00C23883" w:rsidRDefault="00C23883" w:rsidP="00C23883">
      <w:pPr>
        <w:spacing w:before="120"/>
        <w:rPr>
          <w:szCs w:val="26"/>
        </w:rPr>
      </w:pPr>
      <w:r>
        <w:rPr>
          <w:szCs w:val="26"/>
        </w:rPr>
        <w:t xml:space="preserve">DSP, through </w:t>
      </w:r>
      <w:r w:rsidRPr="00381948">
        <w:rPr>
          <w:szCs w:val="26"/>
        </w:rPr>
        <w:t xml:space="preserve">the Dormant Accounts Action Plan 2021, </w:t>
      </w:r>
      <w:r>
        <w:rPr>
          <w:szCs w:val="26"/>
        </w:rPr>
        <w:t xml:space="preserve">has </w:t>
      </w:r>
      <w:r w:rsidRPr="00381948">
        <w:rPr>
          <w:szCs w:val="26"/>
        </w:rPr>
        <w:t xml:space="preserve">provided funding for 45 projects, </w:t>
      </w:r>
      <w:r>
        <w:rPr>
          <w:szCs w:val="26"/>
        </w:rPr>
        <w:t>amounting to over €7.5 million -</w:t>
      </w:r>
      <w:r w:rsidRPr="00381948">
        <w:rPr>
          <w:szCs w:val="26"/>
        </w:rPr>
        <w:t xml:space="preserve"> to support initiatives under the heading of "Measures to Support Employment, Education and Training Outcomes for People with a Disability and Family Carers".</w:t>
      </w:r>
    </w:p>
    <w:p w14:paraId="1867141C" w14:textId="62C4612D" w:rsidR="00C23883" w:rsidRPr="007D5C89" w:rsidRDefault="00C23883" w:rsidP="00C23883">
      <w:pPr>
        <w:spacing w:before="120"/>
        <w:rPr>
          <w:szCs w:val="26"/>
        </w:rPr>
      </w:pPr>
      <w:r>
        <w:rPr>
          <w:szCs w:val="26"/>
        </w:rPr>
        <w:t>DSP also</w:t>
      </w:r>
      <w:r w:rsidRPr="00F14B45">
        <w:rPr>
          <w:szCs w:val="26"/>
        </w:rPr>
        <w:t xml:space="preserve"> applied </w:t>
      </w:r>
      <w:r>
        <w:rPr>
          <w:szCs w:val="26"/>
        </w:rPr>
        <w:t xml:space="preserve">increases </w:t>
      </w:r>
      <w:r w:rsidRPr="00F14B45">
        <w:rPr>
          <w:szCs w:val="26"/>
        </w:rPr>
        <w:t>to the Wage Subsidy Scheme</w:t>
      </w:r>
      <w:r>
        <w:rPr>
          <w:szCs w:val="26"/>
        </w:rPr>
        <w:t xml:space="preserve"> (WSS) </w:t>
      </w:r>
      <w:r w:rsidRPr="007D5C89">
        <w:rPr>
          <w:szCs w:val="26"/>
        </w:rPr>
        <w:t xml:space="preserve">which is a financial incentive targeted at private sector employers and is aimed at encouraging the employment of people with disabilities. The WSS base subsidy available for private sector employers, who employ people with a disability, increased from €5.30 to €6.30 per hour. The new rate is a substantial contribution to the employer’s wage costs. In situations where an employer employs between </w:t>
      </w:r>
      <w:r w:rsidR="007E0CCA">
        <w:rPr>
          <w:szCs w:val="26"/>
        </w:rPr>
        <w:t>three</w:t>
      </w:r>
      <w:r w:rsidRPr="007D5C89">
        <w:rPr>
          <w:szCs w:val="26"/>
        </w:rPr>
        <w:t xml:space="preserve"> and </w:t>
      </w:r>
      <w:r w:rsidR="007E0CCA">
        <w:rPr>
          <w:szCs w:val="26"/>
        </w:rPr>
        <w:t>six</w:t>
      </w:r>
      <w:r w:rsidRPr="007D5C89">
        <w:rPr>
          <w:szCs w:val="26"/>
        </w:rPr>
        <w:t xml:space="preserve"> employees</w:t>
      </w:r>
      <w:r w:rsidR="007E0CCA">
        <w:rPr>
          <w:szCs w:val="26"/>
        </w:rPr>
        <w:t xml:space="preserve"> with a disability eligible for WSS</w:t>
      </w:r>
      <w:r w:rsidRPr="007D5C89">
        <w:rPr>
          <w:szCs w:val="26"/>
        </w:rPr>
        <w:t xml:space="preserve">, a 10% top-up is applied to the hourly rate increasing the payment rate to €6.93 for each employee. In the case of an employer who has more than 23 </w:t>
      </w:r>
      <w:r w:rsidR="007E0CCA">
        <w:rPr>
          <w:szCs w:val="26"/>
        </w:rPr>
        <w:t xml:space="preserve">eligible </w:t>
      </w:r>
      <w:r w:rsidRPr="007D5C89">
        <w:rPr>
          <w:szCs w:val="26"/>
        </w:rPr>
        <w:t>employees the payment rate will be €9.45 per hour for each employee</w:t>
      </w:r>
      <w:r>
        <w:rPr>
          <w:szCs w:val="26"/>
        </w:rPr>
        <w:t>.</w:t>
      </w:r>
    </w:p>
    <w:p w14:paraId="4DE79AC2" w14:textId="45BCDDA6" w:rsidR="009A60D8" w:rsidRPr="00B72465" w:rsidRDefault="004F1EF7" w:rsidP="00757964">
      <w:r w:rsidRPr="003230AB">
        <w:t>During 2021</w:t>
      </w:r>
      <w:r w:rsidR="00900499">
        <w:t>,</w:t>
      </w:r>
      <w:r w:rsidRPr="003230AB">
        <w:t xml:space="preserve"> funding to continue the</w:t>
      </w:r>
      <w:r w:rsidR="007E0CCA">
        <w:t xml:space="preserve"> existing</w:t>
      </w:r>
      <w:r w:rsidRPr="003230AB">
        <w:t xml:space="preserve"> 27 projects under the Ability </w:t>
      </w:r>
      <w:r w:rsidR="00900499">
        <w:t xml:space="preserve">Programme </w:t>
      </w:r>
      <w:r w:rsidR="003230AB" w:rsidRPr="003230AB">
        <w:t>was extended to Dec</w:t>
      </w:r>
      <w:r w:rsidR="00900499">
        <w:t>ember</w:t>
      </w:r>
      <w:r w:rsidR="003230AB" w:rsidRPr="003230AB">
        <w:t xml:space="preserve"> 2022</w:t>
      </w:r>
      <w:r w:rsidR="003230AB" w:rsidRPr="00757964">
        <w:rPr>
          <w:b/>
        </w:rPr>
        <w:t xml:space="preserve">. </w:t>
      </w:r>
      <w:r w:rsidR="00945FB6" w:rsidRPr="00757964">
        <w:rPr>
          <w:szCs w:val="26"/>
        </w:rPr>
        <w:t xml:space="preserve">A report evaluating these projects </w:t>
      </w:r>
      <w:r w:rsidR="000342B3">
        <w:rPr>
          <w:szCs w:val="26"/>
        </w:rPr>
        <w:t xml:space="preserve">due for publication, </w:t>
      </w:r>
      <w:r w:rsidR="005C00E2" w:rsidRPr="00757964">
        <w:rPr>
          <w:szCs w:val="26"/>
        </w:rPr>
        <w:t>will have lessons for a number of CES actions</w:t>
      </w:r>
      <w:r w:rsidR="00C23883">
        <w:rPr>
          <w:szCs w:val="26"/>
        </w:rPr>
        <w:t xml:space="preserve"> and future service design. </w:t>
      </w:r>
    </w:p>
    <w:p w14:paraId="4928D2DA" w14:textId="77777777" w:rsidR="002E7399" w:rsidRPr="002E7399" w:rsidRDefault="002E7399" w:rsidP="0080490E">
      <w:pPr>
        <w:pStyle w:val="Heading3"/>
      </w:pPr>
      <w:bookmarkStart w:id="40" w:name="_Toc101857196"/>
      <w:r w:rsidRPr="002E7399">
        <w:t>Department of Further Higher Education Research Innovation and Science</w:t>
      </w:r>
      <w:r w:rsidR="00264D40">
        <w:t xml:space="preserve"> measures</w:t>
      </w:r>
      <w:bookmarkEnd w:id="40"/>
    </w:p>
    <w:p w14:paraId="3E2DCEE3" w14:textId="21825237" w:rsidR="00685F56" w:rsidRDefault="00A53959" w:rsidP="005C00E2">
      <w:r>
        <w:t>DFHERIS</w:t>
      </w:r>
      <w:r w:rsidR="00A800C5">
        <w:t xml:space="preserve"> established a Disability </w:t>
      </w:r>
      <w:r w:rsidR="005637F2">
        <w:t>Consultative</w:t>
      </w:r>
      <w:r w:rsidR="00A800C5">
        <w:t xml:space="preserve"> Committee</w:t>
      </w:r>
      <w:r w:rsidR="000C3226">
        <w:t xml:space="preserve"> in 2021, which</w:t>
      </w:r>
      <w:r w:rsidR="00316580">
        <w:t xml:space="preserve"> </w:t>
      </w:r>
      <w:r w:rsidR="00753DAE">
        <w:t>will</w:t>
      </w:r>
      <w:r w:rsidR="00A800C5">
        <w:t xml:space="preserve"> be supported by a new</w:t>
      </w:r>
      <w:r w:rsidR="00874B3C">
        <w:t>ly established</w:t>
      </w:r>
      <w:r w:rsidR="00A800C5">
        <w:t xml:space="preserve"> </w:t>
      </w:r>
      <w:r w:rsidR="000C3226">
        <w:t xml:space="preserve">internal </w:t>
      </w:r>
      <w:r w:rsidR="008830FF">
        <w:t>E</w:t>
      </w:r>
      <w:r w:rsidR="00874B3C">
        <w:t xml:space="preserve">quality </w:t>
      </w:r>
      <w:r w:rsidR="008830FF">
        <w:t>D</w:t>
      </w:r>
      <w:r w:rsidR="005637F2">
        <w:t xml:space="preserve">iversity </w:t>
      </w:r>
      <w:r w:rsidR="00874B3C">
        <w:t xml:space="preserve">and </w:t>
      </w:r>
      <w:r w:rsidR="008830FF">
        <w:t>I</w:t>
      </w:r>
      <w:r w:rsidR="00874B3C">
        <w:t xml:space="preserve">nclusion </w:t>
      </w:r>
      <w:r w:rsidR="005637F2">
        <w:t xml:space="preserve">unit. </w:t>
      </w:r>
      <w:r w:rsidR="0028523E" w:rsidRPr="00CB548C">
        <w:rPr>
          <w:szCs w:val="26"/>
        </w:rPr>
        <w:t xml:space="preserve">This is a positive step </w:t>
      </w:r>
      <w:r w:rsidR="00466D53" w:rsidRPr="00CB548C">
        <w:rPr>
          <w:szCs w:val="26"/>
        </w:rPr>
        <w:t>aimed at ensuring</w:t>
      </w:r>
      <w:r w:rsidR="0087393C" w:rsidRPr="00CB548C">
        <w:rPr>
          <w:szCs w:val="26"/>
        </w:rPr>
        <w:t xml:space="preserve"> </w:t>
      </w:r>
      <w:r w:rsidR="00466D53" w:rsidRPr="00CB548C">
        <w:rPr>
          <w:szCs w:val="26"/>
        </w:rPr>
        <w:t>inclusion is a priority for</w:t>
      </w:r>
      <w:r w:rsidR="0087393C" w:rsidRPr="00CB548C">
        <w:rPr>
          <w:szCs w:val="26"/>
        </w:rPr>
        <w:t xml:space="preserve"> all business units within this department</w:t>
      </w:r>
      <w:r w:rsidR="0028523E" w:rsidRPr="00CB548C">
        <w:rPr>
          <w:szCs w:val="26"/>
        </w:rPr>
        <w:t>.</w:t>
      </w:r>
      <w:r w:rsidR="00A800C5" w:rsidRPr="00CB548C">
        <w:rPr>
          <w:szCs w:val="26"/>
        </w:rPr>
        <w:t xml:space="preserve"> </w:t>
      </w:r>
      <w:r w:rsidR="00CB548C" w:rsidRPr="00CB548C">
        <w:rPr>
          <w:rFonts w:cs="Open Sans"/>
          <w:szCs w:val="26"/>
        </w:rPr>
        <w:t>Inclusion is set out as one of the core strategic goals in the Statement of Strategy</w:t>
      </w:r>
      <w:r w:rsidR="00CB548C" w:rsidRPr="00CB548C">
        <w:rPr>
          <w:rStyle w:val="FootnoteReference"/>
          <w:rFonts w:ascii="Gill Sans MT" w:hAnsi="Gill Sans MT" w:cs="Open Sans"/>
          <w:sz w:val="26"/>
          <w:szCs w:val="26"/>
        </w:rPr>
        <w:footnoteReference w:id="33"/>
      </w:r>
      <w:r w:rsidR="00CB548C" w:rsidRPr="00CB548C">
        <w:rPr>
          <w:rFonts w:cs="Open Sans"/>
          <w:szCs w:val="26"/>
        </w:rPr>
        <w:t xml:space="preserve">. </w:t>
      </w:r>
    </w:p>
    <w:p w14:paraId="7E669E32" w14:textId="61FFEEDC" w:rsidR="00DA3CAF" w:rsidRDefault="00685F56" w:rsidP="005C00E2">
      <w:r>
        <w:t xml:space="preserve">The </w:t>
      </w:r>
      <w:r w:rsidR="001E63EB">
        <w:t>National Access and Inclusion Plan</w:t>
      </w:r>
      <w:r w:rsidR="0028523E">
        <w:t xml:space="preserve"> which aims to</w:t>
      </w:r>
      <w:r w:rsidR="001A5C4C">
        <w:t xml:space="preserve"> deliver a more equitable higher education system </w:t>
      </w:r>
      <w:r w:rsidR="006A4F74">
        <w:t>received a</w:t>
      </w:r>
      <w:r w:rsidR="006A4F74" w:rsidRPr="004F1E60">
        <w:t>n additional €5m in Budget 2022</w:t>
      </w:r>
      <w:r w:rsidR="006A4F74">
        <w:t xml:space="preserve">. </w:t>
      </w:r>
      <w:r w:rsidR="006A4F74" w:rsidRPr="006A4F74">
        <w:rPr>
          <w:szCs w:val="26"/>
        </w:rPr>
        <w:t xml:space="preserve">One of the key themes of the new plan </w:t>
      </w:r>
      <w:r w:rsidR="006A4F74">
        <w:rPr>
          <w:szCs w:val="26"/>
        </w:rPr>
        <w:t>is</w:t>
      </w:r>
      <w:r w:rsidR="006A4F74" w:rsidRPr="006A4F74">
        <w:rPr>
          <w:szCs w:val="26"/>
        </w:rPr>
        <w:t xml:space="preserve"> the </w:t>
      </w:r>
      <w:r w:rsidR="006A4F74" w:rsidRPr="006A4F74">
        <w:rPr>
          <w:rFonts w:cs="Open Sans"/>
          <w:szCs w:val="26"/>
          <w:lang w:eastAsia="en-IE"/>
        </w:rPr>
        <w:t>continued targeting of specific groups, with policy measures, funding and institutional initiatives aligned to support these targets. For the first time this will include people with intellectual disabilities.</w:t>
      </w:r>
    </w:p>
    <w:p w14:paraId="41CFEC29" w14:textId="156C84AB" w:rsidR="00753DAE" w:rsidRDefault="001A5C4C" w:rsidP="002E7399">
      <w:r>
        <w:t>Also u</w:t>
      </w:r>
      <w:r w:rsidR="00316580">
        <w:t>nder this department</w:t>
      </w:r>
      <w:r w:rsidR="000C3226">
        <w:t>,</w:t>
      </w:r>
      <w:r w:rsidR="00316580">
        <w:t xml:space="preserve"> Solas will </w:t>
      </w:r>
      <w:r w:rsidR="001E63EB">
        <w:t>commission further research to examine barriers to participation in FET</w:t>
      </w:r>
      <w:r w:rsidR="000C3226">
        <w:t xml:space="preserve"> in 2022</w:t>
      </w:r>
      <w:r w:rsidR="001E63EB">
        <w:t>, with particular reference to persons with a disability.</w:t>
      </w:r>
      <w:r w:rsidR="0028523E">
        <w:t xml:space="preserve"> This will help to inform actions to improve participation. </w:t>
      </w:r>
    </w:p>
    <w:p w14:paraId="2B0E8ECA" w14:textId="3DE195C2" w:rsidR="002F76DC" w:rsidRPr="002F76DC" w:rsidRDefault="002F76DC" w:rsidP="002E7399">
      <w:pPr>
        <w:rPr>
          <w:szCs w:val="26"/>
        </w:rPr>
      </w:pPr>
      <w:r w:rsidRPr="002F76DC">
        <w:rPr>
          <w:rFonts w:cs="Open Sans"/>
          <w:szCs w:val="26"/>
        </w:rPr>
        <w:t xml:space="preserve">The Action Plan for Apprenticeship (2021-25) was launched in April 2021. One of the five unambiguous objectives in the plan is </w:t>
      </w:r>
      <w:r w:rsidRPr="002F76DC">
        <w:rPr>
          <w:rStyle w:val="Emphasis"/>
          <w:rFonts w:cs="Open Sans"/>
          <w:szCs w:val="26"/>
        </w:rPr>
        <w:t>‘Apprenticeship for all’</w:t>
      </w:r>
      <w:r w:rsidRPr="002F76DC">
        <w:rPr>
          <w:rFonts w:cs="Open Sans"/>
          <w:szCs w:val="26"/>
        </w:rPr>
        <w:t>, meaning that the profile of the apprenticeship population will more closely reflect the profile of the general population. The explicit ‘deliverables’ underpinning this include an apprenticeship structure that is inclusive in terms of access and delivery.</w:t>
      </w:r>
    </w:p>
    <w:p w14:paraId="60A3AE72" w14:textId="77777777" w:rsidR="00702618" w:rsidRPr="00702618" w:rsidRDefault="00702618" w:rsidP="0028523E">
      <w:pPr>
        <w:pStyle w:val="Heading3"/>
        <w:rPr>
          <w:rFonts w:eastAsia="Gill Sans MT"/>
          <w:lang w:eastAsia="en-IE"/>
        </w:rPr>
      </w:pPr>
      <w:bookmarkStart w:id="41" w:name="_Toc101857197"/>
      <w:r w:rsidRPr="00702618">
        <w:rPr>
          <w:rFonts w:eastAsia="Gill Sans MT"/>
          <w:lang w:eastAsia="en-IE"/>
        </w:rPr>
        <w:t>Self-employment options</w:t>
      </w:r>
      <w:bookmarkEnd w:id="41"/>
    </w:p>
    <w:p w14:paraId="0268252F" w14:textId="50215899" w:rsidR="00702618" w:rsidRPr="00702618" w:rsidRDefault="00702618" w:rsidP="00702618">
      <w:pPr>
        <w:rPr>
          <w:color w:val="000000"/>
          <w:szCs w:val="26"/>
          <w:lang w:eastAsia="en-IE"/>
        </w:rPr>
      </w:pPr>
      <w:r w:rsidRPr="00702618">
        <w:rPr>
          <w:color w:val="000000"/>
          <w:szCs w:val="26"/>
        </w:rPr>
        <w:t xml:space="preserve">September 2021 saw the development of a new programme for persons with disabilities interested in self-employment. </w:t>
      </w:r>
      <w:r w:rsidR="00264D40">
        <w:rPr>
          <w:color w:val="000000"/>
          <w:szCs w:val="26"/>
        </w:rPr>
        <w:t xml:space="preserve">The programme was sponsored by Pobal and supported by the Open Doors Initiative. </w:t>
      </w:r>
      <w:r w:rsidRPr="00702618">
        <w:rPr>
          <w:color w:val="000000"/>
          <w:szCs w:val="26"/>
        </w:rPr>
        <w:t>The programme was open to person</w:t>
      </w:r>
      <w:r w:rsidR="00853D4C">
        <w:rPr>
          <w:color w:val="000000"/>
          <w:szCs w:val="26"/>
        </w:rPr>
        <w:t>s</w:t>
      </w:r>
      <w:r w:rsidRPr="00702618">
        <w:rPr>
          <w:color w:val="000000"/>
          <w:szCs w:val="26"/>
        </w:rPr>
        <w:t xml:space="preserve"> who had a business idea and wanted to evaluate the viability of their business proposition</w:t>
      </w:r>
      <w:r w:rsidR="00466D53">
        <w:rPr>
          <w:color w:val="000000"/>
          <w:szCs w:val="26"/>
        </w:rPr>
        <w:t>.</w:t>
      </w:r>
      <w:r w:rsidRPr="00702618">
        <w:rPr>
          <w:color w:val="000000"/>
          <w:szCs w:val="26"/>
        </w:rPr>
        <w:t xml:space="preserve"> The 12 week online programme for people with disabilities</w:t>
      </w:r>
      <w:r w:rsidR="00853D4C">
        <w:rPr>
          <w:color w:val="000000"/>
          <w:szCs w:val="26"/>
        </w:rPr>
        <w:t>, developed and delivered by</w:t>
      </w:r>
      <w:r w:rsidRPr="00702618">
        <w:rPr>
          <w:color w:val="000000"/>
          <w:szCs w:val="26"/>
        </w:rPr>
        <w:t xml:space="preserve"> </w:t>
      </w:r>
      <w:r w:rsidR="0028205A">
        <w:t>Technological University Dublin</w:t>
      </w:r>
      <w:r w:rsidR="00853D4C">
        <w:rPr>
          <w:color w:val="000000"/>
          <w:szCs w:val="26"/>
        </w:rPr>
        <w:t>,</w:t>
      </w:r>
      <w:r w:rsidRPr="00702618">
        <w:rPr>
          <w:color w:val="000000"/>
          <w:szCs w:val="26"/>
        </w:rPr>
        <w:t xml:space="preserve"> contained 12 weeks of lectures, access to online tools, business mentoring and a range of other supports.</w:t>
      </w:r>
      <w:r w:rsidRPr="00702618">
        <w:rPr>
          <w:color w:val="000000"/>
          <w:szCs w:val="26"/>
          <w:vertAlign w:val="superscript"/>
        </w:rPr>
        <w:footnoteReference w:id="34"/>
      </w:r>
      <w:r w:rsidR="001A5C4C">
        <w:rPr>
          <w:color w:val="000000"/>
          <w:szCs w:val="26"/>
        </w:rPr>
        <w:t xml:space="preserve"> Self-employment continues to be an important route to employment for people with disabilities, how supports are continued to be delivered can be informed by this programme.</w:t>
      </w:r>
    </w:p>
    <w:p w14:paraId="70672069" w14:textId="77777777" w:rsidR="007F764D" w:rsidRDefault="007F764D" w:rsidP="0028523E">
      <w:pPr>
        <w:pStyle w:val="Heading3"/>
      </w:pPr>
      <w:bookmarkStart w:id="42" w:name="_Toc101857198"/>
      <w:r w:rsidRPr="007F764D">
        <w:t xml:space="preserve">Enterprise Ireland </w:t>
      </w:r>
      <w:r>
        <w:t>programme of work</w:t>
      </w:r>
      <w:r w:rsidR="00FA01D8">
        <w:rPr>
          <w:rStyle w:val="FootnoteReference"/>
        </w:rPr>
        <w:footnoteReference w:id="35"/>
      </w:r>
      <w:bookmarkEnd w:id="42"/>
    </w:p>
    <w:p w14:paraId="3F536005" w14:textId="77777777" w:rsidR="007F764D" w:rsidRPr="007F764D" w:rsidRDefault="007F764D" w:rsidP="007F764D">
      <w:r w:rsidRPr="007F764D">
        <w:t xml:space="preserve">In 2021, Enterprise Ireland established a </w:t>
      </w:r>
      <w:r w:rsidRPr="007F764D">
        <w:rPr>
          <w:i/>
          <w:iCs/>
        </w:rPr>
        <w:t>Diversity &amp; Inclusion Steering Group</w:t>
      </w:r>
      <w:r w:rsidRPr="007F764D">
        <w:t xml:space="preserve"> to oversee the development of the agency’s </w:t>
      </w:r>
      <w:r w:rsidR="00466D53">
        <w:t>Diversity and Inclusion (D&amp;I)</w:t>
      </w:r>
      <w:r w:rsidRPr="007F764D">
        <w:t xml:space="preserve"> vision and strategy. This group has now completed the </w:t>
      </w:r>
      <w:r w:rsidR="00270F46">
        <w:t>‘</w:t>
      </w:r>
      <w:r w:rsidRPr="007F764D">
        <w:t>Insight Gathering &amp; Scoping</w:t>
      </w:r>
      <w:r w:rsidR="00270F46">
        <w:t>’</w:t>
      </w:r>
      <w:r w:rsidRPr="007F764D">
        <w:t xml:space="preserve"> phase and is at an advanced stage of developing a D&amp;I Vision and Strategy/ Charter</w:t>
      </w:r>
      <w:r w:rsidR="00270F46">
        <w:t xml:space="preserve"> for </w:t>
      </w:r>
      <w:r w:rsidR="00466D53">
        <w:t>the organisation</w:t>
      </w:r>
      <w:r w:rsidRPr="007F764D">
        <w:t xml:space="preserve">. A critical component of this D&amp;I strategy is </w:t>
      </w:r>
      <w:r w:rsidR="00270F46">
        <w:t xml:space="preserve">in </w:t>
      </w:r>
      <w:r w:rsidRPr="007F764D">
        <w:t xml:space="preserve">supporting entrepreneurship &amp; self-employment for people with a disability. </w:t>
      </w:r>
    </w:p>
    <w:p w14:paraId="7C9784BE" w14:textId="77777777" w:rsidR="007F764D" w:rsidRPr="007F764D" w:rsidRDefault="007F764D" w:rsidP="007F764D">
      <w:pPr>
        <w:rPr>
          <w:sz w:val="22"/>
          <w:szCs w:val="22"/>
        </w:rPr>
      </w:pPr>
      <w:r w:rsidRPr="007F764D">
        <w:t xml:space="preserve">In addition, as part of Enterprise Ireland’s wider strategy development </w:t>
      </w:r>
      <w:r w:rsidR="00466D53">
        <w:t xml:space="preserve">for </w:t>
      </w:r>
      <w:r w:rsidRPr="007F764D">
        <w:t>2022-24, a specific ‘Balance &amp; Inclusive Enterprise Development’ working group has been established. This group presented recommended strategic options to Enterprise Ireland Senior Leadership team in Q3 2021, and is a specific pillar that was presented to EI’s Board in Nov 2021</w:t>
      </w:r>
      <w:r w:rsidR="00853D4C">
        <w:t>. It explores</w:t>
      </w:r>
      <w:r w:rsidRPr="007F764D">
        <w:t xml:space="preserve"> strategic options for the delivery of EI’s 2030 ambition on ‘Balanced and Inclusive Enterprise Development’, and as part of the next Enterprise Ireland strategy (2022-2024). </w:t>
      </w:r>
    </w:p>
    <w:p w14:paraId="5BCC6090" w14:textId="77777777" w:rsidR="007F764D" w:rsidRPr="007F764D" w:rsidRDefault="007F764D" w:rsidP="00685F56">
      <w:pPr>
        <w:spacing w:before="100" w:beforeAutospacing="1" w:after="100" w:afterAutospacing="1"/>
        <w:rPr>
          <w:sz w:val="22"/>
          <w:szCs w:val="22"/>
        </w:rPr>
      </w:pPr>
      <w:r w:rsidRPr="00264D40">
        <w:rPr>
          <w:lang w:val="en-US"/>
        </w:rPr>
        <w:t>Throughout 2021, a number of virtual events (</w:t>
      </w:r>
      <w:r w:rsidRPr="0080490E">
        <w:rPr>
          <w:iCs/>
          <w:lang w:val="en-US"/>
        </w:rPr>
        <w:t>Virtual Ability Series</w:t>
      </w:r>
      <w:r w:rsidRPr="00264D40">
        <w:rPr>
          <w:lang w:val="en-US"/>
        </w:rPr>
        <w:t>) were delivered for EI c</w:t>
      </w:r>
      <w:r w:rsidR="00A51950" w:rsidRPr="00264D40">
        <w:rPr>
          <w:lang w:val="en-US"/>
        </w:rPr>
        <w:t>lients and enterprises. These events included</w:t>
      </w:r>
      <w:r w:rsidRPr="00264D40">
        <w:rPr>
          <w:lang w:val="en-US"/>
        </w:rPr>
        <w:t xml:space="preserve">: </w:t>
      </w:r>
      <w:r w:rsidRPr="0080490E">
        <w:rPr>
          <w:iCs/>
        </w:rPr>
        <w:t>Recruit for Ability</w:t>
      </w:r>
      <w:r w:rsidRPr="00264D40">
        <w:t xml:space="preserve">; </w:t>
      </w:r>
      <w:r w:rsidRPr="0080490E">
        <w:rPr>
          <w:iCs/>
        </w:rPr>
        <w:t xml:space="preserve">Inclusive Talent Strategies </w:t>
      </w:r>
      <w:r w:rsidRPr="00264D40">
        <w:t xml:space="preserve">podcast; and </w:t>
      </w:r>
      <w:r w:rsidRPr="0080490E">
        <w:rPr>
          <w:iCs/>
        </w:rPr>
        <w:t>DesignAbility</w:t>
      </w:r>
      <w:r w:rsidRPr="00264D40">
        <w:t xml:space="preserve"> </w:t>
      </w:r>
      <w:r w:rsidRPr="0080490E">
        <w:rPr>
          <w:iCs/>
        </w:rPr>
        <w:t>- Innovation through Inclusion</w:t>
      </w:r>
      <w:r w:rsidRPr="00264D40">
        <w:t xml:space="preserve"> webinar</w:t>
      </w:r>
      <w:r w:rsidR="00853D4C" w:rsidRPr="00264D40">
        <w:t>.</w:t>
      </w:r>
      <w:r w:rsidR="00853D4C">
        <w:t xml:space="preserve"> These</w:t>
      </w:r>
      <w:r w:rsidRPr="007F764D">
        <w:t xml:space="preserve"> </w:t>
      </w:r>
      <w:r w:rsidR="00A51950">
        <w:t>events were</w:t>
      </w:r>
      <w:r w:rsidR="00853D4C">
        <w:t xml:space="preserve"> organised in partnership with</w:t>
      </w:r>
      <w:r w:rsidR="00A51950">
        <w:t xml:space="preserve"> experts in </w:t>
      </w:r>
      <w:r w:rsidR="00853D4C">
        <w:t xml:space="preserve">the various </w:t>
      </w:r>
      <w:r w:rsidR="00A51950">
        <w:t>field</w:t>
      </w:r>
      <w:r w:rsidR="00853D4C">
        <w:t>s</w:t>
      </w:r>
      <w:r w:rsidRPr="007F764D">
        <w:t xml:space="preserve">, and linked SMEs to </w:t>
      </w:r>
      <w:r w:rsidR="00A51950">
        <w:t xml:space="preserve">available </w:t>
      </w:r>
      <w:r w:rsidRPr="007F764D">
        <w:t>sup</w:t>
      </w:r>
      <w:r w:rsidR="00A51950">
        <w:t>ports. In addition</w:t>
      </w:r>
      <w:r w:rsidR="00853D4C">
        <w:t>,</w:t>
      </w:r>
      <w:r w:rsidR="00A51950">
        <w:t xml:space="preserve"> the event</w:t>
      </w:r>
      <w:r w:rsidRPr="007F764D">
        <w:t xml:space="preserve"> content is hosted on eiLearn portal and is available to enterprises nationally</w:t>
      </w:r>
      <w:r w:rsidR="00A51950">
        <w:t>.</w:t>
      </w:r>
      <w:r w:rsidRPr="007F764D">
        <w:t xml:space="preserve"> </w:t>
      </w:r>
    </w:p>
    <w:p w14:paraId="4AA151BF" w14:textId="77777777" w:rsidR="00753DAE" w:rsidRDefault="000135B6" w:rsidP="0080490E">
      <w:pPr>
        <w:pStyle w:val="Heading3"/>
        <w:rPr>
          <w:rFonts w:eastAsia="Gill Sans MT"/>
          <w:lang w:eastAsia="en-IE"/>
        </w:rPr>
      </w:pPr>
      <w:bookmarkStart w:id="43" w:name="_Toc101857199"/>
      <w:r>
        <w:rPr>
          <w:rFonts w:eastAsia="Gill Sans MT"/>
          <w:lang w:eastAsia="en-IE"/>
        </w:rPr>
        <w:t xml:space="preserve">Transport developments </w:t>
      </w:r>
      <w:r w:rsidR="00753DAE">
        <w:rPr>
          <w:rFonts w:eastAsia="Gill Sans MT"/>
          <w:lang w:eastAsia="en-IE"/>
        </w:rPr>
        <w:t>during 2021</w:t>
      </w:r>
      <w:bookmarkEnd w:id="43"/>
    </w:p>
    <w:p w14:paraId="29C9F9A2" w14:textId="22D0D989" w:rsidR="00286B8C" w:rsidRPr="00286B8C" w:rsidRDefault="002811B0" w:rsidP="00286B8C">
      <w:pPr>
        <w:spacing w:after="228" w:line="248" w:lineRule="auto"/>
        <w:ind w:left="10" w:right="1" w:hanging="10"/>
        <w:rPr>
          <w:rFonts w:eastAsia="Gill Sans MT" w:cs="Gill Sans MT"/>
          <w:color w:val="000000"/>
          <w:szCs w:val="22"/>
          <w:lang w:eastAsia="en-IE"/>
        </w:rPr>
      </w:pPr>
      <w:r>
        <w:rPr>
          <w:rFonts w:eastAsia="Gill Sans MT" w:cs="Gill Sans MT"/>
          <w:color w:val="000000"/>
          <w:szCs w:val="22"/>
          <w:lang w:eastAsia="en-IE"/>
        </w:rPr>
        <w:t>Persons</w:t>
      </w:r>
      <w:r w:rsidRPr="00286B8C">
        <w:rPr>
          <w:rFonts w:eastAsia="Gill Sans MT" w:cs="Gill Sans MT"/>
          <w:color w:val="000000"/>
          <w:szCs w:val="22"/>
          <w:lang w:eastAsia="en-IE"/>
        </w:rPr>
        <w:t xml:space="preserve"> with disabilities, when consulted on topics such as access to work and education or training, frequently mention the lack of</w:t>
      </w:r>
      <w:r w:rsidR="00270F46">
        <w:rPr>
          <w:rFonts w:eastAsia="Gill Sans MT" w:cs="Gill Sans MT"/>
          <w:color w:val="000000"/>
          <w:szCs w:val="22"/>
          <w:lang w:eastAsia="en-IE"/>
        </w:rPr>
        <w:t xml:space="preserve"> accessible travel options as a</w:t>
      </w:r>
      <w:r w:rsidRPr="00286B8C">
        <w:rPr>
          <w:rFonts w:eastAsia="Gill Sans MT" w:cs="Gill Sans MT"/>
          <w:color w:val="000000"/>
          <w:szCs w:val="22"/>
          <w:lang w:eastAsia="en-IE"/>
        </w:rPr>
        <w:t xml:space="preserve"> </w:t>
      </w:r>
      <w:r w:rsidR="00A73764">
        <w:rPr>
          <w:rFonts w:eastAsia="Gill Sans MT" w:cs="Gill Sans MT"/>
          <w:color w:val="000000"/>
          <w:szCs w:val="22"/>
          <w:lang w:eastAsia="en-IE"/>
        </w:rPr>
        <w:t>barrier</w:t>
      </w:r>
      <w:r w:rsidR="001F7FFE">
        <w:rPr>
          <w:rFonts w:eastAsia="Gill Sans MT" w:cs="Gill Sans MT"/>
          <w:color w:val="000000"/>
          <w:szCs w:val="22"/>
          <w:lang w:eastAsia="en-IE"/>
        </w:rPr>
        <w:t>. The</w:t>
      </w:r>
      <w:r w:rsidR="00286B8C" w:rsidRPr="00286B8C">
        <w:rPr>
          <w:rFonts w:eastAsia="Gill Sans MT" w:cs="Gill Sans MT"/>
          <w:color w:val="000000"/>
          <w:szCs w:val="22"/>
          <w:lang w:eastAsia="en-IE"/>
        </w:rPr>
        <w:t xml:space="preserve"> Department of Transport, </w:t>
      </w:r>
      <w:r w:rsidR="00ED68FA">
        <w:rPr>
          <w:rFonts w:eastAsia="Gill Sans MT" w:cs="Gill Sans MT"/>
          <w:color w:val="000000"/>
          <w:szCs w:val="22"/>
          <w:lang w:eastAsia="en-IE"/>
        </w:rPr>
        <w:t xml:space="preserve">and </w:t>
      </w:r>
      <w:r w:rsidR="00286B8C" w:rsidRPr="00286B8C">
        <w:rPr>
          <w:rFonts w:eastAsia="Gill Sans MT" w:cs="Gill Sans MT"/>
          <w:color w:val="000000"/>
          <w:szCs w:val="22"/>
          <w:lang w:eastAsia="en-IE"/>
        </w:rPr>
        <w:t xml:space="preserve"> the</w:t>
      </w:r>
      <w:r w:rsidR="004B5E45">
        <w:rPr>
          <w:rFonts w:eastAsia="Gill Sans MT" w:cs="Gill Sans MT"/>
          <w:color w:val="000000"/>
          <w:szCs w:val="22"/>
          <w:lang w:eastAsia="en-IE"/>
        </w:rPr>
        <w:t xml:space="preserve"> NTA</w:t>
      </w:r>
      <w:r w:rsidR="00286B8C" w:rsidRPr="00286B8C">
        <w:rPr>
          <w:rFonts w:eastAsia="Gill Sans MT" w:cs="Gill Sans MT"/>
          <w:color w:val="000000"/>
          <w:szCs w:val="22"/>
          <w:lang w:eastAsia="en-IE"/>
        </w:rPr>
        <w:t xml:space="preserve"> are responsible for actions</w:t>
      </w:r>
      <w:r w:rsidR="0039569B">
        <w:rPr>
          <w:rFonts w:eastAsia="Gill Sans MT" w:cs="Gill Sans MT"/>
          <w:color w:val="000000"/>
          <w:szCs w:val="22"/>
          <w:lang w:eastAsia="en-IE"/>
        </w:rPr>
        <w:t xml:space="preserve"> </w:t>
      </w:r>
      <w:r w:rsidR="00286B8C" w:rsidRPr="00286B8C">
        <w:rPr>
          <w:rFonts w:eastAsia="Gill Sans MT" w:cs="Gill Sans MT"/>
          <w:color w:val="000000"/>
          <w:szCs w:val="22"/>
          <w:lang w:eastAsia="en-IE"/>
        </w:rPr>
        <w:t xml:space="preserve">under </w:t>
      </w:r>
      <w:r w:rsidR="00A73764">
        <w:rPr>
          <w:rFonts w:eastAsia="Gill Sans MT" w:cs="Gill Sans MT"/>
          <w:color w:val="000000"/>
          <w:szCs w:val="22"/>
          <w:lang w:eastAsia="en-IE"/>
        </w:rPr>
        <w:t>S</w:t>
      </w:r>
      <w:r w:rsidR="00286B8C" w:rsidRPr="00286B8C">
        <w:rPr>
          <w:rFonts w:eastAsia="Gill Sans MT" w:cs="Gill Sans MT"/>
          <w:color w:val="000000"/>
          <w:szCs w:val="22"/>
          <w:lang w:eastAsia="en-IE"/>
        </w:rPr>
        <w:t xml:space="preserve">trategic </w:t>
      </w:r>
      <w:r w:rsidR="00A73764">
        <w:rPr>
          <w:rFonts w:eastAsia="Gill Sans MT" w:cs="Gill Sans MT"/>
          <w:color w:val="000000"/>
          <w:szCs w:val="22"/>
          <w:lang w:eastAsia="en-IE"/>
        </w:rPr>
        <w:t>P</w:t>
      </w:r>
      <w:r w:rsidR="00286B8C" w:rsidRPr="00286B8C">
        <w:rPr>
          <w:rFonts w:eastAsia="Gill Sans MT" w:cs="Gill Sans MT"/>
          <w:color w:val="000000"/>
          <w:szCs w:val="22"/>
          <w:lang w:eastAsia="en-IE"/>
        </w:rPr>
        <w:t>riority 2 to provide pathw</w:t>
      </w:r>
      <w:r w:rsidR="00596C5D">
        <w:rPr>
          <w:rFonts w:eastAsia="Gill Sans MT" w:cs="Gill Sans MT"/>
          <w:color w:val="000000"/>
          <w:szCs w:val="22"/>
          <w:lang w:eastAsia="en-IE"/>
        </w:rPr>
        <w:t>ays and supports to work.</w:t>
      </w:r>
    </w:p>
    <w:p w14:paraId="447A8F3F" w14:textId="41361C9C" w:rsidR="00E52DEA" w:rsidRDefault="00286B8C" w:rsidP="00596C5D">
      <w:pPr>
        <w:rPr>
          <w:rFonts w:eastAsia="Gill Sans MT"/>
          <w:lang w:eastAsia="en-IE"/>
        </w:rPr>
      </w:pPr>
      <w:r w:rsidRPr="00596C5D">
        <w:rPr>
          <w:rFonts w:eastAsia="Gill Sans MT"/>
          <w:lang w:eastAsia="en-IE"/>
        </w:rPr>
        <w:t xml:space="preserve">The NDA </w:t>
      </w:r>
      <w:r w:rsidR="00466D53">
        <w:rPr>
          <w:rFonts w:eastAsia="Gill Sans MT"/>
          <w:lang w:eastAsia="en-IE"/>
        </w:rPr>
        <w:t>notes the following developments in this space</w:t>
      </w:r>
      <w:r w:rsidR="0039569B" w:rsidRPr="00596C5D">
        <w:rPr>
          <w:rFonts w:eastAsia="Gill Sans MT"/>
          <w:lang w:eastAsia="en-IE"/>
        </w:rPr>
        <w:t xml:space="preserve"> during </w:t>
      </w:r>
      <w:r w:rsidRPr="00596C5D">
        <w:rPr>
          <w:rFonts w:eastAsia="Gill Sans MT"/>
          <w:lang w:eastAsia="en-IE"/>
        </w:rPr>
        <w:t>202</w:t>
      </w:r>
      <w:r w:rsidR="008B063D">
        <w:rPr>
          <w:rFonts w:eastAsia="Gill Sans MT"/>
          <w:lang w:eastAsia="en-IE"/>
        </w:rPr>
        <w:t>1</w:t>
      </w:r>
      <w:r w:rsidR="00270F46">
        <w:rPr>
          <w:rFonts w:eastAsia="Gill Sans MT"/>
          <w:lang w:eastAsia="en-IE"/>
        </w:rPr>
        <w:t xml:space="preserve">. </w:t>
      </w:r>
      <w:r w:rsidR="00E52DEA">
        <w:rPr>
          <w:rFonts w:eastAsia="Gill Sans MT"/>
          <w:lang w:eastAsia="en-IE"/>
        </w:rPr>
        <w:t xml:space="preserve">Some actions are not completed, but this section will illustrate </w:t>
      </w:r>
      <w:r w:rsidR="00A73764">
        <w:rPr>
          <w:rFonts w:eastAsia="Gill Sans MT"/>
          <w:lang w:eastAsia="en-IE"/>
        </w:rPr>
        <w:t>where progress was made, and where it was slow</w:t>
      </w:r>
      <w:r w:rsidR="00270F46">
        <w:rPr>
          <w:rFonts w:eastAsia="Gill Sans MT"/>
          <w:lang w:eastAsia="en-IE"/>
        </w:rPr>
        <w:t>.</w:t>
      </w:r>
    </w:p>
    <w:p w14:paraId="2CD64419" w14:textId="23196E01" w:rsidR="00343C08" w:rsidRDefault="00343C08" w:rsidP="003C669A">
      <w:pPr>
        <w:pStyle w:val="ListBullet"/>
      </w:pPr>
      <w:r w:rsidRPr="00D85C0B">
        <w:t>In 2021</w:t>
      </w:r>
      <w:r w:rsidR="00B66A36" w:rsidRPr="00D85C0B">
        <w:t>,</w:t>
      </w:r>
      <w:r w:rsidRPr="00D85C0B">
        <w:t xml:space="preserve"> Changing Places</w:t>
      </w:r>
      <w:r w:rsidR="00B66A36" w:rsidRPr="00D85C0B">
        <w:t xml:space="preserve"> facilities</w:t>
      </w:r>
      <w:r w:rsidRPr="00D85C0B">
        <w:t xml:space="preserve"> have been installed in Connolly Station and it is planned to install </w:t>
      </w:r>
      <w:r w:rsidR="00B66A36" w:rsidRPr="00D85C0B">
        <w:t xml:space="preserve">such facilities </w:t>
      </w:r>
      <w:r w:rsidRPr="00D85C0B">
        <w:t xml:space="preserve">in Heuston Station as part of </w:t>
      </w:r>
      <w:r w:rsidR="00B66A36" w:rsidRPr="00D85C0B">
        <w:t xml:space="preserve">the </w:t>
      </w:r>
      <w:r w:rsidRPr="00D85C0B">
        <w:t xml:space="preserve">total rebuild of </w:t>
      </w:r>
      <w:r w:rsidR="00B66A36" w:rsidRPr="00D85C0B">
        <w:t xml:space="preserve">its </w:t>
      </w:r>
      <w:r w:rsidRPr="00D85C0B">
        <w:t>toilets in Q4 of this year. Another Changing Place</w:t>
      </w:r>
      <w:r w:rsidR="00B66A36" w:rsidRPr="00D85C0B">
        <w:t xml:space="preserve"> facility</w:t>
      </w:r>
      <w:r w:rsidRPr="00D85C0B">
        <w:t xml:space="preserve"> is planned for Waterford Station during its renovation works.</w:t>
      </w:r>
    </w:p>
    <w:p w14:paraId="279FFB82" w14:textId="53F45D38" w:rsidR="003C669A" w:rsidRPr="003C669A" w:rsidRDefault="003C669A" w:rsidP="003C669A">
      <w:pPr>
        <w:pStyle w:val="ListBullet"/>
      </w:pPr>
      <w:r w:rsidRPr="003C669A">
        <w:t>There is now a four-year Lift Renewal /Replacement Plan of over €18 million to cover from 2020-2023. Twenty</w:t>
      </w:r>
      <w:r w:rsidR="000B31AA">
        <w:t>-</w:t>
      </w:r>
      <w:r w:rsidRPr="003C669A">
        <w:t>three lifts were replaced/renovated in 2021 with more planned for 2022.</w:t>
      </w:r>
    </w:p>
    <w:p w14:paraId="3F0B50C9" w14:textId="60A9114C" w:rsidR="003C669A" w:rsidRPr="003C669A" w:rsidRDefault="003C669A" w:rsidP="003C669A">
      <w:pPr>
        <w:pStyle w:val="ListBullet"/>
      </w:pPr>
      <w:r w:rsidRPr="003C669A">
        <w:t xml:space="preserve">Capital Funding was provided in 2020 and in 2021, to install the Lift Call System in Irish Rail Stations to try and to minimise the damage caused to lifts due to vandalism. </w:t>
      </w:r>
      <w:r w:rsidR="000B31AA">
        <w:t>Twenty-eight</w:t>
      </w:r>
      <w:r w:rsidR="000B31AA" w:rsidRPr="003C669A">
        <w:t xml:space="preserve"> </w:t>
      </w:r>
      <w:r w:rsidRPr="003C669A">
        <w:t>stations had been completed with an additional nine stations done in 2021.</w:t>
      </w:r>
    </w:p>
    <w:p w14:paraId="63F35872" w14:textId="1EB6D4E0" w:rsidR="003C669A" w:rsidRPr="003C669A" w:rsidRDefault="003C669A" w:rsidP="003C669A">
      <w:pPr>
        <w:pStyle w:val="ListBullet"/>
      </w:pPr>
      <w:r w:rsidRPr="003C669A">
        <w:t>New Footbridges and Lifts were installed in Carlow, Ennis and Edgeworthsto</w:t>
      </w:r>
      <w:r w:rsidR="00CB7356">
        <w:t>w</w:t>
      </w:r>
      <w:r w:rsidRPr="003C669A">
        <w:t>n in 2021 and similar works started in two other rail stations.</w:t>
      </w:r>
    </w:p>
    <w:p w14:paraId="09950168" w14:textId="77777777" w:rsidR="003C669A" w:rsidRPr="003C669A" w:rsidRDefault="003C669A" w:rsidP="003C669A">
      <w:pPr>
        <w:pStyle w:val="ListBullet"/>
      </w:pPr>
      <w:r w:rsidRPr="003C669A">
        <w:t>Improved Wayfinding and Signage were installed at 38 rail stations in 2021.</w:t>
      </w:r>
    </w:p>
    <w:p w14:paraId="32FF2F40" w14:textId="6124D4FE" w:rsidR="00681820" w:rsidRPr="003C669A" w:rsidRDefault="003C669A" w:rsidP="003C669A">
      <w:pPr>
        <w:pStyle w:val="ListBullet"/>
      </w:pPr>
      <w:r w:rsidRPr="003C669A">
        <w:t>Accessible Bus Bays were installed in fo</w:t>
      </w:r>
      <w:r w:rsidR="00922465">
        <w:t>u</w:t>
      </w:r>
      <w:r w:rsidRPr="003C669A">
        <w:t xml:space="preserve">r bus stations and </w:t>
      </w:r>
      <w:r w:rsidR="000B31AA" w:rsidRPr="003C669A">
        <w:t xml:space="preserve">construction </w:t>
      </w:r>
      <w:r w:rsidRPr="003C669A">
        <w:t>started in 23 locations nationwide.</w:t>
      </w:r>
      <w:r w:rsidR="000B31AA" w:rsidRPr="000B31AA">
        <w:t xml:space="preserve"> </w:t>
      </w:r>
    </w:p>
    <w:p w14:paraId="02C47EA0" w14:textId="77777777" w:rsidR="00FE2C73" w:rsidRPr="003C669A" w:rsidRDefault="00681820" w:rsidP="003C669A">
      <w:pPr>
        <w:pStyle w:val="ListBullet"/>
      </w:pPr>
      <w:r w:rsidRPr="00D85C0B">
        <w:t>NTA want to improve</w:t>
      </w:r>
      <w:r w:rsidR="00FE2C73" w:rsidRPr="00D85C0B">
        <w:t xml:space="preserve"> the concept of car sharing beyond the car sharing we</w:t>
      </w:r>
      <w:r w:rsidR="00596C5D" w:rsidRPr="00D85C0B">
        <w:t>bsite and voluntary car schemes. In this regard</w:t>
      </w:r>
      <w:r w:rsidR="00B66A36" w:rsidRPr="00D85C0B">
        <w:t>,</w:t>
      </w:r>
      <w:r w:rsidR="00596C5D" w:rsidRPr="00D85C0B">
        <w:t xml:space="preserve"> </w:t>
      </w:r>
      <w:r w:rsidR="003259B6" w:rsidRPr="00D85C0B">
        <w:t>t</w:t>
      </w:r>
      <w:r w:rsidR="00FE2C73" w:rsidRPr="00D85C0B">
        <w:t xml:space="preserve">he pilot community car schemes established during 2020 </w:t>
      </w:r>
      <w:r w:rsidR="003259B6" w:rsidRPr="00D85C0B">
        <w:t xml:space="preserve">are to </w:t>
      </w:r>
      <w:r w:rsidR="00FE2C73" w:rsidRPr="00D85C0B">
        <w:t xml:space="preserve">be reviewed </w:t>
      </w:r>
      <w:r w:rsidRPr="00D85C0B">
        <w:t xml:space="preserve">by the NTA </w:t>
      </w:r>
      <w:r w:rsidR="00FE2C73" w:rsidRPr="00D85C0B">
        <w:t>at the end of 2021</w:t>
      </w:r>
      <w:r w:rsidR="00B66A36" w:rsidRPr="00D85C0B">
        <w:t>. T</w:t>
      </w:r>
      <w:r w:rsidR="00FE2C73" w:rsidRPr="00D85C0B">
        <w:t>he review will include information and data on how these services operated during the pandemic as opposed to regular operations</w:t>
      </w:r>
      <w:r w:rsidR="0028523E">
        <w:t xml:space="preserve"> and will make recommendations on how to </w:t>
      </w:r>
      <w:r w:rsidR="00DD4E67">
        <w:t>further develop</w:t>
      </w:r>
      <w:r w:rsidR="0028523E">
        <w:t xml:space="preserve"> the scheme</w:t>
      </w:r>
      <w:r w:rsidR="00466D53">
        <w:t>.</w:t>
      </w:r>
    </w:p>
    <w:p w14:paraId="473A6178" w14:textId="77777777" w:rsidR="002E7C00" w:rsidRPr="002E7C00" w:rsidRDefault="002E7C00" w:rsidP="003C669A">
      <w:pPr>
        <w:pStyle w:val="ListBullet"/>
      </w:pPr>
      <w:r w:rsidRPr="002E7C00">
        <w:rPr>
          <w:lang w:eastAsia="en-IE"/>
        </w:rPr>
        <w:t xml:space="preserve">Providing </w:t>
      </w:r>
      <w:r w:rsidR="00466D53">
        <w:rPr>
          <w:lang w:eastAsia="en-IE"/>
        </w:rPr>
        <w:t xml:space="preserve">accessible </w:t>
      </w:r>
      <w:r w:rsidRPr="002E7C00">
        <w:rPr>
          <w:lang w:eastAsia="en-IE"/>
        </w:rPr>
        <w:t xml:space="preserve">information </w:t>
      </w:r>
      <w:r w:rsidR="00466D53">
        <w:rPr>
          <w:lang w:eastAsia="en-IE"/>
        </w:rPr>
        <w:t xml:space="preserve">on transport </w:t>
      </w:r>
      <w:r w:rsidRPr="002E7C00">
        <w:rPr>
          <w:lang w:eastAsia="en-IE"/>
        </w:rPr>
        <w:t>to and for persons with disabilities has continued in 2021,</w:t>
      </w:r>
      <w:r w:rsidR="00E01862">
        <w:rPr>
          <w:lang w:eastAsia="en-IE"/>
        </w:rPr>
        <w:t xml:space="preserve"> such as</w:t>
      </w:r>
      <w:r w:rsidRPr="002E7C00">
        <w:rPr>
          <w:lang w:eastAsia="en-IE"/>
        </w:rPr>
        <w:t xml:space="preserve"> informing passengers about </w:t>
      </w:r>
      <w:r>
        <w:rPr>
          <w:lang w:eastAsia="en-IE"/>
        </w:rPr>
        <w:t>‘</w:t>
      </w:r>
      <w:r w:rsidRPr="002E7C00">
        <w:rPr>
          <w:lang w:eastAsia="en-IE"/>
        </w:rPr>
        <w:t>out of order lifts</w:t>
      </w:r>
      <w:r>
        <w:rPr>
          <w:lang w:eastAsia="en-IE"/>
        </w:rPr>
        <w:t>’</w:t>
      </w:r>
      <w:r w:rsidRPr="002E7C00">
        <w:rPr>
          <w:lang w:eastAsia="en-IE"/>
        </w:rPr>
        <w:t xml:space="preserve"> or delays </w:t>
      </w:r>
      <w:r>
        <w:rPr>
          <w:lang w:eastAsia="en-IE"/>
        </w:rPr>
        <w:t>to journeys</w:t>
      </w:r>
      <w:r w:rsidR="00466D53">
        <w:rPr>
          <w:lang w:eastAsia="en-IE"/>
        </w:rPr>
        <w:t>. However, this provis</w:t>
      </w:r>
      <w:r w:rsidR="005D1F90">
        <w:rPr>
          <w:lang w:eastAsia="en-IE"/>
        </w:rPr>
        <w:t>i</w:t>
      </w:r>
      <w:r w:rsidR="00466D53">
        <w:rPr>
          <w:lang w:eastAsia="en-IE"/>
        </w:rPr>
        <w:t>on</w:t>
      </w:r>
      <w:r>
        <w:rPr>
          <w:lang w:eastAsia="en-IE"/>
        </w:rPr>
        <w:t xml:space="preserve"> </w:t>
      </w:r>
      <w:r w:rsidRPr="002E7C00">
        <w:rPr>
          <w:lang w:eastAsia="en-IE"/>
        </w:rPr>
        <w:t>will</w:t>
      </w:r>
      <w:r w:rsidR="003A7F75">
        <w:rPr>
          <w:lang w:eastAsia="en-IE"/>
        </w:rPr>
        <w:t xml:space="preserve"> continue to</w:t>
      </w:r>
      <w:r w:rsidRPr="002E7C00">
        <w:rPr>
          <w:lang w:eastAsia="en-IE"/>
        </w:rPr>
        <w:t xml:space="preserve"> </w:t>
      </w:r>
      <w:r w:rsidRPr="00681820">
        <w:rPr>
          <w:lang w:eastAsia="en-IE"/>
        </w:rPr>
        <w:t>require further effort.</w:t>
      </w:r>
      <w:r w:rsidRPr="002E7C00">
        <w:rPr>
          <w:lang w:eastAsia="en-IE"/>
        </w:rPr>
        <w:t xml:space="preserve"> </w:t>
      </w:r>
      <w:r w:rsidR="003A7F75">
        <w:rPr>
          <w:lang w:eastAsia="en-IE"/>
        </w:rPr>
        <w:t>The NDA suggest</w:t>
      </w:r>
      <w:r w:rsidR="00E01862">
        <w:rPr>
          <w:lang w:eastAsia="en-IE"/>
        </w:rPr>
        <w:t>s</w:t>
      </w:r>
      <w:r w:rsidR="003A7F75">
        <w:rPr>
          <w:lang w:eastAsia="en-IE"/>
        </w:rPr>
        <w:t xml:space="preserve"> that l</w:t>
      </w:r>
      <w:r w:rsidRPr="002E7C00">
        <w:rPr>
          <w:lang w:eastAsia="en-IE"/>
        </w:rPr>
        <w:t xml:space="preserve">inking these activities to the work underway in the </w:t>
      </w:r>
      <w:r>
        <w:rPr>
          <w:lang w:eastAsia="en-IE"/>
        </w:rPr>
        <w:t>‘</w:t>
      </w:r>
      <w:r w:rsidRPr="002E7C00">
        <w:t>passenger assistance concept</w:t>
      </w:r>
      <w:r>
        <w:t xml:space="preserve">’ </w:t>
      </w:r>
      <w:r w:rsidRPr="002E7C00">
        <w:t xml:space="preserve"> </w:t>
      </w:r>
      <w:r w:rsidR="003A7F75">
        <w:t>should provide further assistance to</w:t>
      </w:r>
      <w:r w:rsidRPr="002E7C00">
        <w:t xml:space="preserve"> people with a disability to plan their public transport journey</w:t>
      </w:r>
      <w:r w:rsidR="003A7F75">
        <w:t xml:space="preserve">. </w:t>
      </w:r>
      <w:r w:rsidRPr="002E7C00">
        <w:t xml:space="preserve">The Travel Assistance Scheme operates </w:t>
      </w:r>
      <w:r w:rsidR="005D1F90">
        <w:t xml:space="preserve">throughout </w:t>
      </w:r>
      <w:r w:rsidRPr="002E7C00">
        <w:t>the Greater Dublin Area and includes assist</w:t>
      </w:r>
      <w:r w:rsidR="00E01862">
        <w:t>ance</w:t>
      </w:r>
      <w:r w:rsidRPr="002E7C00">
        <w:t xml:space="preserve"> on Dublin Bus, Luas, DART and Go Ahead.</w:t>
      </w:r>
      <w:r w:rsidR="00E01862">
        <w:t xml:space="preserve"> </w:t>
      </w:r>
      <w:r w:rsidRPr="002E7C00">
        <w:t xml:space="preserve">The Travel Assistance Scheme recruited more staff </w:t>
      </w:r>
      <w:r w:rsidR="007E5638">
        <w:t xml:space="preserve">in 2021, </w:t>
      </w:r>
      <w:r w:rsidR="005D1F90">
        <w:t xml:space="preserve">and </w:t>
      </w:r>
      <w:r w:rsidR="007E5638">
        <w:t>this</w:t>
      </w:r>
      <w:r w:rsidRPr="002E7C00">
        <w:t xml:space="preserve"> </w:t>
      </w:r>
      <w:r w:rsidR="00E01862">
        <w:t>t</w:t>
      </w:r>
      <w:r w:rsidRPr="002E7C00">
        <w:t xml:space="preserve">eam </w:t>
      </w:r>
      <w:r w:rsidR="007E5638">
        <w:t xml:space="preserve">now has </w:t>
      </w:r>
      <w:r w:rsidRPr="002E7C00">
        <w:t xml:space="preserve">3 full time and 1 part time </w:t>
      </w:r>
      <w:r w:rsidR="007E5638">
        <w:t xml:space="preserve">members of </w:t>
      </w:r>
      <w:r w:rsidRPr="002E7C00">
        <w:t xml:space="preserve">staff. </w:t>
      </w:r>
    </w:p>
    <w:p w14:paraId="25BA0BEB" w14:textId="77777777" w:rsidR="003A7F75" w:rsidRDefault="003259B6" w:rsidP="00571E6F">
      <w:r>
        <w:t xml:space="preserve">The NTA </w:t>
      </w:r>
      <w:r w:rsidR="00343C08">
        <w:t>have a number of activities</w:t>
      </w:r>
      <w:r w:rsidR="00E01862">
        <w:t xml:space="preserve"> </w:t>
      </w:r>
      <w:r w:rsidR="005D1F90">
        <w:t>underway</w:t>
      </w:r>
      <w:r w:rsidR="00343C08">
        <w:t xml:space="preserve"> to increase t</w:t>
      </w:r>
      <w:r w:rsidR="003A7F75" w:rsidRPr="00D66114">
        <w:t>he number of wheelchair and accessible taxis across the State</w:t>
      </w:r>
      <w:r w:rsidR="00E01862">
        <w:t>. This will be</w:t>
      </w:r>
      <w:r w:rsidR="00343C08">
        <w:t xml:space="preserve"> </w:t>
      </w:r>
      <w:r w:rsidR="00A70B66">
        <w:t xml:space="preserve">achieved </w:t>
      </w:r>
      <w:r w:rsidR="00A70B66" w:rsidRPr="00D66114">
        <w:t>by</w:t>
      </w:r>
      <w:r w:rsidR="003A7F75" w:rsidRPr="00D66114">
        <w:t xml:space="preserve"> allowing smaller vehicles </w:t>
      </w:r>
      <w:r w:rsidR="007E5638">
        <w:t xml:space="preserve">to obtain taxi status </w:t>
      </w:r>
      <w:r w:rsidR="003A7F75" w:rsidRPr="00D66114">
        <w:t xml:space="preserve">and </w:t>
      </w:r>
      <w:r w:rsidR="007E5638">
        <w:t xml:space="preserve">by </w:t>
      </w:r>
      <w:r w:rsidR="003A7F75" w:rsidRPr="00D66114">
        <w:t>incentivising purchase or adaption of those vehicles</w:t>
      </w:r>
      <w:r w:rsidR="002E7399">
        <w:t>. During 2021</w:t>
      </w:r>
      <w:r w:rsidR="00E01862">
        <w:t>,</w:t>
      </w:r>
      <w:r w:rsidR="002E7399">
        <w:t xml:space="preserve"> the following was reported:</w:t>
      </w:r>
    </w:p>
    <w:p w14:paraId="6D68003F" w14:textId="2046BD2F" w:rsidR="003A7F75" w:rsidRDefault="003A7F75" w:rsidP="00036601">
      <w:pPr>
        <w:pStyle w:val="ListBullet"/>
        <w:tabs>
          <w:tab w:val="clear" w:pos="360"/>
          <w:tab w:val="num" w:pos="720"/>
        </w:tabs>
        <w:spacing w:after="0"/>
      </w:pPr>
      <w:r>
        <w:t xml:space="preserve">The NTA </w:t>
      </w:r>
      <w:r w:rsidR="00571E6F">
        <w:t xml:space="preserve">has conducted </w:t>
      </w:r>
      <w:r>
        <w:t>a small public service vehicle (SPSV) accessibility survey with the aim of getting information on the demand, delivery and accessibility levels of SPSV passenger services nationwide. The data will assist NTA in enhancing the SPSV passenger services strategy. As the current percentage of Wheelchair Accessible Vehicles is now at 17%</w:t>
      </w:r>
      <w:r w:rsidR="00E01862">
        <w:t>,</w:t>
      </w:r>
      <w:r>
        <w:t xml:space="preserve"> </w:t>
      </w:r>
      <w:r w:rsidR="00E01862">
        <w:t xml:space="preserve">the </w:t>
      </w:r>
      <w:r>
        <w:t>NTA hope</w:t>
      </w:r>
      <w:r w:rsidR="005D1F90">
        <w:t>s</w:t>
      </w:r>
      <w:r>
        <w:t xml:space="preserve"> to continue to </w:t>
      </w:r>
      <w:r w:rsidR="007E5638">
        <w:t>improve</w:t>
      </w:r>
      <w:r w:rsidR="00036601">
        <w:t xml:space="preserve"> this number</w:t>
      </w:r>
    </w:p>
    <w:p w14:paraId="49DE74D6" w14:textId="603A5B9D" w:rsidR="003A7F75" w:rsidRDefault="003A7F75" w:rsidP="00036601">
      <w:pPr>
        <w:pStyle w:val="ListBullet"/>
        <w:tabs>
          <w:tab w:val="clear" w:pos="360"/>
          <w:tab w:val="num" w:pos="720"/>
        </w:tabs>
        <w:spacing w:after="0"/>
      </w:pPr>
      <w:r>
        <w:t xml:space="preserve">The NTA reports that 100% of all city fleet </w:t>
      </w:r>
      <w:r w:rsidR="005222BB">
        <w:t>buses are</w:t>
      </w:r>
      <w:r>
        <w:t xml:space="preserve"> wheelchair accessible and 100% of all </w:t>
      </w:r>
      <w:r w:rsidRPr="005220EE">
        <w:t>Bus Éireann</w:t>
      </w:r>
      <w:r>
        <w:t xml:space="preserve"> regional </w:t>
      </w:r>
      <w:r w:rsidR="00E01862">
        <w:t>f</w:t>
      </w:r>
      <w:r>
        <w:t>leet is now wheelchair acces</w:t>
      </w:r>
      <w:r w:rsidR="007E5638">
        <w:t>sible. The NTA reports that 53 double decker</w:t>
      </w:r>
      <w:r>
        <w:t xml:space="preserve"> coaches now have permanent wheelchair spa</w:t>
      </w:r>
      <w:r w:rsidR="00036601">
        <w:t>ces</w:t>
      </w:r>
      <w:r>
        <w:t xml:space="preserve"> </w:t>
      </w:r>
    </w:p>
    <w:p w14:paraId="76350AA2" w14:textId="657D297D" w:rsidR="00FE2C73" w:rsidRDefault="003A7F75" w:rsidP="00036601">
      <w:pPr>
        <w:pStyle w:val="ListBullet"/>
        <w:tabs>
          <w:tab w:val="clear" w:pos="360"/>
          <w:tab w:val="num" w:pos="720"/>
        </w:tabs>
        <w:spacing w:after="0"/>
      </w:pPr>
      <w:r>
        <w:t xml:space="preserve">280 new Hybrid </w:t>
      </w:r>
      <w:r w:rsidR="004B6782">
        <w:t>Double Decker</w:t>
      </w:r>
      <w:r>
        <w:t xml:space="preserve"> </w:t>
      </w:r>
      <w:r w:rsidR="004B6782">
        <w:t xml:space="preserve">(DD) </w:t>
      </w:r>
      <w:r>
        <w:t xml:space="preserve">city </w:t>
      </w:r>
      <w:r w:rsidRPr="007E5638">
        <w:t>buses</w:t>
      </w:r>
      <w:r>
        <w:t xml:space="preserve"> have wheelchair space</w:t>
      </w:r>
      <w:r w:rsidR="00E01862">
        <w:t>s</w:t>
      </w:r>
      <w:r>
        <w:t>, with newer models having additional buggy space on board and a backup ramp on the</w:t>
      </w:r>
      <w:r w:rsidR="007E5638">
        <w:t xml:space="preserve"> middle door. New hybrid DD bus</w:t>
      </w:r>
      <w:r>
        <w:t>es also have Induction Loops, additional Passenger Information Displays at wheelchair space, priority seating covers and LED lights on front display.</w:t>
      </w:r>
    </w:p>
    <w:p w14:paraId="55D827D4" w14:textId="77777777" w:rsidR="00036601" w:rsidRDefault="00036601" w:rsidP="004B6782">
      <w:pPr>
        <w:rPr>
          <w:szCs w:val="26"/>
        </w:rPr>
      </w:pPr>
    </w:p>
    <w:p w14:paraId="0DAD7ADA" w14:textId="089EF98C" w:rsidR="004B6782" w:rsidRPr="001F0DC5" w:rsidRDefault="004B6782" w:rsidP="004B6782">
      <w:pPr>
        <w:rPr>
          <w:szCs w:val="26"/>
        </w:rPr>
      </w:pPr>
      <w:r w:rsidRPr="001F0DC5">
        <w:rPr>
          <w:szCs w:val="26"/>
        </w:rPr>
        <w:t>The NDA note</w:t>
      </w:r>
      <w:r w:rsidR="00261B7D" w:rsidRPr="001F0DC5">
        <w:rPr>
          <w:szCs w:val="26"/>
        </w:rPr>
        <w:t xml:space="preserve"> these developments during 2021, but </w:t>
      </w:r>
      <w:r w:rsidRPr="001F0DC5">
        <w:rPr>
          <w:szCs w:val="26"/>
        </w:rPr>
        <w:t xml:space="preserve">the lived experience of persons with disabilities </w:t>
      </w:r>
      <w:r w:rsidR="00261B7D" w:rsidRPr="001F0DC5">
        <w:rPr>
          <w:szCs w:val="26"/>
        </w:rPr>
        <w:t xml:space="preserve">when asked continues to point to gaps in the public transport system, especially with regard to </w:t>
      </w:r>
      <w:r w:rsidR="001F0DC5" w:rsidRPr="001F0DC5">
        <w:rPr>
          <w:szCs w:val="26"/>
        </w:rPr>
        <w:t xml:space="preserve">out of order lifts and </w:t>
      </w:r>
      <w:r w:rsidR="001F0DC5" w:rsidRPr="001F0DC5">
        <w:rPr>
          <w:szCs w:val="26"/>
          <w:shd w:val="clear" w:color="auto" w:fill="FFFFFF"/>
        </w:rPr>
        <w:t>availability of assistance staff regarding placement of ramps.</w:t>
      </w:r>
    </w:p>
    <w:p w14:paraId="551D8B31" w14:textId="39001F1E" w:rsidR="00AB3899" w:rsidRDefault="00A52DEC" w:rsidP="00A90FD7">
      <w:pPr>
        <w:rPr>
          <w:szCs w:val="26"/>
          <w:lang w:eastAsia="en-IE"/>
        </w:rPr>
      </w:pPr>
      <w:r>
        <w:rPr>
          <w:szCs w:val="26"/>
          <w:lang w:eastAsia="en-IE"/>
        </w:rPr>
        <w:t xml:space="preserve">Strategic priority 2 is an important </w:t>
      </w:r>
      <w:r w:rsidR="00C50318">
        <w:rPr>
          <w:szCs w:val="26"/>
          <w:lang w:eastAsia="en-IE"/>
        </w:rPr>
        <w:t>building</w:t>
      </w:r>
      <w:r>
        <w:rPr>
          <w:szCs w:val="26"/>
          <w:lang w:eastAsia="en-IE"/>
        </w:rPr>
        <w:t xml:space="preserve"> block in the overall strategy with access to travel, </w:t>
      </w:r>
      <w:r w:rsidR="00C50318">
        <w:rPr>
          <w:szCs w:val="26"/>
          <w:lang w:eastAsia="en-IE"/>
        </w:rPr>
        <w:t>in</w:t>
      </w:r>
      <w:r>
        <w:rPr>
          <w:szCs w:val="26"/>
          <w:lang w:eastAsia="en-IE"/>
        </w:rPr>
        <w:t>ternships, apprenticeship and Ability</w:t>
      </w:r>
      <w:r w:rsidR="00C50318">
        <w:rPr>
          <w:szCs w:val="26"/>
          <w:lang w:eastAsia="en-IE"/>
        </w:rPr>
        <w:t xml:space="preserve"> project</w:t>
      </w:r>
      <w:r>
        <w:rPr>
          <w:szCs w:val="26"/>
          <w:lang w:eastAsia="en-IE"/>
        </w:rPr>
        <w:t>s all necessary steps in preparing young people for employment.</w:t>
      </w:r>
      <w:r w:rsidR="00C50318">
        <w:rPr>
          <w:szCs w:val="26"/>
          <w:lang w:eastAsia="en-IE"/>
        </w:rPr>
        <w:t xml:space="preserve"> </w:t>
      </w:r>
      <w:r w:rsidR="00C83216">
        <w:rPr>
          <w:szCs w:val="26"/>
          <w:lang w:eastAsia="en-IE"/>
        </w:rPr>
        <w:t>The NDA assessment is that some good progress has been made in this area</w:t>
      </w:r>
      <w:r w:rsidR="001F0DC5">
        <w:rPr>
          <w:szCs w:val="26"/>
          <w:lang w:eastAsia="en-IE"/>
        </w:rPr>
        <w:t xml:space="preserve"> but </w:t>
      </w:r>
      <w:r w:rsidR="00AB3899">
        <w:rPr>
          <w:szCs w:val="26"/>
          <w:lang w:eastAsia="en-IE"/>
        </w:rPr>
        <w:t>actions such as the review of the DSP reasonable accommodation fund and implementation of the early engagement process require further impetus.</w:t>
      </w:r>
    </w:p>
    <w:p w14:paraId="6D027D13" w14:textId="77777777" w:rsidR="00A90FD7" w:rsidRPr="00060183" w:rsidRDefault="00A90FD7" w:rsidP="0064420B">
      <w:pPr>
        <w:pStyle w:val="Heading2"/>
      </w:pPr>
      <w:bookmarkStart w:id="44" w:name="_Toc101857200"/>
      <w:r w:rsidRPr="00060183">
        <w:t>SP3 Make work pay</w:t>
      </w:r>
      <w:bookmarkEnd w:id="44"/>
    </w:p>
    <w:p w14:paraId="13854435" w14:textId="77777777" w:rsidR="00A52DEC" w:rsidRDefault="001A08DA" w:rsidP="001A08DA">
      <w:pPr>
        <w:pStyle w:val="ListParagraph"/>
        <w:ind w:left="0"/>
      </w:pPr>
      <w:r>
        <w:t xml:space="preserve">Strategic </w:t>
      </w:r>
      <w:r w:rsidR="00E01862">
        <w:t>P</w:t>
      </w:r>
      <w:r>
        <w:t>riority 3 reflects the need to ensure that work pays. When consulted</w:t>
      </w:r>
      <w:r w:rsidR="00E01862">
        <w:t>,</w:t>
      </w:r>
      <w:r>
        <w:t xml:space="preserve"> persons with disabilities have often mentioned the disincentives to obtaining work. Many of those disincentives were addressed in the 2017 Make Work Pay report</w:t>
      </w:r>
      <w:r w:rsidR="0064420B">
        <w:t xml:space="preserve">. </w:t>
      </w:r>
      <w:r w:rsidR="005D1F90">
        <w:t xml:space="preserve">Implementation of the </w:t>
      </w:r>
      <w:r w:rsidR="0064420B">
        <w:t>recommendations of this</w:t>
      </w:r>
      <w:r w:rsidR="00A52DEC">
        <w:t xml:space="preserve"> report addressed</w:t>
      </w:r>
      <w:r w:rsidR="00E01862">
        <w:t xml:space="preserve"> </w:t>
      </w:r>
      <w:r>
        <w:t xml:space="preserve">obstacles such as access to </w:t>
      </w:r>
      <w:r w:rsidR="00F97EC5">
        <w:t xml:space="preserve">a </w:t>
      </w:r>
      <w:r>
        <w:t>medical card, removal of the rehabilitative work</w:t>
      </w:r>
      <w:r w:rsidR="00A52DEC">
        <w:t xml:space="preserve"> criteria</w:t>
      </w:r>
      <w:r>
        <w:t>,</w:t>
      </w:r>
      <w:r w:rsidR="005D1F90">
        <w:t xml:space="preserve"> and</w:t>
      </w:r>
      <w:r>
        <w:t xml:space="preserve"> increasing the </w:t>
      </w:r>
      <w:r w:rsidR="00A52DEC">
        <w:t xml:space="preserve">disability allowance </w:t>
      </w:r>
      <w:r>
        <w:t>earnings disregard</w:t>
      </w:r>
      <w:r w:rsidR="004A799D">
        <w:t xml:space="preserve">. </w:t>
      </w:r>
    </w:p>
    <w:p w14:paraId="7A9653EE" w14:textId="77777777" w:rsidR="00A52DEC" w:rsidRDefault="00A52DEC" w:rsidP="001A08DA">
      <w:pPr>
        <w:pStyle w:val="ListParagraph"/>
        <w:ind w:left="0"/>
      </w:pPr>
    </w:p>
    <w:p w14:paraId="741ED7E1" w14:textId="730BBB03" w:rsidR="00DD534B" w:rsidRDefault="00DD534B" w:rsidP="001A08DA">
      <w:pPr>
        <w:pStyle w:val="ListParagraph"/>
        <w:ind w:left="0"/>
      </w:pPr>
      <w:r>
        <w:t xml:space="preserve">DCEDIY </w:t>
      </w:r>
      <w:r w:rsidR="0064420B">
        <w:t xml:space="preserve">commenced </w:t>
      </w:r>
      <w:r>
        <w:t xml:space="preserve">a review of progress of Make Work Pay recommendations in </w:t>
      </w:r>
      <w:r w:rsidR="004A799D">
        <w:t xml:space="preserve">Q4 </w:t>
      </w:r>
      <w:r>
        <w:t>2021</w:t>
      </w:r>
      <w:r w:rsidR="00DD4E67">
        <w:t xml:space="preserve">. </w:t>
      </w:r>
      <w:r w:rsidR="0064420B">
        <w:t>T</w:t>
      </w:r>
      <w:r>
        <w:t xml:space="preserve">his review </w:t>
      </w:r>
      <w:r w:rsidR="004A799D">
        <w:t>required depart</w:t>
      </w:r>
      <w:r w:rsidR="005D1F90">
        <w:t>ment</w:t>
      </w:r>
      <w:r w:rsidR="004A799D">
        <w:t>s and agencies to describe and update actions in the Make Work Pay areas that they were involved in</w:t>
      </w:r>
      <w:r w:rsidR="0064420B">
        <w:t>. This review is ongoing and</w:t>
      </w:r>
      <w:r w:rsidR="004A799D">
        <w:t xml:space="preserve"> </w:t>
      </w:r>
      <w:r w:rsidR="00B2635D">
        <w:t xml:space="preserve">will </w:t>
      </w:r>
      <w:r>
        <w:t xml:space="preserve">inform the final </w:t>
      </w:r>
      <w:r w:rsidR="001A68DA">
        <w:t>three-</w:t>
      </w:r>
      <w:r>
        <w:t xml:space="preserve">year action plan of the CES. </w:t>
      </w:r>
    </w:p>
    <w:p w14:paraId="5E4CCDD8" w14:textId="77777777" w:rsidR="00DD534B" w:rsidRDefault="00DD534B" w:rsidP="001A08DA">
      <w:pPr>
        <w:pStyle w:val="ListParagraph"/>
        <w:ind w:left="0"/>
      </w:pPr>
    </w:p>
    <w:p w14:paraId="1354F7B8" w14:textId="6BFCE51B" w:rsidR="00CB7356" w:rsidRPr="00F87D42" w:rsidRDefault="004A799D" w:rsidP="0080490E">
      <w:pPr>
        <w:rPr>
          <w:szCs w:val="26"/>
        </w:rPr>
      </w:pPr>
      <w:r>
        <w:t xml:space="preserve">On the specific issues of ensuring that work </w:t>
      </w:r>
      <w:r w:rsidR="0064420B">
        <w:t xml:space="preserve">pays </w:t>
      </w:r>
      <w:r>
        <w:t>there is e</w:t>
      </w:r>
      <w:r w:rsidR="001A08DA">
        <w:t xml:space="preserve">vidence </w:t>
      </w:r>
      <w:r w:rsidR="00F440EB">
        <w:t xml:space="preserve">published in 2021 </w:t>
      </w:r>
      <w:r>
        <w:t xml:space="preserve">that </w:t>
      </w:r>
      <w:r w:rsidR="00DD534B">
        <w:t xml:space="preserve">continues to </w:t>
      </w:r>
      <w:r w:rsidR="001A08DA">
        <w:t>point to the risk of poverty, the cost of disability and the disparity in earning between persons with disabilities and their non-disabled peers.</w:t>
      </w:r>
      <w:r w:rsidR="0064420B">
        <w:t xml:space="preserve"> For example</w:t>
      </w:r>
      <w:r w:rsidR="005D1F90">
        <w:t>,</w:t>
      </w:r>
      <w:r w:rsidR="0064420B">
        <w:t xml:space="preserve"> as highlighted in the data section there are large discrepancies between the median income of people with and without disabilities</w:t>
      </w:r>
      <w:r w:rsidR="001A4546">
        <w:t xml:space="preserve">, and the Cost of Disability study also points to the higher cost of living for people with a disability. </w:t>
      </w:r>
      <w:r w:rsidR="007556E1">
        <w:t xml:space="preserve">The </w:t>
      </w:r>
      <w:r w:rsidR="00757964">
        <w:t>NDA funded E</w:t>
      </w:r>
      <w:r w:rsidR="007556E1">
        <w:t xml:space="preserve">SRI report published in 2021 </w:t>
      </w:r>
      <w:r w:rsidR="005D1F90">
        <w:t xml:space="preserve">indicates that </w:t>
      </w:r>
      <w:r w:rsidR="007556E1" w:rsidRPr="00320287">
        <w:rPr>
          <w:szCs w:val="26"/>
        </w:rPr>
        <w:t xml:space="preserve">Ireland has one of the lowest at risk of poverty rates for employed people without disabilities, but, on average, </w:t>
      </w:r>
      <w:r w:rsidR="005D1F90">
        <w:rPr>
          <w:szCs w:val="26"/>
        </w:rPr>
        <w:t>a much higher rate</w:t>
      </w:r>
      <w:r w:rsidR="007556E1" w:rsidRPr="00320287">
        <w:rPr>
          <w:szCs w:val="26"/>
        </w:rPr>
        <w:t xml:space="preserve"> for people with disabilities. The poverty gap in Ireland</w:t>
      </w:r>
      <w:r w:rsidR="005D1F90">
        <w:rPr>
          <w:szCs w:val="26"/>
        </w:rPr>
        <w:t xml:space="preserve"> </w:t>
      </w:r>
      <w:r w:rsidR="007556E1" w:rsidRPr="00320287">
        <w:rPr>
          <w:szCs w:val="26"/>
        </w:rPr>
        <w:t>is one of the largest across EU countries, when we compare people without disabilities and people with disabilities that are unemployed or inactive</w:t>
      </w:r>
      <w:r w:rsidR="007556E1">
        <w:rPr>
          <w:rStyle w:val="FootnoteReference"/>
          <w:szCs w:val="26"/>
        </w:rPr>
        <w:footnoteReference w:id="36"/>
      </w:r>
      <w:r w:rsidR="007556E1" w:rsidRPr="00320287">
        <w:rPr>
          <w:szCs w:val="26"/>
        </w:rPr>
        <w:t>.</w:t>
      </w:r>
    </w:p>
    <w:p w14:paraId="63FFD866" w14:textId="6237D78C" w:rsidR="001A4546" w:rsidRPr="001A4546" w:rsidRDefault="001A4546" w:rsidP="0080490E">
      <w:r>
        <w:t>Below are some of the actions that progress</w:t>
      </w:r>
      <w:r w:rsidR="005D1F90">
        <w:t>ed</w:t>
      </w:r>
      <w:r>
        <w:t xml:space="preserve"> during 2021</w:t>
      </w:r>
      <w:r w:rsidR="005D1F90">
        <w:t>:</w:t>
      </w:r>
    </w:p>
    <w:p w14:paraId="691DBE68" w14:textId="108B1F6F" w:rsidR="00A90FD7" w:rsidRDefault="005833C8" w:rsidP="00036601">
      <w:pPr>
        <w:pStyle w:val="ListParagraph"/>
        <w:numPr>
          <w:ilvl w:val="0"/>
          <w:numId w:val="27"/>
        </w:numPr>
        <w:spacing w:before="120"/>
      </w:pPr>
      <w:r>
        <w:t xml:space="preserve">DSP </w:t>
      </w:r>
      <w:r w:rsidR="00263BBB">
        <w:t>ha</w:t>
      </w:r>
      <w:r w:rsidR="00F84BC9">
        <w:t>s</w:t>
      </w:r>
      <w:r w:rsidR="00263BBB">
        <w:t xml:space="preserve"> secured an </w:t>
      </w:r>
      <w:r w:rsidR="0031275F">
        <w:t>e</w:t>
      </w:r>
      <w:r w:rsidR="00A90FD7">
        <w:t>arnings disregard increase</w:t>
      </w:r>
      <w:r w:rsidR="001A4546">
        <w:t xml:space="preserve"> for the Disability Allowance</w:t>
      </w:r>
      <w:r w:rsidR="00980398">
        <w:rPr>
          <w:rStyle w:val="FootnoteReference"/>
        </w:rPr>
        <w:footnoteReference w:id="37"/>
      </w:r>
      <w:r w:rsidR="000342B3">
        <w:t xml:space="preserve"> and Blind Pension</w:t>
      </w:r>
      <w:r w:rsidR="00A90FD7">
        <w:t xml:space="preserve"> in budget 2021 of €20 </w:t>
      </w:r>
      <w:r w:rsidR="000342B3">
        <w:t xml:space="preserve">per week increasing </w:t>
      </w:r>
      <w:r w:rsidR="00A56E8B">
        <w:t>th</w:t>
      </w:r>
      <w:r w:rsidR="005D1F90">
        <w:t>e</w:t>
      </w:r>
      <w:r w:rsidR="00A90FD7">
        <w:t xml:space="preserve"> </w:t>
      </w:r>
      <w:r w:rsidR="000342B3">
        <w:t>lower</w:t>
      </w:r>
      <w:r w:rsidR="00A90FD7">
        <w:t xml:space="preserve"> disregard to </w:t>
      </w:r>
      <w:r w:rsidR="001A4546">
        <w:t>€</w:t>
      </w:r>
      <w:r w:rsidR="00A90FD7">
        <w:t>140 per week</w:t>
      </w:r>
      <w:r w:rsidR="000342B3">
        <w:t>.</w:t>
      </w:r>
    </w:p>
    <w:p w14:paraId="351E9790" w14:textId="73D41B10" w:rsidR="00AF6587" w:rsidRDefault="00263BBB" w:rsidP="00036601">
      <w:pPr>
        <w:pStyle w:val="ListParagraph"/>
        <w:numPr>
          <w:ilvl w:val="0"/>
          <w:numId w:val="27"/>
        </w:numPr>
        <w:spacing w:before="120"/>
        <w:rPr>
          <w:rFonts w:cs="Open Sans"/>
          <w:spacing w:val="3"/>
          <w:szCs w:val="26"/>
          <w:shd w:val="clear" w:color="auto" w:fill="FFFFFF"/>
        </w:rPr>
      </w:pPr>
      <w:r w:rsidRPr="006012F1">
        <w:rPr>
          <w:rFonts w:cs="Open Sans"/>
          <w:spacing w:val="3"/>
          <w:szCs w:val="26"/>
          <w:shd w:val="clear" w:color="auto" w:fill="FFFFFF"/>
        </w:rPr>
        <w:t>Also secured in Budget 2021 is that f</w:t>
      </w:r>
      <w:r w:rsidR="00AF6587" w:rsidRPr="006012F1">
        <w:rPr>
          <w:rFonts w:cs="Open Sans"/>
          <w:spacing w:val="3"/>
          <w:szCs w:val="26"/>
          <w:shd w:val="clear" w:color="auto" w:fill="FFFFFF"/>
        </w:rPr>
        <w:t>rom January 2022, the Wage Subsidy Scheme for people with disabilities will increase by €1 per hour (equivalent t</w:t>
      </w:r>
      <w:r w:rsidR="001A08DA" w:rsidRPr="006012F1">
        <w:rPr>
          <w:rFonts w:cs="Open Sans"/>
          <w:spacing w:val="3"/>
          <w:szCs w:val="26"/>
          <w:shd w:val="clear" w:color="auto" w:fill="FFFFFF"/>
        </w:rPr>
        <w:t>o 60% of National Minimum Wage)</w:t>
      </w:r>
    </w:p>
    <w:p w14:paraId="2B1F2821" w14:textId="163DB4DD" w:rsidR="004D138A" w:rsidRPr="0005760E" w:rsidRDefault="004D138A" w:rsidP="00036601">
      <w:pPr>
        <w:pStyle w:val="ListParagraph"/>
        <w:numPr>
          <w:ilvl w:val="0"/>
          <w:numId w:val="27"/>
        </w:numPr>
        <w:spacing w:before="120"/>
        <w:rPr>
          <w:rFonts w:cs="Open Sans"/>
          <w:spacing w:val="3"/>
          <w:szCs w:val="26"/>
          <w:shd w:val="clear" w:color="auto" w:fill="FFFFFF"/>
        </w:rPr>
      </w:pPr>
      <w:r w:rsidRPr="0005760E">
        <w:rPr>
          <w:rFonts w:cs="Open Sans"/>
          <w:spacing w:val="3"/>
          <w:szCs w:val="26"/>
          <w:shd w:val="clear" w:color="auto" w:fill="FFFFFF"/>
        </w:rPr>
        <w:t>A Work Placement Experience Programme (WPEP)</w:t>
      </w:r>
      <w:r w:rsidRPr="0005760E">
        <w:rPr>
          <w:rStyle w:val="FootnoteReference"/>
          <w:rFonts w:ascii="Gill Sans MT" w:hAnsi="Gill Sans MT" w:cs="Open Sans"/>
          <w:spacing w:val="3"/>
          <w:sz w:val="26"/>
          <w:szCs w:val="26"/>
          <w:shd w:val="clear" w:color="auto" w:fill="FFFFFF"/>
        </w:rPr>
        <w:footnoteReference w:id="38"/>
      </w:r>
      <w:r w:rsidRPr="0005760E">
        <w:rPr>
          <w:rFonts w:cs="Open Sans"/>
          <w:spacing w:val="3"/>
          <w:szCs w:val="26"/>
          <w:shd w:val="clear" w:color="auto" w:fill="FFFFFF"/>
        </w:rPr>
        <w:t xml:space="preserve"> was </w:t>
      </w:r>
      <w:r w:rsidR="0005760E" w:rsidRPr="0005760E">
        <w:rPr>
          <w:rFonts w:cs="Open Sans"/>
          <w:spacing w:val="3"/>
          <w:szCs w:val="26"/>
          <w:shd w:val="clear" w:color="auto" w:fill="FFFFFF"/>
        </w:rPr>
        <w:t>introduced by DSP</w:t>
      </w:r>
      <w:r w:rsidR="0005760E">
        <w:rPr>
          <w:rFonts w:cs="Open Sans"/>
          <w:spacing w:val="3"/>
          <w:szCs w:val="26"/>
          <w:shd w:val="clear" w:color="auto" w:fill="FFFFFF"/>
        </w:rPr>
        <w:t xml:space="preserve"> in 2021</w:t>
      </w:r>
      <w:r w:rsidR="0005760E" w:rsidRPr="0005760E">
        <w:rPr>
          <w:rFonts w:cs="Open Sans"/>
          <w:spacing w:val="3"/>
          <w:szCs w:val="26"/>
          <w:shd w:val="clear" w:color="auto" w:fill="FFFFFF"/>
        </w:rPr>
        <w:t xml:space="preserve">. </w:t>
      </w:r>
      <w:r w:rsidR="0005760E" w:rsidRPr="0005760E">
        <w:rPr>
          <w:color w:val="000000"/>
          <w:szCs w:val="26"/>
          <w:shd w:val="clear" w:color="auto" w:fill="FFFFFF"/>
        </w:rPr>
        <w:t>It is a 6-month, 30 hour per week voluntary work experience programme</w:t>
      </w:r>
      <w:r w:rsidR="0005760E">
        <w:rPr>
          <w:color w:val="000000"/>
          <w:szCs w:val="26"/>
          <w:shd w:val="clear" w:color="auto" w:fill="FFFFFF"/>
        </w:rPr>
        <w:t>. This programme is available for people in receipt of Disability Allowance or Blind Pension.</w:t>
      </w:r>
    </w:p>
    <w:p w14:paraId="2AC49A85" w14:textId="77777777" w:rsidR="000342B3" w:rsidRDefault="000342B3" w:rsidP="000342B3">
      <w:pPr>
        <w:pStyle w:val="ListParagraph"/>
        <w:spacing w:before="120"/>
        <w:rPr>
          <w:rFonts w:cs="Open Sans"/>
          <w:spacing w:val="3"/>
          <w:szCs w:val="26"/>
          <w:shd w:val="clear" w:color="auto" w:fill="FFFFFF"/>
        </w:rPr>
      </w:pPr>
    </w:p>
    <w:p w14:paraId="625113B7" w14:textId="20FEAA24" w:rsidR="001B757E" w:rsidRDefault="001A4546" w:rsidP="0080490E">
      <w:pPr>
        <w:rPr>
          <w:rFonts w:eastAsiaTheme="minorHAnsi"/>
        </w:rPr>
      </w:pPr>
      <w:r>
        <w:rPr>
          <w:rFonts w:eastAsiaTheme="minorHAnsi"/>
        </w:rPr>
        <w:t xml:space="preserve">There are some actions that require </w:t>
      </w:r>
      <w:r w:rsidR="001B757E">
        <w:rPr>
          <w:rFonts w:eastAsiaTheme="minorHAnsi"/>
        </w:rPr>
        <w:t xml:space="preserve">further progress such as the DCEDIY </w:t>
      </w:r>
      <w:r w:rsidR="006855AD">
        <w:rPr>
          <w:rFonts w:eastAsiaTheme="minorHAnsi"/>
        </w:rPr>
        <w:t xml:space="preserve">led initiative to </w:t>
      </w:r>
      <w:r w:rsidR="001B757E" w:rsidRPr="009D43F7">
        <w:rPr>
          <w:rFonts w:cs="ArialMT"/>
          <w:szCs w:val="26"/>
        </w:rPr>
        <w:t>develop proposals to address access to, or affordability of, necessary aids, appliances or assistive technologies required for everyday living, for those people with disabilities whose entry, retention or return to work could be jeopardised due to being unable to afford these items.</w:t>
      </w:r>
    </w:p>
    <w:p w14:paraId="67C0ABB5" w14:textId="77777777" w:rsidR="00A90FD7" w:rsidRPr="00B72465" w:rsidRDefault="00A90FD7" w:rsidP="00B72465">
      <w:pPr>
        <w:pStyle w:val="Heading2"/>
        <w:rPr>
          <w:rStyle w:val="Heading2Char"/>
          <w:rFonts w:eastAsiaTheme="minorHAnsi"/>
          <w:b/>
        </w:rPr>
      </w:pPr>
      <w:bookmarkStart w:id="45" w:name="_Toc101857201"/>
      <w:r w:rsidRPr="00B72465">
        <w:rPr>
          <w:rStyle w:val="Heading2Char"/>
          <w:b/>
        </w:rPr>
        <w:t>SP4 Promote job retention and re-entry to work</w:t>
      </w:r>
      <w:bookmarkEnd w:id="45"/>
      <w:r w:rsidRPr="00B72465">
        <w:rPr>
          <w:rStyle w:val="Heading2Char"/>
          <w:b/>
        </w:rPr>
        <w:t xml:space="preserve"> </w:t>
      </w:r>
    </w:p>
    <w:p w14:paraId="65882867" w14:textId="77777777" w:rsidR="008A777C" w:rsidRDefault="008A777C" w:rsidP="008A777C">
      <w:pPr>
        <w:spacing w:line="238" w:lineRule="auto"/>
        <w:rPr>
          <w:rFonts w:eastAsia="Calibri"/>
          <w:szCs w:val="26"/>
          <w:lang w:val="en-GB"/>
        </w:rPr>
      </w:pPr>
      <w:r>
        <w:rPr>
          <w:rFonts w:eastAsia="Calibri"/>
          <w:szCs w:val="26"/>
          <w:lang w:val="en-GB"/>
        </w:rPr>
        <w:t>E</w:t>
      </w:r>
      <w:r w:rsidRPr="008A777C">
        <w:rPr>
          <w:rFonts w:eastAsia="Calibri"/>
          <w:szCs w:val="26"/>
          <w:lang w:val="en-GB"/>
        </w:rPr>
        <w:t xml:space="preserve">vidence shows that the likelihood of re-entry to work </w:t>
      </w:r>
      <w:r w:rsidR="00E35073">
        <w:rPr>
          <w:rFonts w:eastAsia="Calibri"/>
          <w:szCs w:val="26"/>
          <w:lang w:val="en-GB"/>
        </w:rPr>
        <w:t xml:space="preserve">following acquiring a disability or long-term health condition </w:t>
      </w:r>
      <w:r w:rsidR="003E1E65">
        <w:rPr>
          <w:rFonts w:eastAsia="Calibri"/>
          <w:szCs w:val="26"/>
          <w:lang w:val="en-GB"/>
        </w:rPr>
        <w:t>decreases</w:t>
      </w:r>
      <w:r w:rsidR="003E1E65" w:rsidRPr="008A777C">
        <w:rPr>
          <w:rFonts w:eastAsia="Calibri"/>
          <w:szCs w:val="26"/>
          <w:lang w:val="en-GB"/>
        </w:rPr>
        <w:t xml:space="preserve"> </w:t>
      </w:r>
      <w:r w:rsidRPr="008A777C">
        <w:rPr>
          <w:rFonts w:eastAsia="Calibri"/>
          <w:szCs w:val="26"/>
          <w:lang w:val="en-GB"/>
        </w:rPr>
        <w:t>the longer someone has been out of work.</w:t>
      </w:r>
      <w:r w:rsidRPr="008A777C">
        <w:rPr>
          <w:rFonts w:eastAsia="Calibri"/>
          <w:szCs w:val="26"/>
          <w:vertAlign w:val="superscript"/>
          <w:lang w:val="en-GB"/>
        </w:rPr>
        <w:footnoteReference w:id="39"/>
      </w:r>
      <w:r w:rsidRPr="008A777C">
        <w:rPr>
          <w:rFonts w:eastAsia="Calibri"/>
          <w:szCs w:val="26"/>
          <w:lang w:val="en-GB"/>
        </w:rPr>
        <w:t xml:space="preserve"> Indeed, f</w:t>
      </w:r>
      <w:r w:rsidR="001C2B07">
        <w:rPr>
          <w:rFonts w:eastAsia="Calibri"/>
          <w:szCs w:val="26"/>
          <w:lang w:val="en-GB"/>
        </w:rPr>
        <w:t>or many private sector workers,</w:t>
      </w:r>
      <w:r w:rsidRPr="008A777C">
        <w:rPr>
          <w:rFonts w:eastAsia="Calibri"/>
          <w:szCs w:val="26"/>
          <w:lang w:val="en-GB"/>
        </w:rPr>
        <w:t xml:space="preserve"> evidence suggests there may no longer be a job to return to</w:t>
      </w:r>
      <w:r w:rsidR="003E1E65">
        <w:rPr>
          <w:rFonts w:eastAsia="Calibri"/>
          <w:szCs w:val="26"/>
          <w:lang w:val="en-GB"/>
        </w:rPr>
        <w:t xml:space="preserve"> </w:t>
      </w:r>
      <w:r w:rsidR="003E1E65" w:rsidRPr="008A777C">
        <w:rPr>
          <w:rFonts w:eastAsia="Calibri"/>
          <w:szCs w:val="26"/>
          <w:lang w:val="en-GB"/>
        </w:rPr>
        <w:t xml:space="preserve">after </w:t>
      </w:r>
      <w:r w:rsidR="003E1E65">
        <w:rPr>
          <w:rFonts w:eastAsia="Calibri"/>
          <w:szCs w:val="26"/>
          <w:lang w:val="en-GB"/>
        </w:rPr>
        <w:t xml:space="preserve">a </w:t>
      </w:r>
      <w:r w:rsidR="003E1E65" w:rsidRPr="008A777C">
        <w:rPr>
          <w:rFonts w:eastAsia="Calibri"/>
          <w:szCs w:val="26"/>
          <w:lang w:val="en-GB"/>
        </w:rPr>
        <w:t>six</w:t>
      </w:r>
      <w:r w:rsidR="003E1E65">
        <w:rPr>
          <w:rFonts w:eastAsia="Calibri"/>
          <w:szCs w:val="26"/>
          <w:lang w:val="en-GB"/>
        </w:rPr>
        <w:t>-</w:t>
      </w:r>
      <w:r w:rsidR="003E1E65" w:rsidRPr="008A777C">
        <w:rPr>
          <w:rFonts w:eastAsia="Calibri"/>
          <w:szCs w:val="26"/>
          <w:lang w:val="en-GB"/>
        </w:rPr>
        <w:t>month</w:t>
      </w:r>
      <w:r w:rsidR="003E1E65">
        <w:rPr>
          <w:rFonts w:eastAsia="Calibri"/>
          <w:szCs w:val="26"/>
          <w:lang w:val="en-GB"/>
        </w:rPr>
        <w:t xml:space="preserve"> absence</w:t>
      </w:r>
      <w:r w:rsidRPr="008A777C">
        <w:rPr>
          <w:rFonts w:eastAsia="Calibri"/>
          <w:szCs w:val="26"/>
          <w:lang w:val="en-GB"/>
        </w:rPr>
        <w:t>.</w:t>
      </w:r>
      <w:r w:rsidRPr="008A777C">
        <w:rPr>
          <w:rFonts w:eastAsia="Calibri"/>
          <w:szCs w:val="26"/>
          <w:vertAlign w:val="superscript"/>
          <w:lang w:val="en-GB"/>
        </w:rPr>
        <w:footnoteReference w:id="40"/>
      </w:r>
      <w:r w:rsidRPr="008A777C">
        <w:rPr>
          <w:rFonts w:eastAsia="Calibri"/>
          <w:szCs w:val="26"/>
          <w:lang w:val="en-GB"/>
        </w:rPr>
        <w:t xml:space="preserve"> </w:t>
      </w:r>
      <w:r>
        <w:rPr>
          <w:rFonts w:eastAsia="Calibri"/>
          <w:szCs w:val="26"/>
          <w:lang w:val="en-GB"/>
        </w:rPr>
        <w:t>It is through developing a systematic response to returning to employment that people with acquired disabilities can remain in employment.</w:t>
      </w:r>
    </w:p>
    <w:p w14:paraId="3382D59B" w14:textId="77777777" w:rsidR="008D057D" w:rsidRPr="008D057D" w:rsidRDefault="00F12B63" w:rsidP="008D057D">
      <w:pPr>
        <w:rPr>
          <w:rFonts w:eastAsiaTheme="majorEastAsia"/>
        </w:rPr>
      </w:pPr>
      <w:r>
        <w:t>T</w:t>
      </w:r>
      <w:r w:rsidR="008D057D">
        <w:t xml:space="preserve">he </w:t>
      </w:r>
      <w:r w:rsidR="008D057D" w:rsidRPr="008D057D">
        <w:t xml:space="preserve">publication </w:t>
      </w:r>
      <w:r w:rsidR="008D057D">
        <w:t>‘</w:t>
      </w:r>
      <w:r w:rsidR="008D057D" w:rsidRPr="008D057D">
        <w:t>NDA Policy Advice on Vocational</w:t>
      </w:r>
      <w:r w:rsidR="008D057D" w:rsidRPr="008D057D">
        <w:rPr>
          <w:rFonts w:eastAsiaTheme="majorEastAsia"/>
        </w:rPr>
        <w:t xml:space="preserve"> Rehabilitation Provision in Ireland</w:t>
      </w:r>
      <w:r w:rsidR="00777518">
        <w:rPr>
          <w:rFonts w:eastAsiaTheme="majorEastAsia"/>
        </w:rPr>
        <w:t xml:space="preserve">’ 2021, </w:t>
      </w:r>
      <w:r>
        <w:rPr>
          <w:rFonts w:eastAsiaTheme="majorEastAsia"/>
        </w:rPr>
        <w:t xml:space="preserve">collated research on return to work. </w:t>
      </w:r>
      <w:r>
        <w:rPr>
          <w:rFonts w:eastAsia="Calibri"/>
          <w:szCs w:val="26"/>
          <w:lang w:val="en-GB"/>
        </w:rPr>
        <w:t>E</w:t>
      </w:r>
      <w:r w:rsidR="008D057D" w:rsidRPr="008D057D">
        <w:rPr>
          <w:rFonts w:eastAsia="Calibri"/>
          <w:szCs w:val="26"/>
          <w:lang w:val="en-GB"/>
        </w:rPr>
        <w:t xml:space="preserve">vidence </w:t>
      </w:r>
      <w:r w:rsidR="00E35073">
        <w:rPr>
          <w:rFonts w:eastAsia="Calibri"/>
          <w:szCs w:val="26"/>
          <w:lang w:val="en-GB"/>
        </w:rPr>
        <w:t xml:space="preserve">indicates </w:t>
      </w:r>
      <w:r w:rsidR="008D057D" w:rsidRPr="008D057D">
        <w:rPr>
          <w:rFonts w:eastAsia="Calibri"/>
          <w:szCs w:val="26"/>
          <w:lang w:val="en-GB"/>
        </w:rPr>
        <w:t>that about three quarters of people of working age with disabilities have acquired their disability after the age of 18 and before the age of 65. Many of those affected cease employment within a fairly short time.</w:t>
      </w:r>
      <w:r w:rsidR="008D057D" w:rsidRPr="008D057D">
        <w:rPr>
          <w:rFonts w:ascii="Gill Sans" w:eastAsia="Calibri" w:hAnsi="Gill Sans"/>
          <w:sz w:val="22"/>
          <w:szCs w:val="26"/>
          <w:vertAlign w:val="superscript"/>
          <w:lang w:val="en-GB"/>
        </w:rPr>
        <w:footnoteReference w:id="41"/>
      </w:r>
      <w:r w:rsidR="008D057D" w:rsidRPr="008D057D">
        <w:rPr>
          <w:rFonts w:eastAsia="Calibri"/>
          <w:szCs w:val="26"/>
          <w:lang w:val="en-GB"/>
        </w:rPr>
        <w:t xml:space="preserve"> One study showed </w:t>
      </w:r>
      <w:r w:rsidR="008D057D" w:rsidRPr="008D057D">
        <w:rPr>
          <w:rFonts w:eastAsia="SimSun"/>
        </w:rPr>
        <w:t>employment rates of people with disabilities dropped to about a third.</w:t>
      </w:r>
      <w:r w:rsidR="008D057D" w:rsidRPr="008D057D">
        <w:rPr>
          <w:rFonts w:ascii="Gill Sans" w:eastAsia="SimSun" w:hAnsi="Gill Sans"/>
          <w:sz w:val="22"/>
          <w:vertAlign w:val="superscript"/>
        </w:rPr>
        <w:footnoteReference w:id="42"/>
      </w:r>
      <w:r w:rsidR="008D057D" w:rsidRPr="008D057D">
        <w:rPr>
          <w:rFonts w:eastAsia="SimSun"/>
        </w:rPr>
        <w:t xml:space="preserve"> A number of those remaining at work do so part-time.</w:t>
      </w:r>
    </w:p>
    <w:p w14:paraId="3D495B26" w14:textId="241262E5" w:rsidR="009B337D" w:rsidRPr="00B72465" w:rsidRDefault="00CA5E76" w:rsidP="00B72465">
      <w:pPr>
        <w:rPr>
          <w:rFonts w:eastAsia="SimSun"/>
          <w:szCs w:val="26"/>
        </w:rPr>
      </w:pPr>
      <w:r>
        <w:rPr>
          <w:rFonts w:eastAsia="SimSun"/>
          <w:szCs w:val="26"/>
        </w:rPr>
        <w:t>T</w:t>
      </w:r>
      <w:r w:rsidR="008A777C" w:rsidRPr="008A777C">
        <w:rPr>
          <w:rFonts w:eastAsia="SimSun"/>
          <w:szCs w:val="26"/>
        </w:rPr>
        <w:t xml:space="preserve">he </w:t>
      </w:r>
      <w:r>
        <w:rPr>
          <w:rFonts w:eastAsia="SimSun"/>
          <w:szCs w:val="26"/>
        </w:rPr>
        <w:t xml:space="preserve">current </w:t>
      </w:r>
      <w:r w:rsidR="008A777C" w:rsidRPr="008A777C">
        <w:rPr>
          <w:rFonts w:eastAsia="SimSun"/>
          <w:szCs w:val="26"/>
        </w:rPr>
        <w:t>lack of supports</w:t>
      </w:r>
      <w:r w:rsidR="003E1E65">
        <w:rPr>
          <w:rFonts w:eastAsia="SimSun"/>
          <w:szCs w:val="26"/>
        </w:rPr>
        <w:t xml:space="preserve"> provided to those with acquired disabilities and long-term health conditions who wish to return to work w</w:t>
      </w:r>
      <w:r w:rsidR="00764868">
        <w:rPr>
          <w:rFonts w:eastAsia="SimSun"/>
          <w:szCs w:val="26"/>
        </w:rPr>
        <w:t>ill continue to impede progress for those wishing to return to employment. Based on available literature and a consultation with persons with acquired disability the NDA propose</w:t>
      </w:r>
      <w:r w:rsidR="00CD1956">
        <w:rPr>
          <w:rFonts w:eastAsia="SimSun"/>
          <w:szCs w:val="26"/>
        </w:rPr>
        <w:t>d</w:t>
      </w:r>
      <w:r w:rsidR="00764868">
        <w:rPr>
          <w:rFonts w:eastAsia="SimSun"/>
          <w:szCs w:val="26"/>
        </w:rPr>
        <w:t xml:space="preserve"> </w:t>
      </w:r>
      <w:r w:rsidR="00CD1956">
        <w:rPr>
          <w:rFonts w:eastAsia="SimSun"/>
          <w:szCs w:val="26"/>
        </w:rPr>
        <w:t>the</w:t>
      </w:r>
      <w:r w:rsidRPr="00CA5E76">
        <w:rPr>
          <w:rFonts w:eastAsia="Calibri"/>
          <w:lang w:val="en-GB"/>
        </w:rPr>
        <w:t xml:space="preserve"> necessary stages of the vocational rehabilitation pathway for an individual with </w:t>
      </w:r>
      <w:r w:rsidR="00E35073">
        <w:rPr>
          <w:rFonts w:eastAsia="Calibri"/>
          <w:lang w:val="en-GB"/>
        </w:rPr>
        <w:t xml:space="preserve">an </w:t>
      </w:r>
      <w:r w:rsidRPr="00CA5E76">
        <w:rPr>
          <w:rFonts w:eastAsia="Calibri"/>
          <w:lang w:val="en-GB"/>
        </w:rPr>
        <w:t>acquired disability and or long</w:t>
      </w:r>
      <w:r w:rsidR="00066389">
        <w:rPr>
          <w:rFonts w:eastAsia="Calibri"/>
          <w:lang w:val="en-GB"/>
        </w:rPr>
        <w:t>-</w:t>
      </w:r>
      <w:r w:rsidRPr="00CA5E76">
        <w:rPr>
          <w:rFonts w:eastAsia="Calibri"/>
          <w:lang w:val="en-GB"/>
        </w:rPr>
        <w:t>term health condition to access</w:t>
      </w:r>
      <w:r w:rsidR="00E35073">
        <w:rPr>
          <w:rFonts w:eastAsia="Calibri"/>
          <w:lang w:val="en-GB"/>
        </w:rPr>
        <w:t>, and advised the importance of testing approaches before wider roll-out</w:t>
      </w:r>
      <w:r w:rsidR="009B337D">
        <w:rPr>
          <w:rFonts w:eastAsia="Calibri"/>
          <w:lang w:val="en-GB"/>
        </w:rPr>
        <w:t xml:space="preserve">. </w:t>
      </w:r>
    </w:p>
    <w:p w14:paraId="423A915A" w14:textId="77777777" w:rsidR="00CD1956" w:rsidRDefault="00CD1956" w:rsidP="00CD1956">
      <w:pPr>
        <w:spacing w:line="238" w:lineRule="auto"/>
        <w:rPr>
          <w:szCs w:val="26"/>
        </w:rPr>
      </w:pPr>
      <w:r>
        <w:rPr>
          <w:rFonts w:eastAsia="Calibri"/>
          <w:szCs w:val="26"/>
          <w:lang w:val="en-GB"/>
        </w:rPr>
        <w:t xml:space="preserve">The NDA advises that </w:t>
      </w:r>
      <w:r w:rsidR="00E35073">
        <w:rPr>
          <w:rFonts w:eastAsia="Calibri"/>
          <w:szCs w:val="26"/>
          <w:lang w:val="en-GB"/>
        </w:rPr>
        <w:t xml:space="preserve">such a </w:t>
      </w:r>
      <w:r>
        <w:rPr>
          <w:rFonts w:eastAsia="Calibri"/>
          <w:szCs w:val="26"/>
          <w:lang w:val="en-GB"/>
        </w:rPr>
        <w:t xml:space="preserve">pilot </w:t>
      </w:r>
      <w:r>
        <w:rPr>
          <w:szCs w:val="26"/>
        </w:rPr>
        <w:t>should be led by a statutory body/department with a role in direct delivery of services to the public and that it should be included as an action in the next CES three year action plan.</w:t>
      </w:r>
      <w:r w:rsidR="00E35073">
        <w:rPr>
          <w:szCs w:val="26"/>
        </w:rPr>
        <w:t xml:space="preserve"> We look forward to supporting relevant stakeholders in this regard during 2022.</w:t>
      </w:r>
      <w:r>
        <w:rPr>
          <w:szCs w:val="26"/>
        </w:rPr>
        <w:t xml:space="preserve">  </w:t>
      </w:r>
      <w:r w:rsidRPr="00815EF7">
        <w:rPr>
          <w:szCs w:val="26"/>
        </w:rPr>
        <w:t xml:space="preserve"> </w:t>
      </w:r>
    </w:p>
    <w:p w14:paraId="5BE70DA6" w14:textId="77777777" w:rsidR="00A90FD7" w:rsidRPr="00C92E5C" w:rsidRDefault="00A90FD7" w:rsidP="008D0E2E">
      <w:pPr>
        <w:pStyle w:val="Heading2"/>
        <w:rPr>
          <w:rFonts w:cs="Times New Roman"/>
          <w:lang w:eastAsia="en-IE"/>
        </w:rPr>
      </w:pPr>
      <w:bookmarkStart w:id="46" w:name="_Toc101857202"/>
      <w:r w:rsidRPr="004404D0">
        <w:rPr>
          <w:lang w:eastAsia="en-IE"/>
        </w:rPr>
        <w:t>SP5 Provide co-ordinated and seamless support</w:t>
      </w:r>
      <w:bookmarkEnd w:id="46"/>
    </w:p>
    <w:p w14:paraId="4A037EFB" w14:textId="475B8F73" w:rsidR="009E117C" w:rsidRDefault="009E117C" w:rsidP="00A90FD7">
      <w:r>
        <w:t xml:space="preserve">Progress on specific actions in this strategic priority area was limited during 2021 </w:t>
      </w:r>
      <w:r w:rsidR="001D0D9D">
        <w:t>however</w:t>
      </w:r>
      <w:r w:rsidR="00DE63FC">
        <w:t>,</w:t>
      </w:r>
      <w:r w:rsidR="001D0D9D">
        <w:t xml:space="preserve"> the Pathways to Work report</w:t>
      </w:r>
      <w:r>
        <w:t xml:space="preserve"> identified </w:t>
      </w:r>
      <w:r w:rsidR="00D11A5C">
        <w:t>a number of</w:t>
      </w:r>
      <w:r>
        <w:t xml:space="preserve"> elements necessary for a more coordinated and seamless pathway into </w:t>
      </w:r>
      <w:r w:rsidR="00D11A5C">
        <w:t>employment</w:t>
      </w:r>
      <w:r>
        <w:t xml:space="preserve"> for persons with disabilities. </w:t>
      </w:r>
    </w:p>
    <w:p w14:paraId="032B4FAF" w14:textId="77777777" w:rsidR="005951B0" w:rsidRDefault="005951B0" w:rsidP="005951B0">
      <w:pPr>
        <w:spacing w:after="0"/>
      </w:pPr>
      <w:r>
        <w:t xml:space="preserve">The commitments described in the Pathways to Work report are </w:t>
      </w:r>
      <w:r w:rsidR="00E35073">
        <w:t xml:space="preserve">echoed </w:t>
      </w:r>
      <w:r>
        <w:t xml:space="preserve">in the recommendations </w:t>
      </w:r>
      <w:r w:rsidR="00E35073">
        <w:t xml:space="preserve">set out </w:t>
      </w:r>
      <w:r>
        <w:t>in the 2021 OECD report, which stated that;</w:t>
      </w:r>
    </w:p>
    <w:p w14:paraId="2F9CA0A7" w14:textId="0216A1B5" w:rsidR="005951B0" w:rsidRPr="00966C0A" w:rsidRDefault="005951B0" w:rsidP="00B72465">
      <w:pPr>
        <w:pStyle w:val="BlockQuote"/>
      </w:pPr>
      <w:r>
        <w:rPr>
          <w:b/>
        </w:rPr>
        <w:t>‘</w:t>
      </w:r>
      <w:r w:rsidRPr="00966C0A">
        <w:t>The Irish Government should make mainstream services by the PES</w:t>
      </w:r>
      <w:r w:rsidR="00DE63FC">
        <w:t xml:space="preserve"> [Public Employment Service]</w:t>
      </w:r>
      <w:r w:rsidRPr="00966C0A">
        <w:t xml:space="preserve"> more accessible for persons with disabilities, including by earmarking resources and caseworkers to non-unemployment benefit recipients to ensure consistent outreach and guidance, and targeted profiling and registration of persons with disabilities in the Irish Live Register. In parallel, effective supported employment programmes such as Individual Placement &amp; Support for persons with mental health conditions should be scaled up and rolled out throughout the country and the sustainability of such programmes ensured through long-term planning and funding</w:t>
      </w:r>
      <w:r>
        <w:rPr>
          <w:rStyle w:val="FootnoteReference"/>
        </w:rPr>
        <w:footnoteReference w:id="43"/>
      </w:r>
      <w:r>
        <w:t>’</w:t>
      </w:r>
      <w:r w:rsidRPr="00966C0A">
        <w:t>.</w:t>
      </w:r>
    </w:p>
    <w:p w14:paraId="5FCBF94A" w14:textId="7A0047C1" w:rsidR="00E0010A" w:rsidRDefault="009E117C" w:rsidP="00A90FD7">
      <w:r>
        <w:t xml:space="preserve">The following chart </w:t>
      </w:r>
      <w:r w:rsidR="00D11A5C">
        <w:t xml:space="preserve">serves to highlight the connection between the mainstream public employment service Intreo and </w:t>
      </w:r>
      <w:r w:rsidR="001D0D9D">
        <w:t xml:space="preserve">the delivery of </w:t>
      </w:r>
      <w:r w:rsidR="00D11A5C">
        <w:t>supports that will assist people with disabilities to access employment. This connected coordinated approach is to be welcomed.</w:t>
      </w:r>
      <w:r w:rsidR="00DD6C19">
        <w:t xml:space="preserve"> </w:t>
      </w:r>
    </w:p>
    <w:tbl>
      <w:tblPr>
        <w:tblStyle w:val="TableGrid"/>
        <w:tblW w:w="8642" w:type="dxa"/>
        <w:tblLook w:val="04A0" w:firstRow="1" w:lastRow="0" w:firstColumn="1" w:lastColumn="0" w:noHBand="0" w:noVBand="1"/>
        <w:tblCaption w:val="Table "/>
        <w:tblDescription w:val="Highlighting the connection between the mainstream public employmnent service Introe and the delivery of support that will assist people with disabilities to access employment. "/>
      </w:tblPr>
      <w:tblGrid>
        <w:gridCol w:w="1620"/>
        <w:gridCol w:w="933"/>
        <w:gridCol w:w="1908"/>
        <w:gridCol w:w="4181"/>
      </w:tblGrid>
      <w:tr w:rsidR="00116F75" w:rsidRPr="002313DD" w14:paraId="50B8EAEC" w14:textId="77777777" w:rsidTr="00890BE7">
        <w:trPr>
          <w:tblHeader/>
        </w:trPr>
        <w:tc>
          <w:tcPr>
            <w:tcW w:w="1620" w:type="dxa"/>
          </w:tcPr>
          <w:p w14:paraId="76DE3635" w14:textId="77777777" w:rsidR="00116F75" w:rsidRPr="002313DD" w:rsidRDefault="00116F75" w:rsidP="00EB757C">
            <w:pPr>
              <w:jc w:val="center"/>
              <w:rPr>
                <w:b/>
                <w:szCs w:val="26"/>
              </w:rPr>
            </w:pPr>
            <w:r>
              <w:rPr>
                <w:b/>
                <w:szCs w:val="26"/>
              </w:rPr>
              <w:t xml:space="preserve">Summary CES </w:t>
            </w:r>
            <w:r w:rsidRPr="002313DD">
              <w:rPr>
                <w:b/>
                <w:szCs w:val="26"/>
              </w:rPr>
              <w:t>Action</w:t>
            </w:r>
          </w:p>
        </w:tc>
        <w:tc>
          <w:tcPr>
            <w:tcW w:w="933" w:type="dxa"/>
          </w:tcPr>
          <w:p w14:paraId="45D27DC6" w14:textId="77777777" w:rsidR="00116F75" w:rsidRPr="002313DD" w:rsidRDefault="00116F75" w:rsidP="00EB757C">
            <w:pPr>
              <w:rPr>
                <w:b/>
                <w:szCs w:val="26"/>
              </w:rPr>
            </w:pPr>
            <w:r w:rsidRPr="002313DD">
              <w:rPr>
                <w:b/>
                <w:szCs w:val="26"/>
              </w:rPr>
              <w:t>CES</w:t>
            </w:r>
          </w:p>
        </w:tc>
        <w:tc>
          <w:tcPr>
            <w:tcW w:w="1908" w:type="dxa"/>
          </w:tcPr>
          <w:p w14:paraId="372FEBC6" w14:textId="77777777" w:rsidR="00116F75" w:rsidRPr="002313DD" w:rsidRDefault="00116F75" w:rsidP="00E0010A">
            <w:pPr>
              <w:rPr>
                <w:b/>
                <w:szCs w:val="26"/>
              </w:rPr>
            </w:pPr>
            <w:r w:rsidRPr="002313DD">
              <w:rPr>
                <w:b/>
                <w:szCs w:val="26"/>
              </w:rPr>
              <w:t xml:space="preserve">Responsible bodies </w:t>
            </w:r>
          </w:p>
        </w:tc>
        <w:tc>
          <w:tcPr>
            <w:tcW w:w="4181" w:type="dxa"/>
          </w:tcPr>
          <w:p w14:paraId="4474D269" w14:textId="77777777" w:rsidR="00116F75" w:rsidRPr="002313DD" w:rsidRDefault="00116F75" w:rsidP="00EB757C">
            <w:pPr>
              <w:rPr>
                <w:b/>
                <w:szCs w:val="26"/>
              </w:rPr>
            </w:pPr>
            <w:r w:rsidRPr="002313DD">
              <w:rPr>
                <w:b/>
                <w:szCs w:val="26"/>
              </w:rPr>
              <w:t>Action detail</w:t>
            </w:r>
            <w:r>
              <w:rPr>
                <w:b/>
                <w:szCs w:val="26"/>
              </w:rPr>
              <w:t xml:space="preserve"> as per Pathways to Work</w:t>
            </w:r>
          </w:p>
        </w:tc>
      </w:tr>
      <w:tr w:rsidR="00116F75" w:rsidRPr="00715858" w14:paraId="239F3E68" w14:textId="77777777" w:rsidTr="00B73186">
        <w:tc>
          <w:tcPr>
            <w:tcW w:w="1620" w:type="dxa"/>
          </w:tcPr>
          <w:p w14:paraId="61194556" w14:textId="77777777" w:rsidR="00116F75" w:rsidRPr="002313DD" w:rsidRDefault="00116F75" w:rsidP="00EB757C">
            <w:pPr>
              <w:rPr>
                <w:szCs w:val="26"/>
              </w:rPr>
            </w:pPr>
            <w:r w:rsidRPr="002313DD">
              <w:rPr>
                <w:szCs w:val="26"/>
              </w:rPr>
              <w:t>Early Engagement</w:t>
            </w:r>
          </w:p>
        </w:tc>
        <w:tc>
          <w:tcPr>
            <w:tcW w:w="933" w:type="dxa"/>
          </w:tcPr>
          <w:p w14:paraId="2185D9C6" w14:textId="77777777" w:rsidR="00116F75" w:rsidRPr="002313DD" w:rsidRDefault="00116F75" w:rsidP="00EB757C">
            <w:pPr>
              <w:rPr>
                <w:szCs w:val="26"/>
              </w:rPr>
            </w:pPr>
            <w:r w:rsidRPr="002313DD">
              <w:rPr>
                <w:szCs w:val="26"/>
              </w:rPr>
              <w:t>SP3</w:t>
            </w:r>
          </w:p>
        </w:tc>
        <w:tc>
          <w:tcPr>
            <w:tcW w:w="1908" w:type="dxa"/>
          </w:tcPr>
          <w:p w14:paraId="4E9C634E" w14:textId="6D8A25E2" w:rsidR="00116F75" w:rsidRPr="002313DD" w:rsidRDefault="008B063D" w:rsidP="00EB757C">
            <w:pPr>
              <w:rPr>
                <w:szCs w:val="26"/>
              </w:rPr>
            </w:pPr>
            <w:r>
              <w:rPr>
                <w:szCs w:val="26"/>
              </w:rPr>
              <w:t>DSP/ DFHERIS</w:t>
            </w:r>
            <w:r w:rsidR="00116F75" w:rsidRPr="002313DD">
              <w:rPr>
                <w:szCs w:val="26"/>
              </w:rPr>
              <w:t xml:space="preserve"> &amp;</w:t>
            </w:r>
            <w:r>
              <w:rPr>
                <w:szCs w:val="26"/>
              </w:rPr>
              <w:t xml:space="preserve"> </w:t>
            </w:r>
            <w:r w:rsidR="00116F75" w:rsidRPr="002313DD">
              <w:rPr>
                <w:szCs w:val="26"/>
              </w:rPr>
              <w:t>Others</w:t>
            </w:r>
          </w:p>
        </w:tc>
        <w:tc>
          <w:tcPr>
            <w:tcW w:w="4181" w:type="dxa"/>
          </w:tcPr>
          <w:p w14:paraId="609A89A4" w14:textId="77777777" w:rsidR="00116F75" w:rsidRPr="00715858" w:rsidRDefault="00116F75" w:rsidP="00EB757C">
            <w:pPr>
              <w:autoSpaceDE w:val="0"/>
              <w:autoSpaceDN w:val="0"/>
              <w:adjustRightInd w:val="0"/>
              <w:rPr>
                <w:rFonts w:cs="Lato-Bold"/>
                <w:bCs/>
                <w:szCs w:val="26"/>
              </w:rPr>
            </w:pPr>
            <w:r w:rsidRPr="00E66A83">
              <w:rPr>
                <w:rFonts w:cs="Lato-Bold"/>
                <w:bCs/>
                <w:szCs w:val="26"/>
              </w:rPr>
              <w:t>Implement the Early Engagement Roadmap</w:t>
            </w:r>
            <w:r>
              <w:rPr>
                <w:rFonts w:cs="Lato-Bold"/>
                <w:bCs/>
                <w:szCs w:val="26"/>
              </w:rPr>
              <w:t xml:space="preserve"> </w:t>
            </w:r>
            <w:r w:rsidRPr="00E66A83">
              <w:rPr>
                <w:rFonts w:cs="Lato-Bold"/>
                <w:bCs/>
                <w:szCs w:val="26"/>
              </w:rPr>
              <w:t xml:space="preserve">for jobseekers with disabilities. Page 67 </w:t>
            </w:r>
          </w:p>
        </w:tc>
      </w:tr>
      <w:tr w:rsidR="00116F75" w:rsidRPr="00E66A83" w14:paraId="70680717" w14:textId="77777777" w:rsidTr="00B73186">
        <w:tc>
          <w:tcPr>
            <w:tcW w:w="1620" w:type="dxa"/>
          </w:tcPr>
          <w:p w14:paraId="2F29EFDA" w14:textId="77777777" w:rsidR="00116F75" w:rsidRPr="002313DD" w:rsidRDefault="00116F75" w:rsidP="00EB757C">
            <w:pPr>
              <w:rPr>
                <w:szCs w:val="26"/>
              </w:rPr>
            </w:pPr>
            <w:r w:rsidRPr="002313DD">
              <w:rPr>
                <w:szCs w:val="26"/>
              </w:rPr>
              <w:t>Intreo Case Office</w:t>
            </w:r>
            <w:r>
              <w:rPr>
                <w:szCs w:val="26"/>
              </w:rPr>
              <w:t>/ Job Coaches</w:t>
            </w:r>
          </w:p>
        </w:tc>
        <w:tc>
          <w:tcPr>
            <w:tcW w:w="933" w:type="dxa"/>
          </w:tcPr>
          <w:p w14:paraId="76E35063" w14:textId="77777777" w:rsidR="00116F75" w:rsidRPr="002313DD" w:rsidRDefault="00116F75" w:rsidP="00EB757C">
            <w:pPr>
              <w:rPr>
                <w:szCs w:val="26"/>
              </w:rPr>
            </w:pPr>
            <w:r w:rsidRPr="002313DD">
              <w:rPr>
                <w:szCs w:val="26"/>
              </w:rPr>
              <w:t>SP2</w:t>
            </w:r>
          </w:p>
        </w:tc>
        <w:tc>
          <w:tcPr>
            <w:tcW w:w="1908" w:type="dxa"/>
          </w:tcPr>
          <w:p w14:paraId="098FF023" w14:textId="77777777" w:rsidR="00116F75" w:rsidRPr="002313DD" w:rsidRDefault="00116F75" w:rsidP="00EB757C">
            <w:pPr>
              <w:rPr>
                <w:szCs w:val="26"/>
              </w:rPr>
            </w:pPr>
            <w:r w:rsidRPr="002313DD">
              <w:rPr>
                <w:szCs w:val="26"/>
              </w:rPr>
              <w:t>DSP</w:t>
            </w:r>
          </w:p>
        </w:tc>
        <w:tc>
          <w:tcPr>
            <w:tcW w:w="4181" w:type="dxa"/>
          </w:tcPr>
          <w:p w14:paraId="71FC2017" w14:textId="77777777" w:rsidR="00116F75" w:rsidRPr="00E66A83" w:rsidRDefault="00116F75" w:rsidP="001006B8">
            <w:pPr>
              <w:autoSpaceDE w:val="0"/>
              <w:autoSpaceDN w:val="0"/>
              <w:adjustRightInd w:val="0"/>
              <w:rPr>
                <w:rFonts w:cs="Lato-Light"/>
                <w:szCs w:val="26"/>
              </w:rPr>
            </w:pPr>
            <w:r w:rsidRPr="00E66A83">
              <w:rPr>
                <w:rFonts w:cs="Lato-Light"/>
                <w:szCs w:val="26"/>
              </w:rPr>
              <w:t>Implementation of a holistic profiling tool for use by Case Officers/Job Coaches to promote consistency in approach &amp; assist them in forming an understanding of what might work best for</w:t>
            </w:r>
            <w:r>
              <w:rPr>
                <w:rFonts w:cs="Lato-Light"/>
                <w:szCs w:val="26"/>
              </w:rPr>
              <w:t xml:space="preserve"> their client.  (</w:t>
            </w:r>
            <w:r w:rsidR="001006B8">
              <w:rPr>
                <w:rFonts w:cs="Lato-Light"/>
                <w:szCs w:val="26"/>
              </w:rPr>
              <w:t xml:space="preserve">Ensure people with disabilities </w:t>
            </w:r>
            <w:r w:rsidRPr="00E66A83">
              <w:rPr>
                <w:rFonts w:cs="Lato-Light"/>
                <w:szCs w:val="26"/>
              </w:rPr>
              <w:t>are included in design)</w:t>
            </w:r>
          </w:p>
        </w:tc>
      </w:tr>
      <w:tr w:rsidR="00116F75" w:rsidRPr="00E66A83" w14:paraId="12F829A6" w14:textId="77777777" w:rsidTr="00B73186">
        <w:tc>
          <w:tcPr>
            <w:tcW w:w="1620" w:type="dxa"/>
          </w:tcPr>
          <w:p w14:paraId="61E4FD8E" w14:textId="77777777" w:rsidR="00116F75" w:rsidRPr="002313DD" w:rsidRDefault="00116F75" w:rsidP="00EB757C">
            <w:pPr>
              <w:rPr>
                <w:szCs w:val="26"/>
              </w:rPr>
            </w:pPr>
            <w:r w:rsidRPr="002313DD">
              <w:rPr>
                <w:szCs w:val="26"/>
              </w:rPr>
              <w:t>Intreo Case Office</w:t>
            </w:r>
            <w:r>
              <w:rPr>
                <w:szCs w:val="26"/>
              </w:rPr>
              <w:t>/Job Coaches</w:t>
            </w:r>
          </w:p>
        </w:tc>
        <w:tc>
          <w:tcPr>
            <w:tcW w:w="933" w:type="dxa"/>
          </w:tcPr>
          <w:p w14:paraId="28E028B3" w14:textId="77777777" w:rsidR="00116F75" w:rsidRPr="002313DD" w:rsidRDefault="00116F75" w:rsidP="00EB757C">
            <w:pPr>
              <w:rPr>
                <w:szCs w:val="26"/>
              </w:rPr>
            </w:pPr>
            <w:r>
              <w:rPr>
                <w:szCs w:val="26"/>
              </w:rPr>
              <w:t>SP2</w:t>
            </w:r>
          </w:p>
        </w:tc>
        <w:tc>
          <w:tcPr>
            <w:tcW w:w="1908" w:type="dxa"/>
          </w:tcPr>
          <w:p w14:paraId="3A861506" w14:textId="77777777" w:rsidR="00116F75" w:rsidRPr="002313DD" w:rsidRDefault="00116F75" w:rsidP="00EB757C">
            <w:pPr>
              <w:rPr>
                <w:szCs w:val="26"/>
              </w:rPr>
            </w:pPr>
            <w:r>
              <w:rPr>
                <w:szCs w:val="26"/>
              </w:rPr>
              <w:t>DSP</w:t>
            </w:r>
          </w:p>
        </w:tc>
        <w:tc>
          <w:tcPr>
            <w:tcW w:w="4181" w:type="dxa"/>
          </w:tcPr>
          <w:p w14:paraId="44E15149" w14:textId="77777777" w:rsidR="00116F75" w:rsidRPr="00E66A83" w:rsidRDefault="00116F75" w:rsidP="00EB757C">
            <w:pPr>
              <w:autoSpaceDE w:val="0"/>
              <w:autoSpaceDN w:val="0"/>
              <w:adjustRightInd w:val="0"/>
              <w:rPr>
                <w:rFonts w:cs="Lato-Light"/>
                <w:szCs w:val="26"/>
              </w:rPr>
            </w:pPr>
            <w:r w:rsidRPr="00E66A83">
              <w:rPr>
                <w:rFonts w:cs="Lato-Light"/>
                <w:szCs w:val="26"/>
              </w:rPr>
              <w:t xml:space="preserve">Invest in and embed continuous professional development as a core feature of Case Officers within </w:t>
            </w:r>
            <w:r w:rsidRPr="003739EF">
              <w:rPr>
                <w:rFonts w:cs="Lato-Italic"/>
                <w:iCs/>
                <w:szCs w:val="26"/>
              </w:rPr>
              <w:t>Intreo</w:t>
            </w:r>
            <w:r w:rsidRPr="00E66A83">
              <w:rPr>
                <w:rFonts w:cs="Lato-Light"/>
                <w:szCs w:val="26"/>
              </w:rPr>
              <w:t>.</w:t>
            </w:r>
          </w:p>
        </w:tc>
      </w:tr>
      <w:tr w:rsidR="00116F75" w:rsidRPr="00E66A83" w14:paraId="713CF14C" w14:textId="77777777" w:rsidTr="00B73186">
        <w:tc>
          <w:tcPr>
            <w:tcW w:w="1620" w:type="dxa"/>
          </w:tcPr>
          <w:p w14:paraId="55628DC2" w14:textId="77777777" w:rsidR="00116F75" w:rsidRPr="002313DD" w:rsidRDefault="00116F75" w:rsidP="00EB757C">
            <w:pPr>
              <w:rPr>
                <w:szCs w:val="26"/>
              </w:rPr>
            </w:pPr>
            <w:r w:rsidRPr="002313DD">
              <w:rPr>
                <w:szCs w:val="26"/>
              </w:rPr>
              <w:t>Tailored Response</w:t>
            </w:r>
          </w:p>
        </w:tc>
        <w:tc>
          <w:tcPr>
            <w:tcW w:w="933" w:type="dxa"/>
          </w:tcPr>
          <w:p w14:paraId="40E53E1E" w14:textId="77777777" w:rsidR="00116F75" w:rsidRPr="002313DD" w:rsidRDefault="00116F75" w:rsidP="00EB757C">
            <w:pPr>
              <w:rPr>
                <w:szCs w:val="26"/>
              </w:rPr>
            </w:pPr>
            <w:r w:rsidRPr="002313DD">
              <w:rPr>
                <w:szCs w:val="26"/>
              </w:rPr>
              <w:t>SP5</w:t>
            </w:r>
          </w:p>
        </w:tc>
        <w:tc>
          <w:tcPr>
            <w:tcW w:w="1908" w:type="dxa"/>
          </w:tcPr>
          <w:p w14:paraId="358CDB4B" w14:textId="77777777" w:rsidR="00116F75" w:rsidRPr="002313DD" w:rsidRDefault="00116F75" w:rsidP="00EB757C">
            <w:pPr>
              <w:rPr>
                <w:szCs w:val="26"/>
              </w:rPr>
            </w:pPr>
            <w:r w:rsidRPr="002313DD">
              <w:rPr>
                <w:szCs w:val="26"/>
              </w:rPr>
              <w:t xml:space="preserve">DSP </w:t>
            </w:r>
          </w:p>
        </w:tc>
        <w:tc>
          <w:tcPr>
            <w:tcW w:w="4181" w:type="dxa"/>
          </w:tcPr>
          <w:p w14:paraId="77C59047" w14:textId="77777777" w:rsidR="00116F75" w:rsidRPr="00E66A83" w:rsidRDefault="00116F75" w:rsidP="00EB757C">
            <w:pPr>
              <w:autoSpaceDE w:val="0"/>
              <w:autoSpaceDN w:val="0"/>
              <w:adjustRightInd w:val="0"/>
              <w:rPr>
                <w:rFonts w:cs="Lato-Light"/>
                <w:szCs w:val="26"/>
              </w:rPr>
            </w:pPr>
            <w:r w:rsidRPr="00E66A83">
              <w:rPr>
                <w:rFonts w:cs="Lato-Light"/>
                <w:szCs w:val="26"/>
              </w:rPr>
              <w:t xml:space="preserve">The delivery of employment services to people with disabilities needs to be tailored to work for people who may have physical, communicative or cognitive challenges. </w:t>
            </w:r>
          </w:p>
        </w:tc>
      </w:tr>
    </w:tbl>
    <w:p w14:paraId="4A01D40A" w14:textId="77777777" w:rsidR="009E117C" w:rsidRDefault="009E117C" w:rsidP="00A90FD7"/>
    <w:p w14:paraId="43305EF8" w14:textId="72D28DF8" w:rsidR="00DD6C19" w:rsidRDefault="00DD6C19">
      <w:pPr>
        <w:spacing w:after="0"/>
      </w:pPr>
      <w:r>
        <w:t>Considering both the Pathways to Work strategy and the OECD findings, any activation process that wishes to include people with disabilities must provide an ‘</w:t>
      </w:r>
      <w:r w:rsidRPr="00966C0A">
        <w:t>effective supported employment programme</w:t>
      </w:r>
      <w:r w:rsidR="005D6A25">
        <w:t>’</w:t>
      </w:r>
      <w:r w:rsidRPr="00966C0A">
        <w:t xml:space="preserve"> such as Individual Placement &amp; Support for persons with mental health conditions</w:t>
      </w:r>
      <w:r>
        <w:t>’. The OECD report states that current provision</w:t>
      </w:r>
      <w:r w:rsidRPr="00966C0A">
        <w:t xml:space="preserve"> should be scaled up and rolled out throughout the country</w:t>
      </w:r>
      <w:r>
        <w:t>.</w:t>
      </w:r>
    </w:p>
    <w:p w14:paraId="129D59DC" w14:textId="77777777" w:rsidR="00E0010A" w:rsidRDefault="00E0010A">
      <w:pPr>
        <w:spacing w:after="0"/>
      </w:pPr>
    </w:p>
    <w:p w14:paraId="03978BB2" w14:textId="12C76313" w:rsidR="005D6A25" w:rsidRDefault="005D6A25">
      <w:pPr>
        <w:spacing w:after="0"/>
      </w:pPr>
      <w:r>
        <w:t>The NDA believes that Pathways to Work has the potential to significantly impact SP5 and lead to better opportunities for persons with disabilities seeking employment and for encouraging persons with disabilities to seek employment.</w:t>
      </w:r>
      <w:r w:rsidR="005C1D07">
        <w:t xml:space="preserve"> We advise a specific focus on relevant actions within the Pathways to Work Strategy during the lifetime of the next CES Action Plan.</w:t>
      </w:r>
      <w:r>
        <w:t xml:space="preserve"> </w:t>
      </w:r>
    </w:p>
    <w:p w14:paraId="67D6DB04" w14:textId="77777777" w:rsidR="00DD6C19" w:rsidRDefault="00DD6C19">
      <w:pPr>
        <w:spacing w:after="0"/>
      </w:pPr>
    </w:p>
    <w:p w14:paraId="389D20DD" w14:textId="77777777" w:rsidR="00B12DD2" w:rsidRDefault="007E335E" w:rsidP="009B337D">
      <w:pPr>
        <w:pStyle w:val="Heading2"/>
      </w:pPr>
      <w:bookmarkStart w:id="47" w:name="_Toc101857203"/>
      <w:r w:rsidRPr="00B63FEB">
        <w:rPr>
          <w:lang w:eastAsia="en-IE"/>
        </w:rPr>
        <w:t>SP6 E</w:t>
      </w:r>
      <w:r w:rsidR="004D7851">
        <w:rPr>
          <w:lang w:eastAsia="en-IE"/>
        </w:rPr>
        <w:t>ngage E</w:t>
      </w:r>
      <w:r w:rsidRPr="00B63FEB">
        <w:rPr>
          <w:lang w:eastAsia="en-IE"/>
        </w:rPr>
        <w:t>mployers</w:t>
      </w:r>
      <w:bookmarkEnd w:id="47"/>
      <w:r w:rsidRPr="00B63FEB">
        <w:rPr>
          <w:lang w:val="en-GB" w:eastAsia="en-IE"/>
        </w:rPr>
        <w:t xml:space="preserve"> </w:t>
      </w:r>
    </w:p>
    <w:p w14:paraId="7F029426" w14:textId="77777777" w:rsidR="00B12DD2" w:rsidRDefault="00BB6F75" w:rsidP="0080490E">
      <w:pPr>
        <w:rPr>
          <w:rFonts w:cs="Arial"/>
          <w:szCs w:val="26"/>
        </w:rPr>
      </w:pPr>
      <w:r>
        <w:rPr>
          <w:rFonts w:cs="Arial"/>
          <w:szCs w:val="26"/>
        </w:rPr>
        <w:t>Highlights in 2021 relating to this theme include</w:t>
      </w:r>
      <w:r w:rsidR="00B12DD2">
        <w:rPr>
          <w:rFonts w:cs="Arial"/>
          <w:szCs w:val="26"/>
        </w:rPr>
        <w:t xml:space="preserve"> </w:t>
      </w:r>
    </w:p>
    <w:p w14:paraId="20FA7C27" w14:textId="77777777" w:rsidR="00BB6F75" w:rsidRDefault="00BB6F75" w:rsidP="00B12DD2">
      <w:pPr>
        <w:pStyle w:val="ListParagraph"/>
        <w:numPr>
          <w:ilvl w:val="0"/>
          <w:numId w:val="29"/>
        </w:numPr>
      </w:pPr>
      <w:r>
        <w:t>NDA</w:t>
      </w:r>
      <w:r w:rsidR="005C1D07">
        <w:t>-funded</w:t>
      </w:r>
      <w:r>
        <w:t xml:space="preserve"> OECD research</w:t>
      </w:r>
    </w:p>
    <w:p w14:paraId="4479B1DE" w14:textId="77777777" w:rsidR="00B12DD2" w:rsidRDefault="00B12DD2" w:rsidP="00B12DD2">
      <w:pPr>
        <w:pStyle w:val="ListParagraph"/>
        <w:numPr>
          <w:ilvl w:val="0"/>
          <w:numId w:val="29"/>
        </w:numPr>
      </w:pPr>
      <w:r>
        <w:t>DCEDIY</w:t>
      </w:r>
      <w:r w:rsidR="005C1D07">
        <w:t>-</w:t>
      </w:r>
      <w:r>
        <w:t>funded Employers for Change initiative</w:t>
      </w:r>
    </w:p>
    <w:p w14:paraId="0BA9795A" w14:textId="77777777" w:rsidR="00B12DD2" w:rsidRDefault="00F42CBE" w:rsidP="00B12DD2">
      <w:pPr>
        <w:pStyle w:val="ListParagraph"/>
        <w:numPr>
          <w:ilvl w:val="0"/>
          <w:numId w:val="29"/>
        </w:numPr>
      </w:pPr>
      <w:r>
        <w:t>Public Appointment Service (</w:t>
      </w:r>
      <w:r w:rsidR="00B12DD2">
        <w:t>PAS</w:t>
      </w:r>
      <w:r>
        <w:t>)</w:t>
      </w:r>
      <w:r w:rsidR="00B12DD2">
        <w:t xml:space="preserve"> work on Equality Diversity and Inclusion </w:t>
      </w:r>
    </w:p>
    <w:p w14:paraId="7FA13427" w14:textId="1BBF583C" w:rsidR="00B12DD2" w:rsidRDefault="00B12DD2" w:rsidP="00B12DD2">
      <w:pPr>
        <w:pStyle w:val="ListParagraph"/>
        <w:numPr>
          <w:ilvl w:val="0"/>
          <w:numId w:val="29"/>
        </w:numPr>
      </w:pPr>
      <w:r>
        <w:t>DPER work to support alternative recruitment measures</w:t>
      </w:r>
    </w:p>
    <w:p w14:paraId="16A8C12D" w14:textId="2A820217" w:rsidR="00E01E46" w:rsidRPr="00B72465" w:rsidRDefault="00E01E46" w:rsidP="00B12DD2">
      <w:pPr>
        <w:pStyle w:val="ListParagraph"/>
        <w:numPr>
          <w:ilvl w:val="0"/>
          <w:numId w:val="29"/>
        </w:numPr>
      </w:pPr>
      <w:r>
        <w:t>DSP employer engagement activity</w:t>
      </w:r>
    </w:p>
    <w:p w14:paraId="665AC0CA" w14:textId="77777777" w:rsidR="00527E97" w:rsidRDefault="00527E97" w:rsidP="00B72465">
      <w:pPr>
        <w:pStyle w:val="Heading3"/>
        <w:spacing w:before="240"/>
        <w:rPr>
          <w:lang w:val="en-GB" w:eastAsia="en-IE"/>
        </w:rPr>
      </w:pPr>
      <w:bookmarkStart w:id="48" w:name="_Toc101857204"/>
      <w:r>
        <w:rPr>
          <w:lang w:val="en-GB" w:eastAsia="en-IE"/>
        </w:rPr>
        <w:t>OECD</w:t>
      </w:r>
      <w:bookmarkEnd w:id="48"/>
    </w:p>
    <w:p w14:paraId="42A2F2B4" w14:textId="5659BF7B" w:rsidR="002556C3" w:rsidRDefault="002556C3" w:rsidP="002556C3">
      <w:pPr>
        <w:pStyle w:val="NormalAfterList"/>
        <w:spacing w:before="0" w:after="0"/>
        <w:rPr>
          <w:rFonts w:eastAsia="Arial"/>
        </w:rPr>
      </w:pPr>
      <w:r>
        <w:t>At the</w:t>
      </w:r>
      <w:r w:rsidR="000D23F5">
        <w:t xml:space="preserve"> NDA</w:t>
      </w:r>
      <w:r>
        <w:t xml:space="preserve"> </w:t>
      </w:r>
      <w:r w:rsidR="000D23F5">
        <w:t>event in 2021 called ‘</w:t>
      </w:r>
      <w:r w:rsidR="000D23F5" w:rsidRPr="00777518">
        <w:rPr>
          <w:rFonts w:eastAsia="Arial"/>
        </w:rPr>
        <w:t>Effective engagement with employers to improve labour market outcome</w:t>
      </w:r>
      <w:r w:rsidR="000D23F5">
        <w:rPr>
          <w:rFonts w:eastAsia="Arial"/>
        </w:rPr>
        <w:t>s for persons with disabilities’</w:t>
      </w:r>
      <w:r>
        <w:t xml:space="preserve"> </w:t>
      </w:r>
      <w:r w:rsidR="000D23F5">
        <w:t>where two</w:t>
      </w:r>
      <w:r>
        <w:t xml:space="preserve"> report</w:t>
      </w:r>
      <w:r w:rsidR="000D23F5">
        <w:t>s were launched the</w:t>
      </w:r>
      <w:r w:rsidR="005D4598">
        <w:rPr>
          <w:rFonts w:eastAsia="Arial"/>
        </w:rPr>
        <w:t xml:space="preserve"> OECD state</w:t>
      </w:r>
      <w:r>
        <w:rPr>
          <w:rFonts w:eastAsia="Arial"/>
        </w:rPr>
        <w:t>d</w:t>
      </w:r>
      <w:r w:rsidR="005D4598">
        <w:rPr>
          <w:rFonts w:eastAsia="Arial"/>
        </w:rPr>
        <w:t xml:space="preserve"> that</w:t>
      </w:r>
      <w:r>
        <w:rPr>
          <w:rFonts w:eastAsia="Arial"/>
        </w:rPr>
        <w:t>,</w:t>
      </w:r>
      <w:r w:rsidR="005D4598">
        <w:rPr>
          <w:rFonts w:eastAsia="Arial"/>
        </w:rPr>
        <w:t xml:space="preserve"> </w:t>
      </w:r>
    </w:p>
    <w:p w14:paraId="0045BDC2" w14:textId="77777777" w:rsidR="00777518" w:rsidRDefault="002556C3" w:rsidP="002556C3">
      <w:pPr>
        <w:pStyle w:val="NormalAfterList"/>
        <w:spacing w:before="0" w:after="0"/>
        <w:ind w:left="720"/>
      </w:pPr>
      <w:r>
        <w:t>‘E</w:t>
      </w:r>
      <w:r w:rsidR="00777518">
        <w:t>mployer engagement and support for employers are critically important for the improvement of the labour market situation for persons with disabilities in Ireland. Effective strategies for employer engagement are critical to overcome disability-related misperceptions and discrimination and to raise awareness about available support programmes and subsidies. Yet, Ireland has an underdeveloped employer engagement structure with respect to information and supports for the employmen</w:t>
      </w:r>
      <w:r w:rsidR="00F36306">
        <w:t>t of persons with disabilities</w:t>
      </w:r>
      <w:r>
        <w:rPr>
          <w:rStyle w:val="FootnoteReference"/>
        </w:rPr>
        <w:footnoteReference w:id="44"/>
      </w:r>
      <w:r w:rsidR="00F36306">
        <w:t>.’</w:t>
      </w:r>
    </w:p>
    <w:p w14:paraId="0E8D7134" w14:textId="77777777" w:rsidR="009B337D" w:rsidRPr="00B72465" w:rsidRDefault="005C1D07" w:rsidP="00B72465">
      <w:pPr>
        <w:pStyle w:val="NormalAfterList"/>
        <w:spacing w:before="0"/>
        <w:rPr>
          <w:rFonts w:eastAsia="Arial"/>
        </w:rPr>
      </w:pPr>
      <w:r>
        <w:rPr>
          <w:rFonts w:eastAsia="Arial"/>
        </w:rPr>
        <w:t>The report includes recommendations with regard to</w:t>
      </w:r>
      <w:r w:rsidR="009B337D">
        <w:rPr>
          <w:rFonts w:eastAsia="Arial"/>
        </w:rPr>
        <w:t xml:space="preserve"> employer engagement and system wide changes to support more people wit</w:t>
      </w:r>
      <w:r w:rsidR="00B72465">
        <w:rPr>
          <w:rFonts w:eastAsia="Arial"/>
        </w:rPr>
        <w:t>h disabilities into employment</w:t>
      </w:r>
      <w:r>
        <w:rPr>
          <w:rFonts w:eastAsia="Arial"/>
        </w:rPr>
        <w:t>, and the NDA will engage further with relevant departments and stakeholders to ensure a focus on implementing these recommendations during 2022</w:t>
      </w:r>
      <w:r w:rsidR="00B72465">
        <w:rPr>
          <w:rFonts w:eastAsia="Arial"/>
        </w:rPr>
        <w:t>.</w:t>
      </w:r>
    </w:p>
    <w:p w14:paraId="633C946F" w14:textId="77777777" w:rsidR="001D0D9D" w:rsidRPr="004D7851" w:rsidRDefault="007E335E" w:rsidP="004D7851">
      <w:pPr>
        <w:pStyle w:val="Heading3"/>
      </w:pPr>
      <w:bookmarkStart w:id="49" w:name="_Toc101857205"/>
      <w:r w:rsidRPr="004D7851">
        <w:t>Employers for Change</w:t>
      </w:r>
      <w:bookmarkEnd w:id="49"/>
    </w:p>
    <w:p w14:paraId="2617458B" w14:textId="66E6DC6E" w:rsidR="00104D41" w:rsidRPr="00E87C98" w:rsidRDefault="00764868" w:rsidP="00104D41">
      <w:r>
        <w:rPr>
          <w:szCs w:val="26"/>
        </w:rPr>
        <w:t>In 2021 the</w:t>
      </w:r>
      <w:r w:rsidR="00762F25" w:rsidRPr="00B63FEB">
        <w:rPr>
          <w:szCs w:val="26"/>
        </w:rPr>
        <w:t xml:space="preserve"> Op</w:t>
      </w:r>
      <w:r w:rsidR="00312CD3" w:rsidRPr="00B63FEB">
        <w:rPr>
          <w:szCs w:val="26"/>
        </w:rPr>
        <w:t xml:space="preserve">en Door Initiative was awarded </w:t>
      </w:r>
      <w:r w:rsidR="00762F25" w:rsidRPr="00B63FEB">
        <w:rPr>
          <w:szCs w:val="26"/>
        </w:rPr>
        <w:t>a contract by D</w:t>
      </w:r>
      <w:r w:rsidR="00E9601D">
        <w:rPr>
          <w:szCs w:val="26"/>
        </w:rPr>
        <w:t>CEDIY</w:t>
      </w:r>
      <w:r w:rsidR="00312CD3" w:rsidRPr="00B63FEB">
        <w:rPr>
          <w:szCs w:val="26"/>
        </w:rPr>
        <w:t xml:space="preserve"> to establish an employer support service. </w:t>
      </w:r>
      <w:r>
        <w:rPr>
          <w:szCs w:val="26"/>
        </w:rPr>
        <w:t>T</w:t>
      </w:r>
      <w:r w:rsidR="00312CD3" w:rsidRPr="00B63FEB">
        <w:rPr>
          <w:szCs w:val="26"/>
        </w:rPr>
        <w:t xml:space="preserve">he </w:t>
      </w:r>
      <w:r w:rsidR="00762F25" w:rsidRPr="00B63FEB">
        <w:rPr>
          <w:szCs w:val="26"/>
        </w:rPr>
        <w:t>Employers for Change’</w:t>
      </w:r>
      <w:r w:rsidR="00B63FEB" w:rsidRPr="00B63FEB">
        <w:rPr>
          <w:rStyle w:val="FootnoteReference"/>
          <w:rFonts w:ascii="Gill Sans MT" w:hAnsi="Gill Sans MT"/>
          <w:sz w:val="26"/>
          <w:szCs w:val="26"/>
        </w:rPr>
        <w:footnoteReference w:id="45"/>
      </w:r>
      <w:r w:rsidR="00762F25" w:rsidRPr="00B63FEB">
        <w:rPr>
          <w:szCs w:val="26"/>
        </w:rPr>
        <w:t xml:space="preserve"> </w:t>
      </w:r>
      <w:r w:rsidR="00796BD4" w:rsidRPr="00B63FEB">
        <w:rPr>
          <w:szCs w:val="26"/>
        </w:rPr>
        <w:t>service</w:t>
      </w:r>
      <w:r w:rsidR="00312CD3" w:rsidRPr="00B63FEB">
        <w:rPr>
          <w:szCs w:val="26"/>
        </w:rPr>
        <w:t xml:space="preserve"> </w:t>
      </w:r>
      <w:r w:rsidR="00BB6F75">
        <w:rPr>
          <w:szCs w:val="26"/>
        </w:rPr>
        <w:t xml:space="preserve">was launched in March 2021 and has </w:t>
      </w:r>
      <w:r w:rsidR="00922465">
        <w:rPr>
          <w:szCs w:val="26"/>
        </w:rPr>
        <w:t xml:space="preserve">had </w:t>
      </w:r>
      <w:r w:rsidR="00312CD3" w:rsidRPr="00B63FEB">
        <w:rPr>
          <w:szCs w:val="26"/>
        </w:rPr>
        <w:t>d</w:t>
      </w:r>
      <w:r w:rsidR="00762F25" w:rsidRPr="00B63FEB">
        <w:rPr>
          <w:szCs w:val="26"/>
        </w:rPr>
        <w:t xml:space="preserve">irect contact with 79 employers and 90 </w:t>
      </w:r>
      <w:r w:rsidR="00312CD3" w:rsidRPr="00B63FEB">
        <w:rPr>
          <w:szCs w:val="26"/>
        </w:rPr>
        <w:t>additional</w:t>
      </w:r>
      <w:r w:rsidR="00762F25" w:rsidRPr="00B63FEB">
        <w:rPr>
          <w:szCs w:val="26"/>
        </w:rPr>
        <w:t xml:space="preserve"> communications </w:t>
      </w:r>
      <w:r w:rsidR="00312CD3" w:rsidRPr="00B63FEB">
        <w:rPr>
          <w:szCs w:val="26"/>
        </w:rPr>
        <w:t>approaches with</w:t>
      </w:r>
      <w:r w:rsidR="005222BB">
        <w:rPr>
          <w:szCs w:val="26"/>
        </w:rPr>
        <w:t xml:space="preserve"> Employers/ Human Resources </w:t>
      </w:r>
      <w:r w:rsidR="00BB6F75">
        <w:rPr>
          <w:szCs w:val="26"/>
        </w:rPr>
        <w:t>during 2021</w:t>
      </w:r>
      <w:r w:rsidR="00762F25" w:rsidRPr="00B63FEB">
        <w:rPr>
          <w:szCs w:val="26"/>
        </w:rPr>
        <w:t xml:space="preserve">. </w:t>
      </w:r>
      <w:r w:rsidR="00104D41">
        <w:t>Employers for Change are supported in delivery of their work programme by a</w:t>
      </w:r>
      <w:r w:rsidR="00104D41" w:rsidRPr="00E87C98">
        <w:t xml:space="preserve"> strategy group </w:t>
      </w:r>
      <w:r w:rsidR="00104D41">
        <w:t>with a broad membership from employer bodies, government departments and agencies and people with lived experience.</w:t>
      </w:r>
    </w:p>
    <w:p w14:paraId="65D39BAB" w14:textId="77777777" w:rsidR="00312CD3" w:rsidRDefault="000652E6" w:rsidP="000652E6">
      <w:pPr>
        <w:rPr>
          <w:szCs w:val="26"/>
        </w:rPr>
      </w:pPr>
      <w:r>
        <w:rPr>
          <w:szCs w:val="26"/>
        </w:rPr>
        <w:t xml:space="preserve">One of the </w:t>
      </w:r>
      <w:r w:rsidR="00762F25" w:rsidRPr="00B63FEB">
        <w:rPr>
          <w:szCs w:val="26"/>
        </w:rPr>
        <w:t>main areas of su</w:t>
      </w:r>
      <w:r w:rsidR="00312CD3" w:rsidRPr="00B63FEB">
        <w:rPr>
          <w:szCs w:val="26"/>
        </w:rPr>
        <w:t xml:space="preserve">pport for employers </w:t>
      </w:r>
      <w:r>
        <w:rPr>
          <w:szCs w:val="26"/>
        </w:rPr>
        <w:t>was in relation to providing information on d</w:t>
      </w:r>
      <w:r w:rsidR="00762F25" w:rsidRPr="00B63FEB">
        <w:rPr>
          <w:szCs w:val="26"/>
        </w:rPr>
        <w:t xml:space="preserve">isability </w:t>
      </w:r>
      <w:r>
        <w:rPr>
          <w:szCs w:val="26"/>
        </w:rPr>
        <w:t>i</w:t>
      </w:r>
      <w:r w:rsidR="00762F25" w:rsidRPr="00B63FEB">
        <w:rPr>
          <w:szCs w:val="26"/>
        </w:rPr>
        <w:t>nclusion/</w:t>
      </w:r>
      <w:r>
        <w:rPr>
          <w:szCs w:val="26"/>
        </w:rPr>
        <w:t>a</w:t>
      </w:r>
      <w:r w:rsidR="00762F25" w:rsidRPr="00B63FEB">
        <w:rPr>
          <w:szCs w:val="26"/>
        </w:rPr>
        <w:t>wareness training and confidence building</w:t>
      </w:r>
      <w:r>
        <w:rPr>
          <w:szCs w:val="26"/>
        </w:rPr>
        <w:t>. Specific activities included</w:t>
      </w:r>
      <w:r w:rsidR="00D26521">
        <w:rPr>
          <w:szCs w:val="26"/>
        </w:rPr>
        <w:t>:</w:t>
      </w:r>
    </w:p>
    <w:p w14:paraId="0207D57A" w14:textId="4C13BE08" w:rsidR="000652E6" w:rsidRPr="00B63FEB" w:rsidRDefault="000652E6" w:rsidP="002F3E46">
      <w:pPr>
        <w:pStyle w:val="ListBullet"/>
        <w:numPr>
          <w:ilvl w:val="0"/>
          <w:numId w:val="35"/>
        </w:numPr>
        <w:spacing w:after="0"/>
        <w:ind w:left="360"/>
        <w:rPr>
          <w:szCs w:val="26"/>
        </w:rPr>
      </w:pPr>
      <w:r w:rsidRPr="00B63FEB">
        <w:rPr>
          <w:szCs w:val="26"/>
        </w:rPr>
        <w:t xml:space="preserve">Participation in the annual Work and Skills week led by the Department of Social Protection, </w:t>
      </w:r>
    </w:p>
    <w:p w14:paraId="01956172" w14:textId="77777777" w:rsidR="000652E6" w:rsidRPr="00B63FEB" w:rsidRDefault="000652E6" w:rsidP="002F3E46">
      <w:pPr>
        <w:pStyle w:val="ListBullet"/>
        <w:numPr>
          <w:ilvl w:val="0"/>
          <w:numId w:val="35"/>
        </w:numPr>
        <w:spacing w:after="0"/>
        <w:ind w:left="360"/>
        <w:rPr>
          <w:szCs w:val="26"/>
        </w:rPr>
      </w:pPr>
      <w:r w:rsidRPr="00B63FEB">
        <w:rPr>
          <w:szCs w:val="26"/>
        </w:rPr>
        <w:t xml:space="preserve">Working with Enterprise Ireland’s Diversity and Inclusion Strategy Leaders, </w:t>
      </w:r>
    </w:p>
    <w:p w14:paraId="5AC807C4" w14:textId="77777777" w:rsidR="000652E6" w:rsidRPr="00B63FEB" w:rsidRDefault="000652E6" w:rsidP="002F3E46">
      <w:pPr>
        <w:pStyle w:val="ListBullet"/>
        <w:numPr>
          <w:ilvl w:val="0"/>
          <w:numId w:val="35"/>
        </w:numPr>
        <w:spacing w:after="0"/>
        <w:ind w:left="360"/>
        <w:rPr>
          <w:szCs w:val="26"/>
        </w:rPr>
      </w:pPr>
      <w:r w:rsidRPr="00B63FEB">
        <w:rPr>
          <w:szCs w:val="26"/>
        </w:rPr>
        <w:t>Chairing Ibec’s ‘Medtech and Engineering’ webinar on Neurodiversity</w:t>
      </w:r>
    </w:p>
    <w:p w14:paraId="46DEC144" w14:textId="77777777" w:rsidR="000652E6" w:rsidRPr="00116F75" w:rsidRDefault="000652E6" w:rsidP="002F3E46">
      <w:pPr>
        <w:pStyle w:val="ListBullet"/>
        <w:numPr>
          <w:ilvl w:val="0"/>
          <w:numId w:val="35"/>
        </w:numPr>
        <w:spacing w:after="0"/>
        <w:ind w:left="360"/>
        <w:rPr>
          <w:szCs w:val="26"/>
        </w:rPr>
      </w:pPr>
      <w:r w:rsidRPr="00B63FEB">
        <w:rPr>
          <w:szCs w:val="26"/>
        </w:rPr>
        <w:t xml:space="preserve">Participation in Podcasts and articles published in employer bodies such as Chambers Ireland magazine, Ibec’s ezine, Institute of Directors Ireland blog and Social Talent’s blog. </w:t>
      </w:r>
    </w:p>
    <w:p w14:paraId="30D4AFE6" w14:textId="5E24E1A6" w:rsidR="00ED04BD" w:rsidRDefault="00116F75" w:rsidP="00116F75">
      <w:pPr>
        <w:pStyle w:val="ListBullet"/>
        <w:numPr>
          <w:ilvl w:val="0"/>
          <w:numId w:val="0"/>
        </w:numPr>
      </w:pPr>
      <w:r>
        <w:rPr>
          <w:szCs w:val="26"/>
        </w:rPr>
        <w:t>Another key area of</w:t>
      </w:r>
      <w:r w:rsidR="000652E6">
        <w:rPr>
          <w:szCs w:val="26"/>
        </w:rPr>
        <w:t xml:space="preserve"> support was in relation to information on reasonable accommodation supports, grants and accessibility for potential and existing employees.</w:t>
      </w:r>
      <w:r>
        <w:rPr>
          <w:szCs w:val="26"/>
        </w:rPr>
        <w:t xml:space="preserve"> </w:t>
      </w:r>
      <w:r w:rsidR="00E87C98" w:rsidRPr="00B63FEB">
        <w:rPr>
          <w:szCs w:val="26"/>
        </w:rPr>
        <w:t>As</w:t>
      </w:r>
      <w:r w:rsidR="00E9601D">
        <w:rPr>
          <w:szCs w:val="26"/>
        </w:rPr>
        <w:t xml:space="preserve"> outlined</w:t>
      </w:r>
      <w:r w:rsidR="00E87C98" w:rsidRPr="00B63FEB">
        <w:rPr>
          <w:szCs w:val="26"/>
        </w:rPr>
        <w:t xml:space="preserve"> in previous research in this area</w:t>
      </w:r>
      <w:r w:rsidR="00E9601D">
        <w:rPr>
          <w:szCs w:val="26"/>
        </w:rPr>
        <w:t>,</w:t>
      </w:r>
      <w:r w:rsidR="00E87C98" w:rsidRPr="00B63FEB">
        <w:rPr>
          <w:szCs w:val="26"/>
        </w:rPr>
        <w:t xml:space="preserve"> many employers </w:t>
      </w:r>
      <w:r w:rsidR="00762F25" w:rsidRPr="00B63FEB">
        <w:rPr>
          <w:szCs w:val="26"/>
        </w:rPr>
        <w:t xml:space="preserve">are unsure of what </w:t>
      </w:r>
      <w:r w:rsidR="00E87C98" w:rsidRPr="00B63FEB">
        <w:rPr>
          <w:szCs w:val="26"/>
        </w:rPr>
        <w:t xml:space="preserve">a </w:t>
      </w:r>
      <w:r w:rsidR="00762F25" w:rsidRPr="00B63FEB">
        <w:rPr>
          <w:szCs w:val="26"/>
        </w:rPr>
        <w:t>‘reasonable accommodation’</w:t>
      </w:r>
      <w:r w:rsidR="00E9601D">
        <w:rPr>
          <w:szCs w:val="26"/>
        </w:rPr>
        <w:t xml:space="preserve"> is</w:t>
      </w:r>
      <w:r w:rsidR="004D138A">
        <w:rPr>
          <w:rStyle w:val="FootnoteReference"/>
          <w:szCs w:val="26"/>
        </w:rPr>
        <w:footnoteReference w:id="46"/>
      </w:r>
      <w:r w:rsidR="00E9601D">
        <w:rPr>
          <w:szCs w:val="26"/>
        </w:rPr>
        <w:t xml:space="preserve">. </w:t>
      </w:r>
      <w:r w:rsidR="00E87C98" w:rsidRPr="00B63FEB">
        <w:rPr>
          <w:szCs w:val="26"/>
        </w:rPr>
        <w:t>In alignment with this work</w:t>
      </w:r>
      <w:r w:rsidR="00E9601D">
        <w:rPr>
          <w:szCs w:val="26"/>
        </w:rPr>
        <w:t>,</w:t>
      </w:r>
      <w:r w:rsidR="00E87C98" w:rsidRPr="00B63FEB">
        <w:rPr>
          <w:szCs w:val="26"/>
        </w:rPr>
        <w:t xml:space="preserve"> many employers are </w:t>
      </w:r>
      <w:r w:rsidR="00762F25" w:rsidRPr="00B63FEB">
        <w:rPr>
          <w:szCs w:val="26"/>
        </w:rPr>
        <w:t xml:space="preserve">unclear </w:t>
      </w:r>
      <w:r w:rsidR="00E87C98" w:rsidRPr="00B63FEB">
        <w:rPr>
          <w:szCs w:val="26"/>
        </w:rPr>
        <w:t xml:space="preserve">and unaware of </w:t>
      </w:r>
      <w:r>
        <w:rPr>
          <w:szCs w:val="26"/>
        </w:rPr>
        <w:t xml:space="preserve">the </w:t>
      </w:r>
      <w:r w:rsidR="00E87C98" w:rsidRPr="00B63FEB">
        <w:rPr>
          <w:szCs w:val="26"/>
        </w:rPr>
        <w:t>Department of Social Protection Grants available to employers for the provision of reasonable accommodations.</w:t>
      </w:r>
      <w:r w:rsidR="000652E6">
        <w:rPr>
          <w:szCs w:val="26"/>
        </w:rPr>
        <w:t xml:space="preserve"> </w:t>
      </w:r>
      <w:r>
        <w:t>T</w:t>
      </w:r>
      <w:r w:rsidR="000652E6" w:rsidRPr="00B63FEB">
        <w:t>hrough collaborat</w:t>
      </w:r>
      <w:r w:rsidR="000652E6">
        <w:t>ive</w:t>
      </w:r>
      <w:r w:rsidR="000652E6" w:rsidRPr="00B63FEB">
        <w:t xml:space="preserve"> work, the Employers for Change service produced a joint policy paper with Ibec on what employers require to support employees with disabilities</w:t>
      </w:r>
      <w:r w:rsidR="000652E6" w:rsidRPr="00B63FEB">
        <w:rPr>
          <w:rStyle w:val="FootnoteReference"/>
          <w:rFonts w:ascii="Gill Sans MT" w:hAnsi="Gill Sans MT"/>
          <w:sz w:val="26"/>
          <w:szCs w:val="26"/>
        </w:rPr>
        <w:footnoteReference w:id="47"/>
      </w:r>
      <w:r w:rsidR="000652E6" w:rsidRPr="00B63FEB">
        <w:t xml:space="preserve">. </w:t>
      </w:r>
      <w:r w:rsidR="000652E6">
        <w:t>The recommendations centred on the need for g</w:t>
      </w:r>
      <w:r w:rsidR="000652E6" w:rsidRPr="00B63FEB">
        <w:t>reater investment in evidence-based employment supports</w:t>
      </w:r>
      <w:r w:rsidR="000652E6">
        <w:t xml:space="preserve"> </w:t>
      </w:r>
      <w:r w:rsidR="000652E6" w:rsidRPr="00B63FEB">
        <w:t>to benefit individuals with disability, the economy and society.</w:t>
      </w:r>
      <w:r w:rsidR="000652E6">
        <w:t xml:space="preserve"> </w:t>
      </w:r>
      <w:r w:rsidR="00ED04BD">
        <w:t>The</w:t>
      </w:r>
      <w:r w:rsidR="002F3E46">
        <w:t xml:space="preserve"> recommendations </w:t>
      </w:r>
      <w:r w:rsidR="00ED04BD">
        <w:t xml:space="preserve">listed below, </w:t>
      </w:r>
      <w:r w:rsidR="002F3E46">
        <w:t xml:space="preserve">are important considerations for the next CES 3 year action plan, including the DSP review of </w:t>
      </w:r>
      <w:r w:rsidR="00ED04BD">
        <w:t>reasonable accommodation grants and the implementation of changes underway with regard to the Wage Subsidy Scheme.</w:t>
      </w:r>
      <w:r w:rsidR="002F3E46">
        <w:t xml:space="preserve"> </w:t>
      </w:r>
    </w:p>
    <w:p w14:paraId="73E38DBF" w14:textId="6986CB51" w:rsidR="00E9601D" w:rsidRPr="00ED04BD" w:rsidRDefault="00CD3DD9" w:rsidP="00ED04BD">
      <w:pPr>
        <w:pStyle w:val="ListBullet"/>
      </w:pPr>
      <w:r w:rsidRPr="00ED04BD">
        <w:t>R</w:t>
      </w:r>
      <w:r w:rsidR="00B63FEB" w:rsidRPr="00ED04BD">
        <w:t>eworking and updating the curren</w:t>
      </w:r>
      <w:r w:rsidRPr="00ED04BD">
        <w:t>t gr</w:t>
      </w:r>
      <w:r w:rsidR="00757964" w:rsidRPr="00ED04BD">
        <w:t>ants system</w:t>
      </w:r>
    </w:p>
    <w:p w14:paraId="7BC1CE2C" w14:textId="2DFAAAF8" w:rsidR="00E9601D" w:rsidRDefault="00CD3DD9" w:rsidP="002F3E46">
      <w:pPr>
        <w:pStyle w:val="ListBullet"/>
        <w:spacing w:after="0"/>
      </w:pPr>
      <w:r>
        <w:t>A</w:t>
      </w:r>
      <w:r w:rsidR="00B63FEB" w:rsidRPr="00B63FEB">
        <w:t>malgamate all the current disab</w:t>
      </w:r>
      <w:r w:rsidR="00757964">
        <w:t>ility supports into one grant</w:t>
      </w:r>
    </w:p>
    <w:p w14:paraId="550F5C81" w14:textId="789D66FD" w:rsidR="00E9601D" w:rsidRDefault="00CD3DD9" w:rsidP="002F3E46">
      <w:pPr>
        <w:pStyle w:val="ListBullet"/>
        <w:spacing w:after="0"/>
      </w:pPr>
      <w:r>
        <w:t>C</w:t>
      </w:r>
      <w:r w:rsidR="00B63FEB" w:rsidRPr="00B63FEB">
        <w:t>reate an online application platfor</w:t>
      </w:r>
      <w:r w:rsidR="00757964">
        <w:t>m for all grants and supports</w:t>
      </w:r>
    </w:p>
    <w:p w14:paraId="495C97B4" w14:textId="176F51A0" w:rsidR="00E9601D" w:rsidRDefault="00CD3DD9" w:rsidP="002F3E46">
      <w:pPr>
        <w:pStyle w:val="ListBullet"/>
        <w:spacing w:after="0"/>
      </w:pPr>
      <w:r>
        <w:t>R</w:t>
      </w:r>
      <w:r w:rsidR="00B63FEB" w:rsidRPr="00B63FEB">
        <w:t>emove the onus from the employ</w:t>
      </w:r>
      <w:r w:rsidR="00757964">
        <w:t>er to apply for grant support</w:t>
      </w:r>
    </w:p>
    <w:p w14:paraId="0034C23D" w14:textId="53AEE3CD" w:rsidR="00E9601D" w:rsidRDefault="00CD3DD9" w:rsidP="002F3E46">
      <w:pPr>
        <w:pStyle w:val="ListBullet"/>
        <w:spacing w:after="0"/>
      </w:pPr>
      <w:r>
        <w:t>P</w:t>
      </w:r>
      <w:r w:rsidR="00B63FEB" w:rsidRPr="00B63FEB">
        <w:t>rovide €15m to extend personal assista</w:t>
      </w:r>
      <w:r w:rsidR="00757964">
        <w:t>nt supports</w:t>
      </w:r>
    </w:p>
    <w:p w14:paraId="030C5C94" w14:textId="461B383C" w:rsidR="00E9601D" w:rsidRDefault="00CD3DD9" w:rsidP="002F3E46">
      <w:pPr>
        <w:pStyle w:val="ListBullet"/>
        <w:spacing w:after="0"/>
      </w:pPr>
      <w:r>
        <w:t>I</w:t>
      </w:r>
      <w:r w:rsidR="00B63FEB" w:rsidRPr="00B63FEB">
        <w:t xml:space="preserve">ncrease the Subsidy Scheme </w:t>
      </w:r>
      <w:r w:rsidR="00757964">
        <w:t>for persons with a disability</w:t>
      </w:r>
    </w:p>
    <w:p w14:paraId="0C485903" w14:textId="5513C41E" w:rsidR="00B63FEB" w:rsidRPr="00B63FEB" w:rsidRDefault="00B63FEB" w:rsidP="002F3E46">
      <w:pPr>
        <w:pStyle w:val="ListBullet"/>
        <w:spacing w:after="0"/>
      </w:pPr>
      <w:r w:rsidRPr="00B63FEB">
        <w:t>Remove the threshold of 21.5 hours work per week required to access the Subsidy Scheme for persons with a disability</w:t>
      </w:r>
    </w:p>
    <w:p w14:paraId="67C42C35" w14:textId="12ECBAC2" w:rsidR="00ED04BD" w:rsidRDefault="00ED04BD" w:rsidP="00BB6F75">
      <w:pPr>
        <w:rPr>
          <w:szCs w:val="26"/>
        </w:rPr>
      </w:pPr>
    </w:p>
    <w:p w14:paraId="4E8B6F44" w14:textId="4BE258F2" w:rsidR="00BB6F75" w:rsidRPr="00116F75" w:rsidRDefault="00BB6F75" w:rsidP="00BB6F75">
      <w:pPr>
        <w:rPr>
          <w:szCs w:val="26"/>
        </w:rPr>
      </w:pPr>
      <w:r w:rsidRPr="00116F75">
        <w:rPr>
          <w:szCs w:val="26"/>
        </w:rPr>
        <w:t>In launching a joint Ibec and Employer</w:t>
      </w:r>
      <w:r w:rsidR="00E56724">
        <w:rPr>
          <w:szCs w:val="26"/>
        </w:rPr>
        <w:t>s for Change policy paper, Ibec</w:t>
      </w:r>
      <w:r w:rsidRPr="00116F75">
        <w:rPr>
          <w:szCs w:val="26"/>
        </w:rPr>
        <w:t xml:space="preserve"> Head of Social Policy, Dr. Kara McGann stated that </w:t>
      </w:r>
    </w:p>
    <w:p w14:paraId="56385D94" w14:textId="77777777" w:rsidR="00BB6F75" w:rsidRPr="00B12DD2" w:rsidRDefault="00BB6F75" w:rsidP="00BB6F75">
      <w:pPr>
        <w:pStyle w:val="BlockQuote"/>
        <w:rPr>
          <w:lang w:val="en-GB" w:eastAsia="en-IE"/>
        </w:rPr>
      </w:pPr>
      <w:r w:rsidRPr="00B12DD2">
        <w:t>“Employers have a key role to play in taking steps to recruit and retain people with disabilities in their organisations and a whole of government approach will also be essential as the current siloed approach means issues can fall between the span of different areas and fail members of our existing and potential workforce from fulfilling their potential</w:t>
      </w:r>
      <w:r>
        <w:t>”</w:t>
      </w:r>
      <w:r>
        <w:rPr>
          <w:rStyle w:val="FootnoteReference"/>
          <w:rFonts w:cs="Arial"/>
          <w:b/>
          <w:szCs w:val="26"/>
        </w:rPr>
        <w:footnoteReference w:id="48"/>
      </w:r>
      <w:r w:rsidRPr="00B12DD2">
        <w:t>.</w:t>
      </w:r>
    </w:p>
    <w:p w14:paraId="4B6ADF11" w14:textId="772FCCEB" w:rsidR="00437D4C" w:rsidRPr="00E56724" w:rsidRDefault="00104D41" w:rsidP="00A90FD7">
      <w:r>
        <w:t>To support employers in the future, Employers for Change has commenced work on the</w:t>
      </w:r>
      <w:r w:rsidRPr="00E87C98">
        <w:t xml:space="preserve"> ‘Impact of remote working during Covid-19</w:t>
      </w:r>
      <w:r w:rsidR="00E01EC6">
        <w:t>’</w:t>
      </w:r>
      <w:r w:rsidRPr="00E87C98">
        <w:t xml:space="preserve"> </w:t>
      </w:r>
      <w:r>
        <w:t xml:space="preserve">on people with disabilities </w:t>
      </w:r>
      <w:r w:rsidRPr="00E87C98">
        <w:t xml:space="preserve">and commissioned research with IT Sligo </w:t>
      </w:r>
      <w:r>
        <w:t>to develop</w:t>
      </w:r>
      <w:r w:rsidRPr="00E87C98">
        <w:t xml:space="preserve"> a gold standard toolkit on inclusive recruitment practices for people with disabilities and other marginalised groups. </w:t>
      </w:r>
    </w:p>
    <w:p w14:paraId="5DFC6305" w14:textId="77777777" w:rsidR="00437D4C" w:rsidRDefault="00437D4C" w:rsidP="0080490E">
      <w:pPr>
        <w:pStyle w:val="Heading3"/>
      </w:pPr>
      <w:bookmarkStart w:id="50" w:name="_Toc101857206"/>
      <w:r>
        <w:t xml:space="preserve">Public </w:t>
      </w:r>
      <w:r w:rsidR="00CD3DD9">
        <w:t>Appointment</w:t>
      </w:r>
      <w:r>
        <w:t xml:space="preserve"> Service</w:t>
      </w:r>
      <w:bookmarkEnd w:id="50"/>
    </w:p>
    <w:p w14:paraId="366F9A79" w14:textId="77777777" w:rsidR="00437D4C" w:rsidRDefault="00437D4C" w:rsidP="00437D4C">
      <w:pPr>
        <w:pStyle w:val="ListParagraph"/>
        <w:spacing w:after="160"/>
        <w:ind w:left="0"/>
        <w:rPr>
          <w:rFonts w:eastAsia="Times New Roman" w:cs="Times New Roman"/>
          <w:szCs w:val="26"/>
          <w:lang w:eastAsia="en-IE"/>
        </w:rPr>
      </w:pPr>
      <w:r w:rsidRPr="00437D4C">
        <w:rPr>
          <w:rFonts w:eastAsia="Times New Roman" w:cs="Times New Roman"/>
          <w:szCs w:val="26"/>
          <w:lang w:eastAsia="en-IE"/>
        </w:rPr>
        <w:t xml:space="preserve">PAS launched its first </w:t>
      </w:r>
      <w:r>
        <w:rPr>
          <w:rFonts w:eastAsia="Times New Roman" w:cs="Times New Roman"/>
          <w:szCs w:val="26"/>
          <w:lang w:eastAsia="en-IE"/>
        </w:rPr>
        <w:t>Equality Disability and Inclusion Strategy (</w:t>
      </w:r>
      <w:r w:rsidRPr="00437D4C">
        <w:rPr>
          <w:rFonts w:eastAsia="Times New Roman" w:cs="Times New Roman"/>
          <w:bCs/>
          <w:szCs w:val="26"/>
          <w:lang w:eastAsia="en-IE"/>
        </w:rPr>
        <w:t>ED&amp;I</w:t>
      </w:r>
      <w:r>
        <w:rPr>
          <w:rFonts w:eastAsia="Times New Roman" w:cs="Times New Roman"/>
          <w:bCs/>
          <w:szCs w:val="26"/>
          <w:lang w:eastAsia="en-IE"/>
        </w:rPr>
        <w:t>)</w:t>
      </w:r>
      <w:r w:rsidRPr="00437D4C">
        <w:rPr>
          <w:rFonts w:eastAsia="Times New Roman" w:cs="Times New Roman"/>
          <w:bCs/>
          <w:szCs w:val="26"/>
          <w:lang w:eastAsia="en-IE"/>
        </w:rPr>
        <w:t xml:space="preserve"> </w:t>
      </w:r>
      <w:r w:rsidRPr="00437D4C">
        <w:rPr>
          <w:rFonts w:eastAsia="Times New Roman" w:cs="Times New Roman"/>
          <w:szCs w:val="26"/>
          <w:lang w:eastAsia="en-IE"/>
        </w:rPr>
        <w:t>in March 2021</w:t>
      </w:r>
      <w:r>
        <w:rPr>
          <w:rStyle w:val="FootnoteReference"/>
          <w:rFonts w:eastAsia="Times New Roman" w:cs="Times New Roman"/>
          <w:szCs w:val="26"/>
          <w:lang w:eastAsia="en-IE"/>
        </w:rPr>
        <w:footnoteReference w:id="49"/>
      </w:r>
      <w:r w:rsidRPr="00437D4C">
        <w:rPr>
          <w:rFonts w:eastAsia="Times New Roman" w:cs="Times New Roman"/>
          <w:szCs w:val="26"/>
          <w:lang w:eastAsia="en-IE"/>
        </w:rPr>
        <w:t>.</w:t>
      </w:r>
      <w:r>
        <w:rPr>
          <w:rFonts w:eastAsia="Times New Roman" w:cs="Times New Roman"/>
          <w:szCs w:val="26"/>
          <w:lang w:eastAsia="en-IE"/>
        </w:rPr>
        <w:t xml:space="preserve"> The strategy is built on pillars of a</w:t>
      </w:r>
      <w:r w:rsidR="005F0760">
        <w:rPr>
          <w:rFonts w:eastAsia="Times New Roman" w:cs="Times New Roman"/>
          <w:szCs w:val="26"/>
          <w:lang w:eastAsia="en-IE"/>
        </w:rPr>
        <w:t>ctions that include</w:t>
      </w:r>
    </w:p>
    <w:p w14:paraId="7285DDC2" w14:textId="77777777" w:rsidR="005F0760" w:rsidRPr="00E56724" w:rsidRDefault="005F0760" w:rsidP="00776272">
      <w:pPr>
        <w:numPr>
          <w:ilvl w:val="0"/>
          <w:numId w:val="20"/>
        </w:numPr>
        <w:shd w:val="clear" w:color="auto" w:fill="FFFFFF"/>
        <w:spacing w:before="120" w:after="0"/>
        <w:rPr>
          <w:szCs w:val="26"/>
          <w:lang w:eastAsia="en-IE"/>
        </w:rPr>
      </w:pPr>
      <w:r w:rsidRPr="00E56724">
        <w:rPr>
          <w:szCs w:val="26"/>
          <w:lang w:eastAsia="en-IE"/>
        </w:rPr>
        <w:t>Greater knowledge and understanding of diversity in the recruitment market and the Irish Public sector</w:t>
      </w:r>
    </w:p>
    <w:p w14:paraId="14995876" w14:textId="77777777" w:rsidR="005F0760" w:rsidRPr="00E56724" w:rsidRDefault="005F0760" w:rsidP="00776272">
      <w:pPr>
        <w:numPr>
          <w:ilvl w:val="0"/>
          <w:numId w:val="20"/>
        </w:numPr>
        <w:shd w:val="clear" w:color="auto" w:fill="FFFFFF"/>
        <w:spacing w:before="120" w:after="0"/>
        <w:rPr>
          <w:szCs w:val="26"/>
          <w:lang w:eastAsia="en-IE"/>
        </w:rPr>
      </w:pPr>
      <w:r w:rsidRPr="00E56724">
        <w:rPr>
          <w:szCs w:val="26"/>
          <w:lang w:eastAsia="en-IE"/>
        </w:rPr>
        <w:t>Recruitment and selection processes that encourage and enable access to candidates from diverse backgrounds</w:t>
      </w:r>
    </w:p>
    <w:p w14:paraId="59E35971" w14:textId="56C0C7B2" w:rsidR="005F0760" w:rsidRPr="00E56724" w:rsidRDefault="00E56724" w:rsidP="00776272">
      <w:pPr>
        <w:numPr>
          <w:ilvl w:val="0"/>
          <w:numId w:val="20"/>
        </w:numPr>
        <w:shd w:val="clear" w:color="auto" w:fill="FFFFFF"/>
        <w:spacing w:before="120" w:after="0"/>
        <w:rPr>
          <w:szCs w:val="26"/>
          <w:lang w:eastAsia="en-IE"/>
        </w:rPr>
      </w:pPr>
      <w:r w:rsidRPr="00E56724">
        <w:rPr>
          <w:szCs w:val="26"/>
          <w:lang w:eastAsia="en-IE"/>
        </w:rPr>
        <w:t>Create a</w:t>
      </w:r>
      <w:r w:rsidR="00104D41" w:rsidRPr="00E56724">
        <w:rPr>
          <w:szCs w:val="26"/>
          <w:lang w:eastAsia="en-IE"/>
        </w:rPr>
        <w:t xml:space="preserve"> </w:t>
      </w:r>
      <w:r w:rsidR="005F0760" w:rsidRPr="00E56724">
        <w:rPr>
          <w:szCs w:val="26"/>
          <w:lang w:eastAsia="en-IE"/>
        </w:rPr>
        <w:t xml:space="preserve">culture </w:t>
      </w:r>
      <w:r w:rsidR="00104D41" w:rsidRPr="00E56724">
        <w:rPr>
          <w:szCs w:val="26"/>
          <w:lang w:eastAsia="en-IE"/>
        </w:rPr>
        <w:t xml:space="preserve">that </w:t>
      </w:r>
      <w:r w:rsidR="005F0760" w:rsidRPr="00E56724">
        <w:rPr>
          <w:szCs w:val="26"/>
          <w:lang w:eastAsia="en-IE"/>
        </w:rPr>
        <w:t>models best practice in ED&amp;I and support</w:t>
      </w:r>
      <w:r w:rsidR="00104D41" w:rsidRPr="00E56724">
        <w:rPr>
          <w:szCs w:val="26"/>
          <w:lang w:eastAsia="en-IE"/>
        </w:rPr>
        <w:t>s</w:t>
      </w:r>
      <w:r w:rsidRPr="00E56724">
        <w:rPr>
          <w:szCs w:val="26"/>
          <w:lang w:eastAsia="en-IE"/>
        </w:rPr>
        <w:t xml:space="preserve"> </w:t>
      </w:r>
      <w:r w:rsidR="005F0760" w:rsidRPr="00E56724">
        <w:rPr>
          <w:szCs w:val="26"/>
          <w:lang w:eastAsia="en-IE"/>
        </w:rPr>
        <w:t>building inclusive workplaces</w:t>
      </w:r>
      <w:r w:rsidR="00776272">
        <w:rPr>
          <w:szCs w:val="26"/>
          <w:lang w:eastAsia="en-IE"/>
        </w:rPr>
        <w:t>.</w:t>
      </w:r>
    </w:p>
    <w:p w14:paraId="01EB3532" w14:textId="2C6E0569" w:rsidR="00104D41" w:rsidRDefault="00437D4C" w:rsidP="00B72465">
      <w:pPr>
        <w:spacing w:after="160"/>
        <w:contextualSpacing/>
        <w:rPr>
          <w:szCs w:val="26"/>
          <w:lang w:eastAsia="en-IE"/>
        </w:rPr>
      </w:pPr>
      <w:r w:rsidRPr="00437D4C">
        <w:rPr>
          <w:szCs w:val="26"/>
          <w:lang w:eastAsia="en-IE"/>
        </w:rPr>
        <w:t xml:space="preserve">An </w:t>
      </w:r>
      <w:r w:rsidRPr="00437D4C">
        <w:rPr>
          <w:bCs/>
          <w:szCs w:val="26"/>
          <w:lang w:eastAsia="en-IE"/>
        </w:rPr>
        <w:t>ED&amp;I Project Board</w:t>
      </w:r>
      <w:r w:rsidRPr="00437D4C">
        <w:rPr>
          <w:szCs w:val="26"/>
          <w:lang w:eastAsia="en-IE"/>
        </w:rPr>
        <w:t xml:space="preserve"> </w:t>
      </w:r>
      <w:r w:rsidR="005F0760" w:rsidRPr="005F0760">
        <w:rPr>
          <w:szCs w:val="26"/>
          <w:lang w:eastAsia="en-IE"/>
        </w:rPr>
        <w:t>is in place</w:t>
      </w:r>
      <w:r w:rsidRPr="00437D4C">
        <w:rPr>
          <w:szCs w:val="26"/>
          <w:lang w:eastAsia="en-IE"/>
        </w:rPr>
        <w:t xml:space="preserve"> with an external chair, to drive and monitor </w:t>
      </w:r>
      <w:r w:rsidR="00D26521">
        <w:rPr>
          <w:szCs w:val="26"/>
          <w:lang w:eastAsia="en-IE"/>
        </w:rPr>
        <w:t>this</w:t>
      </w:r>
      <w:r w:rsidRPr="00437D4C">
        <w:rPr>
          <w:szCs w:val="26"/>
          <w:lang w:eastAsia="en-IE"/>
        </w:rPr>
        <w:t xml:space="preserve"> work.  </w:t>
      </w:r>
      <w:r w:rsidR="005F0760" w:rsidRPr="005F0760">
        <w:rPr>
          <w:szCs w:val="26"/>
          <w:lang w:eastAsia="en-IE"/>
        </w:rPr>
        <w:t>During 2021</w:t>
      </w:r>
      <w:r w:rsidR="00BE6272">
        <w:rPr>
          <w:szCs w:val="26"/>
          <w:lang w:eastAsia="en-IE"/>
        </w:rPr>
        <w:t>, a</w:t>
      </w:r>
      <w:r w:rsidR="005F0760" w:rsidRPr="005F0760">
        <w:rPr>
          <w:szCs w:val="26"/>
          <w:lang w:eastAsia="en-IE"/>
        </w:rPr>
        <w:t xml:space="preserve"> </w:t>
      </w:r>
      <w:r w:rsidRPr="00437D4C">
        <w:rPr>
          <w:szCs w:val="26"/>
          <w:lang w:eastAsia="en-IE"/>
        </w:rPr>
        <w:t xml:space="preserve">PAS </w:t>
      </w:r>
      <w:r w:rsidR="00E4029E">
        <w:rPr>
          <w:szCs w:val="26"/>
          <w:lang w:eastAsia="en-IE"/>
        </w:rPr>
        <w:t>s</w:t>
      </w:r>
      <w:r w:rsidRPr="00437D4C">
        <w:rPr>
          <w:szCs w:val="26"/>
          <w:lang w:eastAsia="en-IE"/>
        </w:rPr>
        <w:t xml:space="preserve">taff-informed external review of </w:t>
      </w:r>
      <w:r w:rsidRPr="00437D4C">
        <w:rPr>
          <w:bCs/>
          <w:szCs w:val="26"/>
          <w:lang w:eastAsia="en-IE"/>
        </w:rPr>
        <w:t>reasonable accommodations</w:t>
      </w:r>
      <w:r w:rsidRPr="00437D4C">
        <w:rPr>
          <w:szCs w:val="26"/>
          <w:lang w:eastAsia="en-IE"/>
        </w:rPr>
        <w:t xml:space="preserve"> for candidates led to several recommendations,</w:t>
      </w:r>
      <w:r w:rsidR="00BE6272">
        <w:rPr>
          <w:szCs w:val="26"/>
          <w:lang w:eastAsia="en-IE"/>
        </w:rPr>
        <w:t xml:space="preserve"> which are</w:t>
      </w:r>
      <w:r w:rsidRPr="00437D4C">
        <w:rPr>
          <w:szCs w:val="26"/>
          <w:lang w:eastAsia="en-IE"/>
        </w:rPr>
        <w:t xml:space="preserve"> now being implemented</w:t>
      </w:r>
      <w:r w:rsidR="005F0760" w:rsidRPr="005F0760">
        <w:rPr>
          <w:szCs w:val="26"/>
          <w:lang w:eastAsia="en-IE"/>
        </w:rPr>
        <w:t>. To inform further work in PAS</w:t>
      </w:r>
      <w:r w:rsidR="00BE6272">
        <w:rPr>
          <w:szCs w:val="26"/>
          <w:lang w:eastAsia="en-IE"/>
        </w:rPr>
        <w:t>,</w:t>
      </w:r>
      <w:r w:rsidR="005F0760" w:rsidRPr="005F0760">
        <w:rPr>
          <w:szCs w:val="26"/>
          <w:lang w:eastAsia="en-IE"/>
        </w:rPr>
        <w:t xml:space="preserve"> an </w:t>
      </w:r>
      <w:r w:rsidRPr="00437D4C">
        <w:rPr>
          <w:bCs/>
          <w:szCs w:val="26"/>
          <w:lang w:eastAsia="en-IE"/>
        </w:rPr>
        <w:t>Equality Monitoring Data</w:t>
      </w:r>
      <w:r w:rsidRPr="00437D4C">
        <w:rPr>
          <w:szCs w:val="26"/>
          <w:lang w:eastAsia="en-IE"/>
        </w:rPr>
        <w:t xml:space="preserve"> project </w:t>
      </w:r>
      <w:r w:rsidR="00D85C0B">
        <w:rPr>
          <w:szCs w:val="26"/>
          <w:lang w:eastAsia="en-IE"/>
        </w:rPr>
        <w:t xml:space="preserve">is </w:t>
      </w:r>
      <w:r w:rsidRPr="00437D4C">
        <w:rPr>
          <w:szCs w:val="26"/>
          <w:lang w:eastAsia="en-IE"/>
        </w:rPr>
        <w:t>develop</w:t>
      </w:r>
      <w:r w:rsidR="00BE6272">
        <w:rPr>
          <w:szCs w:val="26"/>
          <w:lang w:eastAsia="en-IE"/>
        </w:rPr>
        <w:t>ing</w:t>
      </w:r>
      <w:r w:rsidRPr="00437D4C">
        <w:rPr>
          <w:szCs w:val="26"/>
          <w:lang w:eastAsia="en-IE"/>
        </w:rPr>
        <w:t xml:space="preserve"> </w:t>
      </w:r>
      <w:r w:rsidR="005F0760" w:rsidRPr="005F0760">
        <w:rPr>
          <w:szCs w:val="26"/>
          <w:lang w:eastAsia="en-IE"/>
        </w:rPr>
        <w:t>a data driven evidence base.</w:t>
      </w:r>
      <w:r w:rsidR="00E56724">
        <w:rPr>
          <w:szCs w:val="26"/>
          <w:lang w:eastAsia="en-IE"/>
        </w:rPr>
        <w:t xml:space="preserve"> </w:t>
      </w:r>
      <w:r w:rsidR="005F0760">
        <w:rPr>
          <w:bCs/>
          <w:szCs w:val="26"/>
          <w:lang w:eastAsia="en-IE"/>
        </w:rPr>
        <w:t>In addition</w:t>
      </w:r>
      <w:r w:rsidR="00E4029E">
        <w:rPr>
          <w:bCs/>
          <w:szCs w:val="26"/>
          <w:lang w:eastAsia="en-IE"/>
        </w:rPr>
        <w:t>,</w:t>
      </w:r>
      <w:r w:rsidR="005F0760">
        <w:rPr>
          <w:bCs/>
          <w:szCs w:val="26"/>
          <w:lang w:eastAsia="en-IE"/>
        </w:rPr>
        <w:t xml:space="preserve"> </w:t>
      </w:r>
      <w:r w:rsidR="005F0760" w:rsidRPr="005F0760">
        <w:rPr>
          <w:bCs/>
          <w:szCs w:val="26"/>
          <w:lang w:eastAsia="en-IE"/>
        </w:rPr>
        <w:t xml:space="preserve">an </w:t>
      </w:r>
      <w:r w:rsidRPr="00437D4C">
        <w:rPr>
          <w:bCs/>
          <w:szCs w:val="26"/>
          <w:lang w:eastAsia="en-IE"/>
        </w:rPr>
        <w:t>Assessment Services review</w:t>
      </w:r>
      <w:r w:rsidRPr="00437D4C">
        <w:rPr>
          <w:szCs w:val="26"/>
          <w:lang w:eastAsia="en-IE"/>
        </w:rPr>
        <w:t xml:space="preserve"> </w:t>
      </w:r>
      <w:r w:rsidR="005F0760">
        <w:rPr>
          <w:szCs w:val="26"/>
          <w:lang w:eastAsia="en-IE"/>
        </w:rPr>
        <w:t xml:space="preserve">is underway </w:t>
      </w:r>
      <w:r w:rsidRPr="00437D4C">
        <w:rPr>
          <w:szCs w:val="26"/>
          <w:lang w:eastAsia="en-IE"/>
        </w:rPr>
        <w:t xml:space="preserve">to </w:t>
      </w:r>
      <w:r w:rsidR="005F0760">
        <w:rPr>
          <w:szCs w:val="26"/>
          <w:lang w:eastAsia="en-IE"/>
        </w:rPr>
        <w:t xml:space="preserve">examine the </w:t>
      </w:r>
      <w:r w:rsidRPr="00437D4C">
        <w:rPr>
          <w:szCs w:val="26"/>
          <w:lang w:eastAsia="en-IE"/>
        </w:rPr>
        <w:t xml:space="preserve">assessment element of recruitment process with a focus on disabled </w:t>
      </w:r>
      <w:r w:rsidR="00D85C0B" w:rsidRPr="00437D4C">
        <w:rPr>
          <w:szCs w:val="26"/>
          <w:lang w:eastAsia="en-IE"/>
        </w:rPr>
        <w:t>candidates’</w:t>
      </w:r>
      <w:r w:rsidRPr="00437D4C">
        <w:rPr>
          <w:szCs w:val="26"/>
          <w:lang w:eastAsia="en-IE"/>
        </w:rPr>
        <w:t xml:space="preserve"> experience</w:t>
      </w:r>
      <w:bookmarkStart w:id="51" w:name="_Hlk88133914"/>
      <w:r w:rsidR="00D26521">
        <w:rPr>
          <w:szCs w:val="26"/>
          <w:lang w:eastAsia="en-IE"/>
        </w:rPr>
        <w:t>, noting that standardised assessments may disadvantage some job applicants with disabilities</w:t>
      </w:r>
      <w:r w:rsidRPr="00437D4C">
        <w:rPr>
          <w:szCs w:val="26"/>
          <w:lang w:eastAsia="en-IE"/>
        </w:rPr>
        <w:t xml:space="preserve">. </w:t>
      </w:r>
      <w:bookmarkEnd w:id="51"/>
    </w:p>
    <w:p w14:paraId="0D98D8E4" w14:textId="77777777" w:rsidR="001C44F7" w:rsidRDefault="001C44F7" w:rsidP="001C44F7">
      <w:pPr>
        <w:pStyle w:val="Heading3"/>
        <w:rPr>
          <w:color w:val="000000"/>
          <w:szCs w:val="26"/>
        </w:rPr>
      </w:pPr>
      <w:bookmarkStart w:id="52" w:name="_Toc101857207"/>
      <w:r>
        <w:rPr>
          <w:color w:val="000000"/>
        </w:rPr>
        <w:t>DPER-supported internship schemes</w:t>
      </w:r>
      <w:bookmarkEnd w:id="52"/>
    </w:p>
    <w:p w14:paraId="3BC56A29" w14:textId="77777777" w:rsidR="001C44F7" w:rsidRDefault="001C44F7" w:rsidP="001C44F7">
      <w:pPr>
        <w:spacing w:after="160" w:line="252" w:lineRule="auto"/>
        <w:contextualSpacing/>
        <w:rPr>
          <w:rFonts w:eastAsiaTheme="minorHAnsi"/>
          <w:color w:val="000000"/>
          <w:szCs w:val="26"/>
          <w:lang w:eastAsia="en-IE"/>
        </w:rPr>
      </w:pPr>
      <w:r>
        <w:rPr>
          <w:color w:val="000000"/>
          <w:szCs w:val="26"/>
          <w:lang w:eastAsia="en-IE"/>
        </w:rPr>
        <w:t>DPER has approved two paid Disability Internship Schemes that enable people with a disability to gain paid and mentored work experience with civil service employers. The schemes are:</w:t>
      </w:r>
    </w:p>
    <w:p w14:paraId="1F867DBD" w14:textId="4F560D3D" w:rsidR="001C44F7" w:rsidRDefault="001C44F7" w:rsidP="001C44F7">
      <w:pPr>
        <w:pStyle w:val="ListParagraph"/>
        <w:numPr>
          <w:ilvl w:val="0"/>
          <w:numId w:val="36"/>
        </w:numPr>
        <w:spacing w:before="120" w:line="252" w:lineRule="auto"/>
        <w:ind w:left="360"/>
        <w:contextualSpacing/>
        <w:rPr>
          <w:color w:val="000000"/>
          <w:szCs w:val="26"/>
          <w:lang w:eastAsia="en-IE"/>
        </w:rPr>
      </w:pPr>
      <w:r>
        <w:rPr>
          <w:b/>
          <w:bCs/>
          <w:color w:val="000000"/>
          <w:lang w:eastAsia="en-IE"/>
        </w:rPr>
        <w:t xml:space="preserve">OWL Programme </w:t>
      </w:r>
      <w:r>
        <w:rPr>
          <w:color w:val="000000"/>
          <w:lang w:eastAsia="en-IE"/>
        </w:rPr>
        <w:t>– The second intake of interns (x 10) graduated in December 2021 with the assistance of KARE and WALK.</w:t>
      </w:r>
      <w:r w:rsidR="00E4029E">
        <w:rPr>
          <w:color w:val="000000"/>
          <w:lang w:eastAsia="en-IE"/>
        </w:rPr>
        <w:t xml:space="preserve"> Nine</w:t>
      </w:r>
      <w:r>
        <w:rPr>
          <w:color w:val="000000"/>
          <w:lang w:eastAsia="en-IE"/>
        </w:rPr>
        <w:t xml:space="preserve"> of the interns went forward to successfully compete in a confined civil service recruitment competition, facilitated by PAS, at the end of their internship for permanent part-time roles with civil service employers.</w:t>
      </w:r>
      <w:r w:rsidR="00E4029E">
        <w:rPr>
          <w:color w:val="000000"/>
          <w:lang w:eastAsia="en-IE"/>
        </w:rPr>
        <w:t xml:space="preserve"> </w:t>
      </w:r>
      <w:r>
        <w:rPr>
          <w:color w:val="000000"/>
          <w:lang w:eastAsia="en-IE"/>
        </w:rPr>
        <w:t>An enhanced Toolkit for Employers was published on the Oireachtas website that includes a video with inputs from interns that highlights the benefits and opportunities of such Programmes to both interns and employers.</w:t>
      </w:r>
    </w:p>
    <w:p w14:paraId="05928325" w14:textId="3ABF0E7C" w:rsidR="001C44F7" w:rsidRDefault="004D138A" w:rsidP="001C44F7">
      <w:pPr>
        <w:pStyle w:val="ListParagraph"/>
        <w:numPr>
          <w:ilvl w:val="0"/>
          <w:numId w:val="36"/>
        </w:numPr>
        <w:spacing w:before="120" w:line="252" w:lineRule="auto"/>
        <w:ind w:left="360"/>
        <w:contextualSpacing/>
        <w:rPr>
          <w:color w:val="000000"/>
        </w:rPr>
      </w:pPr>
      <w:r w:rsidRPr="004D138A">
        <w:rPr>
          <w:bCs/>
          <w:color w:val="000000"/>
          <w:lang w:eastAsia="en-IE"/>
        </w:rPr>
        <w:t>DSP funded</w:t>
      </w:r>
      <w:r>
        <w:rPr>
          <w:b/>
          <w:bCs/>
          <w:color w:val="000000"/>
          <w:lang w:eastAsia="en-IE"/>
        </w:rPr>
        <w:t xml:space="preserve"> </w:t>
      </w:r>
      <w:r w:rsidR="001C44F7">
        <w:rPr>
          <w:b/>
          <w:bCs/>
          <w:color w:val="000000"/>
          <w:lang w:eastAsia="en-IE"/>
        </w:rPr>
        <w:t>WAM Programme</w:t>
      </w:r>
      <w:r w:rsidR="001C44F7">
        <w:rPr>
          <w:color w:val="000000"/>
          <w:lang w:eastAsia="en-IE"/>
        </w:rPr>
        <w:t xml:space="preserve"> – 2021 saw the highest number of civil service placements with a total of 25 paid full-time placements for third level graduates commencing during the year with the assistance of AHEAD. DPER is working with stakeholders to scope a pilot civil service recruitment competition for permanency, to be undertaken by PAS that will be confined to graduates that successfully complete their WAM placement from Q4 2022.</w:t>
      </w:r>
    </w:p>
    <w:p w14:paraId="60BDE0DB" w14:textId="77777777" w:rsidR="001C44F7" w:rsidRDefault="001C44F7" w:rsidP="001C44F7">
      <w:pPr>
        <w:pStyle w:val="ListParagraph"/>
        <w:spacing w:after="160" w:line="252" w:lineRule="auto"/>
        <w:ind w:left="942"/>
        <w:contextualSpacing/>
        <w:rPr>
          <w:color w:val="000000"/>
          <w:lang w:eastAsia="en-IE"/>
        </w:rPr>
      </w:pPr>
    </w:p>
    <w:p w14:paraId="6F681729" w14:textId="4256B5DD" w:rsidR="001C44F7" w:rsidRDefault="001C44F7" w:rsidP="001C44F7">
      <w:pPr>
        <w:spacing w:after="160" w:line="252" w:lineRule="auto"/>
        <w:contextualSpacing/>
        <w:rPr>
          <w:color w:val="000000"/>
          <w:szCs w:val="26"/>
          <w:lang w:eastAsia="en-IE"/>
        </w:rPr>
      </w:pPr>
      <w:r>
        <w:rPr>
          <w:color w:val="000000"/>
          <w:szCs w:val="26"/>
          <w:lang w:eastAsia="en-IE"/>
        </w:rPr>
        <w:t>These internships are welcomed pathways to civil service employment, as they reflect alternative recruitment approaches outlined in the original text of the CES 2015.</w:t>
      </w:r>
    </w:p>
    <w:p w14:paraId="75A58AEF" w14:textId="77777777" w:rsidR="00E01E46" w:rsidRDefault="00E01E46" w:rsidP="001C44F7">
      <w:pPr>
        <w:spacing w:after="160" w:line="252" w:lineRule="auto"/>
        <w:contextualSpacing/>
        <w:rPr>
          <w:color w:val="000000"/>
          <w:szCs w:val="26"/>
          <w:lang w:eastAsia="en-IE"/>
        </w:rPr>
      </w:pPr>
    </w:p>
    <w:p w14:paraId="138BC424" w14:textId="3D1E4091" w:rsidR="00E01E46" w:rsidRPr="00E01E46" w:rsidRDefault="00E01E46" w:rsidP="001C44F7">
      <w:pPr>
        <w:spacing w:after="160" w:line="252" w:lineRule="auto"/>
        <w:contextualSpacing/>
        <w:rPr>
          <w:b/>
          <w:color w:val="000000"/>
          <w:szCs w:val="26"/>
          <w:lang w:eastAsia="en-IE"/>
        </w:rPr>
      </w:pPr>
      <w:r w:rsidRPr="00E01E46">
        <w:rPr>
          <w:b/>
          <w:color w:val="000000"/>
          <w:szCs w:val="26"/>
          <w:lang w:eastAsia="en-IE"/>
        </w:rPr>
        <w:t>DSP employer engagement activity during 2021</w:t>
      </w:r>
    </w:p>
    <w:p w14:paraId="7E9E2486" w14:textId="25741FA6" w:rsidR="00E01E46" w:rsidRPr="00456847" w:rsidRDefault="00E01E46" w:rsidP="00456847">
      <w:pPr>
        <w:pStyle w:val="ListParagraph"/>
        <w:numPr>
          <w:ilvl w:val="0"/>
          <w:numId w:val="39"/>
        </w:numPr>
        <w:spacing w:after="160" w:line="256" w:lineRule="auto"/>
        <w:contextualSpacing/>
        <w:rPr>
          <w:szCs w:val="26"/>
          <w:lang w:eastAsia="en-IE"/>
        </w:rPr>
      </w:pPr>
      <w:r w:rsidRPr="00456847">
        <w:rPr>
          <w:szCs w:val="26"/>
          <w:lang w:eastAsia="en-IE"/>
        </w:rPr>
        <w:t>DSP launch of labour market initiative Work Placement Experience Programme (WPEP).</w:t>
      </w:r>
    </w:p>
    <w:p w14:paraId="53E34998" w14:textId="3C5A6BC3" w:rsidR="001C44F7" w:rsidRPr="00456847" w:rsidRDefault="00E01E46" w:rsidP="00456847">
      <w:pPr>
        <w:pStyle w:val="ListParagraph"/>
        <w:numPr>
          <w:ilvl w:val="0"/>
          <w:numId w:val="39"/>
        </w:numPr>
        <w:rPr>
          <w:bCs/>
          <w:szCs w:val="24"/>
        </w:rPr>
      </w:pPr>
      <w:r w:rsidRPr="00456847">
        <w:rPr>
          <w:bCs/>
        </w:rPr>
        <w:t xml:space="preserve">Nationwide information presentations to almost 2,500 employers, which included information on supports for people with disabilities such as the Wage Subsidy Scheme. </w:t>
      </w:r>
      <w:r w:rsidR="00624A1A" w:rsidRPr="00456847">
        <w:rPr>
          <w:bCs/>
        </w:rPr>
        <w:t>In addition</w:t>
      </w:r>
      <w:r w:rsidR="00E4029E">
        <w:rPr>
          <w:bCs/>
        </w:rPr>
        <w:t>,</w:t>
      </w:r>
      <w:r w:rsidR="00624A1A" w:rsidRPr="00456847">
        <w:rPr>
          <w:bCs/>
        </w:rPr>
        <w:t xml:space="preserve"> a social m</w:t>
      </w:r>
      <w:r w:rsidRPr="00456847">
        <w:rPr>
          <w:bCs/>
        </w:rPr>
        <w:t xml:space="preserve">edia campaign </w:t>
      </w:r>
      <w:r w:rsidR="00624A1A" w:rsidRPr="00456847">
        <w:rPr>
          <w:bCs/>
        </w:rPr>
        <w:t>on the 3rd December</w:t>
      </w:r>
      <w:r w:rsidR="00E4029E">
        <w:rPr>
          <w:bCs/>
        </w:rPr>
        <w:t>, international day of persons with disabilities,</w:t>
      </w:r>
      <w:r w:rsidR="00624A1A" w:rsidRPr="00456847">
        <w:rPr>
          <w:bCs/>
        </w:rPr>
        <w:t xml:space="preserve"> focused on</w:t>
      </w:r>
      <w:r w:rsidRPr="00456847">
        <w:rPr>
          <w:bCs/>
        </w:rPr>
        <w:t xml:space="preserve"> </w:t>
      </w:r>
      <w:r w:rsidR="00624A1A" w:rsidRPr="00456847">
        <w:rPr>
          <w:bCs/>
        </w:rPr>
        <w:t>people with a disability in employment and t</w:t>
      </w:r>
      <w:r w:rsidRPr="00456847">
        <w:rPr>
          <w:bCs/>
        </w:rPr>
        <w:t>raining</w:t>
      </w:r>
      <w:r w:rsidR="00624A1A" w:rsidRPr="00456847">
        <w:rPr>
          <w:bCs/>
        </w:rPr>
        <w:t>. This campaign was supported by</w:t>
      </w:r>
      <w:r w:rsidRPr="00456847">
        <w:rPr>
          <w:bCs/>
        </w:rPr>
        <w:t xml:space="preserve"> Intreo, JobsIreland and EURES services.  </w:t>
      </w:r>
    </w:p>
    <w:p w14:paraId="359E556C" w14:textId="77777777" w:rsidR="0005677B" w:rsidRDefault="0005677B" w:rsidP="0005677B">
      <w:pPr>
        <w:pStyle w:val="Heading1"/>
      </w:pPr>
      <w:bookmarkStart w:id="53" w:name="_Toc101857208"/>
      <w:r>
        <w:t>Building on the evidence base</w:t>
      </w:r>
      <w:bookmarkEnd w:id="53"/>
    </w:p>
    <w:p w14:paraId="163FD1CD" w14:textId="5B4E40C3" w:rsidR="0005677B" w:rsidRDefault="003C2C4C" w:rsidP="0005677B">
      <w:r>
        <w:t>In addition to actions progressed under the banner of the CES, n</w:t>
      </w:r>
      <w:r w:rsidR="0005677B">
        <w:t xml:space="preserve">ew </w:t>
      </w:r>
      <w:r w:rsidR="00291452">
        <w:t xml:space="preserve">data relevant to the employment of people with disabilities,, </w:t>
      </w:r>
      <w:r w:rsidR="0005677B">
        <w:t xml:space="preserve">published during 2021 provides </w:t>
      </w:r>
      <w:r w:rsidR="00291452">
        <w:t>more information on the employment and educational</w:t>
      </w:r>
      <w:r w:rsidR="0005677B">
        <w:t xml:space="preserve"> experiences of persons with disabilities. </w:t>
      </w:r>
      <w:r w:rsidR="00291452">
        <w:t xml:space="preserve">New data from the CSO, DPER, OECD and ESRI are outlined below. </w:t>
      </w:r>
    </w:p>
    <w:p w14:paraId="2960567A" w14:textId="77777777" w:rsidR="0005677B" w:rsidRDefault="0005677B" w:rsidP="0005677B">
      <w:pPr>
        <w:pStyle w:val="Heading2"/>
      </w:pPr>
      <w:bookmarkStart w:id="54" w:name="_Toc101857209"/>
      <w:r>
        <w:t>Central Statistics Office</w:t>
      </w:r>
      <w:bookmarkEnd w:id="54"/>
    </w:p>
    <w:p w14:paraId="6FE25837" w14:textId="6D52F450" w:rsidR="0005677B" w:rsidRDefault="0005677B" w:rsidP="0005677B">
      <w:r>
        <w:t>A new report from the CSO, developed in collaboration with the NDA was published in December 2021. The report was entitled ‘Income Welfare and Employment Analysis of People with a Disability in 2019’.</w:t>
      </w:r>
      <w:r>
        <w:rPr>
          <w:rStyle w:val="FootnoteReference"/>
        </w:rPr>
        <w:footnoteReference w:id="50"/>
      </w:r>
      <w:r>
        <w:t xml:space="preserve">  A new database was created for the report that used government administrative datasets across a wide range of sectors linked to people who identified as having a disability in the Census of Population 2016. This method of analysis provides new insights into employment, education, housing and other outcomes in the lives of persons with a disability. It also reflects a novel use of data. Key messages from this evidence include:</w:t>
      </w:r>
    </w:p>
    <w:p w14:paraId="595F2446" w14:textId="77777777" w:rsidR="0005677B" w:rsidRPr="004B73DE" w:rsidRDefault="0005677B" w:rsidP="0005677B">
      <w:pPr>
        <w:pStyle w:val="ListParagraph"/>
        <w:numPr>
          <w:ilvl w:val="0"/>
          <w:numId w:val="16"/>
        </w:numPr>
        <w:spacing w:before="100" w:beforeAutospacing="1" w:after="100" w:afterAutospacing="1"/>
        <w:rPr>
          <w:szCs w:val="26"/>
          <w:lang w:val="en" w:eastAsia="en-IE"/>
        </w:rPr>
      </w:pPr>
      <w:r w:rsidRPr="00326ED5">
        <w:rPr>
          <w:iCs/>
          <w:szCs w:val="26"/>
          <w:lang w:val="en" w:eastAsia="en-IE"/>
        </w:rPr>
        <w:t>Less than half (44%) of people with a disability of working age were employed in 2019.</w:t>
      </w:r>
      <w:r>
        <w:rPr>
          <w:rStyle w:val="FootnoteReference"/>
          <w:iCs/>
          <w:szCs w:val="26"/>
          <w:lang w:val="en" w:eastAsia="en-IE"/>
        </w:rPr>
        <w:footnoteReference w:id="51"/>
      </w:r>
      <w:r w:rsidRPr="00326ED5">
        <w:rPr>
          <w:szCs w:val="26"/>
          <w:lang w:val="en" w:eastAsia="en-IE"/>
        </w:rPr>
        <w:t xml:space="preserve"> </w:t>
      </w:r>
    </w:p>
    <w:p w14:paraId="31FF79A8" w14:textId="77777777" w:rsidR="0005677B" w:rsidRPr="00227A80" w:rsidRDefault="0005677B" w:rsidP="0005677B">
      <w:pPr>
        <w:pStyle w:val="ListParagraph"/>
        <w:numPr>
          <w:ilvl w:val="0"/>
          <w:numId w:val="16"/>
        </w:numPr>
      </w:pPr>
      <w:r w:rsidRPr="00326ED5">
        <w:rPr>
          <w:iCs/>
          <w:szCs w:val="26"/>
          <w:lang w:val="en" w:eastAsia="en-IE"/>
        </w:rPr>
        <w:t xml:space="preserve">Separately the data shows the median income of those with a disability in employment in 2019 was €20,212. This compares the state median of €36,095 in 2018, which is the most recent </w:t>
      </w:r>
      <w:r>
        <w:rPr>
          <w:iCs/>
          <w:szCs w:val="26"/>
          <w:lang w:val="en" w:eastAsia="en-IE"/>
        </w:rPr>
        <w:t xml:space="preserve">data </w:t>
      </w:r>
      <w:r w:rsidRPr="00326ED5">
        <w:rPr>
          <w:iCs/>
          <w:szCs w:val="26"/>
          <w:lang w:val="en" w:eastAsia="en-IE"/>
        </w:rPr>
        <w:t>available.</w:t>
      </w:r>
      <w:r w:rsidRPr="002A7053">
        <w:rPr>
          <w:szCs w:val="26"/>
        </w:rPr>
        <w:t xml:space="preserve"> </w:t>
      </w:r>
    </w:p>
    <w:p w14:paraId="30EAEEE9" w14:textId="77777777" w:rsidR="0005677B" w:rsidRPr="0080490E" w:rsidRDefault="0005677B" w:rsidP="0005677B">
      <w:pPr>
        <w:autoSpaceDE w:val="0"/>
        <w:autoSpaceDN w:val="0"/>
        <w:adjustRightInd w:val="0"/>
        <w:rPr>
          <w:rFonts w:cs="Arial"/>
          <w:color w:val="000000"/>
          <w:szCs w:val="26"/>
        </w:rPr>
      </w:pPr>
      <w:r w:rsidRPr="0080490E">
        <w:rPr>
          <w:rFonts w:cs="Arial"/>
          <w:color w:val="000000"/>
          <w:szCs w:val="26"/>
        </w:rPr>
        <w:t xml:space="preserve">These data show that progression to further and higher education for students with disabilities is similar to their peers </w:t>
      </w:r>
      <w:r>
        <w:rPr>
          <w:rFonts w:cs="Arial"/>
          <w:color w:val="000000"/>
          <w:szCs w:val="26"/>
        </w:rPr>
        <w:t xml:space="preserve">but </w:t>
      </w:r>
      <w:r w:rsidRPr="0080490E">
        <w:rPr>
          <w:rFonts w:cs="Arial"/>
          <w:color w:val="000000"/>
          <w:szCs w:val="26"/>
        </w:rPr>
        <w:t xml:space="preserve">there is a differences in the percentages in employment and in earning potential. </w:t>
      </w:r>
    </w:p>
    <w:p w14:paraId="3FDC220F" w14:textId="77777777" w:rsidR="0005677B" w:rsidRDefault="0005677B" w:rsidP="0005677B">
      <w:pPr>
        <w:pStyle w:val="Heading2"/>
      </w:pPr>
      <w:bookmarkStart w:id="55" w:name="_Toc101857210"/>
      <w:r>
        <w:t>DPER Spending Review 2021:</w:t>
      </w:r>
      <w:bookmarkEnd w:id="55"/>
      <w:r>
        <w:t xml:space="preserve"> </w:t>
      </w:r>
    </w:p>
    <w:p w14:paraId="7B1362E0" w14:textId="60F2F7FB" w:rsidR="0005677B" w:rsidRDefault="0005677B" w:rsidP="0005677B">
      <w:pPr>
        <w:pStyle w:val="Default"/>
        <w:rPr>
          <w:rFonts w:ascii="Gill Sans MT" w:hAnsi="Gill Sans MT"/>
          <w:sz w:val="26"/>
          <w:szCs w:val="26"/>
        </w:rPr>
      </w:pPr>
      <w:r>
        <w:rPr>
          <w:rFonts w:ascii="Gill Sans MT" w:eastAsia="Times New Roman" w:hAnsi="Gill Sans MT" w:cs="Times New Roman"/>
          <w:color w:val="auto"/>
          <w:sz w:val="26"/>
          <w:lang w:eastAsia="en-US"/>
        </w:rPr>
        <w:t xml:space="preserve">The </w:t>
      </w:r>
      <w:r w:rsidR="005007EA">
        <w:rPr>
          <w:rFonts w:ascii="Gill Sans MT" w:eastAsia="Times New Roman" w:hAnsi="Gill Sans MT" w:cs="Times New Roman"/>
          <w:color w:val="auto"/>
          <w:sz w:val="26"/>
          <w:lang w:eastAsia="en-US"/>
        </w:rPr>
        <w:t xml:space="preserve">Department of Public Expenditure and Reform unit - </w:t>
      </w:r>
      <w:r>
        <w:rPr>
          <w:rFonts w:ascii="Gill Sans MT" w:eastAsia="Times New Roman" w:hAnsi="Gill Sans MT" w:cs="Times New Roman"/>
          <w:color w:val="auto"/>
          <w:sz w:val="26"/>
          <w:lang w:eastAsia="en-US"/>
        </w:rPr>
        <w:t xml:space="preserve">Irish Government Economic and Evaluation Service (IGEES) </w:t>
      </w:r>
      <w:r w:rsidR="005007EA">
        <w:rPr>
          <w:rFonts w:ascii="Gill Sans MT" w:eastAsia="Times New Roman" w:hAnsi="Gill Sans MT" w:cs="Times New Roman"/>
          <w:color w:val="auto"/>
          <w:sz w:val="26"/>
          <w:lang w:eastAsia="en-US"/>
        </w:rPr>
        <w:t xml:space="preserve">- </w:t>
      </w:r>
      <w:r>
        <w:rPr>
          <w:rFonts w:ascii="Gill Sans MT" w:eastAsia="Times New Roman" w:hAnsi="Gill Sans MT" w:cs="Times New Roman"/>
          <w:color w:val="auto"/>
          <w:sz w:val="26"/>
          <w:lang w:eastAsia="en-US"/>
        </w:rPr>
        <w:t>conducted a review of spending on disability and special education lifecycle of supports.</w:t>
      </w:r>
      <w:r>
        <w:rPr>
          <w:rStyle w:val="FootnoteReference"/>
          <w:rFonts w:eastAsia="Times New Roman" w:cs="Times New Roman"/>
          <w:color w:val="auto"/>
          <w:lang w:eastAsia="en-US"/>
        </w:rPr>
        <w:footnoteReference w:id="52"/>
      </w:r>
      <w:r>
        <w:rPr>
          <w:rFonts w:ascii="Gill Sans MT" w:eastAsia="Times New Roman" w:hAnsi="Gill Sans MT" w:cs="Times New Roman"/>
          <w:color w:val="auto"/>
          <w:sz w:val="26"/>
          <w:lang w:eastAsia="en-US"/>
        </w:rPr>
        <w:t xml:space="preserve"> It compiled and examined information on </w:t>
      </w:r>
      <w:r>
        <w:rPr>
          <w:rFonts w:ascii="Gill Sans MT" w:hAnsi="Gill Sans MT"/>
          <w:sz w:val="26"/>
          <w:szCs w:val="26"/>
        </w:rPr>
        <w:t xml:space="preserve">43 disability and special education related supports. Supports included income payments, grants, employment supports, education supports, specialist disability social care services and taxation measures that span several departments. </w:t>
      </w:r>
    </w:p>
    <w:p w14:paraId="31C52BE1" w14:textId="77777777" w:rsidR="0005677B" w:rsidRDefault="0005677B" w:rsidP="0005677B">
      <w:pPr>
        <w:pStyle w:val="Default"/>
        <w:rPr>
          <w:rFonts w:ascii="Gill Sans MT" w:hAnsi="Gill Sans MT"/>
          <w:sz w:val="26"/>
          <w:szCs w:val="26"/>
        </w:rPr>
      </w:pPr>
    </w:p>
    <w:p w14:paraId="74311DFE" w14:textId="77777777" w:rsidR="0005677B" w:rsidRDefault="0005677B" w:rsidP="0005677B">
      <w:pPr>
        <w:pStyle w:val="Default"/>
        <w:rPr>
          <w:rFonts w:ascii="Gill Sans MT" w:hAnsi="Gill Sans MT"/>
          <w:sz w:val="26"/>
          <w:szCs w:val="26"/>
        </w:rPr>
      </w:pPr>
      <w:r>
        <w:rPr>
          <w:rFonts w:ascii="Gill Sans MT" w:hAnsi="Gill Sans MT"/>
          <w:sz w:val="26"/>
          <w:szCs w:val="26"/>
        </w:rPr>
        <w:t xml:space="preserve">The review found that: </w:t>
      </w:r>
    </w:p>
    <w:p w14:paraId="1B588F83" w14:textId="4C5A4589" w:rsidR="0005677B" w:rsidRDefault="0005677B" w:rsidP="00776272">
      <w:pPr>
        <w:pStyle w:val="Default"/>
        <w:numPr>
          <w:ilvl w:val="0"/>
          <w:numId w:val="22"/>
        </w:numPr>
        <w:spacing w:before="120"/>
        <w:ind w:left="360"/>
        <w:rPr>
          <w:rFonts w:ascii="Gill Sans MT" w:hAnsi="Gill Sans MT"/>
          <w:sz w:val="26"/>
          <w:szCs w:val="26"/>
        </w:rPr>
      </w:pPr>
      <w:r>
        <w:rPr>
          <w:rFonts w:ascii="Gill Sans MT" w:hAnsi="Gill Sans MT"/>
          <w:sz w:val="26"/>
          <w:szCs w:val="26"/>
        </w:rPr>
        <w:t>A total of €7.1 billion was spent on disability and special educ</w:t>
      </w:r>
      <w:r w:rsidR="00776272">
        <w:rPr>
          <w:rFonts w:ascii="Gill Sans MT" w:hAnsi="Gill Sans MT"/>
          <w:sz w:val="26"/>
          <w:szCs w:val="26"/>
        </w:rPr>
        <w:t>ation related supports in 2020</w:t>
      </w:r>
    </w:p>
    <w:p w14:paraId="2F866058" w14:textId="5FFCA248" w:rsidR="0005677B" w:rsidRDefault="0005677B" w:rsidP="00776272">
      <w:pPr>
        <w:pStyle w:val="Default"/>
        <w:numPr>
          <w:ilvl w:val="0"/>
          <w:numId w:val="22"/>
        </w:numPr>
        <w:spacing w:before="120"/>
        <w:ind w:left="360"/>
        <w:rPr>
          <w:rFonts w:ascii="Gill Sans MT" w:hAnsi="Gill Sans MT"/>
          <w:sz w:val="26"/>
          <w:szCs w:val="26"/>
        </w:rPr>
      </w:pPr>
      <w:r>
        <w:rPr>
          <w:rFonts w:ascii="Gill Sans MT" w:hAnsi="Gill Sans MT"/>
          <w:sz w:val="26"/>
          <w:szCs w:val="26"/>
        </w:rPr>
        <w:t>Over the period 2011 to 2020, total expenditure on disability and special education related supports has increased by €2.4 billi</w:t>
      </w:r>
      <w:r w:rsidR="00776272">
        <w:rPr>
          <w:rFonts w:ascii="Gill Sans MT" w:hAnsi="Gill Sans MT"/>
          <w:sz w:val="26"/>
          <w:szCs w:val="26"/>
        </w:rPr>
        <w:t xml:space="preserve">on or 51% </w:t>
      </w:r>
    </w:p>
    <w:p w14:paraId="512ADBF2" w14:textId="77777777" w:rsidR="0005677B" w:rsidRDefault="0005677B" w:rsidP="0005677B">
      <w:pPr>
        <w:pStyle w:val="Default"/>
        <w:rPr>
          <w:rFonts w:ascii="Gill Sans MT" w:hAnsi="Gill Sans MT"/>
          <w:sz w:val="26"/>
          <w:szCs w:val="26"/>
        </w:rPr>
      </w:pPr>
    </w:p>
    <w:p w14:paraId="7444B3CB" w14:textId="461EA08F" w:rsidR="0005677B" w:rsidRDefault="0005677B" w:rsidP="0005677B">
      <w:pPr>
        <w:pStyle w:val="Default"/>
        <w:rPr>
          <w:rFonts w:ascii="Gill Sans MT" w:hAnsi="Gill Sans MT"/>
          <w:sz w:val="26"/>
          <w:szCs w:val="26"/>
        </w:rPr>
      </w:pPr>
      <w:r>
        <w:rPr>
          <w:rFonts w:ascii="Gill Sans MT" w:hAnsi="Gill Sans MT"/>
          <w:sz w:val="26"/>
          <w:szCs w:val="26"/>
        </w:rPr>
        <w:t>The number of people in receipt of disability and special education related supports has increased over the period 2011-2020</w:t>
      </w:r>
      <w:r w:rsidR="00693DBD">
        <w:rPr>
          <w:rFonts w:ascii="Gill Sans MT" w:hAnsi="Gill Sans MT"/>
          <w:sz w:val="26"/>
          <w:szCs w:val="26"/>
        </w:rPr>
        <w:t>. Specifically</w:t>
      </w:r>
      <w:r>
        <w:rPr>
          <w:rFonts w:ascii="Gill Sans MT" w:hAnsi="Gill Sans MT"/>
          <w:sz w:val="26"/>
          <w:szCs w:val="26"/>
        </w:rPr>
        <w:t xml:space="preserve"> </w:t>
      </w:r>
    </w:p>
    <w:p w14:paraId="0AB26DA2" w14:textId="77777777" w:rsidR="0005677B" w:rsidRDefault="0005677B" w:rsidP="0005677B">
      <w:pPr>
        <w:pStyle w:val="Default"/>
        <w:rPr>
          <w:rFonts w:ascii="Gill Sans MT" w:hAnsi="Gill Sans MT"/>
          <w:sz w:val="26"/>
          <w:szCs w:val="26"/>
        </w:rPr>
      </w:pPr>
    </w:p>
    <w:p w14:paraId="7A248F21" w14:textId="77777777" w:rsidR="0005677B" w:rsidRPr="00F97636" w:rsidRDefault="0005677B" w:rsidP="00776272">
      <w:pPr>
        <w:pStyle w:val="Default"/>
        <w:numPr>
          <w:ilvl w:val="0"/>
          <w:numId w:val="18"/>
        </w:numPr>
        <w:spacing w:before="120"/>
        <w:ind w:left="360"/>
        <w:rPr>
          <w:rFonts w:ascii="Gill Sans MT" w:hAnsi="Gill Sans MT"/>
          <w:sz w:val="26"/>
          <w:szCs w:val="26"/>
        </w:rPr>
      </w:pPr>
      <w:r>
        <w:rPr>
          <w:rFonts w:ascii="Gill Sans MT" w:hAnsi="Gill Sans MT"/>
          <w:sz w:val="26"/>
          <w:szCs w:val="26"/>
        </w:rPr>
        <w:t>The number of people accessing Social Protection disability income supports has increased from 194,061 to 279,757, an increase of 85,696 or 44 per cent</w:t>
      </w:r>
    </w:p>
    <w:p w14:paraId="6793D66D" w14:textId="20025B21" w:rsidR="0005677B" w:rsidRPr="00F97636" w:rsidRDefault="0005677B" w:rsidP="00776272">
      <w:pPr>
        <w:pStyle w:val="Default"/>
        <w:numPr>
          <w:ilvl w:val="0"/>
          <w:numId w:val="18"/>
        </w:numPr>
        <w:spacing w:before="120"/>
        <w:ind w:left="360"/>
        <w:rPr>
          <w:rFonts w:ascii="Gill Sans MT" w:hAnsi="Gill Sans MT"/>
          <w:sz w:val="26"/>
          <w:szCs w:val="26"/>
        </w:rPr>
      </w:pPr>
      <w:r>
        <w:rPr>
          <w:rFonts w:ascii="Gill Sans MT" w:hAnsi="Gill Sans MT"/>
          <w:sz w:val="26"/>
          <w:szCs w:val="26"/>
        </w:rPr>
        <w:t xml:space="preserve">The number of HSE-funded residential places declined from 9,124 to 8,065 , primarily due to changes in policy and regulations </w:t>
      </w:r>
    </w:p>
    <w:p w14:paraId="7232BC55" w14:textId="457CE96B" w:rsidR="00015E16" w:rsidRPr="00015E16" w:rsidRDefault="0005677B" w:rsidP="00015E16">
      <w:pPr>
        <w:pStyle w:val="Default"/>
        <w:numPr>
          <w:ilvl w:val="0"/>
          <w:numId w:val="18"/>
        </w:numPr>
        <w:spacing w:before="120"/>
        <w:ind w:left="360"/>
        <w:rPr>
          <w:rFonts w:ascii="Gill Sans MT" w:hAnsi="Gill Sans MT"/>
          <w:sz w:val="26"/>
          <w:szCs w:val="26"/>
        </w:rPr>
      </w:pPr>
      <w:r>
        <w:rPr>
          <w:rFonts w:ascii="Gill Sans MT" w:hAnsi="Gill Sans MT"/>
          <w:sz w:val="26"/>
          <w:szCs w:val="26"/>
        </w:rPr>
        <w:t>The number of people in receipt of adult day services increased from 21,224 to 27,084 in 2019 before declining to 17,930 in 2020</w:t>
      </w:r>
      <w:r>
        <w:rPr>
          <w:rStyle w:val="FootnoteReference"/>
          <w:szCs w:val="26"/>
        </w:rPr>
        <w:footnoteReference w:id="53"/>
      </w:r>
      <w:r w:rsidR="00305160">
        <w:rPr>
          <w:rStyle w:val="FootnoteReference"/>
          <w:szCs w:val="26"/>
        </w:rPr>
        <w:footnoteReference w:id="54"/>
      </w:r>
    </w:p>
    <w:p w14:paraId="718DF0A0" w14:textId="77777777" w:rsidR="0005677B" w:rsidRDefault="0005677B" w:rsidP="00776272">
      <w:pPr>
        <w:pStyle w:val="ListParagraph"/>
        <w:numPr>
          <w:ilvl w:val="0"/>
          <w:numId w:val="18"/>
        </w:numPr>
        <w:spacing w:before="120" w:after="240"/>
        <w:ind w:left="360"/>
      </w:pPr>
      <w:r w:rsidRPr="00227A80">
        <w:rPr>
          <w:szCs w:val="26"/>
        </w:rPr>
        <w:t xml:space="preserve">The number of pupils with significant care needs who are being supported by Special Needs Assistants in school has increased from 22,284 (2.7 per cent of school population) to 39,840 (4.2 per cent of school </w:t>
      </w:r>
      <w:r>
        <w:rPr>
          <w:szCs w:val="26"/>
        </w:rPr>
        <w:t>population)</w:t>
      </w:r>
    </w:p>
    <w:p w14:paraId="6D551964" w14:textId="77777777" w:rsidR="0005677B" w:rsidRDefault="0005677B" w:rsidP="0005677B">
      <w:pPr>
        <w:pStyle w:val="Heading2"/>
      </w:pPr>
      <w:bookmarkStart w:id="56" w:name="_Toc101857211"/>
      <w:r w:rsidRPr="0015725E">
        <w:rPr>
          <w:szCs w:val="26"/>
        </w:rPr>
        <w:t>Organisation for Economic Cooperation and Development</w:t>
      </w:r>
      <w:bookmarkEnd w:id="56"/>
      <w:r w:rsidRPr="0015725E">
        <w:rPr>
          <w:szCs w:val="26"/>
        </w:rPr>
        <w:t xml:space="preserve"> </w:t>
      </w:r>
    </w:p>
    <w:p w14:paraId="74BC077D" w14:textId="77777777" w:rsidR="0005677B" w:rsidRDefault="0005677B" w:rsidP="0005677B">
      <w:r>
        <w:t xml:space="preserve">The </w:t>
      </w:r>
      <w:r>
        <w:rPr>
          <w:szCs w:val="26"/>
        </w:rPr>
        <w:t>OECD,</w:t>
      </w:r>
      <w:r w:rsidRPr="0015725E">
        <w:rPr>
          <w:szCs w:val="26"/>
        </w:rPr>
        <w:t xml:space="preserve"> in collaboration with the NDA</w:t>
      </w:r>
      <w:r>
        <w:rPr>
          <w:szCs w:val="26"/>
        </w:rPr>
        <w:t>,</w:t>
      </w:r>
      <w:r>
        <w:t xml:space="preserve"> examined levels of </w:t>
      </w:r>
      <w:r w:rsidRPr="00D462E8">
        <w:t>employer engagement and support for employers</w:t>
      </w:r>
      <w:r>
        <w:t>. These issues had</w:t>
      </w:r>
      <w:r w:rsidRPr="00D462E8">
        <w:t xml:space="preserve"> </w:t>
      </w:r>
      <w:r>
        <w:t xml:space="preserve">been </w:t>
      </w:r>
      <w:r w:rsidRPr="00D462E8">
        <w:t>identif</w:t>
      </w:r>
      <w:r>
        <w:t xml:space="preserve">ied as critically important to improve </w:t>
      </w:r>
      <w:r w:rsidRPr="00D462E8">
        <w:t xml:space="preserve">the labour market situation for persons with disabilities in Ireland. </w:t>
      </w:r>
      <w:r>
        <w:t>The report ‘</w:t>
      </w:r>
      <w:r w:rsidRPr="0015725E">
        <w:rPr>
          <w:szCs w:val="26"/>
        </w:rPr>
        <w:t>Disability, Work and Inclusion in Ireland: Engaging and supporting employers</w:t>
      </w:r>
      <w:r>
        <w:rPr>
          <w:rStyle w:val="FootnoteReference"/>
          <w:szCs w:val="26"/>
        </w:rPr>
        <w:footnoteReference w:id="55"/>
      </w:r>
      <w:r>
        <w:rPr>
          <w:szCs w:val="26"/>
        </w:rPr>
        <w:t xml:space="preserve">’ </w:t>
      </w:r>
      <w:r>
        <w:t>shows that engaging employers is central to building a better world of work for persons with disabilities. The report stated</w:t>
      </w:r>
    </w:p>
    <w:p w14:paraId="6C78317B" w14:textId="77777777" w:rsidR="0005677B" w:rsidRPr="002A301B" w:rsidRDefault="0005677B" w:rsidP="0005677B">
      <w:pPr>
        <w:ind w:left="720"/>
        <w:rPr>
          <w:szCs w:val="26"/>
        </w:rPr>
      </w:pPr>
      <w:r>
        <w:t>‘Disability employment policy in Ireland has improved in the past decade but the reforms have not produced the desired results …</w:t>
      </w:r>
      <w:r>
        <w:rPr>
          <w:szCs w:val="26"/>
        </w:rPr>
        <w:t xml:space="preserve"> </w:t>
      </w:r>
      <w:r>
        <w:t xml:space="preserve">there is a considerable risk that the crisis will deteriorate the labour market situation for persons with disabilities further – as was the case after the Global Financial Crisis in 2008-09’. </w:t>
      </w:r>
    </w:p>
    <w:p w14:paraId="5A0F2B40" w14:textId="77777777" w:rsidR="0005677B" w:rsidRDefault="0005677B" w:rsidP="0005677B">
      <w:r>
        <w:t>In their research the OECD engaged with government officials and relevant statutory agencies, employer groups and persons with disabilities. The report found that:</w:t>
      </w:r>
    </w:p>
    <w:p w14:paraId="12FB21ED" w14:textId="77777777" w:rsidR="0005677B" w:rsidRDefault="0005677B" w:rsidP="00776272">
      <w:pPr>
        <w:pStyle w:val="ListParagraph"/>
        <w:numPr>
          <w:ilvl w:val="0"/>
          <w:numId w:val="15"/>
        </w:numPr>
        <w:spacing w:before="120"/>
        <w:ind w:left="360"/>
      </w:pPr>
      <w:r>
        <w:t>Persons with disabilities in Ireland tend to have lower levels of formal education, are under-represented in full-time employment and over-represented in involuntary part-time employment.  They are more vulnerable to job losses during a crisis. Being more exposed than the average worker to the risks from accelerated automation and slightly over-represented in the economic sectors hit hardest, they are also more vulnerable in the COVID-19 crisis</w:t>
      </w:r>
    </w:p>
    <w:p w14:paraId="4751353F" w14:textId="77777777" w:rsidR="0005677B" w:rsidRDefault="0005677B" w:rsidP="00776272">
      <w:pPr>
        <w:pStyle w:val="ListParagraph"/>
        <w:numPr>
          <w:ilvl w:val="0"/>
          <w:numId w:val="15"/>
        </w:numPr>
        <w:spacing w:before="120"/>
        <w:ind w:left="360"/>
      </w:pPr>
      <w:r>
        <w:t xml:space="preserve">Four out of ten working-age individuals with a disability in Ireland have only primary or lower secondary education, twice the rate of the rest of the Irish population. Lower levels of education, skills and adult learning participation act as a major impediment to the labour force participation of persons with disabilities in Ireland </w:t>
      </w:r>
    </w:p>
    <w:p w14:paraId="3B57BD4F" w14:textId="77777777" w:rsidR="00776272" w:rsidRDefault="0005677B" w:rsidP="00776272">
      <w:pPr>
        <w:pStyle w:val="ListParagraph"/>
        <w:numPr>
          <w:ilvl w:val="0"/>
          <w:numId w:val="15"/>
        </w:numPr>
        <w:spacing w:before="120"/>
        <w:ind w:left="360"/>
      </w:pPr>
      <w:r>
        <w:t>In 2018, over 10% of the Irish working-age population received one of the many disability payments, including many young adults. This is one of the highest shares in OECD countries, in part caused by the fragmentation and characteristics of the disability benefit system. Very few of those on disability payments in Ireland work, yet data indicate that a significant share of them would be able to take up work if the right incentives and support measures were in place</w:t>
      </w:r>
      <w:r>
        <w:rPr>
          <w:rStyle w:val="FootnoteReference"/>
        </w:rPr>
        <w:footnoteReference w:id="56"/>
      </w:r>
      <w:r>
        <w:t>.</w:t>
      </w:r>
    </w:p>
    <w:p w14:paraId="418E144F" w14:textId="1DA0C2A4" w:rsidR="0005677B" w:rsidRPr="00776272" w:rsidRDefault="0005677B" w:rsidP="00776272">
      <w:pPr>
        <w:spacing w:before="120"/>
      </w:pPr>
      <w:r w:rsidRPr="00776272">
        <w:t>The OECD report outlined a number of actions that the Irish system could introduce to better support employer engagement these will be explored in the commentary on strategy priority 6.</w:t>
      </w:r>
    </w:p>
    <w:p w14:paraId="02ADEC4D" w14:textId="4D6C3FF2" w:rsidR="0005677B" w:rsidRDefault="0005677B" w:rsidP="00E21D49">
      <w:pPr>
        <w:pStyle w:val="Heading2"/>
      </w:pPr>
      <w:bookmarkStart w:id="57" w:name="_Toc101857212"/>
      <w:r w:rsidRPr="0015725E">
        <w:t xml:space="preserve">Economic </w:t>
      </w:r>
      <w:r>
        <w:t xml:space="preserve">and </w:t>
      </w:r>
      <w:r w:rsidRPr="0015725E">
        <w:t xml:space="preserve">Social Research Institute </w:t>
      </w:r>
      <w:r>
        <w:t>(ESRI)</w:t>
      </w:r>
      <w:bookmarkEnd w:id="57"/>
    </w:p>
    <w:p w14:paraId="654EF207" w14:textId="2D6C2048" w:rsidR="0005677B" w:rsidRPr="00C37959" w:rsidRDefault="0005677B" w:rsidP="0005677B">
      <w:pPr>
        <w:pStyle w:val="NormalWeb"/>
        <w:spacing w:before="0" w:beforeAutospacing="0" w:after="360" w:afterAutospacing="0"/>
        <w:rPr>
          <w:rFonts w:ascii="Gill Sans MT" w:hAnsi="Gill Sans MT"/>
          <w:sz w:val="26"/>
          <w:szCs w:val="26"/>
        </w:rPr>
      </w:pPr>
      <w:r w:rsidRPr="00C37959">
        <w:rPr>
          <w:rFonts w:ascii="Gill Sans MT" w:hAnsi="Gill Sans MT"/>
          <w:sz w:val="26"/>
          <w:szCs w:val="26"/>
        </w:rPr>
        <w:t>The ESRI publication ‘Identification of skills gaps among persons with disabilities and their employment prospects’</w:t>
      </w:r>
      <w:r>
        <w:rPr>
          <w:rStyle w:val="FootnoteReference"/>
          <w:rFonts w:ascii="Gill Sans MT" w:hAnsi="Gill Sans MT"/>
          <w:sz w:val="26"/>
          <w:szCs w:val="26"/>
        </w:rPr>
        <w:footnoteReference w:id="57"/>
      </w:r>
      <w:r w:rsidRPr="00C37959">
        <w:rPr>
          <w:rFonts w:ascii="Gill Sans MT" w:hAnsi="Gill Sans MT"/>
          <w:sz w:val="26"/>
          <w:szCs w:val="26"/>
        </w:rPr>
        <w:t xml:space="preserve"> was published in 2021. This research was commissioned by the </w:t>
      </w:r>
      <w:r w:rsidR="000D23F5">
        <w:rPr>
          <w:rFonts w:ascii="Gill Sans MT" w:hAnsi="Gill Sans MT"/>
          <w:sz w:val="26"/>
          <w:szCs w:val="26"/>
        </w:rPr>
        <w:t>NDA</w:t>
      </w:r>
      <w:r w:rsidRPr="00C37959">
        <w:rPr>
          <w:rFonts w:ascii="Gill Sans MT" w:hAnsi="Gill Sans MT"/>
          <w:sz w:val="26"/>
          <w:szCs w:val="26"/>
        </w:rPr>
        <w:t xml:space="preserve">.  It examined the skills and educational qualifications and employment prospects of people with disabilities compared to those without, and how the situation had changed over time. The study found that among EU-28 countries Ireland had the fourth lowest employment rate among people with disabilities of working age in 2018 (36 per cent). In addition, employment rates among this group did not benefit from the economic recovery that took place after the Great Recession to the same extent as other workers. The report described the prevalence and type of disability relating to the Irish population. </w:t>
      </w:r>
      <w:r w:rsidR="000D23F5">
        <w:rPr>
          <w:rFonts w:ascii="Gill Sans MT" w:hAnsi="Gill Sans MT"/>
          <w:sz w:val="26"/>
          <w:szCs w:val="26"/>
        </w:rPr>
        <w:t>With regard to</w:t>
      </w:r>
      <w:r w:rsidRPr="00C37959">
        <w:rPr>
          <w:rFonts w:ascii="Gill Sans MT" w:hAnsi="Gill Sans MT"/>
          <w:sz w:val="26"/>
          <w:szCs w:val="26"/>
        </w:rPr>
        <w:t xml:space="preserve"> education and employment</w:t>
      </w:r>
      <w:r w:rsidR="000D23F5">
        <w:rPr>
          <w:rFonts w:ascii="Gill Sans MT" w:hAnsi="Gill Sans MT"/>
          <w:sz w:val="26"/>
          <w:szCs w:val="26"/>
        </w:rPr>
        <w:t xml:space="preserve"> the report found</w:t>
      </w:r>
      <w:r w:rsidRPr="00C37959">
        <w:rPr>
          <w:rFonts w:ascii="Gill Sans MT" w:hAnsi="Gill Sans MT"/>
          <w:sz w:val="26"/>
          <w:szCs w:val="26"/>
        </w:rPr>
        <w:t>:</w:t>
      </w:r>
    </w:p>
    <w:p w14:paraId="20A7EF42" w14:textId="77777777" w:rsidR="0005677B" w:rsidRPr="00C37959" w:rsidRDefault="0005677B" w:rsidP="0005677B">
      <w:pPr>
        <w:pStyle w:val="NormalWeb"/>
        <w:numPr>
          <w:ilvl w:val="0"/>
          <w:numId w:val="32"/>
        </w:numPr>
        <w:spacing w:before="0" w:beforeAutospacing="0" w:after="0" w:afterAutospacing="0"/>
        <w:rPr>
          <w:rFonts w:ascii="Gill Sans MT" w:hAnsi="Gill Sans MT"/>
          <w:sz w:val="26"/>
          <w:szCs w:val="26"/>
        </w:rPr>
      </w:pPr>
      <w:r w:rsidRPr="00C37959">
        <w:rPr>
          <w:rStyle w:val="Strong"/>
          <w:sz w:val="26"/>
          <w:szCs w:val="26"/>
        </w:rPr>
        <w:t>Disabilities and education</w:t>
      </w:r>
    </w:p>
    <w:p w14:paraId="659272FE" w14:textId="77777777" w:rsidR="0005677B" w:rsidRPr="00C37959" w:rsidRDefault="0005677B" w:rsidP="0005677B">
      <w:pPr>
        <w:pStyle w:val="NormalWeb"/>
        <w:spacing w:before="0" w:beforeAutospacing="0" w:after="0" w:afterAutospacing="0"/>
        <w:ind w:left="720"/>
        <w:rPr>
          <w:rFonts w:ascii="Gill Sans MT" w:hAnsi="Gill Sans MT"/>
          <w:sz w:val="26"/>
          <w:szCs w:val="26"/>
        </w:rPr>
      </w:pPr>
      <w:r w:rsidRPr="00C37959">
        <w:rPr>
          <w:rFonts w:ascii="Gill Sans MT" w:hAnsi="Gill Sans MT"/>
          <w:sz w:val="26"/>
          <w:szCs w:val="26"/>
        </w:rPr>
        <w:t>The data indicated that the percentage of people with a third-level education had increased over time, but the education gap between people with and without disabilities remains. The Census data for 2016 showed that 30 per cent of people of working age with disabilities had third-level education while it was 47 per cent for people without disabilities. Part of the reason for this discrepancy is due to the older age profile of people with disabilities, but the gap persists even when focusing on young people.</w:t>
      </w:r>
    </w:p>
    <w:p w14:paraId="3E526712" w14:textId="77777777" w:rsidR="0005677B" w:rsidRPr="00C37959" w:rsidRDefault="0005677B" w:rsidP="0005677B">
      <w:pPr>
        <w:pStyle w:val="NormalWeb"/>
        <w:numPr>
          <w:ilvl w:val="0"/>
          <w:numId w:val="32"/>
        </w:numPr>
        <w:spacing w:before="0" w:beforeAutospacing="0" w:after="0" w:afterAutospacing="0"/>
        <w:rPr>
          <w:rFonts w:ascii="Gill Sans MT" w:hAnsi="Gill Sans MT"/>
          <w:sz w:val="26"/>
          <w:szCs w:val="26"/>
        </w:rPr>
      </w:pPr>
      <w:r w:rsidRPr="00C37959">
        <w:rPr>
          <w:rStyle w:val="Strong"/>
          <w:sz w:val="26"/>
          <w:szCs w:val="26"/>
        </w:rPr>
        <w:t>Disabilities and employment</w:t>
      </w:r>
    </w:p>
    <w:p w14:paraId="12CD4ED4" w14:textId="79804668" w:rsidR="00884F61" w:rsidRPr="001702D5" w:rsidRDefault="0005677B" w:rsidP="001702D5">
      <w:pPr>
        <w:pStyle w:val="NormalWeb"/>
        <w:spacing w:before="0" w:beforeAutospacing="0" w:after="240" w:afterAutospacing="0"/>
        <w:ind w:left="720"/>
        <w:rPr>
          <w:rFonts w:ascii="Gill Sans MT" w:hAnsi="Gill Sans MT"/>
          <w:sz w:val="26"/>
          <w:szCs w:val="26"/>
        </w:rPr>
      </w:pPr>
      <w:r w:rsidRPr="00C37959">
        <w:rPr>
          <w:rFonts w:ascii="Gill Sans MT" w:hAnsi="Gill Sans MT"/>
          <w:sz w:val="26"/>
          <w:szCs w:val="26"/>
        </w:rPr>
        <w:t>In 2016, only a third of the working age people with disabilities indicated that their main economic status was employment. This compared with two-thirds of those without disabilities. There was considerable variation in the percentages in employment by disability type. In particular, only 15 per cent of individuals with an ‘’intellectual disability were employed in 2016, compared to 46 per cent of people that reported having ‘deafness or a serious hearing impairment’ and 34 per cent for those with ‘blindness o</w:t>
      </w:r>
      <w:r>
        <w:rPr>
          <w:rFonts w:ascii="Gill Sans MT" w:hAnsi="Gill Sans MT"/>
          <w:sz w:val="26"/>
          <w:szCs w:val="26"/>
        </w:rPr>
        <w:t>r a serious vision impairment’.</w:t>
      </w:r>
    </w:p>
    <w:p w14:paraId="5E09A80E" w14:textId="77777777" w:rsidR="008E0CD5" w:rsidRDefault="008E0CD5" w:rsidP="002E6484">
      <w:pPr>
        <w:pStyle w:val="Heading1"/>
        <w:pBdr>
          <w:top w:val="single" w:sz="4" w:space="17" w:color="auto"/>
        </w:pBdr>
      </w:pPr>
      <w:bookmarkStart w:id="58" w:name="_Toc101857213"/>
      <w:r>
        <w:t>Conclusion</w:t>
      </w:r>
      <w:bookmarkEnd w:id="58"/>
    </w:p>
    <w:p w14:paraId="33811A9F" w14:textId="77777777" w:rsidR="0068614A" w:rsidRPr="0068614A" w:rsidRDefault="008E0CD5" w:rsidP="008E0CD5">
      <w:pPr>
        <w:ind w:right="1"/>
        <w:rPr>
          <w:szCs w:val="26"/>
        </w:rPr>
      </w:pPr>
      <w:r w:rsidRPr="0068614A">
        <w:rPr>
          <w:szCs w:val="26"/>
        </w:rPr>
        <w:t xml:space="preserve">This paper serves to assess some areas of progress in relation to the goals of the CES during 2021, and to highlight key areas that require further action in order to achieve the aims of the Strategy. </w:t>
      </w:r>
    </w:p>
    <w:p w14:paraId="7AE71C87" w14:textId="77777777" w:rsidR="0068614A" w:rsidRPr="0068614A" w:rsidRDefault="003C2C4C" w:rsidP="00B73186">
      <w:r>
        <w:t>The NDA advises</w:t>
      </w:r>
      <w:r w:rsidR="0068614A" w:rsidRPr="0068614A">
        <w:t xml:space="preserve"> that:</w:t>
      </w:r>
    </w:p>
    <w:p w14:paraId="0F3E4DEC" w14:textId="77777777" w:rsidR="0068614A" w:rsidRPr="0068614A" w:rsidRDefault="0068614A" w:rsidP="00B73186">
      <w:pPr>
        <w:pStyle w:val="ListBullet"/>
      </w:pPr>
      <w:r w:rsidRPr="00291452">
        <w:rPr>
          <w:bCs/>
          <w:iCs/>
        </w:rPr>
        <w:t>Educational attainment remains a key factor. While improvements in</w:t>
      </w:r>
      <w:r w:rsidRPr="0068614A">
        <w:t xml:space="preserve"> access to further education and training and higher education have occurred, </w:t>
      </w:r>
      <w:r w:rsidR="003C2C4C">
        <w:t>further</w:t>
      </w:r>
      <w:r w:rsidR="003C2C4C" w:rsidRPr="0068614A">
        <w:t xml:space="preserve"> </w:t>
      </w:r>
      <w:r w:rsidRPr="0068614A">
        <w:t>data on course completion is necessary</w:t>
      </w:r>
      <w:r w:rsidR="003C2C4C">
        <w:t xml:space="preserve"> in order to understand the impact of these developments.</w:t>
      </w:r>
      <w:r w:rsidRPr="0068614A">
        <w:t xml:space="preserve"> </w:t>
      </w:r>
    </w:p>
    <w:p w14:paraId="64401958" w14:textId="77777777" w:rsidR="0068614A" w:rsidRPr="0068614A" w:rsidRDefault="0068614A" w:rsidP="0068614A">
      <w:pPr>
        <w:pStyle w:val="ListParagraph"/>
        <w:numPr>
          <w:ilvl w:val="0"/>
          <w:numId w:val="19"/>
        </w:numPr>
        <w:rPr>
          <w:szCs w:val="26"/>
        </w:rPr>
      </w:pPr>
      <w:r w:rsidRPr="0068614A">
        <w:rPr>
          <w:szCs w:val="26"/>
        </w:rPr>
        <w:t>Progression into employment from education and training requires additional support. A clear pathway aligning supports with individuals is not currently available</w:t>
      </w:r>
      <w:r w:rsidR="003C2C4C">
        <w:rPr>
          <w:szCs w:val="26"/>
        </w:rPr>
        <w:t>, and work underway in relation to transitions will be of significant importance in this space.</w:t>
      </w:r>
    </w:p>
    <w:p w14:paraId="0A19312B" w14:textId="2EFE3A95" w:rsidR="0068614A" w:rsidRPr="0068614A" w:rsidRDefault="0068614A" w:rsidP="0068614A">
      <w:pPr>
        <w:pStyle w:val="ListParagraph"/>
        <w:numPr>
          <w:ilvl w:val="0"/>
          <w:numId w:val="19"/>
        </w:numPr>
        <w:rPr>
          <w:szCs w:val="26"/>
        </w:rPr>
      </w:pPr>
      <w:r w:rsidRPr="0068614A">
        <w:rPr>
          <w:szCs w:val="26"/>
        </w:rPr>
        <w:t>Options such as supported employment, internships and apprenticeships remain underdeveloped entry routes to employment for many people with disabilities</w:t>
      </w:r>
      <w:r w:rsidR="006116F2">
        <w:rPr>
          <w:szCs w:val="26"/>
        </w:rPr>
        <w:t xml:space="preserve"> and require more focused efforts</w:t>
      </w:r>
      <w:r w:rsidR="003C2C4C">
        <w:rPr>
          <w:szCs w:val="26"/>
        </w:rPr>
        <w:t>.</w:t>
      </w:r>
    </w:p>
    <w:p w14:paraId="037FFD31" w14:textId="13DFC329" w:rsidR="0068614A" w:rsidRPr="0068614A" w:rsidRDefault="0068614A" w:rsidP="0068614A">
      <w:pPr>
        <w:pStyle w:val="ListParagraph"/>
        <w:numPr>
          <w:ilvl w:val="0"/>
          <w:numId w:val="19"/>
        </w:numPr>
        <w:rPr>
          <w:szCs w:val="26"/>
        </w:rPr>
      </w:pPr>
      <w:r w:rsidRPr="0068614A">
        <w:rPr>
          <w:szCs w:val="26"/>
        </w:rPr>
        <w:t>Poverty and lower incomes will continue to limit the opportunities available to persons with disabilities</w:t>
      </w:r>
      <w:r w:rsidR="006116F2">
        <w:rPr>
          <w:szCs w:val="26"/>
        </w:rPr>
        <w:t xml:space="preserve"> unless addressed</w:t>
      </w:r>
      <w:r w:rsidR="003C2C4C">
        <w:rPr>
          <w:szCs w:val="26"/>
        </w:rPr>
        <w:t>.</w:t>
      </w:r>
    </w:p>
    <w:p w14:paraId="6020E79D" w14:textId="77777777" w:rsidR="0068614A" w:rsidRPr="0068614A" w:rsidRDefault="0068614A" w:rsidP="0068614A">
      <w:pPr>
        <w:pStyle w:val="ListParagraph"/>
        <w:numPr>
          <w:ilvl w:val="0"/>
          <w:numId w:val="19"/>
        </w:numPr>
        <w:rPr>
          <w:szCs w:val="26"/>
        </w:rPr>
      </w:pPr>
      <w:r w:rsidRPr="0068614A">
        <w:rPr>
          <w:szCs w:val="26"/>
        </w:rPr>
        <w:t>Employers seeking to recruit or retain staff with disabilities require access to a support process that includes easy to use, timely and streamlined reasonable accommodations and information.</w:t>
      </w:r>
    </w:p>
    <w:p w14:paraId="69624F52" w14:textId="77777777" w:rsidR="0068614A" w:rsidRDefault="0068614A" w:rsidP="008E0CD5">
      <w:pPr>
        <w:ind w:right="1"/>
        <w:rPr>
          <w:szCs w:val="26"/>
        </w:rPr>
      </w:pPr>
    </w:p>
    <w:p w14:paraId="7B89DC18" w14:textId="77777777" w:rsidR="008E0CD5" w:rsidRPr="008E0CD5" w:rsidRDefault="008E0CD5" w:rsidP="008E0CD5">
      <w:pPr>
        <w:ind w:right="1"/>
        <w:rPr>
          <w:rFonts w:cs="Calibri"/>
          <w:szCs w:val="26"/>
        </w:rPr>
      </w:pPr>
      <w:r w:rsidRPr="008E0CD5">
        <w:rPr>
          <w:szCs w:val="26"/>
        </w:rPr>
        <w:t>The NDA advises that priority areas for consideration in the development of the 2022 to 2024 Action Plan include the following:</w:t>
      </w:r>
    </w:p>
    <w:p w14:paraId="72CD86B7" w14:textId="77777777" w:rsidR="008E0CD5" w:rsidRPr="008E0CD5" w:rsidRDefault="008E0CD5" w:rsidP="008E0CD5">
      <w:pPr>
        <w:numPr>
          <w:ilvl w:val="0"/>
          <w:numId w:val="28"/>
        </w:numPr>
        <w:contextualSpacing/>
        <w:rPr>
          <w:rFonts w:cs="Calibri"/>
          <w:szCs w:val="26"/>
        </w:rPr>
      </w:pPr>
      <w:r w:rsidRPr="008E0CD5">
        <w:rPr>
          <w:szCs w:val="26"/>
        </w:rPr>
        <w:t>Develop a return to work approach for people with (acquired) disabilities who have employment connection and require support via a vocational rehabilitation process</w:t>
      </w:r>
    </w:p>
    <w:p w14:paraId="51B62060" w14:textId="77777777" w:rsidR="008E0CD5" w:rsidRPr="005A0CB5" w:rsidRDefault="008E0CD5" w:rsidP="008E0CD5">
      <w:pPr>
        <w:numPr>
          <w:ilvl w:val="0"/>
          <w:numId w:val="28"/>
        </w:numPr>
        <w:contextualSpacing/>
        <w:rPr>
          <w:rFonts w:cs="Calibri"/>
          <w:szCs w:val="26"/>
        </w:rPr>
      </w:pPr>
      <w:r w:rsidRPr="008E0CD5">
        <w:rPr>
          <w:szCs w:val="26"/>
        </w:rPr>
        <w:t>Utilise the Pathways to Work strategy to ensure the OECD recommendations on emp</w:t>
      </w:r>
      <w:r w:rsidR="005A0CB5">
        <w:rPr>
          <w:szCs w:val="26"/>
        </w:rPr>
        <w:t>loyer engagement are implement</w:t>
      </w:r>
      <w:r w:rsidR="00552CA2">
        <w:rPr>
          <w:szCs w:val="26"/>
        </w:rPr>
        <w:t xml:space="preserve">ed </w:t>
      </w:r>
    </w:p>
    <w:p w14:paraId="5304F37E" w14:textId="77777777" w:rsidR="008E0CD5" w:rsidRPr="008E0CD5" w:rsidRDefault="008E0CD5" w:rsidP="008E0CD5">
      <w:pPr>
        <w:numPr>
          <w:ilvl w:val="0"/>
          <w:numId w:val="28"/>
        </w:numPr>
        <w:contextualSpacing/>
        <w:rPr>
          <w:rFonts w:cs="Calibri"/>
          <w:szCs w:val="26"/>
        </w:rPr>
      </w:pPr>
      <w:r w:rsidRPr="008E0CD5">
        <w:rPr>
          <w:rFonts w:cs="Calibri"/>
          <w:szCs w:val="26"/>
        </w:rPr>
        <w:t>Support actions relating to transition planning across the strategy</w:t>
      </w:r>
    </w:p>
    <w:p w14:paraId="7FFE02D5" w14:textId="77777777" w:rsidR="008E0CD5" w:rsidRPr="008E0CD5" w:rsidRDefault="0068614A" w:rsidP="008E0CD5">
      <w:pPr>
        <w:numPr>
          <w:ilvl w:val="0"/>
          <w:numId w:val="28"/>
        </w:numPr>
        <w:contextualSpacing/>
        <w:rPr>
          <w:rFonts w:cs="Calibri"/>
          <w:szCs w:val="26"/>
        </w:rPr>
      </w:pPr>
      <w:r>
        <w:rPr>
          <w:rFonts w:cs="Calibri"/>
          <w:szCs w:val="26"/>
        </w:rPr>
        <w:t>Address</w:t>
      </w:r>
      <w:r w:rsidR="008E0CD5" w:rsidRPr="008E0CD5">
        <w:rPr>
          <w:rFonts w:cs="Calibri"/>
          <w:szCs w:val="26"/>
        </w:rPr>
        <w:t xml:space="preserve"> the lack of progress on the provision of Career Guidance for learners with disabilities in special and mainstream school settings</w:t>
      </w:r>
    </w:p>
    <w:p w14:paraId="4EBFB252" w14:textId="77777777" w:rsidR="008E0CD5" w:rsidRPr="008E0CD5" w:rsidRDefault="0068614A" w:rsidP="008E0CD5">
      <w:pPr>
        <w:numPr>
          <w:ilvl w:val="0"/>
          <w:numId w:val="28"/>
        </w:numPr>
        <w:contextualSpacing/>
        <w:rPr>
          <w:rFonts w:cs="Calibri"/>
          <w:szCs w:val="26"/>
        </w:rPr>
      </w:pPr>
      <w:r>
        <w:rPr>
          <w:rFonts w:cs="Calibri"/>
          <w:szCs w:val="26"/>
        </w:rPr>
        <w:t>Address</w:t>
      </w:r>
      <w:r w:rsidR="008E0CD5" w:rsidRPr="008E0CD5">
        <w:rPr>
          <w:rFonts w:cs="Calibri"/>
          <w:szCs w:val="26"/>
        </w:rPr>
        <w:t xml:space="preserve"> implementation of the agreed policy under CES action 5.1 </w:t>
      </w:r>
    </w:p>
    <w:p w14:paraId="2B28C0E4" w14:textId="2580BE8D" w:rsidR="008E0CD5" w:rsidRDefault="0068614A" w:rsidP="00FA7C64">
      <w:pPr>
        <w:numPr>
          <w:ilvl w:val="0"/>
          <w:numId w:val="28"/>
        </w:numPr>
        <w:spacing w:after="0"/>
        <w:contextualSpacing/>
        <w:rPr>
          <w:szCs w:val="26"/>
        </w:rPr>
      </w:pPr>
      <w:r>
        <w:rPr>
          <w:szCs w:val="26"/>
        </w:rPr>
        <w:t>Extract</w:t>
      </w:r>
      <w:r w:rsidR="008E0CD5" w:rsidRPr="008E0CD5">
        <w:rPr>
          <w:szCs w:val="26"/>
        </w:rPr>
        <w:t xml:space="preserve"> learning from </w:t>
      </w:r>
      <w:r>
        <w:rPr>
          <w:szCs w:val="26"/>
        </w:rPr>
        <w:t>the Ability Projects and share</w:t>
      </w:r>
      <w:r w:rsidR="008E0CD5" w:rsidRPr="008E0CD5">
        <w:rPr>
          <w:szCs w:val="26"/>
        </w:rPr>
        <w:t xml:space="preserve"> that information across the system, therefore ensuring that the learning from these projects is mainstreamed </w:t>
      </w:r>
    </w:p>
    <w:p w14:paraId="4F19495F" w14:textId="77777777" w:rsidR="000E2EEF" w:rsidRPr="008E0CD5" w:rsidRDefault="000E2EEF" w:rsidP="000E2EEF">
      <w:pPr>
        <w:numPr>
          <w:ilvl w:val="0"/>
          <w:numId w:val="28"/>
        </w:numPr>
        <w:contextualSpacing/>
        <w:rPr>
          <w:szCs w:val="26"/>
        </w:rPr>
      </w:pPr>
      <w:r>
        <w:rPr>
          <w:szCs w:val="26"/>
        </w:rPr>
        <w:t>Give further consideration to the issues raised in the Cost of Disability review, ensuring that any responses developed take a system wide approach</w:t>
      </w:r>
    </w:p>
    <w:p w14:paraId="2E0A8BDF" w14:textId="0AC00E32" w:rsidR="008E0CD5" w:rsidRPr="000E2EEF" w:rsidRDefault="000E2EEF" w:rsidP="000E2EEF">
      <w:pPr>
        <w:numPr>
          <w:ilvl w:val="0"/>
          <w:numId w:val="28"/>
        </w:numPr>
        <w:spacing w:after="0"/>
        <w:contextualSpacing/>
        <w:rPr>
          <w:szCs w:val="26"/>
        </w:rPr>
      </w:pPr>
      <w:r>
        <w:rPr>
          <w:rFonts w:cs="Calibri"/>
          <w:szCs w:val="26"/>
        </w:rPr>
        <w:t>Implemen</w:t>
      </w:r>
      <w:r w:rsidR="008E0CD5" w:rsidRPr="000E2EEF">
        <w:rPr>
          <w:rFonts w:cs="Calibri"/>
          <w:szCs w:val="26"/>
        </w:rPr>
        <w:t xml:space="preserve">t the </w:t>
      </w:r>
      <w:r w:rsidR="008E0CD5" w:rsidRPr="000E2EEF">
        <w:rPr>
          <w:szCs w:val="26"/>
        </w:rPr>
        <w:t>DSP early engagement process</w:t>
      </w:r>
      <w:r w:rsidR="00FA7C64" w:rsidRPr="000E2EEF">
        <w:rPr>
          <w:szCs w:val="26"/>
        </w:rPr>
        <w:t>, which is key route to employment for young people with disabilities</w:t>
      </w:r>
      <w:r w:rsidR="008E0CD5" w:rsidRPr="000E2EEF">
        <w:rPr>
          <w:szCs w:val="26"/>
        </w:rPr>
        <w:t xml:space="preserve"> </w:t>
      </w:r>
    </w:p>
    <w:p w14:paraId="65A4C546" w14:textId="77777777" w:rsidR="00552CA2" w:rsidRPr="0041539A" w:rsidRDefault="00E17291" w:rsidP="0041539A">
      <w:pPr>
        <w:numPr>
          <w:ilvl w:val="0"/>
          <w:numId w:val="28"/>
        </w:numPr>
        <w:ind w:left="714" w:hanging="357"/>
        <w:contextualSpacing/>
        <w:rPr>
          <w:szCs w:val="26"/>
        </w:rPr>
      </w:pPr>
      <w:r>
        <w:rPr>
          <w:rFonts w:cs="Calibri"/>
          <w:szCs w:val="26"/>
        </w:rPr>
        <w:t>Put</w:t>
      </w:r>
      <w:r w:rsidR="008E0CD5" w:rsidRPr="008E0CD5">
        <w:rPr>
          <w:rFonts w:cs="Calibri"/>
          <w:szCs w:val="26"/>
        </w:rPr>
        <w:t xml:space="preserve"> in place actionable measures to achieve the increased target of 6% of persons employed in the public service by the agreed date of 2024</w:t>
      </w:r>
    </w:p>
    <w:p w14:paraId="7D30F168" w14:textId="77777777" w:rsidR="0041539A" w:rsidRDefault="0041539A" w:rsidP="0041539A">
      <w:pPr>
        <w:spacing w:before="240"/>
        <w:contextualSpacing/>
      </w:pPr>
    </w:p>
    <w:p w14:paraId="59AA20F6" w14:textId="77777777" w:rsidR="00803FAE" w:rsidRDefault="00FA7C64" w:rsidP="0041539A">
      <w:pPr>
        <w:spacing w:before="240"/>
        <w:contextualSpacing/>
        <w:rPr>
          <w:szCs w:val="26"/>
        </w:rPr>
      </w:pPr>
      <w:r>
        <w:t>As noted by</w:t>
      </w:r>
      <w:r w:rsidRPr="002E6484">
        <w:t xml:space="preserve"> the OECD </w:t>
      </w:r>
      <w:r w:rsidR="00552CA2">
        <w:t xml:space="preserve">in their 2021 report, </w:t>
      </w:r>
      <w:r w:rsidRPr="002E6484">
        <w:t>Ireland</w:t>
      </w:r>
      <w:r>
        <w:t>’</w:t>
      </w:r>
      <w:r w:rsidRPr="002E6484">
        <w:t xml:space="preserve">s employer engagement structure is underdeveloped. During the next </w:t>
      </w:r>
      <w:r>
        <w:t xml:space="preserve">CES action plan phase 2022 to 2024, </w:t>
      </w:r>
      <w:r w:rsidRPr="002E6484">
        <w:t xml:space="preserve">further effort is required to improve </w:t>
      </w:r>
      <w:r>
        <w:t xml:space="preserve">employer </w:t>
      </w:r>
      <w:r w:rsidRPr="002E6484">
        <w:t>structures ‘with respect to information and supports for the employment of persons with disabilities’. In that regard it will be important for the</w:t>
      </w:r>
      <w:r w:rsidR="003B1EC4">
        <w:t xml:space="preserve"> DSP</w:t>
      </w:r>
      <w:r w:rsidRPr="002E6484">
        <w:t xml:space="preserve"> review of the reasonable accommodation fund</w:t>
      </w:r>
      <w:r w:rsidR="003B1EC4">
        <w:t xml:space="preserve"> currently underway</w:t>
      </w:r>
      <w:r w:rsidRPr="002E6484">
        <w:t xml:space="preserve"> </w:t>
      </w:r>
      <w:r>
        <w:t xml:space="preserve">to </w:t>
      </w:r>
      <w:r w:rsidRPr="002E6484">
        <w:t xml:space="preserve">be published </w:t>
      </w:r>
      <w:r w:rsidR="003B1EC4">
        <w:t xml:space="preserve">at the earliest opportunity </w:t>
      </w:r>
      <w:r w:rsidRPr="002E6484">
        <w:t xml:space="preserve">and </w:t>
      </w:r>
      <w:r w:rsidR="003B1EC4">
        <w:t>for any</w:t>
      </w:r>
      <w:r w:rsidR="00803FAE">
        <w:t xml:space="preserve"> new grant scheme </w:t>
      </w:r>
      <w:r w:rsidR="003B1EC4">
        <w:t>developed to be</w:t>
      </w:r>
      <w:r w:rsidR="003B1EC4" w:rsidRPr="002E6484">
        <w:t xml:space="preserve"> </w:t>
      </w:r>
      <w:r w:rsidRPr="002E6484">
        <w:t xml:space="preserve">accessible </w:t>
      </w:r>
      <w:r>
        <w:t xml:space="preserve">and easy to use </w:t>
      </w:r>
      <w:r w:rsidRPr="002E6484">
        <w:t>for employers wishing to recruit and or maintain staff with disabilities.</w:t>
      </w:r>
    </w:p>
    <w:p w14:paraId="6EBF52B5" w14:textId="77777777" w:rsidR="0041539A" w:rsidRDefault="0041539A" w:rsidP="0041539A">
      <w:pPr>
        <w:spacing w:before="240"/>
        <w:contextualSpacing/>
        <w:rPr>
          <w:szCs w:val="26"/>
        </w:rPr>
      </w:pPr>
    </w:p>
    <w:p w14:paraId="3CD4E5B0" w14:textId="1748A936" w:rsidR="008E0CD5" w:rsidRPr="008E0CD5" w:rsidRDefault="008E0CD5" w:rsidP="008E0CD5">
      <w:pPr>
        <w:rPr>
          <w:szCs w:val="26"/>
        </w:rPr>
      </w:pPr>
      <w:r w:rsidRPr="008E0CD5">
        <w:rPr>
          <w:szCs w:val="26"/>
        </w:rPr>
        <w:t>In addition a unified communications strategy is necessary across the system; one that informs persons with disabilities about changes to the system introduced through CES activity</w:t>
      </w:r>
      <w:r w:rsidR="003B1EC4">
        <w:rPr>
          <w:szCs w:val="26"/>
        </w:rPr>
        <w:t xml:space="preserve"> so that the interplay with employment goals can be readily underst</w:t>
      </w:r>
      <w:r w:rsidR="006116F2">
        <w:rPr>
          <w:szCs w:val="26"/>
        </w:rPr>
        <w:t>ood</w:t>
      </w:r>
      <w:r w:rsidRPr="008E0CD5">
        <w:rPr>
          <w:szCs w:val="26"/>
        </w:rPr>
        <w:t xml:space="preserve">. </w:t>
      </w:r>
    </w:p>
    <w:p w14:paraId="4E7C5532" w14:textId="77777777" w:rsidR="008E0CD5" w:rsidRDefault="008E0CD5" w:rsidP="008E0CD5">
      <w:pPr>
        <w:ind w:right="1"/>
        <w:rPr>
          <w:szCs w:val="26"/>
        </w:rPr>
      </w:pPr>
      <w:r w:rsidRPr="008E0CD5">
        <w:rPr>
          <w:szCs w:val="26"/>
        </w:rPr>
        <w:t xml:space="preserve">Finally it is important that persons with disabilities can </w:t>
      </w:r>
      <w:r w:rsidR="003B1EC4">
        <w:rPr>
          <w:szCs w:val="26"/>
        </w:rPr>
        <w:t>participate in</w:t>
      </w:r>
      <w:r w:rsidRPr="008E0CD5">
        <w:rPr>
          <w:szCs w:val="26"/>
        </w:rPr>
        <w:t xml:space="preserve"> relation to any developments being planned or implemented on issues relevant to their lives and in the measures across government to ‘build back better’, post COVID-19. In this regard, the NDA advises the importance of meaningful engagement with persons with disabilities, including through their representative bodies, as activity is progressed.</w:t>
      </w:r>
    </w:p>
    <w:p w14:paraId="12DD4B37" w14:textId="5BDA1FC1" w:rsidR="00803FAE" w:rsidRDefault="00803FAE" w:rsidP="00803FAE">
      <w:pPr>
        <w:spacing w:after="0"/>
        <w:rPr>
          <w:szCs w:val="26"/>
        </w:rPr>
      </w:pPr>
    </w:p>
    <w:p w14:paraId="5A01293F" w14:textId="77777777" w:rsidR="001702D5" w:rsidRPr="00803FAE" w:rsidRDefault="001702D5" w:rsidP="00803FAE">
      <w:pPr>
        <w:spacing w:after="0"/>
        <w:rPr>
          <w:szCs w:val="26"/>
        </w:rPr>
      </w:pPr>
    </w:p>
    <w:sectPr w:rsidR="001702D5" w:rsidRPr="00803FAE" w:rsidSect="00F71089">
      <w:footerReference w:type="default" r:id="rId12"/>
      <w:footerReference w:type="first" r:id="rId13"/>
      <w:pgSz w:w="12240" w:h="15840"/>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87EF5" w14:textId="77777777" w:rsidR="00452EE2" w:rsidRDefault="00452EE2">
      <w:r>
        <w:separator/>
      </w:r>
    </w:p>
  </w:endnote>
  <w:endnote w:type="continuationSeparator" w:id="0">
    <w:p w14:paraId="7F3310DA" w14:textId="77777777" w:rsidR="00452EE2" w:rsidRDefault="00452EE2">
      <w:r>
        <w:continuationSeparator/>
      </w:r>
    </w:p>
  </w:endnote>
  <w:endnote w:id="1">
    <w:p w14:paraId="75DA8398" w14:textId="29D00F9C" w:rsidR="00452EE2" w:rsidRDefault="00452EE2" w:rsidP="007677B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Semibold">
    <w:altName w:val="MS Gothic"/>
    <w:panose1 w:val="00000000000000000000"/>
    <w:charset w:val="80"/>
    <w:family w:val="auto"/>
    <w:notTrueType/>
    <w:pitch w:val="default"/>
    <w:sig w:usb0="00000001" w:usb1="08070000" w:usb2="00000010" w:usb3="00000000" w:csb0="00020000" w:csb1="00000000"/>
  </w:font>
  <w:font w:name="Lato-SemiboldItalic">
    <w:panose1 w:val="00000000000000000000"/>
    <w:charset w:val="00"/>
    <w:family w:val="auto"/>
    <w:notTrueType/>
    <w:pitch w:val="default"/>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MT">
    <w:panose1 w:val="00000000000000000000"/>
    <w:charset w:val="00"/>
    <w:family w:val="swiss"/>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0000000000000000000"/>
    <w:charset w:val="00"/>
    <w:family w:val="swiss"/>
    <w:notTrueType/>
    <w:pitch w:val="default"/>
    <w:sig w:usb0="00000003" w:usb1="00000000" w:usb2="00000000" w:usb3="00000000" w:csb0="00000001" w:csb1="00000000"/>
  </w:font>
  <w:font w:name="Lat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911691"/>
      <w:docPartObj>
        <w:docPartGallery w:val="Page Numbers (Bottom of Page)"/>
        <w:docPartUnique/>
      </w:docPartObj>
    </w:sdtPr>
    <w:sdtEndPr>
      <w:rPr>
        <w:noProof/>
      </w:rPr>
    </w:sdtEndPr>
    <w:sdtContent>
      <w:p w14:paraId="40DAB1D3" w14:textId="7783DEC2" w:rsidR="00981C12" w:rsidRDefault="00981C12">
        <w:pPr>
          <w:pStyle w:val="Footer"/>
          <w:jc w:val="right"/>
        </w:pPr>
        <w:r>
          <w:fldChar w:fldCharType="begin"/>
        </w:r>
        <w:r>
          <w:instrText xml:space="preserve"> PAGE   \* MERGEFORMAT </w:instrText>
        </w:r>
        <w:r>
          <w:fldChar w:fldCharType="separate"/>
        </w:r>
        <w:r w:rsidR="00C9729D">
          <w:rPr>
            <w:noProof/>
          </w:rPr>
          <w:t>1</w:t>
        </w:r>
        <w:r>
          <w:rPr>
            <w:noProof/>
          </w:rPr>
          <w:fldChar w:fldCharType="end"/>
        </w:r>
      </w:p>
    </w:sdtContent>
  </w:sdt>
  <w:p w14:paraId="08C1C5BE" w14:textId="18098908" w:rsidR="00452EE2" w:rsidRDefault="00452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865559"/>
      <w:docPartObj>
        <w:docPartGallery w:val="Page Numbers (Bottom of Page)"/>
        <w:docPartUnique/>
      </w:docPartObj>
    </w:sdtPr>
    <w:sdtEndPr>
      <w:rPr>
        <w:noProof/>
      </w:rPr>
    </w:sdtEndPr>
    <w:sdtContent>
      <w:p w14:paraId="351B4EDA" w14:textId="6B928FC1" w:rsidR="00F71089" w:rsidRDefault="00F710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F3F011" w14:textId="77777777" w:rsidR="00452EE2" w:rsidRDefault="0045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2EA3" w14:textId="77777777" w:rsidR="00452EE2" w:rsidRDefault="00452EE2">
      <w:r>
        <w:separator/>
      </w:r>
    </w:p>
  </w:footnote>
  <w:footnote w:type="continuationSeparator" w:id="0">
    <w:p w14:paraId="7626D3D0" w14:textId="77777777" w:rsidR="00452EE2" w:rsidRDefault="00452EE2">
      <w:r>
        <w:continuationSeparator/>
      </w:r>
    </w:p>
  </w:footnote>
  <w:footnote w:id="1">
    <w:p w14:paraId="08B45296" w14:textId="6ED51B7C" w:rsidR="00452EE2" w:rsidRDefault="00452EE2">
      <w:pPr>
        <w:pStyle w:val="FootnoteText"/>
      </w:pPr>
      <w:r>
        <w:rPr>
          <w:rStyle w:val="FootnoteReference"/>
        </w:rPr>
        <w:footnoteRef/>
      </w:r>
      <w:r>
        <w:t xml:space="preserve"> </w:t>
      </w:r>
      <w:r w:rsidRPr="00960135">
        <w:t>https://nda.ie/publications/employment/employment-publications/disability-work-and-inclusion-in-ireland-engaging-and-supporting-employers.html</w:t>
      </w:r>
    </w:p>
  </w:footnote>
  <w:footnote w:id="2">
    <w:p w14:paraId="5315D43D" w14:textId="77777777" w:rsidR="00452EE2" w:rsidRDefault="00452EE2">
      <w:pPr>
        <w:pStyle w:val="FootnoteText"/>
      </w:pPr>
      <w:r>
        <w:rPr>
          <w:rStyle w:val="FootnoteReference"/>
        </w:rPr>
        <w:footnoteRef/>
      </w:r>
      <w:r>
        <w:t xml:space="preserve"> </w:t>
      </w:r>
      <w:r w:rsidRPr="00DD62CF">
        <w:rPr>
          <w:szCs w:val="22"/>
        </w:rPr>
        <w:t>I</w:t>
      </w:r>
      <w:r w:rsidRPr="00DD62CF">
        <w:rPr>
          <w:szCs w:val="22"/>
          <w:shd w:val="clear" w:color="auto" w:fill="FFFFFF"/>
        </w:rPr>
        <w:t>reland’s largest lobby &amp; business representative group</w:t>
      </w:r>
    </w:p>
  </w:footnote>
  <w:footnote w:id="3">
    <w:p w14:paraId="077C0334" w14:textId="77777777" w:rsidR="00452EE2" w:rsidRDefault="00452EE2">
      <w:pPr>
        <w:pStyle w:val="FootnoteText"/>
      </w:pPr>
      <w:r>
        <w:rPr>
          <w:rStyle w:val="FootnoteReference"/>
        </w:rPr>
        <w:footnoteRef/>
      </w:r>
      <w:r>
        <w:t xml:space="preserve"> AsIAm is the national Autism charity </w:t>
      </w:r>
      <w:r w:rsidRPr="0075449D">
        <w:t>https://www.irishjobs.ie/recruiters/wp-content/uploads/2021/03/Autism-in-the-Workplace-Report-AsIAm-IrishJobs-April-2021_FINAL.pdf</w:t>
      </w:r>
    </w:p>
  </w:footnote>
  <w:footnote w:id="4">
    <w:p w14:paraId="3B93899A" w14:textId="77777777" w:rsidR="00452EE2" w:rsidRDefault="00452EE2" w:rsidP="00A10832">
      <w:pPr>
        <w:pStyle w:val="FootnoteText"/>
      </w:pPr>
      <w:r>
        <w:rPr>
          <w:rStyle w:val="FootnoteReference"/>
        </w:rPr>
        <w:footnoteRef/>
      </w:r>
      <w:r>
        <w:t xml:space="preserve"> </w:t>
      </w:r>
      <w:r w:rsidRPr="0075449D">
        <w:t>https://www.irishjobs.ie/recruiters/wp-content/uploads/2021/03/Autism-in-the-Workplace-Report-AsIAm-IrishJobs-April-2021_FINAL.pdf</w:t>
      </w:r>
    </w:p>
  </w:footnote>
  <w:footnote w:id="5">
    <w:p w14:paraId="2612BD20" w14:textId="77777777" w:rsidR="00452EE2" w:rsidRDefault="00452EE2">
      <w:pPr>
        <w:pStyle w:val="FootnoteText"/>
      </w:pPr>
      <w:r>
        <w:rPr>
          <w:rStyle w:val="FootnoteReference"/>
        </w:rPr>
        <w:footnoteRef/>
      </w:r>
      <w:r w:rsidRPr="00F3581D">
        <w:t>https://www.employersforchange.ie/userfiles/files/EFC%20Remote%20Working%20Report%202021_WebFinal.pdf</w:t>
      </w:r>
    </w:p>
  </w:footnote>
  <w:footnote w:id="6">
    <w:p w14:paraId="37EE48D8" w14:textId="72AB1460" w:rsidR="00452EE2" w:rsidRDefault="00452EE2">
      <w:pPr>
        <w:pStyle w:val="FootnoteText"/>
      </w:pPr>
      <w:r>
        <w:rPr>
          <w:rStyle w:val="FootnoteReference"/>
        </w:rPr>
        <w:footnoteRef/>
      </w:r>
      <w:r>
        <w:t xml:space="preserve"> </w:t>
      </w:r>
      <w:r w:rsidRPr="001C44F7">
        <w:t>https://www.gov.ie/en/collection/87ee1-spending-review-2021/?referrer=http://www.gov.ie/en/collection/8930f-spending-review-2021/#social-protection</w:t>
      </w:r>
    </w:p>
  </w:footnote>
  <w:footnote w:id="7">
    <w:p w14:paraId="4B6D669A" w14:textId="77777777" w:rsidR="00452EE2" w:rsidRDefault="00452EE2">
      <w:pPr>
        <w:pStyle w:val="FootnoteText"/>
      </w:pPr>
      <w:r>
        <w:rPr>
          <w:rStyle w:val="FootnoteReference"/>
        </w:rPr>
        <w:footnoteRef/>
      </w:r>
      <w:r>
        <w:t xml:space="preserve"> </w:t>
      </w:r>
      <w:r w:rsidRPr="0019211B">
        <w:t>https://enterprise.gov.ie/en/Publications/Publication-files/Making-Remote-Work.pdf</w:t>
      </w:r>
    </w:p>
  </w:footnote>
  <w:footnote w:id="8">
    <w:p w14:paraId="3F05FD82" w14:textId="77777777" w:rsidR="00452EE2" w:rsidRDefault="00452EE2">
      <w:pPr>
        <w:pStyle w:val="FootnoteText"/>
      </w:pPr>
      <w:r>
        <w:rPr>
          <w:rStyle w:val="FootnoteReference"/>
        </w:rPr>
        <w:footnoteRef/>
      </w:r>
      <w:r>
        <w:t xml:space="preserve"> </w:t>
      </w:r>
      <w:r w:rsidRPr="006022BF">
        <w:t>https://enterprise.gov.ie/en/Legislation/Sick-Leave-Bill-2021.html</w:t>
      </w:r>
    </w:p>
  </w:footnote>
  <w:footnote w:id="9">
    <w:p w14:paraId="63DB3CB7" w14:textId="77777777" w:rsidR="00452EE2" w:rsidRDefault="00452EE2">
      <w:pPr>
        <w:pStyle w:val="FootnoteText"/>
      </w:pPr>
      <w:r>
        <w:rPr>
          <w:rStyle w:val="FootnoteReference"/>
        </w:rPr>
        <w:footnoteRef/>
      </w:r>
      <w:r w:rsidRPr="00997111">
        <w:t>https://www.gov.ie/en/publication/d3b2c-disability-capacity-review-to-2032-a-review-of-social-care-demand-and-capacity-requirements-to-2032/</w:t>
      </w:r>
    </w:p>
  </w:footnote>
  <w:footnote w:id="10">
    <w:p w14:paraId="25B86B2E" w14:textId="77777777" w:rsidR="00452EE2" w:rsidRDefault="00452EE2" w:rsidP="007677B7">
      <w:pPr>
        <w:pStyle w:val="FootnoteText"/>
      </w:pPr>
      <w:r>
        <w:rPr>
          <w:rStyle w:val="FootnoteReference"/>
        </w:rPr>
        <w:footnoteRef/>
      </w:r>
      <w:r>
        <w:t xml:space="preserve"> </w:t>
      </w:r>
      <w:hyperlink r:id="rId1" w:history="1">
        <w:r w:rsidRPr="00BC3ECF">
          <w:rPr>
            <w:rStyle w:val="Hyperlink"/>
            <w:color w:val="auto"/>
          </w:rPr>
          <w:t>gov.ie - Pathways to Work Strategy 2021 - 2025 (www.gov.ie)</w:t>
        </w:r>
      </w:hyperlink>
    </w:p>
  </w:footnote>
  <w:footnote w:id="11">
    <w:p w14:paraId="6CB5262C" w14:textId="77777777" w:rsidR="00452EE2" w:rsidRPr="00223AE7" w:rsidRDefault="00452EE2" w:rsidP="00223AE7">
      <w:pPr>
        <w:pStyle w:val="FootnoteText"/>
        <w:spacing w:after="0"/>
      </w:pPr>
      <w:r w:rsidRPr="00223AE7">
        <w:rPr>
          <w:rStyle w:val="FootnoteReference"/>
        </w:rPr>
        <w:footnoteRef/>
      </w:r>
      <w:r w:rsidRPr="00223AE7">
        <w:t xml:space="preserve"> https://advocacy.ie/2021/10/20/new-advocacy-matters-reports-reveal-devastating-impact-of-covid-19-on-people-with-disabilities/</w:t>
      </w:r>
    </w:p>
  </w:footnote>
  <w:footnote w:id="12">
    <w:p w14:paraId="6E0A96F8" w14:textId="77777777" w:rsidR="00452EE2" w:rsidRDefault="00452EE2" w:rsidP="00D8324B">
      <w:pPr>
        <w:pStyle w:val="FootnoteText"/>
      </w:pPr>
      <w:r>
        <w:rPr>
          <w:rStyle w:val="FootnoteReference"/>
        </w:rPr>
        <w:footnoteRef/>
      </w:r>
      <w:r>
        <w:t xml:space="preserve"> </w:t>
      </w:r>
      <w:r w:rsidRPr="00D8324B">
        <w:t>https://www.tudublin.ie/media/website/news/2020/homepage/Covid-disability-report-September-2020.pdf</w:t>
      </w:r>
    </w:p>
  </w:footnote>
  <w:footnote w:id="13">
    <w:p w14:paraId="7C866330" w14:textId="77777777" w:rsidR="00452EE2" w:rsidRPr="00223AE7" w:rsidRDefault="00452EE2" w:rsidP="00223AE7">
      <w:pPr>
        <w:pStyle w:val="FootnoteText"/>
        <w:spacing w:after="0"/>
      </w:pPr>
      <w:r w:rsidRPr="00223AE7">
        <w:rPr>
          <w:rStyle w:val="FootnoteReference"/>
        </w:rPr>
        <w:footnoteRef/>
      </w:r>
      <w:r w:rsidRPr="00223AE7">
        <w:t xml:space="preserve"> </w:t>
      </w:r>
      <w:hyperlink r:id="rId2" w:history="1">
        <w:r w:rsidRPr="00223AE7">
          <w:rPr>
            <w:rStyle w:val="Hyperlink"/>
            <w:color w:val="auto"/>
          </w:rPr>
          <w:t>https://nda.ie/publications/others/research-publications/lockdowns-unlock-innovations-report.html</w:t>
        </w:r>
      </w:hyperlink>
    </w:p>
  </w:footnote>
  <w:footnote w:id="14">
    <w:p w14:paraId="0AE42BD2" w14:textId="2ED6340A" w:rsidR="00452EE2" w:rsidRPr="00FF3F28" w:rsidRDefault="00452EE2" w:rsidP="00223AE7">
      <w:pPr>
        <w:pStyle w:val="FootnoteText"/>
        <w:spacing w:after="0"/>
        <w:rPr>
          <w:szCs w:val="22"/>
        </w:rPr>
      </w:pPr>
      <w:r w:rsidRPr="00223AE7">
        <w:rPr>
          <w:rStyle w:val="FootnoteReference"/>
          <w:rFonts w:ascii="Gill Sans MT" w:hAnsi="Gill Sans MT"/>
          <w:szCs w:val="22"/>
        </w:rPr>
        <w:footnoteRef/>
      </w:r>
      <w:r w:rsidRPr="00223AE7">
        <w:rPr>
          <w:szCs w:val="22"/>
        </w:rPr>
        <w:t xml:space="preserve"> </w:t>
      </w:r>
      <w:hyperlink r:id="rId3" w:history="1">
        <w:r w:rsidRPr="00223AE7">
          <w:rPr>
            <w:rStyle w:val="Hyperlink"/>
            <w:color w:val="auto"/>
            <w:szCs w:val="22"/>
          </w:rPr>
          <w:t>https://ahead.ie/userfiles/files/shop/free/Learning%20from%20Home%20During%20Covid-19%20-</w:t>
        </w:r>
      </w:hyperlink>
      <w:r w:rsidRPr="00223AE7">
        <w:rPr>
          <w:szCs w:val="22"/>
        </w:rPr>
        <w:t>%20A%20Survey%20of%20Irish%20FET%20and%20HE%20Students%20with%20Disabilities.pdf</w:t>
      </w:r>
    </w:p>
  </w:footnote>
  <w:footnote w:id="15">
    <w:p w14:paraId="704249C9" w14:textId="230DE3E8" w:rsidR="00452EE2" w:rsidRDefault="00452EE2">
      <w:pPr>
        <w:pStyle w:val="FootnoteText"/>
      </w:pPr>
    </w:p>
  </w:footnote>
  <w:footnote w:id="16">
    <w:p w14:paraId="288F7C31" w14:textId="3B0ADA8C" w:rsidR="00452EE2" w:rsidRDefault="00452EE2">
      <w:pPr>
        <w:pStyle w:val="FootnoteText"/>
      </w:pPr>
      <w:r>
        <w:rPr>
          <w:rStyle w:val="FootnoteReference"/>
        </w:rPr>
        <w:footnoteRef/>
      </w:r>
      <w:r>
        <w:t xml:space="preserve"> </w:t>
      </w:r>
      <w:r>
        <w:rPr>
          <w:szCs w:val="26"/>
        </w:rPr>
        <w:t>EmployAbility is a p</w:t>
      </w:r>
      <w:r w:rsidRPr="00733128">
        <w:rPr>
          <w:szCs w:val="26"/>
        </w:rPr>
        <w:t xml:space="preserve">rogramme of supported employment </w:t>
      </w:r>
      <w:hyperlink r:id="rId4" w:history="1">
        <w:r w:rsidRPr="00733128">
          <w:rPr>
            <w:rStyle w:val="Hyperlink"/>
            <w:color w:val="auto"/>
          </w:rPr>
          <w:t>Employ Ability | Supporting employment for people with all abilities</w:t>
        </w:r>
      </w:hyperlink>
      <w:r>
        <w:rPr>
          <w:rStyle w:val="Hyperlink"/>
          <w:color w:val="auto"/>
        </w:rPr>
        <w:t xml:space="preserve"> </w:t>
      </w:r>
    </w:p>
  </w:footnote>
  <w:footnote w:id="17">
    <w:p w14:paraId="5C693D32" w14:textId="59903363" w:rsidR="00452EE2" w:rsidRPr="00DA566A" w:rsidRDefault="00452EE2">
      <w:pPr>
        <w:pStyle w:val="FootnoteText"/>
      </w:pPr>
      <w:r w:rsidRPr="00DA566A">
        <w:rPr>
          <w:rStyle w:val="FootnoteReference"/>
        </w:rPr>
        <w:footnoteRef/>
      </w:r>
      <w:r w:rsidRPr="00DA566A">
        <w:t xml:space="preserve"> </w:t>
      </w:r>
      <w:hyperlink r:id="rId5" w:history="1">
        <w:r w:rsidRPr="008666D1">
          <w:rPr>
            <w:rStyle w:val="Hyperlink"/>
          </w:rPr>
          <w:t>https://www.gov.ie/en/service/62fd96-reasonable-accommodation-fund/#</w:t>
        </w:r>
      </w:hyperlink>
    </w:p>
  </w:footnote>
  <w:footnote w:id="18">
    <w:p w14:paraId="2BF2C0D7" w14:textId="77777777" w:rsidR="00452EE2" w:rsidRDefault="00452EE2" w:rsidP="00041F40">
      <w:pPr>
        <w:pStyle w:val="FootnoteText"/>
      </w:pPr>
      <w:r>
        <w:rPr>
          <w:rStyle w:val="FootnoteReference"/>
        </w:rPr>
        <w:footnoteRef/>
      </w:r>
      <w:r>
        <w:t xml:space="preserve"> </w:t>
      </w:r>
      <w:r w:rsidRPr="004D4F43">
        <w:t>https://www.gov.ie/en/publication/f6d74-get-work-supports-if-you-have-a-disability/#</w:t>
      </w:r>
    </w:p>
  </w:footnote>
  <w:footnote w:id="19">
    <w:p w14:paraId="2E3546AB" w14:textId="22FD45B1" w:rsidR="00452EE2" w:rsidRDefault="00452EE2">
      <w:pPr>
        <w:pStyle w:val="FootnoteText"/>
      </w:pPr>
      <w:r>
        <w:rPr>
          <w:rStyle w:val="FootnoteReference"/>
        </w:rPr>
        <w:footnoteRef/>
      </w:r>
      <w:r>
        <w:t xml:space="preserve"> </w:t>
      </w:r>
      <w:r w:rsidRPr="0082682B">
        <w:t>https://www.solas.ie/alnd-strategy/</w:t>
      </w:r>
    </w:p>
  </w:footnote>
  <w:footnote w:id="20">
    <w:p w14:paraId="6E054F3E" w14:textId="3C79F96D" w:rsidR="00452EE2" w:rsidRDefault="00452EE2">
      <w:pPr>
        <w:pStyle w:val="FootnoteText"/>
      </w:pPr>
      <w:r>
        <w:rPr>
          <w:rStyle w:val="FootnoteReference"/>
        </w:rPr>
        <w:footnoteRef/>
      </w:r>
      <w:r>
        <w:t xml:space="preserve"> </w:t>
      </w:r>
      <w:r w:rsidRPr="00BF4AF9">
        <w:t>https://hea.ie/policy/access-policy/path/</w:t>
      </w:r>
    </w:p>
  </w:footnote>
  <w:footnote w:id="21">
    <w:p w14:paraId="07491EB1" w14:textId="13E440D4" w:rsidR="00452EE2" w:rsidRDefault="00452EE2">
      <w:pPr>
        <w:pStyle w:val="FootnoteText"/>
      </w:pPr>
      <w:r>
        <w:rPr>
          <w:rStyle w:val="FootnoteReference"/>
        </w:rPr>
        <w:footnoteRef/>
      </w:r>
      <w:r>
        <w:t xml:space="preserve"> </w:t>
      </w:r>
      <w:r w:rsidRPr="00804F41">
        <w:t>https://hea.ie/funding-governance-performance/funding/student-finance/1916-bursary-fund/</w:t>
      </w:r>
    </w:p>
  </w:footnote>
  <w:footnote w:id="22">
    <w:p w14:paraId="376682C2" w14:textId="77777777" w:rsidR="00452EE2" w:rsidRDefault="00452EE2" w:rsidP="002A0142">
      <w:pPr>
        <w:pStyle w:val="FootnoteText"/>
        <w:spacing w:after="0"/>
      </w:pPr>
      <w:r>
        <w:rPr>
          <w:rStyle w:val="FootnoteReference"/>
        </w:rPr>
        <w:footnoteRef/>
      </w:r>
      <w:r>
        <w:t xml:space="preserve"> </w:t>
      </w:r>
      <w:r w:rsidRPr="00DE6B97">
        <w:t>https://www.tcd.ie/tcpid/courses/</w:t>
      </w:r>
    </w:p>
  </w:footnote>
  <w:footnote w:id="23">
    <w:p w14:paraId="2C97DF2E" w14:textId="5637965E" w:rsidR="00452EE2" w:rsidRDefault="00452EE2">
      <w:pPr>
        <w:pStyle w:val="FootnoteText"/>
      </w:pPr>
      <w:r>
        <w:rPr>
          <w:rStyle w:val="FootnoteReference"/>
        </w:rPr>
        <w:footnoteRef/>
      </w:r>
      <w:r>
        <w:t xml:space="preserve"> </w:t>
      </w:r>
      <w:r w:rsidRPr="00E33886">
        <w:t>https://hea.ie/funding-governance-performance/inclusive-education-pathways-for-students-with-intellectual-disabilities-at-ucc/</w:t>
      </w:r>
    </w:p>
  </w:footnote>
  <w:footnote w:id="24">
    <w:p w14:paraId="2A052AE1" w14:textId="01F5BCB8" w:rsidR="00452EE2" w:rsidRDefault="00452EE2">
      <w:pPr>
        <w:pStyle w:val="FootnoteText"/>
      </w:pPr>
      <w:r>
        <w:rPr>
          <w:rStyle w:val="FootnoteReference"/>
        </w:rPr>
        <w:footnoteRef/>
      </w:r>
      <w:r w:rsidRPr="009C6770">
        <w:t>https://www.earlychildhoodireland.ie/the-lets-get-ready-campaign/</w:t>
      </w:r>
      <w:r>
        <w:t xml:space="preserve"> </w:t>
      </w:r>
    </w:p>
  </w:footnote>
  <w:footnote w:id="25">
    <w:p w14:paraId="3A602143" w14:textId="7D3930AF" w:rsidR="00452EE2" w:rsidRDefault="00452EE2">
      <w:pPr>
        <w:pStyle w:val="FootnoteText"/>
      </w:pPr>
      <w:r>
        <w:rPr>
          <w:rStyle w:val="FootnoteReference"/>
        </w:rPr>
        <w:footnoteRef/>
      </w:r>
      <w:r>
        <w:t xml:space="preserve"> </w:t>
      </w:r>
      <w:r w:rsidRPr="00F50278">
        <w:t>https://www.walk.ie/perch/resources/paste-final-report-august-2018-pdf-1.pdf</w:t>
      </w:r>
    </w:p>
  </w:footnote>
  <w:footnote w:id="26">
    <w:p w14:paraId="72B31707" w14:textId="77777777" w:rsidR="00452EE2" w:rsidRDefault="00452EE2">
      <w:pPr>
        <w:pStyle w:val="FootnoteText"/>
      </w:pPr>
      <w:r>
        <w:rPr>
          <w:rStyle w:val="FootnoteReference"/>
        </w:rPr>
        <w:footnoteRef/>
      </w:r>
      <w:r>
        <w:t xml:space="preserve"> </w:t>
      </w:r>
      <w:r w:rsidRPr="00034D95">
        <w:rPr>
          <w:szCs w:val="26"/>
        </w:rPr>
        <w:t>Programme</w:t>
      </w:r>
      <w:r w:rsidRPr="00034D95">
        <w:rPr>
          <w:szCs w:val="26"/>
          <w:shd w:val="clear" w:color="auto" w:fill="FEFEFE"/>
        </w:rPr>
        <w:t xml:space="preserve"> funds local projects that for young people with disabilities between the ages of 15 and 29 closer to the labour market.</w:t>
      </w:r>
    </w:p>
  </w:footnote>
  <w:footnote w:id="27">
    <w:p w14:paraId="5B875D7B" w14:textId="77777777" w:rsidR="00452EE2" w:rsidRDefault="00452EE2">
      <w:pPr>
        <w:pStyle w:val="FootnoteText"/>
      </w:pPr>
      <w:r>
        <w:rPr>
          <w:rStyle w:val="FootnoteReference"/>
        </w:rPr>
        <w:footnoteRef/>
      </w:r>
      <w:r>
        <w:t xml:space="preserve"> </w:t>
      </w:r>
      <w:r w:rsidRPr="00976150">
        <w:t>https://www.ahead.ie/wam</w:t>
      </w:r>
    </w:p>
  </w:footnote>
  <w:footnote w:id="28">
    <w:p w14:paraId="731A0DEC" w14:textId="77777777" w:rsidR="00452EE2" w:rsidRDefault="00452EE2">
      <w:pPr>
        <w:pStyle w:val="FootnoteText"/>
      </w:pPr>
      <w:r w:rsidRPr="00FF3F28">
        <w:rPr>
          <w:rStyle w:val="FootnoteReference"/>
          <w:rFonts w:ascii="Gill Sans MT" w:hAnsi="Gill Sans MT"/>
          <w:szCs w:val="22"/>
        </w:rPr>
        <w:footnoteRef/>
      </w:r>
      <w:r w:rsidRPr="00FF3F28">
        <w:rPr>
          <w:szCs w:val="22"/>
        </w:rPr>
        <w:t xml:space="preserve"> https://www.solas.ie/f/70398/x/64d0718c9e/solas_fet_strategy_web.pdf</w:t>
      </w:r>
    </w:p>
  </w:footnote>
  <w:footnote w:id="29">
    <w:p w14:paraId="4995198F" w14:textId="77777777" w:rsidR="00452EE2" w:rsidRDefault="00452EE2" w:rsidP="00670DF3">
      <w:pPr>
        <w:pStyle w:val="FootnoteText"/>
        <w:spacing w:after="0"/>
      </w:pPr>
      <w:r>
        <w:rPr>
          <w:rStyle w:val="FootnoteReference"/>
        </w:rPr>
        <w:footnoteRef/>
      </w:r>
      <w:r>
        <w:t xml:space="preserve"> </w:t>
      </w:r>
      <w:r>
        <w:rPr>
          <w:lang w:val="en"/>
        </w:rPr>
        <w:t>‘Towards Inclusion - Impacts, Responses and Resources: The Experiences of Students with Disabilities on Learning from Home during Covid-19 – Trinity College Dublin’</w:t>
      </w:r>
    </w:p>
  </w:footnote>
  <w:footnote w:id="30">
    <w:p w14:paraId="37CDF951" w14:textId="6C3377F5" w:rsidR="00452EE2" w:rsidRPr="00E21D49" w:rsidRDefault="00452EE2" w:rsidP="00E21D49">
      <w:pPr>
        <w:spacing w:after="0"/>
        <w:jc w:val="both"/>
        <w:rPr>
          <w:sz w:val="22"/>
          <w:szCs w:val="22"/>
          <w:u w:val="single"/>
          <w:lang w:eastAsia="en-IE"/>
        </w:rPr>
      </w:pPr>
      <w:r w:rsidRPr="00670DF3">
        <w:rPr>
          <w:rStyle w:val="FootnoteReference"/>
        </w:rPr>
        <w:footnoteRef/>
      </w:r>
      <w:hyperlink r:id="rId6" w:history="1">
        <w:r w:rsidRPr="006161CB">
          <w:rPr>
            <w:rStyle w:val="Hyperlink"/>
            <w:color w:val="auto"/>
            <w:sz w:val="22"/>
            <w:szCs w:val="22"/>
            <w:u w:val="none"/>
            <w:lang w:eastAsia="en-IE"/>
          </w:rPr>
          <w:t>https://www.ahead.ie/journal/Towards-Inclusion-Impacts-Responses-and-Resources-The-Experiences-of-Students-with-Disabilities-on-Learning-from-Home-during-Covid-19-Trinity-College-Dublin</w:t>
        </w:r>
      </w:hyperlink>
    </w:p>
  </w:footnote>
  <w:footnote w:id="31">
    <w:p w14:paraId="73E26AB2" w14:textId="77777777" w:rsidR="00452EE2" w:rsidRDefault="00452EE2" w:rsidP="002E7399">
      <w:pPr>
        <w:pStyle w:val="FootnoteText"/>
      </w:pPr>
      <w:r>
        <w:rPr>
          <w:rStyle w:val="FootnoteReference"/>
        </w:rPr>
        <w:footnoteRef/>
      </w:r>
      <w:r>
        <w:t xml:space="preserve"> </w:t>
      </w:r>
      <w:r w:rsidRPr="00ED4AE4">
        <w:t>https://www.gov.ie/en/publication/c86d6-make-work-pay-report/</w:t>
      </w:r>
    </w:p>
  </w:footnote>
  <w:footnote w:id="32">
    <w:p w14:paraId="6D304496" w14:textId="16407A92" w:rsidR="00452EE2" w:rsidRDefault="00452EE2">
      <w:pPr>
        <w:pStyle w:val="FootnoteText"/>
      </w:pPr>
      <w:r>
        <w:rPr>
          <w:rStyle w:val="FootnoteReference"/>
        </w:rPr>
        <w:footnoteRef/>
      </w:r>
      <w:r>
        <w:t xml:space="preserve"> Page 68 </w:t>
      </w:r>
      <w:hyperlink r:id="rId7" w:history="1">
        <w:r w:rsidRPr="00A338D1">
          <w:rPr>
            <w:rStyle w:val="Hyperlink"/>
          </w:rPr>
          <w:t>file:///H:/Downloads/152608_090ec83f-7e86-4419-a63c-d3ee92bbce4a%20(1).pdf</w:t>
        </w:r>
      </w:hyperlink>
    </w:p>
    <w:p w14:paraId="7903AFD1" w14:textId="77777777" w:rsidR="00452EE2" w:rsidRDefault="00452EE2">
      <w:pPr>
        <w:pStyle w:val="FootnoteText"/>
      </w:pPr>
    </w:p>
  </w:footnote>
  <w:footnote w:id="33">
    <w:p w14:paraId="2018952A" w14:textId="6568AC13" w:rsidR="00452EE2" w:rsidRDefault="00452EE2">
      <w:pPr>
        <w:pStyle w:val="FootnoteText"/>
      </w:pPr>
      <w:r>
        <w:rPr>
          <w:rStyle w:val="FootnoteReference"/>
        </w:rPr>
        <w:footnoteRef/>
      </w:r>
      <w:r>
        <w:t xml:space="preserve"> </w:t>
      </w:r>
      <w:r w:rsidRPr="00CB548C">
        <w:t>https://www.gov.ie/en/organisation-information/3f066-statement-of-strategy-2021-2023/</w:t>
      </w:r>
    </w:p>
  </w:footnote>
  <w:footnote w:id="34">
    <w:p w14:paraId="50241970" w14:textId="77777777" w:rsidR="00452EE2" w:rsidRPr="00FA01D8" w:rsidRDefault="00452EE2" w:rsidP="00685F56">
      <w:pPr>
        <w:spacing w:after="0"/>
        <w:rPr>
          <w:rFonts w:ascii="Calibri" w:hAnsi="Calibri"/>
          <w:color w:val="000000"/>
        </w:rPr>
      </w:pPr>
      <w:r>
        <w:rPr>
          <w:rStyle w:val="FootnoteReference"/>
        </w:rPr>
        <w:footnoteRef/>
      </w:r>
      <w:r>
        <w:t xml:space="preserve"> </w:t>
      </w:r>
      <w:hyperlink r:id="rId8" w:history="1">
        <w:r w:rsidRPr="00E05D7B">
          <w:rPr>
            <w:rStyle w:val="Hyperlink"/>
            <w:color w:val="auto"/>
            <w:sz w:val="24"/>
          </w:rPr>
          <w:t>https://www.tudublin.ie/explore/news/self-employment-for-people-with-disabilities---new-course-commencing-in-september.html</w:t>
        </w:r>
      </w:hyperlink>
      <w:r>
        <w:rPr>
          <w:rFonts w:ascii="Calibri" w:hAnsi="Calibri"/>
          <w:color w:val="000000"/>
        </w:rPr>
        <w:t xml:space="preserve"> </w:t>
      </w:r>
    </w:p>
  </w:footnote>
  <w:footnote w:id="35">
    <w:p w14:paraId="13F0B163" w14:textId="77777777" w:rsidR="00452EE2" w:rsidRDefault="00452EE2" w:rsidP="00685F56">
      <w:pPr>
        <w:spacing w:after="0"/>
        <w:jc w:val="both"/>
      </w:pPr>
      <w:r>
        <w:rPr>
          <w:rStyle w:val="FootnoteReference"/>
        </w:rPr>
        <w:footnoteRef/>
      </w:r>
      <w:r>
        <w:t xml:space="preserve"> Enterprise Ireland is the </w:t>
      </w:r>
      <w:r w:rsidRPr="00034D95">
        <w:rPr>
          <w:szCs w:val="26"/>
        </w:rPr>
        <w:t>government agency that supports Irish business trade internationally</w:t>
      </w:r>
    </w:p>
  </w:footnote>
  <w:footnote w:id="36">
    <w:p w14:paraId="13D1D253" w14:textId="77777777" w:rsidR="00452EE2" w:rsidRDefault="00452EE2">
      <w:pPr>
        <w:pStyle w:val="FootnoteText"/>
      </w:pPr>
      <w:r>
        <w:rPr>
          <w:rStyle w:val="FootnoteReference"/>
        </w:rPr>
        <w:footnoteRef/>
      </w:r>
      <w:r>
        <w:t xml:space="preserve"> </w:t>
      </w:r>
      <w:r w:rsidRPr="007556E1">
        <w:t>https://nda.ie/publications/employment/employment-publications/identification-of-skills-gaps-among-persons-with-disabilities-and-their-employment-prospects.html</w:t>
      </w:r>
    </w:p>
  </w:footnote>
  <w:footnote w:id="37">
    <w:p w14:paraId="737E65D5" w14:textId="77777777" w:rsidR="00452EE2" w:rsidRDefault="00452EE2">
      <w:pPr>
        <w:pStyle w:val="FootnoteText"/>
      </w:pPr>
      <w:r>
        <w:rPr>
          <w:rStyle w:val="FootnoteReference"/>
        </w:rPr>
        <w:footnoteRef/>
      </w:r>
      <w:r>
        <w:t xml:space="preserve"> Further increased in 2022 t</w:t>
      </w:r>
      <w:r w:rsidRPr="001C2B07">
        <w:t>he</w:t>
      </w:r>
      <w:r w:rsidRPr="001C2B07">
        <w:rPr>
          <w:rFonts w:cs="Open Sans"/>
          <w:spacing w:val="3"/>
          <w:szCs w:val="22"/>
          <w:shd w:val="clear" w:color="auto" w:fill="FFFFFF"/>
        </w:rPr>
        <w:t xml:space="preserve"> earnings limit on Disability Allowance will increase by €25 from €350 to €375 and the weekly means disregard will increase from €2.50 to €7.60 in June</w:t>
      </w:r>
      <w:r>
        <w:rPr>
          <w:rFonts w:cs="Open Sans"/>
          <w:spacing w:val="3"/>
          <w:szCs w:val="22"/>
          <w:shd w:val="clear" w:color="auto" w:fill="FFFFFF"/>
        </w:rPr>
        <w:t xml:space="preserve"> </w:t>
      </w:r>
      <w:r w:rsidRPr="001C2B07">
        <w:rPr>
          <w:rFonts w:cs="Open Sans"/>
          <w:spacing w:val="3"/>
          <w:szCs w:val="22"/>
          <w:shd w:val="clear" w:color="auto" w:fill="FFFFFF"/>
        </w:rPr>
        <w:t xml:space="preserve">2022. </w:t>
      </w:r>
      <w:r w:rsidRPr="001C2B07">
        <w:t>https://www.citizensinformation.ie/en/social_welfare/social_welfare_payments/disability_and_illness/disability_allowance.html#:~:text=The%20earnings%20limit%20on%20Disability,%E2%82%AC7.60%20in%20June%202022.</w:t>
      </w:r>
    </w:p>
  </w:footnote>
  <w:footnote w:id="38">
    <w:p w14:paraId="2F3D195C" w14:textId="7ED3BE2D" w:rsidR="00452EE2" w:rsidRDefault="00452EE2">
      <w:pPr>
        <w:pStyle w:val="FootnoteText"/>
      </w:pPr>
      <w:r>
        <w:rPr>
          <w:rStyle w:val="FootnoteReference"/>
        </w:rPr>
        <w:footnoteRef/>
      </w:r>
      <w:r>
        <w:t xml:space="preserve"> </w:t>
      </w:r>
      <w:r w:rsidRPr="004D138A">
        <w:t>https://www.gov.ie/en/service/95fe1-work-placement-experience-programme/</w:t>
      </w:r>
    </w:p>
  </w:footnote>
  <w:footnote w:id="39">
    <w:p w14:paraId="5315989C" w14:textId="77777777" w:rsidR="00452EE2" w:rsidRPr="00F12785" w:rsidRDefault="00452EE2" w:rsidP="008A777C">
      <w:pPr>
        <w:pStyle w:val="FootnoteText"/>
        <w:spacing w:after="0"/>
        <w:rPr>
          <w:rFonts w:cstheme="minorHAnsi"/>
          <w:szCs w:val="22"/>
        </w:rPr>
      </w:pPr>
      <w:r w:rsidRPr="00F12785">
        <w:rPr>
          <w:rStyle w:val="FootnoteReference"/>
          <w:rFonts w:ascii="Gill Sans MT" w:hAnsi="Gill Sans MT" w:cstheme="minorHAnsi"/>
          <w:szCs w:val="22"/>
        </w:rPr>
        <w:footnoteRef/>
      </w:r>
      <w:r w:rsidRPr="00F12785">
        <w:rPr>
          <w:rFonts w:cstheme="minorHAnsi"/>
          <w:szCs w:val="22"/>
        </w:rPr>
        <w:t xml:space="preserve"> An NDA literature review has summarised research findings in this area </w:t>
      </w:r>
      <w:hyperlink r:id="rId9" w:history="1">
        <w:r w:rsidRPr="00F12785">
          <w:rPr>
            <w:rStyle w:val="Hyperlink"/>
            <w:rFonts w:eastAsiaTheme="majorEastAsia" w:cstheme="minorHAnsi"/>
            <w:color w:val="auto"/>
            <w:szCs w:val="22"/>
            <w:u w:val="none"/>
          </w:rPr>
          <w:t>http://nda.ie/Publications/Employment/Employment-Publications/Literature-Review-Guidance-on-retaining-employees-with-a-disability.html</w:t>
        </w:r>
      </w:hyperlink>
    </w:p>
  </w:footnote>
  <w:footnote w:id="40">
    <w:p w14:paraId="7E8C78CD" w14:textId="77777777" w:rsidR="00452EE2" w:rsidRPr="009C44E2" w:rsidRDefault="00452EE2" w:rsidP="008A777C">
      <w:pPr>
        <w:pStyle w:val="FootnoteText"/>
        <w:spacing w:after="0"/>
        <w:rPr>
          <w:rFonts w:asciiTheme="minorHAnsi" w:hAnsiTheme="minorHAnsi" w:cstheme="minorHAnsi"/>
          <w:szCs w:val="22"/>
        </w:rPr>
      </w:pPr>
      <w:r w:rsidRPr="00F12785">
        <w:rPr>
          <w:rStyle w:val="FootnoteReference"/>
          <w:rFonts w:ascii="Gill Sans MT" w:hAnsi="Gill Sans MT" w:cstheme="minorHAnsi"/>
          <w:szCs w:val="22"/>
        </w:rPr>
        <w:footnoteRef/>
      </w:r>
      <w:r w:rsidRPr="00F12785">
        <w:rPr>
          <w:rFonts w:cstheme="minorHAnsi"/>
          <w:szCs w:val="22"/>
        </w:rPr>
        <w:t xml:space="preserve"> WRC Social and Economic Research (2008) Research Report on Acquired Disability and Employment</w:t>
      </w:r>
    </w:p>
  </w:footnote>
  <w:footnote w:id="41">
    <w:p w14:paraId="6E035265" w14:textId="77777777" w:rsidR="00452EE2" w:rsidRPr="00AE55DC" w:rsidRDefault="00452EE2" w:rsidP="008D057D">
      <w:pPr>
        <w:pStyle w:val="FootnoteText"/>
        <w:spacing w:after="0"/>
        <w:rPr>
          <w:rFonts w:cstheme="minorHAnsi"/>
          <w:szCs w:val="22"/>
        </w:rPr>
      </w:pPr>
      <w:r w:rsidRPr="00AE55DC">
        <w:rPr>
          <w:rStyle w:val="FootnoteReference"/>
          <w:rFonts w:ascii="Gill Sans MT" w:hAnsi="Gill Sans MT" w:cstheme="minorHAnsi"/>
          <w:szCs w:val="22"/>
        </w:rPr>
        <w:footnoteRef/>
      </w:r>
      <w:r w:rsidRPr="00AE55DC">
        <w:rPr>
          <w:rFonts w:cstheme="minorHAnsi"/>
          <w:szCs w:val="22"/>
        </w:rPr>
        <w:t xml:space="preserve"> </w:t>
      </w:r>
      <w:r w:rsidRPr="00AE55DC">
        <w:rPr>
          <w:rFonts w:cstheme="minorHAnsi"/>
          <w:bCs/>
          <w:szCs w:val="22"/>
        </w:rPr>
        <w:t>A 2007 survey of Illness Benefit recipients showed that 40% of those on benefit for six months, and 58% of those on benefit for 12 months, were no longer in employment. WRC Social and Economic Consultants (2008) Research Report on Acquired Disability and Employment</w:t>
      </w:r>
    </w:p>
  </w:footnote>
  <w:footnote w:id="42">
    <w:p w14:paraId="107CEBB3" w14:textId="77777777" w:rsidR="00452EE2" w:rsidRPr="00AE55DC" w:rsidRDefault="00452EE2" w:rsidP="008D057D">
      <w:pPr>
        <w:pStyle w:val="FootnoteText"/>
        <w:spacing w:after="0"/>
        <w:rPr>
          <w:rFonts w:cstheme="minorHAnsi"/>
          <w:szCs w:val="22"/>
        </w:rPr>
      </w:pPr>
      <w:r w:rsidRPr="00AE55DC">
        <w:rPr>
          <w:rStyle w:val="FootnoteReference"/>
          <w:rFonts w:ascii="Gill Sans MT" w:hAnsi="Gill Sans MT" w:cstheme="minorHAnsi"/>
          <w:szCs w:val="22"/>
        </w:rPr>
        <w:footnoteRef/>
      </w:r>
      <w:r w:rsidRPr="00AE55DC">
        <w:rPr>
          <w:rFonts w:cstheme="minorHAnsi"/>
          <w:szCs w:val="22"/>
        </w:rPr>
        <w:t xml:space="preserve"> Gannon and Nolan (2006) </w:t>
      </w:r>
      <w:r w:rsidRPr="00CB7356">
        <w:rPr>
          <w:rFonts w:cstheme="minorHAnsi"/>
          <w:szCs w:val="22"/>
        </w:rPr>
        <w:t>Dynamics of disability and social inclusion.</w:t>
      </w:r>
      <w:r w:rsidRPr="00AE55DC">
        <w:rPr>
          <w:rFonts w:cstheme="minorHAnsi"/>
          <w:szCs w:val="22"/>
        </w:rPr>
        <w:t xml:space="preserve"> Those who experienced disability onset were already somewhat less likely to be employed. This study was based on a longitudinal data set covering 1995-2001, a period of steady economic growth.</w:t>
      </w:r>
    </w:p>
  </w:footnote>
  <w:footnote w:id="43">
    <w:p w14:paraId="236AE102" w14:textId="77777777" w:rsidR="00452EE2" w:rsidRDefault="00452EE2">
      <w:pPr>
        <w:pStyle w:val="FootnoteText"/>
      </w:pPr>
      <w:r>
        <w:rPr>
          <w:rStyle w:val="FootnoteReference"/>
        </w:rPr>
        <w:footnoteRef/>
      </w:r>
      <w:r>
        <w:t xml:space="preserve"> </w:t>
      </w:r>
      <w:r w:rsidRPr="005951B0">
        <w:t>https://www.oecd.org/publications/disability-work-and-inclusion-in-ireland-74b45baa-en.htm</w:t>
      </w:r>
    </w:p>
  </w:footnote>
  <w:footnote w:id="44">
    <w:p w14:paraId="5646DF4B" w14:textId="77777777" w:rsidR="00452EE2" w:rsidRDefault="00452EE2">
      <w:pPr>
        <w:pStyle w:val="FootnoteText"/>
      </w:pPr>
      <w:r>
        <w:rPr>
          <w:rStyle w:val="FootnoteReference"/>
        </w:rPr>
        <w:footnoteRef/>
      </w:r>
      <w:r>
        <w:t xml:space="preserve"> </w:t>
      </w:r>
      <w:r w:rsidRPr="002556C3">
        <w:t>https://www.nda.ie/publications/employment/employment-publications/disability-work-and-inclusion-in-ireland-engaging-and-supporting-employers.html</w:t>
      </w:r>
    </w:p>
  </w:footnote>
  <w:footnote w:id="45">
    <w:p w14:paraId="77F12AB7" w14:textId="77777777" w:rsidR="00452EE2" w:rsidRPr="00527E97" w:rsidRDefault="00452EE2" w:rsidP="00527E97">
      <w:pPr>
        <w:pStyle w:val="FootnoteText"/>
        <w:spacing w:after="0"/>
      </w:pPr>
      <w:r>
        <w:rPr>
          <w:rStyle w:val="FootnoteReference"/>
        </w:rPr>
        <w:footnoteRef/>
      </w:r>
      <w:r>
        <w:t xml:space="preserve"> </w:t>
      </w:r>
      <w:hyperlink r:id="rId10" w:history="1">
        <w:r w:rsidRPr="00527E97">
          <w:rPr>
            <w:rStyle w:val="Hyperlink"/>
            <w:color w:val="auto"/>
          </w:rPr>
          <w:t>https://www.employersforchange.ie/</w:t>
        </w:r>
      </w:hyperlink>
    </w:p>
  </w:footnote>
  <w:footnote w:id="46">
    <w:p w14:paraId="47F195B7" w14:textId="2412339B" w:rsidR="00452EE2" w:rsidRDefault="00452EE2">
      <w:pPr>
        <w:pStyle w:val="FootnoteText"/>
      </w:pPr>
      <w:r>
        <w:rPr>
          <w:rStyle w:val="FootnoteReference"/>
        </w:rPr>
        <w:footnoteRef/>
      </w:r>
      <w:r>
        <w:t xml:space="preserve"> </w:t>
      </w:r>
      <w:r w:rsidRPr="004D138A">
        <w:t>https://www.ihrec.ie/guides-and-tools/human-rights-and-equality-for-employers/what-does-the-law-say/disability-and-reasonable-accommodation/</w:t>
      </w:r>
    </w:p>
  </w:footnote>
  <w:footnote w:id="47">
    <w:p w14:paraId="7A00B2F3" w14:textId="77777777" w:rsidR="00452EE2" w:rsidRDefault="00452EE2" w:rsidP="000652E6">
      <w:pPr>
        <w:pStyle w:val="FootnoteText"/>
        <w:spacing w:after="0"/>
      </w:pPr>
      <w:r w:rsidRPr="00527E97">
        <w:rPr>
          <w:rStyle w:val="FootnoteReference"/>
        </w:rPr>
        <w:footnoteRef/>
      </w:r>
      <w:r w:rsidRPr="00527E97">
        <w:t xml:space="preserve"> https://www.ibec.ie/connect-and-learn/media/2021/07/18/improving-employment-opportunities-for-people-with-disability-in-ireland</w:t>
      </w:r>
    </w:p>
  </w:footnote>
  <w:footnote w:id="48">
    <w:p w14:paraId="07DE19E1" w14:textId="77777777" w:rsidR="00452EE2" w:rsidRDefault="00452EE2" w:rsidP="00BB6F75">
      <w:pPr>
        <w:pStyle w:val="FootnoteText"/>
      </w:pPr>
      <w:r>
        <w:rPr>
          <w:rStyle w:val="FootnoteReference"/>
        </w:rPr>
        <w:footnoteRef/>
      </w:r>
      <w:r>
        <w:t xml:space="preserve"> </w:t>
      </w:r>
      <w:r w:rsidRPr="00B12DD2">
        <w:t>https://www.ibec.ie/connect-and-learn/media/2021/07/18/improving-employment-opportunities-for-people-with-disability-in-ireland</w:t>
      </w:r>
    </w:p>
  </w:footnote>
  <w:footnote w:id="49">
    <w:p w14:paraId="6E937B1E" w14:textId="77777777" w:rsidR="00452EE2" w:rsidRDefault="00452EE2">
      <w:pPr>
        <w:pStyle w:val="FootnoteText"/>
      </w:pPr>
      <w:r>
        <w:rPr>
          <w:rStyle w:val="FootnoteReference"/>
        </w:rPr>
        <w:footnoteRef/>
      </w:r>
      <w:r>
        <w:t xml:space="preserve"> </w:t>
      </w:r>
      <w:r w:rsidRPr="00437D4C">
        <w:t>https://www.publicjobs.ie/en/diversity-and-inclusion</w:t>
      </w:r>
    </w:p>
  </w:footnote>
  <w:footnote w:id="50">
    <w:p w14:paraId="7EA1B2A4" w14:textId="10FC08E7" w:rsidR="00452EE2" w:rsidRDefault="00452EE2" w:rsidP="008B063D">
      <w:pPr>
        <w:pStyle w:val="FootnoteText"/>
        <w:spacing w:after="0"/>
      </w:pPr>
      <w:r>
        <w:rPr>
          <w:rStyle w:val="FootnoteReference"/>
        </w:rPr>
        <w:footnoteRef/>
      </w:r>
      <w:r>
        <w:t xml:space="preserve"> </w:t>
      </w:r>
      <w:hyperlink r:id="rId11" w:history="1">
        <w:r w:rsidRPr="00164E91">
          <w:rPr>
            <w:rStyle w:val="Hyperlink"/>
          </w:rPr>
          <w:t>https://www.cso.ie/en/releasesandpublications/fp/fp-iewad/incomeemploymentandwelfareanalysisofpeoplewithadisability2019/</w:t>
        </w:r>
      </w:hyperlink>
    </w:p>
  </w:footnote>
  <w:footnote w:id="51">
    <w:p w14:paraId="2389BB71" w14:textId="3D46F16C" w:rsidR="00452EE2" w:rsidRPr="002D309A" w:rsidRDefault="00452EE2" w:rsidP="008B063D">
      <w:pPr>
        <w:spacing w:after="0"/>
        <w:rPr>
          <w:iCs/>
          <w:sz w:val="22"/>
          <w:szCs w:val="22"/>
          <w:lang w:val="en" w:eastAsia="en-IE"/>
        </w:rPr>
      </w:pPr>
      <w:r>
        <w:rPr>
          <w:rStyle w:val="FootnoteReference"/>
        </w:rPr>
        <w:footnoteRef/>
      </w:r>
      <w:r>
        <w:t xml:space="preserve"> </w:t>
      </w:r>
      <w:r w:rsidRPr="0080490E">
        <w:rPr>
          <w:iCs/>
          <w:sz w:val="22"/>
          <w:szCs w:val="22"/>
          <w:lang w:val="en" w:eastAsia="en-IE"/>
        </w:rPr>
        <w:t>Previous reports by CSO, ESRI and others have used the principal economic status question in Census to look at the employment rate of people with a disability. The principal economic status in Census 2016 shows that 30.2% of people with a disability are in employment. As a Frontier publication, this report uses a different method to calculate employment which is based on income and number of weeks worked and will include those who reported 'Student or Pupil', 'Retired', 'Looking after home/family' or other status as their principal economic status in Census 2016 but meet the definition of employment based on income and number of weeks worked in 2019.</w:t>
      </w:r>
    </w:p>
  </w:footnote>
  <w:footnote w:id="52">
    <w:p w14:paraId="2B24056F" w14:textId="1947F382" w:rsidR="00452EE2" w:rsidRPr="00F87D42" w:rsidRDefault="00452EE2" w:rsidP="00F87D42">
      <w:pPr>
        <w:spacing w:after="0"/>
        <w:rPr>
          <w:rFonts w:ascii="Calibri" w:hAnsi="Calibri"/>
          <w:sz w:val="24"/>
        </w:rPr>
      </w:pPr>
      <w:r>
        <w:rPr>
          <w:rStyle w:val="FootnoteReference"/>
        </w:rPr>
        <w:footnoteRef/>
      </w:r>
      <w:r>
        <w:t xml:space="preserve"> </w:t>
      </w:r>
      <w:hyperlink r:id="rId12" w:history="1">
        <w:r w:rsidRPr="002D309A">
          <w:rPr>
            <w:rStyle w:val="Hyperlink"/>
            <w:color w:val="auto"/>
            <w:sz w:val="24"/>
          </w:rPr>
          <w:t>https://assets.gov.ie/205042/ff56196d-476b-478c-abec-d8076f66d45f.pdf</w:t>
        </w:r>
      </w:hyperlink>
    </w:p>
  </w:footnote>
  <w:footnote w:id="53">
    <w:p w14:paraId="0255E272" w14:textId="6E5D0239" w:rsidR="00452EE2" w:rsidRPr="008B063D" w:rsidRDefault="00452EE2" w:rsidP="008B063D">
      <w:pPr>
        <w:pStyle w:val="Default"/>
        <w:rPr>
          <w:rFonts w:ascii="Gill Sans MT" w:hAnsi="Gill Sans MT"/>
          <w:sz w:val="26"/>
          <w:szCs w:val="26"/>
        </w:rPr>
      </w:pPr>
      <w:r>
        <w:rPr>
          <w:rStyle w:val="FootnoteReference"/>
        </w:rPr>
        <w:footnoteRef/>
      </w:r>
      <w:r>
        <w:t xml:space="preserve"> </w:t>
      </w:r>
      <w:r w:rsidRPr="00980989">
        <w:rPr>
          <w:rFonts w:ascii="Gill Sans MT" w:hAnsi="Gill Sans MT"/>
          <w:sz w:val="22"/>
          <w:szCs w:val="22"/>
        </w:rPr>
        <w:t>The IGEES review considered that changes in numbers of day service users in 2020 may reflect more accurate data on number of service users and not necessarily a reduction in the volume of services</w:t>
      </w:r>
      <w:r>
        <w:rPr>
          <w:rFonts w:ascii="Gill Sans MT" w:hAnsi="Gill Sans MT"/>
          <w:sz w:val="26"/>
          <w:szCs w:val="26"/>
        </w:rPr>
        <w:t xml:space="preserve"> </w:t>
      </w:r>
    </w:p>
  </w:footnote>
  <w:footnote w:id="54">
    <w:p w14:paraId="641376B3" w14:textId="21DD7C8F" w:rsidR="00452EE2" w:rsidRDefault="00452EE2">
      <w:pPr>
        <w:pStyle w:val="FootnoteText"/>
      </w:pPr>
      <w:r>
        <w:rPr>
          <w:rStyle w:val="FootnoteReference"/>
        </w:rPr>
        <w:footnoteRef/>
      </w:r>
      <w:r>
        <w:t xml:space="preserve"> 2019/2020 the HSE completed a validation exercise on day service data and updated the National Day Service Database (NDSD) to record all people in day services</w:t>
      </w:r>
    </w:p>
  </w:footnote>
  <w:footnote w:id="55">
    <w:p w14:paraId="33DCD3C1" w14:textId="77777777" w:rsidR="00452EE2" w:rsidRDefault="00452EE2" w:rsidP="0005677B">
      <w:pPr>
        <w:pStyle w:val="FootnoteText"/>
      </w:pPr>
      <w:r>
        <w:rPr>
          <w:rStyle w:val="FootnoteReference"/>
        </w:rPr>
        <w:footnoteRef/>
      </w:r>
      <w:r>
        <w:t xml:space="preserve"> </w:t>
      </w:r>
      <w:r w:rsidRPr="00075C39">
        <w:t>https://www.oecd.org/publications/disability-work-and-inclusion-in-ireland-74b45baa-en.htm</w:t>
      </w:r>
    </w:p>
  </w:footnote>
  <w:footnote w:id="56">
    <w:p w14:paraId="39B470A0" w14:textId="77777777" w:rsidR="00452EE2" w:rsidRDefault="00452EE2" w:rsidP="0005677B">
      <w:pPr>
        <w:pStyle w:val="FootnoteText"/>
      </w:pPr>
      <w:r>
        <w:rPr>
          <w:rStyle w:val="FootnoteReference"/>
        </w:rPr>
        <w:footnoteRef/>
      </w:r>
      <w:r>
        <w:t xml:space="preserve"> </w:t>
      </w:r>
      <w:r w:rsidRPr="00CA60E9">
        <w:t>https://www.oecd.org/publications/disability-work-and-inclusion-in-ireland-74b45baa-en.htm</w:t>
      </w:r>
    </w:p>
  </w:footnote>
  <w:footnote w:id="57">
    <w:p w14:paraId="5A518EFA" w14:textId="77777777" w:rsidR="00452EE2" w:rsidRDefault="00452EE2" w:rsidP="0005677B">
      <w:pPr>
        <w:pStyle w:val="FootnoteText"/>
      </w:pPr>
      <w:r>
        <w:rPr>
          <w:rStyle w:val="FootnoteReference"/>
        </w:rPr>
        <w:footnoteRef/>
      </w:r>
      <w:r>
        <w:t xml:space="preserve"> </w:t>
      </w:r>
      <w:r w:rsidRPr="00A948F2">
        <w:t>https://www.esri.ie/publications/identification-of-skills-gaps-among-persons-with-disabilities-and-their-employment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9F47580"/>
    <w:multiLevelType w:val="multilevel"/>
    <w:tmpl w:val="E438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47C63"/>
    <w:multiLevelType w:val="hybridMultilevel"/>
    <w:tmpl w:val="89AE78C4"/>
    <w:lvl w:ilvl="0" w:tplc="3B7C8868">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656487"/>
    <w:multiLevelType w:val="hybridMultilevel"/>
    <w:tmpl w:val="A33CA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5A7D24"/>
    <w:multiLevelType w:val="hybridMultilevel"/>
    <w:tmpl w:val="2738D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C25890"/>
    <w:multiLevelType w:val="hybridMultilevel"/>
    <w:tmpl w:val="A25AF4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2A54F2"/>
    <w:multiLevelType w:val="hybridMultilevel"/>
    <w:tmpl w:val="229A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6C2165"/>
    <w:multiLevelType w:val="hybridMultilevel"/>
    <w:tmpl w:val="99B666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82F5AD8"/>
    <w:multiLevelType w:val="hybridMultilevel"/>
    <w:tmpl w:val="BEDEE6F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256C2A"/>
    <w:multiLevelType w:val="hybridMultilevel"/>
    <w:tmpl w:val="CDA4A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476A68"/>
    <w:multiLevelType w:val="hybridMultilevel"/>
    <w:tmpl w:val="79C87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5A02FC"/>
    <w:multiLevelType w:val="hybridMultilevel"/>
    <w:tmpl w:val="310E6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213B5F"/>
    <w:multiLevelType w:val="hybridMultilevel"/>
    <w:tmpl w:val="E66A1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D9319D"/>
    <w:multiLevelType w:val="hybridMultilevel"/>
    <w:tmpl w:val="2B361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8F5E07"/>
    <w:multiLevelType w:val="hybridMultilevel"/>
    <w:tmpl w:val="0464B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B06623"/>
    <w:multiLevelType w:val="hybridMultilevel"/>
    <w:tmpl w:val="32E6F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947B24"/>
    <w:multiLevelType w:val="hybridMultilevel"/>
    <w:tmpl w:val="C88410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F67F5B"/>
    <w:multiLevelType w:val="hybridMultilevel"/>
    <w:tmpl w:val="435A4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8D4C80"/>
    <w:multiLevelType w:val="hybridMultilevel"/>
    <w:tmpl w:val="37425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833070"/>
    <w:multiLevelType w:val="hybridMultilevel"/>
    <w:tmpl w:val="00FC2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6D332B"/>
    <w:multiLevelType w:val="hybridMultilevel"/>
    <w:tmpl w:val="CB40F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D2235A"/>
    <w:multiLevelType w:val="hybridMultilevel"/>
    <w:tmpl w:val="C110F8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5BA7543F"/>
    <w:multiLevelType w:val="hybridMultilevel"/>
    <w:tmpl w:val="7B7CA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CB510A"/>
    <w:multiLevelType w:val="hybridMultilevel"/>
    <w:tmpl w:val="70D87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5D48D9"/>
    <w:multiLevelType w:val="hybridMultilevel"/>
    <w:tmpl w:val="E10C4C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64042BF8"/>
    <w:multiLevelType w:val="hybridMultilevel"/>
    <w:tmpl w:val="273C91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E32687"/>
    <w:multiLevelType w:val="hybridMultilevel"/>
    <w:tmpl w:val="A022EA14"/>
    <w:lvl w:ilvl="0" w:tplc="9BC4302E">
      <w:start w:val="1"/>
      <w:numFmt w:val="bullet"/>
      <w:lvlText w:val=""/>
      <w:lvlJc w:val="left"/>
      <w:pPr>
        <w:ind w:left="360" w:hanging="360"/>
      </w:pPr>
      <w:rPr>
        <w:rFonts w:ascii="Symbol" w:hAnsi="Symbol" w:hint="default"/>
        <w:color w:val="1F3864" w:themeColor="accent5"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964598"/>
    <w:multiLevelType w:val="hybridMultilevel"/>
    <w:tmpl w:val="57A83982"/>
    <w:lvl w:ilvl="0" w:tplc="18090001">
      <w:start w:val="1"/>
      <w:numFmt w:val="bullet"/>
      <w:lvlText w:val=""/>
      <w:lvlJc w:val="left"/>
      <w:pPr>
        <w:ind w:left="942" w:hanging="360"/>
      </w:pPr>
      <w:rPr>
        <w:rFonts w:ascii="Symbol" w:hAnsi="Symbol" w:hint="default"/>
      </w:rPr>
    </w:lvl>
    <w:lvl w:ilvl="1" w:tplc="18090003" w:tentative="1">
      <w:start w:val="1"/>
      <w:numFmt w:val="bullet"/>
      <w:lvlText w:val="o"/>
      <w:lvlJc w:val="left"/>
      <w:pPr>
        <w:ind w:left="1662" w:hanging="360"/>
      </w:pPr>
      <w:rPr>
        <w:rFonts w:ascii="Courier New" w:hAnsi="Courier New" w:cs="Courier New" w:hint="default"/>
      </w:rPr>
    </w:lvl>
    <w:lvl w:ilvl="2" w:tplc="18090005" w:tentative="1">
      <w:start w:val="1"/>
      <w:numFmt w:val="bullet"/>
      <w:lvlText w:val=""/>
      <w:lvlJc w:val="left"/>
      <w:pPr>
        <w:ind w:left="2382" w:hanging="360"/>
      </w:pPr>
      <w:rPr>
        <w:rFonts w:ascii="Wingdings" w:hAnsi="Wingdings" w:hint="default"/>
      </w:rPr>
    </w:lvl>
    <w:lvl w:ilvl="3" w:tplc="18090001" w:tentative="1">
      <w:start w:val="1"/>
      <w:numFmt w:val="bullet"/>
      <w:lvlText w:val=""/>
      <w:lvlJc w:val="left"/>
      <w:pPr>
        <w:ind w:left="3102" w:hanging="360"/>
      </w:pPr>
      <w:rPr>
        <w:rFonts w:ascii="Symbol" w:hAnsi="Symbol" w:hint="default"/>
      </w:rPr>
    </w:lvl>
    <w:lvl w:ilvl="4" w:tplc="18090003" w:tentative="1">
      <w:start w:val="1"/>
      <w:numFmt w:val="bullet"/>
      <w:lvlText w:val="o"/>
      <w:lvlJc w:val="left"/>
      <w:pPr>
        <w:ind w:left="3822" w:hanging="360"/>
      </w:pPr>
      <w:rPr>
        <w:rFonts w:ascii="Courier New" w:hAnsi="Courier New" w:cs="Courier New" w:hint="default"/>
      </w:rPr>
    </w:lvl>
    <w:lvl w:ilvl="5" w:tplc="18090005" w:tentative="1">
      <w:start w:val="1"/>
      <w:numFmt w:val="bullet"/>
      <w:lvlText w:val=""/>
      <w:lvlJc w:val="left"/>
      <w:pPr>
        <w:ind w:left="4542" w:hanging="360"/>
      </w:pPr>
      <w:rPr>
        <w:rFonts w:ascii="Wingdings" w:hAnsi="Wingdings" w:hint="default"/>
      </w:rPr>
    </w:lvl>
    <w:lvl w:ilvl="6" w:tplc="18090001" w:tentative="1">
      <w:start w:val="1"/>
      <w:numFmt w:val="bullet"/>
      <w:lvlText w:val=""/>
      <w:lvlJc w:val="left"/>
      <w:pPr>
        <w:ind w:left="5262" w:hanging="360"/>
      </w:pPr>
      <w:rPr>
        <w:rFonts w:ascii="Symbol" w:hAnsi="Symbol" w:hint="default"/>
      </w:rPr>
    </w:lvl>
    <w:lvl w:ilvl="7" w:tplc="18090003" w:tentative="1">
      <w:start w:val="1"/>
      <w:numFmt w:val="bullet"/>
      <w:lvlText w:val="o"/>
      <w:lvlJc w:val="left"/>
      <w:pPr>
        <w:ind w:left="5982" w:hanging="360"/>
      </w:pPr>
      <w:rPr>
        <w:rFonts w:ascii="Courier New" w:hAnsi="Courier New" w:cs="Courier New" w:hint="default"/>
      </w:rPr>
    </w:lvl>
    <w:lvl w:ilvl="8" w:tplc="18090005" w:tentative="1">
      <w:start w:val="1"/>
      <w:numFmt w:val="bullet"/>
      <w:lvlText w:val=""/>
      <w:lvlJc w:val="left"/>
      <w:pPr>
        <w:ind w:left="6702" w:hanging="360"/>
      </w:pPr>
      <w:rPr>
        <w:rFonts w:ascii="Wingdings" w:hAnsi="Wingdings" w:hint="default"/>
      </w:rPr>
    </w:lvl>
  </w:abstractNum>
  <w:abstractNum w:abstractNumId="33" w15:restartNumberingAfterBreak="0">
    <w:nsid w:val="69035795"/>
    <w:multiLevelType w:val="hybridMultilevel"/>
    <w:tmpl w:val="94E0C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4B2500"/>
    <w:multiLevelType w:val="hybridMultilevel"/>
    <w:tmpl w:val="D70C7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506CE8"/>
    <w:multiLevelType w:val="hybridMultilevel"/>
    <w:tmpl w:val="BE0E8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C00753"/>
    <w:multiLevelType w:val="hybridMultilevel"/>
    <w:tmpl w:val="6896E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5D6802"/>
    <w:multiLevelType w:val="hybridMultilevel"/>
    <w:tmpl w:val="E8EC6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1"/>
  </w:num>
  <w:num w:numId="8">
    <w:abstractNumId w:val="8"/>
  </w:num>
  <w:num w:numId="9">
    <w:abstractNumId w:val="31"/>
  </w:num>
  <w:num w:numId="10">
    <w:abstractNumId w:val="25"/>
  </w:num>
  <w:num w:numId="11">
    <w:abstractNumId w:val="16"/>
  </w:num>
  <w:num w:numId="12">
    <w:abstractNumId w:val="34"/>
  </w:num>
  <w:num w:numId="13">
    <w:abstractNumId w:val="15"/>
  </w:num>
  <w:num w:numId="14">
    <w:abstractNumId w:val="29"/>
  </w:num>
  <w:num w:numId="15">
    <w:abstractNumId w:val="36"/>
  </w:num>
  <w:num w:numId="16">
    <w:abstractNumId w:val="24"/>
  </w:num>
  <w:num w:numId="17">
    <w:abstractNumId w:val="10"/>
  </w:num>
  <w:num w:numId="18">
    <w:abstractNumId w:val="28"/>
  </w:num>
  <w:num w:numId="19">
    <w:abstractNumId w:val="17"/>
  </w:num>
  <w:num w:numId="20">
    <w:abstractNumId w:val="6"/>
  </w:num>
  <w:num w:numId="21">
    <w:abstractNumId w:val="23"/>
  </w:num>
  <w:num w:numId="22">
    <w:abstractNumId w:val="33"/>
  </w:num>
  <w:num w:numId="23">
    <w:abstractNumId w:val="21"/>
  </w:num>
  <w:num w:numId="24">
    <w:abstractNumId w:val="27"/>
  </w:num>
  <w:num w:numId="25">
    <w:abstractNumId w:val="37"/>
  </w:num>
  <w:num w:numId="26">
    <w:abstractNumId w:val="35"/>
  </w:num>
  <w:num w:numId="27">
    <w:abstractNumId w:val="30"/>
  </w:num>
  <w:num w:numId="28">
    <w:abstractNumId w:val="13"/>
  </w:num>
  <w:num w:numId="29">
    <w:abstractNumId w:val="19"/>
  </w:num>
  <w:num w:numId="30">
    <w:abstractNumId w:val="14"/>
  </w:num>
  <w:num w:numId="31">
    <w:abstractNumId w:val="20"/>
  </w:num>
  <w:num w:numId="32">
    <w:abstractNumId w:val="9"/>
  </w:num>
  <w:num w:numId="33">
    <w:abstractNumId w:val="32"/>
  </w:num>
  <w:num w:numId="34">
    <w:abstractNumId w:val="26"/>
  </w:num>
  <w:num w:numId="35">
    <w:abstractNumId w:val="18"/>
  </w:num>
  <w:num w:numId="36">
    <w:abstractNumId w:val="32"/>
  </w:num>
  <w:num w:numId="37">
    <w:abstractNumId w:val="12"/>
  </w:num>
  <w:num w:numId="38">
    <w:abstractNumId w:val="7"/>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1D"/>
    <w:rsid w:val="0000084C"/>
    <w:rsid w:val="00011812"/>
    <w:rsid w:val="00013344"/>
    <w:rsid w:val="000135B6"/>
    <w:rsid w:val="00015E16"/>
    <w:rsid w:val="0002799D"/>
    <w:rsid w:val="0003066A"/>
    <w:rsid w:val="0003205C"/>
    <w:rsid w:val="000326D3"/>
    <w:rsid w:val="000342B3"/>
    <w:rsid w:val="00034D95"/>
    <w:rsid w:val="00035049"/>
    <w:rsid w:val="00036601"/>
    <w:rsid w:val="000402C9"/>
    <w:rsid w:val="00041A12"/>
    <w:rsid w:val="00041F40"/>
    <w:rsid w:val="00042DE2"/>
    <w:rsid w:val="00043632"/>
    <w:rsid w:val="00050DA4"/>
    <w:rsid w:val="000532E0"/>
    <w:rsid w:val="0005677B"/>
    <w:rsid w:val="0005760E"/>
    <w:rsid w:val="00060183"/>
    <w:rsid w:val="00062092"/>
    <w:rsid w:val="0006236F"/>
    <w:rsid w:val="000652E6"/>
    <w:rsid w:val="00066389"/>
    <w:rsid w:val="00075C39"/>
    <w:rsid w:val="00075FB8"/>
    <w:rsid w:val="0008329F"/>
    <w:rsid w:val="00083380"/>
    <w:rsid w:val="00085AFF"/>
    <w:rsid w:val="000914CF"/>
    <w:rsid w:val="000A0DAF"/>
    <w:rsid w:val="000A378F"/>
    <w:rsid w:val="000A4352"/>
    <w:rsid w:val="000A560E"/>
    <w:rsid w:val="000A63CF"/>
    <w:rsid w:val="000B31AA"/>
    <w:rsid w:val="000C3226"/>
    <w:rsid w:val="000C717D"/>
    <w:rsid w:val="000C74A2"/>
    <w:rsid w:val="000D23F5"/>
    <w:rsid w:val="000D44D3"/>
    <w:rsid w:val="000E2EEF"/>
    <w:rsid w:val="000E6D89"/>
    <w:rsid w:val="000F7026"/>
    <w:rsid w:val="001006B8"/>
    <w:rsid w:val="00104D41"/>
    <w:rsid w:val="00106D1F"/>
    <w:rsid w:val="001077E5"/>
    <w:rsid w:val="00110B85"/>
    <w:rsid w:val="00111315"/>
    <w:rsid w:val="00116F75"/>
    <w:rsid w:val="00120946"/>
    <w:rsid w:val="00121ED0"/>
    <w:rsid w:val="00135E0D"/>
    <w:rsid w:val="0013742F"/>
    <w:rsid w:val="001379CC"/>
    <w:rsid w:val="00150E6A"/>
    <w:rsid w:val="00152EA2"/>
    <w:rsid w:val="00153BE3"/>
    <w:rsid w:val="00155BD6"/>
    <w:rsid w:val="00163753"/>
    <w:rsid w:val="00167D17"/>
    <w:rsid w:val="001702D5"/>
    <w:rsid w:val="00181FE6"/>
    <w:rsid w:val="001839A4"/>
    <w:rsid w:val="00184C56"/>
    <w:rsid w:val="00190468"/>
    <w:rsid w:val="0019211B"/>
    <w:rsid w:val="00195F5C"/>
    <w:rsid w:val="00196BC3"/>
    <w:rsid w:val="001A08DA"/>
    <w:rsid w:val="001A1A5A"/>
    <w:rsid w:val="001A4546"/>
    <w:rsid w:val="001A5C4C"/>
    <w:rsid w:val="001A68DA"/>
    <w:rsid w:val="001B0F5B"/>
    <w:rsid w:val="001B757E"/>
    <w:rsid w:val="001C0BE2"/>
    <w:rsid w:val="001C0BF3"/>
    <w:rsid w:val="001C2B07"/>
    <w:rsid w:val="001C44F7"/>
    <w:rsid w:val="001C4F77"/>
    <w:rsid w:val="001C702D"/>
    <w:rsid w:val="001D0D9D"/>
    <w:rsid w:val="001E0B6C"/>
    <w:rsid w:val="001E0FDE"/>
    <w:rsid w:val="001E3C97"/>
    <w:rsid w:val="001E409F"/>
    <w:rsid w:val="001E45A0"/>
    <w:rsid w:val="001E63EB"/>
    <w:rsid w:val="001F06CC"/>
    <w:rsid w:val="001F0DC5"/>
    <w:rsid w:val="001F14FA"/>
    <w:rsid w:val="001F163F"/>
    <w:rsid w:val="001F1AFF"/>
    <w:rsid w:val="001F7FFE"/>
    <w:rsid w:val="00216DFF"/>
    <w:rsid w:val="00220D50"/>
    <w:rsid w:val="00223190"/>
    <w:rsid w:val="00223AE7"/>
    <w:rsid w:val="00226368"/>
    <w:rsid w:val="00227A80"/>
    <w:rsid w:val="002346D4"/>
    <w:rsid w:val="00235134"/>
    <w:rsid w:val="00235477"/>
    <w:rsid w:val="0024354B"/>
    <w:rsid w:val="00244D6A"/>
    <w:rsid w:val="00251212"/>
    <w:rsid w:val="002556C3"/>
    <w:rsid w:val="00261B7D"/>
    <w:rsid w:val="00263BBB"/>
    <w:rsid w:val="00264D40"/>
    <w:rsid w:val="0026792B"/>
    <w:rsid w:val="00270F46"/>
    <w:rsid w:val="0027513B"/>
    <w:rsid w:val="002811B0"/>
    <w:rsid w:val="0028205A"/>
    <w:rsid w:val="002827EF"/>
    <w:rsid w:val="002849A4"/>
    <w:rsid w:val="0028523E"/>
    <w:rsid w:val="00285F75"/>
    <w:rsid w:val="00286B8C"/>
    <w:rsid w:val="00287B8E"/>
    <w:rsid w:val="00291452"/>
    <w:rsid w:val="002921B9"/>
    <w:rsid w:val="002A0142"/>
    <w:rsid w:val="002A301B"/>
    <w:rsid w:val="002A7053"/>
    <w:rsid w:val="002B5CA6"/>
    <w:rsid w:val="002C4443"/>
    <w:rsid w:val="002C7A8D"/>
    <w:rsid w:val="002D309A"/>
    <w:rsid w:val="002E3041"/>
    <w:rsid w:val="002E6484"/>
    <w:rsid w:val="002E7399"/>
    <w:rsid w:val="002E7C00"/>
    <w:rsid w:val="002F2D9D"/>
    <w:rsid w:val="002F3E46"/>
    <w:rsid w:val="002F70BA"/>
    <w:rsid w:val="002F76DC"/>
    <w:rsid w:val="00300629"/>
    <w:rsid w:val="00301676"/>
    <w:rsid w:val="00305160"/>
    <w:rsid w:val="0031275F"/>
    <w:rsid w:val="00312CD3"/>
    <w:rsid w:val="00316580"/>
    <w:rsid w:val="00320805"/>
    <w:rsid w:val="003230AB"/>
    <w:rsid w:val="003259B6"/>
    <w:rsid w:val="00326ED5"/>
    <w:rsid w:val="00327076"/>
    <w:rsid w:val="00336270"/>
    <w:rsid w:val="00343C08"/>
    <w:rsid w:val="00344613"/>
    <w:rsid w:val="0034561C"/>
    <w:rsid w:val="00352CB2"/>
    <w:rsid w:val="00355D04"/>
    <w:rsid w:val="00360E98"/>
    <w:rsid w:val="00374F35"/>
    <w:rsid w:val="003800E8"/>
    <w:rsid w:val="003844C4"/>
    <w:rsid w:val="0038631E"/>
    <w:rsid w:val="0039304E"/>
    <w:rsid w:val="0039569B"/>
    <w:rsid w:val="003A44C8"/>
    <w:rsid w:val="003A44DE"/>
    <w:rsid w:val="003A6EE6"/>
    <w:rsid w:val="003A7F75"/>
    <w:rsid w:val="003B10EC"/>
    <w:rsid w:val="003B1EC4"/>
    <w:rsid w:val="003B34D9"/>
    <w:rsid w:val="003C2C4C"/>
    <w:rsid w:val="003C5FEA"/>
    <w:rsid w:val="003C669A"/>
    <w:rsid w:val="003D0957"/>
    <w:rsid w:val="003D63B4"/>
    <w:rsid w:val="003E1E65"/>
    <w:rsid w:val="003E426D"/>
    <w:rsid w:val="003E667D"/>
    <w:rsid w:val="003F2E78"/>
    <w:rsid w:val="003F3E27"/>
    <w:rsid w:val="00404308"/>
    <w:rsid w:val="004054CA"/>
    <w:rsid w:val="0041539A"/>
    <w:rsid w:val="00415A0B"/>
    <w:rsid w:val="00415BF8"/>
    <w:rsid w:val="004329C9"/>
    <w:rsid w:val="00436F98"/>
    <w:rsid w:val="00437D4C"/>
    <w:rsid w:val="00441604"/>
    <w:rsid w:val="00447493"/>
    <w:rsid w:val="00452EE2"/>
    <w:rsid w:val="00454E82"/>
    <w:rsid w:val="00456847"/>
    <w:rsid w:val="00466D53"/>
    <w:rsid w:val="0047113B"/>
    <w:rsid w:val="00473148"/>
    <w:rsid w:val="00476D15"/>
    <w:rsid w:val="004934C9"/>
    <w:rsid w:val="00496F4D"/>
    <w:rsid w:val="004975F2"/>
    <w:rsid w:val="004A2A56"/>
    <w:rsid w:val="004A395F"/>
    <w:rsid w:val="004A799D"/>
    <w:rsid w:val="004B32D5"/>
    <w:rsid w:val="004B3867"/>
    <w:rsid w:val="004B3E66"/>
    <w:rsid w:val="004B4DD9"/>
    <w:rsid w:val="004B5E45"/>
    <w:rsid w:val="004B6782"/>
    <w:rsid w:val="004B6AF9"/>
    <w:rsid w:val="004B73DE"/>
    <w:rsid w:val="004C147C"/>
    <w:rsid w:val="004C3AFD"/>
    <w:rsid w:val="004C5836"/>
    <w:rsid w:val="004D089F"/>
    <w:rsid w:val="004D138A"/>
    <w:rsid w:val="004D2976"/>
    <w:rsid w:val="004D4F43"/>
    <w:rsid w:val="004D7851"/>
    <w:rsid w:val="004E21F1"/>
    <w:rsid w:val="004E2F1B"/>
    <w:rsid w:val="004F1EF7"/>
    <w:rsid w:val="005007EA"/>
    <w:rsid w:val="00501E5F"/>
    <w:rsid w:val="0050414C"/>
    <w:rsid w:val="00506CC3"/>
    <w:rsid w:val="00506CFC"/>
    <w:rsid w:val="00511F36"/>
    <w:rsid w:val="00516746"/>
    <w:rsid w:val="0052168A"/>
    <w:rsid w:val="005222BB"/>
    <w:rsid w:val="00527E97"/>
    <w:rsid w:val="005335D8"/>
    <w:rsid w:val="00534E91"/>
    <w:rsid w:val="00552CA2"/>
    <w:rsid w:val="00554D4B"/>
    <w:rsid w:val="005567CC"/>
    <w:rsid w:val="005575DA"/>
    <w:rsid w:val="005625AA"/>
    <w:rsid w:val="005637F2"/>
    <w:rsid w:val="00570B41"/>
    <w:rsid w:val="00571E6F"/>
    <w:rsid w:val="0057759A"/>
    <w:rsid w:val="005833C8"/>
    <w:rsid w:val="00592067"/>
    <w:rsid w:val="00592E57"/>
    <w:rsid w:val="005951B0"/>
    <w:rsid w:val="00596C5D"/>
    <w:rsid w:val="005A0CB5"/>
    <w:rsid w:val="005B381B"/>
    <w:rsid w:val="005B5FA9"/>
    <w:rsid w:val="005B707E"/>
    <w:rsid w:val="005C00E2"/>
    <w:rsid w:val="005C1D07"/>
    <w:rsid w:val="005C3242"/>
    <w:rsid w:val="005C4164"/>
    <w:rsid w:val="005D1F90"/>
    <w:rsid w:val="005D4598"/>
    <w:rsid w:val="005D4EA0"/>
    <w:rsid w:val="005D6A25"/>
    <w:rsid w:val="005D7FA7"/>
    <w:rsid w:val="005E2E1A"/>
    <w:rsid w:val="005E54E8"/>
    <w:rsid w:val="005F0760"/>
    <w:rsid w:val="005F5714"/>
    <w:rsid w:val="00600BA8"/>
    <w:rsid w:val="006012F1"/>
    <w:rsid w:val="006022BF"/>
    <w:rsid w:val="00603F98"/>
    <w:rsid w:val="0060521A"/>
    <w:rsid w:val="006060A3"/>
    <w:rsid w:val="006116F2"/>
    <w:rsid w:val="00613097"/>
    <w:rsid w:val="006161CB"/>
    <w:rsid w:val="006175E6"/>
    <w:rsid w:val="00624A1A"/>
    <w:rsid w:val="00627090"/>
    <w:rsid w:val="006318C5"/>
    <w:rsid w:val="006345DF"/>
    <w:rsid w:val="006349ED"/>
    <w:rsid w:val="006421C5"/>
    <w:rsid w:val="00643CFB"/>
    <w:rsid w:val="0064420B"/>
    <w:rsid w:val="0065058D"/>
    <w:rsid w:val="0065439A"/>
    <w:rsid w:val="00655967"/>
    <w:rsid w:val="00663394"/>
    <w:rsid w:val="00670DAE"/>
    <w:rsid w:val="00670DF3"/>
    <w:rsid w:val="0067136B"/>
    <w:rsid w:val="00675249"/>
    <w:rsid w:val="00675CBB"/>
    <w:rsid w:val="00681820"/>
    <w:rsid w:val="00683775"/>
    <w:rsid w:val="006855AD"/>
    <w:rsid w:val="00685F56"/>
    <w:rsid w:val="0068614A"/>
    <w:rsid w:val="006909AB"/>
    <w:rsid w:val="00693DBD"/>
    <w:rsid w:val="00695501"/>
    <w:rsid w:val="006A4F74"/>
    <w:rsid w:val="006B13BB"/>
    <w:rsid w:val="006C23AD"/>
    <w:rsid w:val="006C4541"/>
    <w:rsid w:val="006C53DB"/>
    <w:rsid w:val="006D369D"/>
    <w:rsid w:val="006D6890"/>
    <w:rsid w:val="006E51BA"/>
    <w:rsid w:val="006E6FAE"/>
    <w:rsid w:val="006F6FF1"/>
    <w:rsid w:val="0070088D"/>
    <w:rsid w:val="007015B0"/>
    <w:rsid w:val="00702618"/>
    <w:rsid w:val="007044D0"/>
    <w:rsid w:val="00705185"/>
    <w:rsid w:val="0071192E"/>
    <w:rsid w:val="00715EDE"/>
    <w:rsid w:val="00715F04"/>
    <w:rsid w:val="00724945"/>
    <w:rsid w:val="0073047C"/>
    <w:rsid w:val="0073192C"/>
    <w:rsid w:val="0073261F"/>
    <w:rsid w:val="00733128"/>
    <w:rsid w:val="007340A1"/>
    <w:rsid w:val="00737AD6"/>
    <w:rsid w:val="00747F9A"/>
    <w:rsid w:val="00751E84"/>
    <w:rsid w:val="00753DAE"/>
    <w:rsid w:val="0075449D"/>
    <w:rsid w:val="007556E1"/>
    <w:rsid w:val="00757393"/>
    <w:rsid w:val="00757964"/>
    <w:rsid w:val="00757D2C"/>
    <w:rsid w:val="007608CD"/>
    <w:rsid w:val="00762EA7"/>
    <w:rsid w:val="00762F25"/>
    <w:rsid w:val="007643A1"/>
    <w:rsid w:val="00764868"/>
    <w:rsid w:val="007677B7"/>
    <w:rsid w:val="00772126"/>
    <w:rsid w:val="0077526A"/>
    <w:rsid w:val="00776272"/>
    <w:rsid w:val="00777518"/>
    <w:rsid w:val="007825C6"/>
    <w:rsid w:val="0078638D"/>
    <w:rsid w:val="00790806"/>
    <w:rsid w:val="00791A42"/>
    <w:rsid w:val="00795F2A"/>
    <w:rsid w:val="00796BD4"/>
    <w:rsid w:val="007A7793"/>
    <w:rsid w:val="007B2BF9"/>
    <w:rsid w:val="007B54E0"/>
    <w:rsid w:val="007C1D90"/>
    <w:rsid w:val="007C6B18"/>
    <w:rsid w:val="007D1F0F"/>
    <w:rsid w:val="007D2A14"/>
    <w:rsid w:val="007D2BC1"/>
    <w:rsid w:val="007D343E"/>
    <w:rsid w:val="007E0CCA"/>
    <w:rsid w:val="007E335E"/>
    <w:rsid w:val="007E5638"/>
    <w:rsid w:val="007E5747"/>
    <w:rsid w:val="007F099A"/>
    <w:rsid w:val="007F2339"/>
    <w:rsid w:val="007F764D"/>
    <w:rsid w:val="00803FAE"/>
    <w:rsid w:val="00804153"/>
    <w:rsid w:val="0080490E"/>
    <w:rsid w:val="00804F41"/>
    <w:rsid w:val="008162AC"/>
    <w:rsid w:val="008162B8"/>
    <w:rsid w:val="008231FE"/>
    <w:rsid w:val="00825269"/>
    <w:rsid w:val="00825410"/>
    <w:rsid w:val="0082682B"/>
    <w:rsid w:val="00831FA1"/>
    <w:rsid w:val="00832248"/>
    <w:rsid w:val="008343E3"/>
    <w:rsid w:val="00834763"/>
    <w:rsid w:val="00840698"/>
    <w:rsid w:val="00841486"/>
    <w:rsid w:val="00844F7C"/>
    <w:rsid w:val="00850343"/>
    <w:rsid w:val="00853D4C"/>
    <w:rsid w:val="00855BDA"/>
    <w:rsid w:val="0086315B"/>
    <w:rsid w:val="0087393C"/>
    <w:rsid w:val="00874B3C"/>
    <w:rsid w:val="00874E38"/>
    <w:rsid w:val="00876059"/>
    <w:rsid w:val="008830FF"/>
    <w:rsid w:val="008840EB"/>
    <w:rsid w:val="00884D10"/>
    <w:rsid w:val="00884F61"/>
    <w:rsid w:val="00890BE7"/>
    <w:rsid w:val="008A1674"/>
    <w:rsid w:val="008A777C"/>
    <w:rsid w:val="008B063D"/>
    <w:rsid w:val="008B2D1E"/>
    <w:rsid w:val="008B6494"/>
    <w:rsid w:val="008C1508"/>
    <w:rsid w:val="008C26AD"/>
    <w:rsid w:val="008C5669"/>
    <w:rsid w:val="008D057D"/>
    <w:rsid w:val="008D0E2E"/>
    <w:rsid w:val="008D1367"/>
    <w:rsid w:val="008D44C8"/>
    <w:rsid w:val="008E0CD5"/>
    <w:rsid w:val="008E258D"/>
    <w:rsid w:val="008E4030"/>
    <w:rsid w:val="008E622C"/>
    <w:rsid w:val="008F29EC"/>
    <w:rsid w:val="008F4DBF"/>
    <w:rsid w:val="008F5AEB"/>
    <w:rsid w:val="00900499"/>
    <w:rsid w:val="009008EE"/>
    <w:rsid w:val="00907DFA"/>
    <w:rsid w:val="00922465"/>
    <w:rsid w:val="00927AEE"/>
    <w:rsid w:val="00930994"/>
    <w:rsid w:val="00941EA2"/>
    <w:rsid w:val="00945FB6"/>
    <w:rsid w:val="00946865"/>
    <w:rsid w:val="00946AC0"/>
    <w:rsid w:val="00953582"/>
    <w:rsid w:val="00954BF8"/>
    <w:rsid w:val="0095685C"/>
    <w:rsid w:val="00960135"/>
    <w:rsid w:val="00964BCD"/>
    <w:rsid w:val="00966C0A"/>
    <w:rsid w:val="0097551C"/>
    <w:rsid w:val="00976150"/>
    <w:rsid w:val="00980398"/>
    <w:rsid w:val="00980989"/>
    <w:rsid w:val="00981C12"/>
    <w:rsid w:val="009917B3"/>
    <w:rsid w:val="0099247D"/>
    <w:rsid w:val="0099361A"/>
    <w:rsid w:val="00994D21"/>
    <w:rsid w:val="00995AB2"/>
    <w:rsid w:val="00997111"/>
    <w:rsid w:val="009A44E0"/>
    <w:rsid w:val="009A58EE"/>
    <w:rsid w:val="009A60D8"/>
    <w:rsid w:val="009A7659"/>
    <w:rsid w:val="009B337D"/>
    <w:rsid w:val="009B5F70"/>
    <w:rsid w:val="009C0782"/>
    <w:rsid w:val="009C3BD7"/>
    <w:rsid w:val="009C4D62"/>
    <w:rsid w:val="009C5439"/>
    <w:rsid w:val="009C6770"/>
    <w:rsid w:val="009D0D89"/>
    <w:rsid w:val="009D50D4"/>
    <w:rsid w:val="009E117C"/>
    <w:rsid w:val="009E5496"/>
    <w:rsid w:val="00A03D7A"/>
    <w:rsid w:val="00A05270"/>
    <w:rsid w:val="00A10832"/>
    <w:rsid w:val="00A268FD"/>
    <w:rsid w:val="00A31C09"/>
    <w:rsid w:val="00A3269A"/>
    <w:rsid w:val="00A431C0"/>
    <w:rsid w:val="00A44CF4"/>
    <w:rsid w:val="00A47AAE"/>
    <w:rsid w:val="00A51950"/>
    <w:rsid w:val="00A52DEC"/>
    <w:rsid w:val="00A53869"/>
    <w:rsid w:val="00A53959"/>
    <w:rsid w:val="00A56E8B"/>
    <w:rsid w:val="00A64549"/>
    <w:rsid w:val="00A6550C"/>
    <w:rsid w:val="00A70B66"/>
    <w:rsid w:val="00A73764"/>
    <w:rsid w:val="00A73EB8"/>
    <w:rsid w:val="00A767E2"/>
    <w:rsid w:val="00A800C5"/>
    <w:rsid w:val="00A84869"/>
    <w:rsid w:val="00A849BE"/>
    <w:rsid w:val="00A90FD7"/>
    <w:rsid w:val="00AA01CE"/>
    <w:rsid w:val="00AB0BF6"/>
    <w:rsid w:val="00AB0C6F"/>
    <w:rsid w:val="00AB3899"/>
    <w:rsid w:val="00AB69E8"/>
    <w:rsid w:val="00AC2F8B"/>
    <w:rsid w:val="00AE5C75"/>
    <w:rsid w:val="00AF2562"/>
    <w:rsid w:val="00AF5985"/>
    <w:rsid w:val="00AF6587"/>
    <w:rsid w:val="00B05ECA"/>
    <w:rsid w:val="00B12DD2"/>
    <w:rsid w:val="00B14618"/>
    <w:rsid w:val="00B15879"/>
    <w:rsid w:val="00B1623E"/>
    <w:rsid w:val="00B16FEB"/>
    <w:rsid w:val="00B23C8F"/>
    <w:rsid w:val="00B2635D"/>
    <w:rsid w:val="00B26F48"/>
    <w:rsid w:val="00B34F86"/>
    <w:rsid w:val="00B4322D"/>
    <w:rsid w:val="00B47D41"/>
    <w:rsid w:val="00B55F45"/>
    <w:rsid w:val="00B62A86"/>
    <w:rsid w:val="00B63FEB"/>
    <w:rsid w:val="00B66A36"/>
    <w:rsid w:val="00B66B2F"/>
    <w:rsid w:val="00B72465"/>
    <w:rsid w:val="00B73186"/>
    <w:rsid w:val="00B76547"/>
    <w:rsid w:val="00B8618B"/>
    <w:rsid w:val="00B97059"/>
    <w:rsid w:val="00BA0730"/>
    <w:rsid w:val="00BA2579"/>
    <w:rsid w:val="00BA7DB3"/>
    <w:rsid w:val="00BB0DCA"/>
    <w:rsid w:val="00BB6F75"/>
    <w:rsid w:val="00BB70B1"/>
    <w:rsid w:val="00BB7717"/>
    <w:rsid w:val="00BB7A4B"/>
    <w:rsid w:val="00BC3ECF"/>
    <w:rsid w:val="00BC74C2"/>
    <w:rsid w:val="00BD03B2"/>
    <w:rsid w:val="00BD08B8"/>
    <w:rsid w:val="00BD2B7B"/>
    <w:rsid w:val="00BE3DCC"/>
    <w:rsid w:val="00BE5A27"/>
    <w:rsid w:val="00BE6272"/>
    <w:rsid w:val="00BF4AF9"/>
    <w:rsid w:val="00BF7BB9"/>
    <w:rsid w:val="00C0399B"/>
    <w:rsid w:val="00C10528"/>
    <w:rsid w:val="00C122CB"/>
    <w:rsid w:val="00C154AE"/>
    <w:rsid w:val="00C1763C"/>
    <w:rsid w:val="00C177C7"/>
    <w:rsid w:val="00C17CA8"/>
    <w:rsid w:val="00C23883"/>
    <w:rsid w:val="00C24F0F"/>
    <w:rsid w:val="00C27D5E"/>
    <w:rsid w:val="00C307DA"/>
    <w:rsid w:val="00C336F3"/>
    <w:rsid w:val="00C44D47"/>
    <w:rsid w:val="00C4750F"/>
    <w:rsid w:val="00C50318"/>
    <w:rsid w:val="00C53EDA"/>
    <w:rsid w:val="00C570D5"/>
    <w:rsid w:val="00C779B8"/>
    <w:rsid w:val="00C83216"/>
    <w:rsid w:val="00C867C9"/>
    <w:rsid w:val="00C9032D"/>
    <w:rsid w:val="00C9729D"/>
    <w:rsid w:val="00C97D3C"/>
    <w:rsid w:val="00CA5E76"/>
    <w:rsid w:val="00CA60E9"/>
    <w:rsid w:val="00CB548C"/>
    <w:rsid w:val="00CB7356"/>
    <w:rsid w:val="00CD0320"/>
    <w:rsid w:val="00CD0C13"/>
    <w:rsid w:val="00CD1956"/>
    <w:rsid w:val="00CD3212"/>
    <w:rsid w:val="00CD3DD9"/>
    <w:rsid w:val="00CD6900"/>
    <w:rsid w:val="00CE32A2"/>
    <w:rsid w:val="00CE3DA1"/>
    <w:rsid w:val="00CF18CA"/>
    <w:rsid w:val="00CF2958"/>
    <w:rsid w:val="00CF6CC5"/>
    <w:rsid w:val="00D006AF"/>
    <w:rsid w:val="00D036B5"/>
    <w:rsid w:val="00D07F0A"/>
    <w:rsid w:val="00D11A5C"/>
    <w:rsid w:val="00D145EB"/>
    <w:rsid w:val="00D158B7"/>
    <w:rsid w:val="00D16125"/>
    <w:rsid w:val="00D25341"/>
    <w:rsid w:val="00D26521"/>
    <w:rsid w:val="00D27045"/>
    <w:rsid w:val="00D27632"/>
    <w:rsid w:val="00D3047A"/>
    <w:rsid w:val="00D32341"/>
    <w:rsid w:val="00D3268B"/>
    <w:rsid w:val="00D331FA"/>
    <w:rsid w:val="00D434F1"/>
    <w:rsid w:val="00D50C01"/>
    <w:rsid w:val="00D5778A"/>
    <w:rsid w:val="00D57B49"/>
    <w:rsid w:val="00D61002"/>
    <w:rsid w:val="00D61B90"/>
    <w:rsid w:val="00D62C78"/>
    <w:rsid w:val="00D62C93"/>
    <w:rsid w:val="00D70522"/>
    <w:rsid w:val="00D73088"/>
    <w:rsid w:val="00D74DBE"/>
    <w:rsid w:val="00D81A70"/>
    <w:rsid w:val="00D8324B"/>
    <w:rsid w:val="00D85304"/>
    <w:rsid w:val="00D85C0B"/>
    <w:rsid w:val="00D87C41"/>
    <w:rsid w:val="00D9045B"/>
    <w:rsid w:val="00DA0B82"/>
    <w:rsid w:val="00DA3CAF"/>
    <w:rsid w:val="00DA566A"/>
    <w:rsid w:val="00DA73CF"/>
    <w:rsid w:val="00DC0DF3"/>
    <w:rsid w:val="00DC6FC0"/>
    <w:rsid w:val="00DD4E67"/>
    <w:rsid w:val="00DD534B"/>
    <w:rsid w:val="00DD62CF"/>
    <w:rsid w:val="00DD6C19"/>
    <w:rsid w:val="00DE0FE5"/>
    <w:rsid w:val="00DE1A4E"/>
    <w:rsid w:val="00DE1AE6"/>
    <w:rsid w:val="00DE4F55"/>
    <w:rsid w:val="00DE63FC"/>
    <w:rsid w:val="00DE6697"/>
    <w:rsid w:val="00DE6B97"/>
    <w:rsid w:val="00DE715C"/>
    <w:rsid w:val="00DE74ED"/>
    <w:rsid w:val="00DF00F3"/>
    <w:rsid w:val="00DF1FAD"/>
    <w:rsid w:val="00DF3D38"/>
    <w:rsid w:val="00E0010A"/>
    <w:rsid w:val="00E01862"/>
    <w:rsid w:val="00E01E46"/>
    <w:rsid w:val="00E01EC6"/>
    <w:rsid w:val="00E112E8"/>
    <w:rsid w:val="00E12993"/>
    <w:rsid w:val="00E12D82"/>
    <w:rsid w:val="00E17291"/>
    <w:rsid w:val="00E21D49"/>
    <w:rsid w:val="00E23E31"/>
    <w:rsid w:val="00E3204E"/>
    <w:rsid w:val="00E323C1"/>
    <w:rsid w:val="00E324D4"/>
    <w:rsid w:val="00E33886"/>
    <w:rsid w:val="00E34626"/>
    <w:rsid w:val="00E35073"/>
    <w:rsid w:val="00E4029E"/>
    <w:rsid w:val="00E52DEA"/>
    <w:rsid w:val="00E56724"/>
    <w:rsid w:val="00E61DE1"/>
    <w:rsid w:val="00E667DE"/>
    <w:rsid w:val="00E67C38"/>
    <w:rsid w:val="00E716CF"/>
    <w:rsid w:val="00E74B94"/>
    <w:rsid w:val="00E7560A"/>
    <w:rsid w:val="00E828E5"/>
    <w:rsid w:val="00E87C98"/>
    <w:rsid w:val="00E95457"/>
    <w:rsid w:val="00E9601D"/>
    <w:rsid w:val="00EA07E2"/>
    <w:rsid w:val="00EA29AA"/>
    <w:rsid w:val="00EA4CD0"/>
    <w:rsid w:val="00EA69A8"/>
    <w:rsid w:val="00EB1D6F"/>
    <w:rsid w:val="00EB481D"/>
    <w:rsid w:val="00EB757C"/>
    <w:rsid w:val="00EC0B34"/>
    <w:rsid w:val="00EC6174"/>
    <w:rsid w:val="00EC6363"/>
    <w:rsid w:val="00EC73D1"/>
    <w:rsid w:val="00ED04BD"/>
    <w:rsid w:val="00ED4089"/>
    <w:rsid w:val="00ED4AE4"/>
    <w:rsid w:val="00ED68FA"/>
    <w:rsid w:val="00ED752F"/>
    <w:rsid w:val="00ED75E0"/>
    <w:rsid w:val="00EE2337"/>
    <w:rsid w:val="00EF4E5F"/>
    <w:rsid w:val="00F101F2"/>
    <w:rsid w:val="00F10ED3"/>
    <w:rsid w:val="00F12B63"/>
    <w:rsid w:val="00F27B9A"/>
    <w:rsid w:val="00F33B6F"/>
    <w:rsid w:val="00F351D6"/>
    <w:rsid w:val="00F3581D"/>
    <w:rsid w:val="00F36306"/>
    <w:rsid w:val="00F41C8F"/>
    <w:rsid w:val="00F42CBE"/>
    <w:rsid w:val="00F440EB"/>
    <w:rsid w:val="00F50278"/>
    <w:rsid w:val="00F52805"/>
    <w:rsid w:val="00F61502"/>
    <w:rsid w:val="00F71089"/>
    <w:rsid w:val="00F71E98"/>
    <w:rsid w:val="00F8016A"/>
    <w:rsid w:val="00F806F1"/>
    <w:rsid w:val="00F82649"/>
    <w:rsid w:val="00F84BC9"/>
    <w:rsid w:val="00F85D7C"/>
    <w:rsid w:val="00F875D8"/>
    <w:rsid w:val="00F87BDF"/>
    <w:rsid w:val="00F87D42"/>
    <w:rsid w:val="00F954DA"/>
    <w:rsid w:val="00F95E59"/>
    <w:rsid w:val="00F97636"/>
    <w:rsid w:val="00F97EC5"/>
    <w:rsid w:val="00FA01D8"/>
    <w:rsid w:val="00FA7C64"/>
    <w:rsid w:val="00FB28B3"/>
    <w:rsid w:val="00FB294D"/>
    <w:rsid w:val="00FB31EA"/>
    <w:rsid w:val="00FC30C3"/>
    <w:rsid w:val="00FD0915"/>
    <w:rsid w:val="00FE2C73"/>
    <w:rsid w:val="00FE3B63"/>
    <w:rsid w:val="00FF2D9C"/>
    <w:rsid w:val="00FF3F28"/>
    <w:rsid w:val="00FF41CA"/>
    <w:rsid w:val="00FF48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8A2E47"/>
  <w15:chartTrackingRefBased/>
  <w15:docId w15:val="{E25078F1-800F-4EA4-A6EF-1DF9A4D2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1"/>
    <w:qFormat/>
    <w:rsid w:val="009917B3"/>
    <w:pPr>
      <w:spacing w:after="0"/>
      <w:ind w:left="720"/>
    </w:pPr>
    <w:rPr>
      <w:rFonts w:eastAsia="Calibri" w:cs="Calibri"/>
      <w:szCs w:val="22"/>
    </w:rPr>
  </w:style>
  <w:style w:type="paragraph" w:styleId="BalloonText">
    <w:name w:val="Balloon Text"/>
    <w:basedOn w:val="Normal"/>
    <w:link w:val="BalloonTextChar"/>
    <w:rsid w:val="00762F25"/>
    <w:pPr>
      <w:spacing w:after="0"/>
    </w:pPr>
    <w:rPr>
      <w:rFonts w:ascii="Segoe UI" w:hAnsi="Segoe UI" w:cs="Segoe UI"/>
      <w:sz w:val="18"/>
      <w:szCs w:val="18"/>
    </w:rPr>
  </w:style>
  <w:style w:type="character" w:customStyle="1" w:styleId="BalloonTextChar">
    <w:name w:val="Balloon Text Char"/>
    <w:basedOn w:val="DefaultParagraphFont"/>
    <w:link w:val="BalloonText"/>
    <w:rsid w:val="00762F25"/>
    <w:rPr>
      <w:rFonts w:ascii="Segoe UI" w:eastAsia="Times New Roman" w:hAnsi="Segoe UI" w:cs="Segoe UI"/>
      <w:sz w:val="18"/>
      <w:szCs w:val="18"/>
      <w:lang w:eastAsia="en-US"/>
    </w:rPr>
  </w:style>
  <w:style w:type="paragraph" w:customStyle="1" w:styleId="footnotedescription">
    <w:name w:val="footnote description"/>
    <w:next w:val="Normal"/>
    <w:link w:val="footnotedescriptionChar"/>
    <w:hidden/>
    <w:rsid w:val="00286B8C"/>
    <w:pPr>
      <w:spacing w:line="259" w:lineRule="auto"/>
    </w:pPr>
    <w:rPr>
      <w:rFonts w:ascii="Gill Sans MT" w:eastAsia="Gill Sans MT" w:hAnsi="Gill Sans MT" w:cs="Gill Sans MT"/>
      <w:color w:val="000000"/>
      <w:szCs w:val="22"/>
    </w:rPr>
  </w:style>
  <w:style w:type="character" w:customStyle="1" w:styleId="footnotedescriptionChar">
    <w:name w:val="footnote description Char"/>
    <w:link w:val="footnotedescription"/>
    <w:rsid w:val="00286B8C"/>
    <w:rPr>
      <w:rFonts w:ascii="Gill Sans MT" w:eastAsia="Gill Sans MT" w:hAnsi="Gill Sans MT" w:cs="Gill Sans MT"/>
      <w:color w:val="000000"/>
      <w:szCs w:val="22"/>
    </w:rPr>
  </w:style>
  <w:style w:type="character" w:customStyle="1" w:styleId="footnotemark">
    <w:name w:val="footnote mark"/>
    <w:hidden/>
    <w:rsid w:val="00286B8C"/>
    <w:rPr>
      <w:rFonts w:ascii="Gill Sans MT" w:eastAsia="Gill Sans MT" w:hAnsi="Gill Sans MT" w:cs="Gill Sans MT"/>
      <w:color w:val="000000"/>
      <w:sz w:val="18"/>
      <w:vertAlign w:val="superscript"/>
    </w:rPr>
  </w:style>
  <w:style w:type="paragraph" w:styleId="NormalWeb">
    <w:name w:val="Normal (Web)"/>
    <w:basedOn w:val="Normal"/>
    <w:uiPriority w:val="99"/>
    <w:unhideWhenUsed/>
    <w:rsid w:val="0073047C"/>
    <w:pPr>
      <w:spacing w:before="100" w:beforeAutospacing="1" w:after="100" w:afterAutospacing="1"/>
    </w:pPr>
    <w:rPr>
      <w:rFonts w:ascii="Times New Roman" w:hAnsi="Times New Roman"/>
      <w:sz w:val="24"/>
      <w:lang w:eastAsia="en-IE"/>
    </w:rPr>
  </w:style>
  <w:style w:type="character" w:customStyle="1" w:styleId="FootnoteTextChar">
    <w:name w:val="Footnote Text Char"/>
    <w:basedOn w:val="DefaultParagraphFont"/>
    <w:link w:val="FootnoteText"/>
    <w:semiHidden/>
    <w:rsid w:val="00876059"/>
    <w:rPr>
      <w:rFonts w:ascii="Gill Sans MT" w:eastAsia="Times New Roman" w:hAnsi="Gill Sans MT"/>
      <w:sz w:val="22"/>
      <w:lang w:eastAsia="en-US"/>
    </w:rPr>
  </w:style>
  <w:style w:type="paragraph" w:styleId="EndnoteText">
    <w:name w:val="endnote text"/>
    <w:basedOn w:val="Normal"/>
    <w:link w:val="EndnoteTextChar"/>
    <w:rsid w:val="00F27B9A"/>
    <w:pPr>
      <w:spacing w:after="0"/>
    </w:pPr>
    <w:rPr>
      <w:sz w:val="20"/>
      <w:szCs w:val="20"/>
    </w:rPr>
  </w:style>
  <w:style w:type="character" w:customStyle="1" w:styleId="EndnoteTextChar">
    <w:name w:val="Endnote Text Char"/>
    <w:basedOn w:val="DefaultParagraphFont"/>
    <w:link w:val="EndnoteText"/>
    <w:rsid w:val="00F27B9A"/>
    <w:rPr>
      <w:rFonts w:ascii="Gill Sans MT" w:eastAsia="Times New Roman" w:hAnsi="Gill Sans MT"/>
      <w:lang w:eastAsia="en-US"/>
    </w:rPr>
  </w:style>
  <w:style w:type="character" w:styleId="EndnoteReference">
    <w:name w:val="endnote reference"/>
    <w:basedOn w:val="DefaultParagraphFont"/>
    <w:rsid w:val="00F27B9A"/>
    <w:rPr>
      <w:vertAlign w:val="superscript"/>
    </w:rPr>
  </w:style>
  <w:style w:type="paragraph" w:customStyle="1" w:styleId="Default">
    <w:name w:val="Default"/>
    <w:rsid w:val="00D74DB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034D95"/>
    <w:rPr>
      <w:rFonts w:ascii="Gill Sans MT" w:eastAsia="Times New Roman" w:hAnsi="Gill Sans MT" w:cs="Arial Bold"/>
      <w:b/>
      <w:bCs/>
      <w:iCs/>
      <w:sz w:val="28"/>
      <w:szCs w:val="28"/>
      <w:lang w:eastAsia="en-US"/>
    </w:rPr>
  </w:style>
  <w:style w:type="paragraph" w:styleId="NoSpacing">
    <w:name w:val="No Spacing"/>
    <w:basedOn w:val="Normal"/>
    <w:link w:val="NoSpacingChar"/>
    <w:uiPriority w:val="1"/>
    <w:qFormat/>
    <w:rsid w:val="00DA566A"/>
    <w:pPr>
      <w:spacing w:after="0"/>
      <w:jc w:val="both"/>
    </w:pPr>
    <w:rPr>
      <w:rFonts w:ascii="Calibri" w:hAnsi="Calibri"/>
      <w:sz w:val="24"/>
      <w:lang w:eastAsia="en-IE" w:bidi="he-IL"/>
    </w:rPr>
  </w:style>
  <w:style w:type="character" w:customStyle="1" w:styleId="NoSpacingChar">
    <w:name w:val="No Spacing Char"/>
    <w:link w:val="NoSpacing"/>
    <w:uiPriority w:val="1"/>
    <w:rsid w:val="00DA566A"/>
    <w:rPr>
      <w:rFonts w:ascii="Calibri" w:eastAsia="Times New Roman" w:hAnsi="Calibri"/>
      <w:sz w:val="24"/>
      <w:szCs w:val="24"/>
      <w:lang w:bidi="he-IL"/>
    </w:rPr>
  </w:style>
  <w:style w:type="character" w:styleId="CommentReference">
    <w:name w:val="annotation reference"/>
    <w:basedOn w:val="DefaultParagraphFont"/>
    <w:rsid w:val="00ED4089"/>
    <w:rPr>
      <w:sz w:val="16"/>
      <w:szCs w:val="16"/>
    </w:rPr>
  </w:style>
  <w:style w:type="paragraph" w:styleId="CommentSubject">
    <w:name w:val="annotation subject"/>
    <w:basedOn w:val="CommentText"/>
    <w:next w:val="CommentText"/>
    <w:link w:val="CommentSubjectChar"/>
    <w:rsid w:val="00ED4089"/>
    <w:rPr>
      <w:rFonts w:ascii="Gill Sans MT" w:hAnsi="Gill Sans MT"/>
      <w:b/>
      <w:bCs/>
      <w:szCs w:val="20"/>
      <w:lang w:val="en-IE"/>
    </w:rPr>
  </w:style>
  <w:style w:type="character" w:customStyle="1" w:styleId="CommentSubjectChar">
    <w:name w:val="Comment Subject Char"/>
    <w:basedOn w:val="CommentTextChar"/>
    <w:link w:val="CommentSubject"/>
    <w:rsid w:val="00ED4089"/>
    <w:rPr>
      <w:rFonts w:ascii="Gill Sans MT" w:eastAsia="Times New Roman" w:hAnsi="Gill Sans MT"/>
      <w:b/>
      <w:bCs/>
      <w:szCs w:val="24"/>
      <w:lang w:eastAsia="en-US"/>
    </w:rPr>
  </w:style>
  <w:style w:type="character" w:customStyle="1" w:styleId="TitleChar">
    <w:name w:val="Title Char"/>
    <w:basedOn w:val="DefaultParagraphFont"/>
    <w:link w:val="Title"/>
    <w:rsid w:val="006D6890"/>
    <w:rPr>
      <w:rFonts w:ascii="Gill Sans MT" w:eastAsia="Times New Roman" w:hAnsi="Gill Sans MT" w:cs="Arial"/>
      <w:b/>
      <w:bCs/>
      <w:kern w:val="28"/>
      <w:sz w:val="36"/>
      <w:szCs w:val="32"/>
      <w:lang w:eastAsia="en-US"/>
    </w:rPr>
  </w:style>
  <w:style w:type="paragraph" w:styleId="TOCHeading">
    <w:name w:val="TOC Heading"/>
    <w:basedOn w:val="Heading1"/>
    <w:next w:val="Normal"/>
    <w:uiPriority w:val="39"/>
    <w:unhideWhenUsed/>
    <w:qFormat/>
    <w:rsid w:val="000C717D"/>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0C717D"/>
    <w:pPr>
      <w:spacing w:after="100"/>
      <w:ind w:left="520"/>
    </w:pPr>
  </w:style>
  <w:style w:type="table" w:styleId="TableGrid">
    <w:name w:val="Table Grid"/>
    <w:basedOn w:val="TableNormal"/>
    <w:uiPriority w:val="59"/>
    <w:rsid w:val="009E1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link w:val="ListBullet"/>
    <w:locked/>
    <w:rsid w:val="003C669A"/>
    <w:rPr>
      <w:rFonts w:ascii="Gill Sans MT" w:eastAsia="Times New Roman" w:hAnsi="Gill Sans MT"/>
      <w:sz w:val="26"/>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0E6D89"/>
    <w:rPr>
      <w:rFonts w:ascii="Gill Sans MT" w:eastAsia="Calibri" w:hAnsi="Gill Sans MT" w:cs="Calibri"/>
      <w:sz w:val="26"/>
      <w:szCs w:val="22"/>
      <w:lang w:eastAsia="en-US"/>
    </w:rPr>
  </w:style>
  <w:style w:type="character" w:customStyle="1" w:styleId="FooterChar">
    <w:name w:val="Footer Char"/>
    <w:basedOn w:val="DefaultParagraphFont"/>
    <w:link w:val="Footer"/>
    <w:uiPriority w:val="99"/>
    <w:rsid w:val="00981C12"/>
    <w:rPr>
      <w:rFonts w:ascii="Gill Sans MT" w:eastAsia="Times New Roman" w:hAnsi="Gill Sans MT"/>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1651">
      <w:bodyDiv w:val="1"/>
      <w:marLeft w:val="0"/>
      <w:marRight w:val="0"/>
      <w:marTop w:val="0"/>
      <w:marBottom w:val="0"/>
      <w:divBdr>
        <w:top w:val="none" w:sz="0" w:space="0" w:color="auto"/>
        <w:left w:val="none" w:sz="0" w:space="0" w:color="auto"/>
        <w:bottom w:val="none" w:sz="0" w:space="0" w:color="auto"/>
        <w:right w:val="none" w:sz="0" w:space="0" w:color="auto"/>
      </w:divBdr>
    </w:div>
    <w:div w:id="241107122">
      <w:bodyDiv w:val="1"/>
      <w:marLeft w:val="0"/>
      <w:marRight w:val="0"/>
      <w:marTop w:val="0"/>
      <w:marBottom w:val="0"/>
      <w:divBdr>
        <w:top w:val="none" w:sz="0" w:space="0" w:color="auto"/>
        <w:left w:val="none" w:sz="0" w:space="0" w:color="auto"/>
        <w:bottom w:val="none" w:sz="0" w:space="0" w:color="auto"/>
        <w:right w:val="none" w:sz="0" w:space="0" w:color="auto"/>
      </w:divBdr>
    </w:div>
    <w:div w:id="520779753">
      <w:bodyDiv w:val="1"/>
      <w:marLeft w:val="0"/>
      <w:marRight w:val="0"/>
      <w:marTop w:val="0"/>
      <w:marBottom w:val="0"/>
      <w:divBdr>
        <w:top w:val="none" w:sz="0" w:space="0" w:color="auto"/>
        <w:left w:val="none" w:sz="0" w:space="0" w:color="auto"/>
        <w:bottom w:val="none" w:sz="0" w:space="0" w:color="auto"/>
        <w:right w:val="none" w:sz="0" w:space="0" w:color="auto"/>
      </w:divBdr>
    </w:div>
    <w:div w:id="556476272">
      <w:bodyDiv w:val="1"/>
      <w:marLeft w:val="0"/>
      <w:marRight w:val="0"/>
      <w:marTop w:val="0"/>
      <w:marBottom w:val="0"/>
      <w:divBdr>
        <w:top w:val="none" w:sz="0" w:space="0" w:color="auto"/>
        <w:left w:val="none" w:sz="0" w:space="0" w:color="auto"/>
        <w:bottom w:val="none" w:sz="0" w:space="0" w:color="auto"/>
        <w:right w:val="none" w:sz="0" w:space="0" w:color="auto"/>
      </w:divBdr>
    </w:div>
    <w:div w:id="731924263">
      <w:bodyDiv w:val="1"/>
      <w:marLeft w:val="0"/>
      <w:marRight w:val="0"/>
      <w:marTop w:val="0"/>
      <w:marBottom w:val="0"/>
      <w:divBdr>
        <w:top w:val="none" w:sz="0" w:space="0" w:color="auto"/>
        <w:left w:val="none" w:sz="0" w:space="0" w:color="auto"/>
        <w:bottom w:val="none" w:sz="0" w:space="0" w:color="auto"/>
        <w:right w:val="none" w:sz="0" w:space="0" w:color="auto"/>
      </w:divBdr>
    </w:div>
    <w:div w:id="1155951869">
      <w:bodyDiv w:val="1"/>
      <w:marLeft w:val="0"/>
      <w:marRight w:val="0"/>
      <w:marTop w:val="0"/>
      <w:marBottom w:val="0"/>
      <w:divBdr>
        <w:top w:val="none" w:sz="0" w:space="0" w:color="auto"/>
        <w:left w:val="none" w:sz="0" w:space="0" w:color="auto"/>
        <w:bottom w:val="none" w:sz="0" w:space="0" w:color="auto"/>
        <w:right w:val="none" w:sz="0" w:space="0" w:color="auto"/>
      </w:divBdr>
    </w:div>
    <w:div w:id="1313100669">
      <w:bodyDiv w:val="1"/>
      <w:marLeft w:val="0"/>
      <w:marRight w:val="0"/>
      <w:marTop w:val="0"/>
      <w:marBottom w:val="0"/>
      <w:divBdr>
        <w:top w:val="none" w:sz="0" w:space="0" w:color="auto"/>
        <w:left w:val="none" w:sz="0" w:space="0" w:color="auto"/>
        <w:bottom w:val="none" w:sz="0" w:space="0" w:color="auto"/>
        <w:right w:val="none" w:sz="0" w:space="0" w:color="auto"/>
      </w:divBdr>
    </w:div>
    <w:div w:id="1367099950">
      <w:bodyDiv w:val="1"/>
      <w:marLeft w:val="0"/>
      <w:marRight w:val="0"/>
      <w:marTop w:val="0"/>
      <w:marBottom w:val="0"/>
      <w:divBdr>
        <w:top w:val="none" w:sz="0" w:space="0" w:color="auto"/>
        <w:left w:val="none" w:sz="0" w:space="0" w:color="auto"/>
        <w:bottom w:val="none" w:sz="0" w:space="0" w:color="auto"/>
        <w:right w:val="none" w:sz="0" w:space="0" w:color="auto"/>
      </w:divBdr>
    </w:div>
    <w:div w:id="1688290703">
      <w:bodyDiv w:val="1"/>
      <w:marLeft w:val="0"/>
      <w:marRight w:val="0"/>
      <w:marTop w:val="0"/>
      <w:marBottom w:val="0"/>
      <w:divBdr>
        <w:top w:val="none" w:sz="0" w:space="0" w:color="auto"/>
        <w:left w:val="none" w:sz="0" w:space="0" w:color="auto"/>
        <w:bottom w:val="none" w:sz="0" w:space="0" w:color="auto"/>
        <w:right w:val="none" w:sz="0" w:space="0" w:color="auto"/>
      </w:divBdr>
    </w:div>
    <w:div w:id="1690788998">
      <w:bodyDiv w:val="1"/>
      <w:marLeft w:val="0"/>
      <w:marRight w:val="0"/>
      <w:marTop w:val="0"/>
      <w:marBottom w:val="0"/>
      <w:divBdr>
        <w:top w:val="none" w:sz="0" w:space="0" w:color="auto"/>
        <w:left w:val="none" w:sz="0" w:space="0" w:color="auto"/>
        <w:bottom w:val="none" w:sz="0" w:space="0" w:color="auto"/>
        <w:right w:val="none" w:sz="0" w:space="0" w:color="auto"/>
      </w:divBdr>
      <w:divsChild>
        <w:div w:id="962884175">
          <w:marLeft w:val="0"/>
          <w:marRight w:val="0"/>
          <w:marTop w:val="0"/>
          <w:marBottom w:val="0"/>
          <w:divBdr>
            <w:top w:val="none" w:sz="0" w:space="0" w:color="auto"/>
            <w:left w:val="none" w:sz="0" w:space="0" w:color="auto"/>
            <w:bottom w:val="none" w:sz="0" w:space="0" w:color="auto"/>
            <w:right w:val="none" w:sz="0" w:space="0" w:color="auto"/>
          </w:divBdr>
          <w:divsChild>
            <w:div w:id="2076317979">
              <w:marLeft w:val="0"/>
              <w:marRight w:val="0"/>
              <w:marTop w:val="0"/>
              <w:marBottom w:val="0"/>
              <w:divBdr>
                <w:top w:val="none" w:sz="0" w:space="0" w:color="auto"/>
                <w:left w:val="none" w:sz="0" w:space="0" w:color="auto"/>
                <w:bottom w:val="none" w:sz="0" w:space="0" w:color="auto"/>
                <w:right w:val="none" w:sz="0" w:space="0" w:color="auto"/>
              </w:divBdr>
              <w:divsChild>
                <w:div w:id="65810408">
                  <w:marLeft w:val="0"/>
                  <w:marRight w:val="0"/>
                  <w:marTop w:val="0"/>
                  <w:marBottom w:val="0"/>
                  <w:divBdr>
                    <w:top w:val="none" w:sz="0" w:space="0" w:color="auto"/>
                    <w:left w:val="none" w:sz="0" w:space="0" w:color="auto"/>
                    <w:bottom w:val="none" w:sz="0" w:space="0" w:color="auto"/>
                    <w:right w:val="none" w:sz="0" w:space="0" w:color="auto"/>
                  </w:divBdr>
                  <w:divsChild>
                    <w:div w:id="7044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service/38fdd0-workplace-equipment-adaptation-gra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e/en/service/4c4ce4-job-interview-interpreter-grant/" TargetMode="External"/><Relationship Id="rId4" Type="http://schemas.openxmlformats.org/officeDocument/2006/relationships/settings" Target="settings.xml"/><Relationship Id="rId9" Type="http://schemas.openxmlformats.org/officeDocument/2006/relationships/hyperlink" Target="https://www.gov.ie/en/service/231dfe-personal-reader-gra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udublin.ie/explore/news/self-employment-for-people-with-disabilities---new-course-commencing-in-september.html" TargetMode="External"/><Relationship Id="rId3" Type="http://schemas.openxmlformats.org/officeDocument/2006/relationships/hyperlink" Target="https://ahead.ie/userfiles/files/shop/free/Learning%20from%20Home%20During%20Covid-19%20-" TargetMode="External"/><Relationship Id="rId7" Type="http://schemas.openxmlformats.org/officeDocument/2006/relationships/hyperlink" Target="file:///H:/Downloads/152608_090ec83f-7e86-4419-a63c-d3ee92bbce4a%20(1).pdf" TargetMode="External"/><Relationship Id="rId12" Type="http://schemas.openxmlformats.org/officeDocument/2006/relationships/hyperlink" Target="https://assets.gov.ie/205042/ff56196d-476b-478c-abec-d8076f66d45f.pdf" TargetMode="External"/><Relationship Id="rId2" Type="http://schemas.openxmlformats.org/officeDocument/2006/relationships/hyperlink" Target="https://nda.ie/publications/others/research-publications/lockdowns-unlock-innovations-report.html" TargetMode="External"/><Relationship Id="rId1" Type="http://schemas.openxmlformats.org/officeDocument/2006/relationships/hyperlink" Target="https://www.gov.ie/en/publication/1feaf-pathways-to-work-2021/" TargetMode="External"/><Relationship Id="rId6" Type="http://schemas.openxmlformats.org/officeDocument/2006/relationships/hyperlink" Target="https://www.ahead.ie/journal/Towards-Inclusion-Impacts-Responses-and-Resources-The-Experiences-of-Students-with-Disabilities-on-Learning-from-Home-during-Covid-19-Trinity-College-Dublin" TargetMode="External"/><Relationship Id="rId11" Type="http://schemas.openxmlformats.org/officeDocument/2006/relationships/hyperlink" Target="https://www.cso.ie/en/releasesandpublications/fp/fp-iewad/incomeemploymentandwelfareanalysisofpeoplewithadisability2019/" TargetMode="External"/><Relationship Id="rId5" Type="http://schemas.openxmlformats.org/officeDocument/2006/relationships/hyperlink" Target="https://www.gov.ie/en/service/62fd96-reasonable-accommodation-fund/" TargetMode="External"/><Relationship Id="rId10" Type="http://schemas.openxmlformats.org/officeDocument/2006/relationships/hyperlink" Target="https://www.employersforchange.ie/" TargetMode="External"/><Relationship Id="rId4" Type="http://schemas.openxmlformats.org/officeDocument/2006/relationships/hyperlink" Target="https://employability.ie/wp/" TargetMode="External"/><Relationship Id="rId9" Type="http://schemas.openxmlformats.org/officeDocument/2006/relationships/hyperlink" Target="http://nda.ie/Publications/Employment/Employment-Publications/Literature-Review-Guidance-on-retaining-employees-with-a-disabil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77A9-3590-47BE-A583-3F0561AC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5</Pages>
  <Words>10962</Words>
  <Characters>62488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E. Wilkinson</dc:creator>
  <cp:keywords/>
  <dc:description/>
  <cp:lastModifiedBy>tammingre</cp:lastModifiedBy>
  <cp:revision>2</cp:revision>
  <cp:lastPrinted>2022-01-25T10:55:00Z</cp:lastPrinted>
  <dcterms:created xsi:type="dcterms:W3CDTF">2022-07-03T18:52:00Z</dcterms:created>
  <dcterms:modified xsi:type="dcterms:W3CDTF">2022-07-03T18:52:00Z</dcterms:modified>
</cp:coreProperties>
</file>