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CC58B" w14:textId="504A43D7" w:rsidR="004E668D" w:rsidRDefault="002E4273" w:rsidP="00107A7F">
      <w:pPr>
        <w:spacing w:before="2040" w:after="2040"/>
        <w:rPr>
          <w:rFonts w:cs="Arial"/>
          <w:b/>
          <w:bCs/>
          <w:kern w:val="28"/>
          <w:sz w:val="52"/>
          <w:szCs w:val="32"/>
        </w:rPr>
      </w:pPr>
      <w:bookmarkStart w:id="0" w:name="_GoBack"/>
      <w:bookmarkEnd w:id="0"/>
      <w:r w:rsidRPr="002E4273">
        <w:rPr>
          <w:rFonts w:cs="Arial"/>
          <w:b/>
          <w:bCs/>
          <w:kern w:val="28"/>
          <w:sz w:val="52"/>
          <w:szCs w:val="32"/>
        </w:rPr>
        <w:t xml:space="preserve">A literature review of </w:t>
      </w:r>
      <w:r w:rsidR="008134E1">
        <w:rPr>
          <w:rFonts w:cs="Arial"/>
          <w:b/>
          <w:bCs/>
          <w:kern w:val="28"/>
          <w:sz w:val="52"/>
          <w:szCs w:val="32"/>
        </w:rPr>
        <w:t>methods used to</w:t>
      </w:r>
      <w:r w:rsidRPr="002E4273">
        <w:rPr>
          <w:rFonts w:cs="Arial"/>
          <w:b/>
          <w:bCs/>
          <w:kern w:val="28"/>
          <w:sz w:val="52"/>
          <w:szCs w:val="32"/>
        </w:rPr>
        <w:t xml:space="preserve"> measure attitudes towards disability </w:t>
      </w:r>
    </w:p>
    <w:p w14:paraId="5BD77918" w14:textId="0BF95FE5" w:rsidR="002E4273" w:rsidRDefault="002E4273" w:rsidP="002E4273">
      <w:pPr>
        <w:spacing w:after="0"/>
        <w:rPr>
          <w:rFonts w:cs="Arial"/>
          <w:b/>
          <w:bCs/>
          <w:kern w:val="28"/>
          <w:sz w:val="52"/>
          <w:szCs w:val="32"/>
        </w:rPr>
      </w:pPr>
    </w:p>
    <w:p w14:paraId="78E094ED" w14:textId="71CD4D29" w:rsidR="002E4273" w:rsidRPr="002E4273" w:rsidRDefault="00013CC9" w:rsidP="002E4273">
      <w:pPr>
        <w:spacing w:after="0"/>
        <w:rPr>
          <w:rFonts w:cs="Arial"/>
          <w:b/>
          <w:bCs/>
          <w:kern w:val="28"/>
          <w:sz w:val="36"/>
          <w:szCs w:val="32"/>
        </w:rPr>
      </w:pPr>
      <w:r>
        <w:rPr>
          <w:rFonts w:cs="Arial"/>
          <w:b/>
          <w:bCs/>
          <w:kern w:val="28"/>
          <w:sz w:val="36"/>
          <w:szCs w:val="32"/>
        </w:rPr>
        <w:t>December</w:t>
      </w:r>
      <w:r w:rsidR="002E4273" w:rsidRPr="002E4273">
        <w:rPr>
          <w:rFonts w:cs="Arial"/>
          <w:b/>
          <w:bCs/>
          <w:kern w:val="28"/>
          <w:sz w:val="36"/>
          <w:szCs w:val="32"/>
        </w:rPr>
        <w:t xml:space="preserve"> 2022</w:t>
      </w:r>
    </w:p>
    <w:p w14:paraId="1103FC63" w14:textId="77777777" w:rsidR="004E668D" w:rsidRDefault="004E668D">
      <w:pPr>
        <w:spacing w:after="0"/>
        <w:rPr>
          <w:rFonts w:cs="Arial"/>
          <w:b/>
          <w:bCs/>
          <w:kern w:val="28"/>
          <w:sz w:val="36"/>
          <w:szCs w:val="32"/>
        </w:rPr>
      </w:pPr>
    </w:p>
    <w:p w14:paraId="07414493" w14:textId="77777777" w:rsidR="004E668D" w:rsidRDefault="004E668D">
      <w:pPr>
        <w:spacing w:after="0"/>
        <w:rPr>
          <w:rFonts w:cs="Arial"/>
          <w:b/>
          <w:bCs/>
          <w:kern w:val="28"/>
          <w:sz w:val="36"/>
          <w:szCs w:val="32"/>
        </w:rPr>
      </w:pPr>
    </w:p>
    <w:p w14:paraId="65239FFA" w14:textId="78600D00" w:rsidR="004E668D" w:rsidRDefault="004E668D">
      <w:pPr>
        <w:spacing w:after="0"/>
        <w:rPr>
          <w:rFonts w:cs="Arial"/>
          <w:b/>
          <w:bCs/>
          <w:kern w:val="28"/>
          <w:sz w:val="36"/>
          <w:szCs w:val="32"/>
        </w:rPr>
      </w:pPr>
      <w:r>
        <w:rPr>
          <w:noProof/>
          <w:lang w:eastAsia="en-IE"/>
        </w:rPr>
        <w:drawing>
          <wp:inline distT="0" distB="0" distL="0" distR="0" wp14:anchorId="0CADC906" wp14:editId="0205A52E">
            <wp:extent cx="2529840" cy="1804670"/>
            <wp:effectExtent l="0" t="0" r="3810" b="5080"/>
            <wp:docPr id="2" name="Picture 2" descr="Image of NDA Logo"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1804670"/>
                    </a:xfrm>
                    <a:prstGeom prst="rect">
                      <a:avLst/>
                    </a:prstGeom>
                    <a:noFill/>
                  </pic:spPr>
                </pic:pic>
              </a:graphicData>
            </a:graphic>
          </wp:inline>
        </w:drawing>
      </w:r>
    </w:p>
    <w:p w14:paraId="4BE288B8" w14:textId="77777777" w:rsidR="004E668D" w:rsidRDefault="004E668D">
      <w:pPr>
        <w:spacing w:after="0"/>
        <w:rPr>
          <w:rFonts w:cs="Arial"/>
          <w:b/>
          <w:bCs/>
          <w:kern w:val="28"/>
          <w:sz w:val="36"/>
          <w:szCs w:val="32"/>
        </w:rPr>
      </w:pPr>
    </w:p>
    <w:p w14:paraId="165CA8D2" w14:textId="73876DC1" w:rsidR="002A72B1" w:rsidRDefault="002A72B1">
      <w:pPr>
        <w:spacing w:after="0"/>
        <w:rPr>
          <w:rFonts w:cs="Arial"/>
          <w:b/>
          <w:bCs/>
          <w:kern w:val="28"/>
          <w:sz w:val="36"/>
          <w:szCs w:val="32"/>
        </w:rPr>
        <w:sectPr w:rsidR="002A72B1" w:rsidSect="002A72B1">
          <w:footerReference w:type="default" r:id="rId9"/>
          <w:footerReference w:type="first" r:id="rId10"/>
          <w:pgSz w:w="12240" w:h="15840"/>
          <w:pgMar w:top="1440" w:right="1800" w:bottom="1440" w:left="1800" w:header="708" w:footer="708" w:gutter="0"/>
          <w:cols w:space="708"/>
          <w:titlePg/>
          <w:docGrid w:linePitch="360"/>
        </w:sectPr>
      </w:pPr>
    </w:p>
    <w:sdt>
      <w:sdtPr>
        <w:rPr>
          <w:rFonts w:ascii="Gill Sans MT" w:eastAsia="Times New Roman" w:hAnsi="Gill Sans MT" w:cs="Times New Roman"/>
          <w:color w:val="auto"/>
          <w:sz w:val="26"/>
          <w:szCs w:val="24"/>
          <w:lang w:val="en-IE"/>
        </w:rPr>
        <w:id w:val="1872957665"/>
        <w:docPartObj>
          <w:docPartGallery w:val="Table of Contents"/>
          <w:docPartUnique/>
        </w:docPartObj>
      </w:sdtPr>
      <w:sdtEndPr>
        <w:rPr>
          <w:b/>
          <w:bCs/>
          <w:noProof/>
        </w:rPr>
      </w:sdtEndPr>
      <w:sdtContent>
        <w:p w14:paraId="2D91C94D" w14:textId="5E66A011" w:rsidR="0040063E" w:rsidRDefault="0040063E">
          <w:pPr>
            <w:pStyle w:val="TOCHeading"/>
          </w:pPr>
          <w:r>
            <w:t>Contents</w:t>
          </w:r>
        </w:p>
        <w:p w14:paraId="64CCBE61" w14:textId="52883BF0" w:rsidR="00BA4A77" w:rsidRDefault="0040063E">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"1-3" \h \z \u </w:instrText>
          </w:r>
          <w:r>
            <w:fldChar w:fldCharType="separate"/>
          </w:r>
          <w:hyperlink w:anchor="_Toc123809211" w:history="1">
            <w:r w:rsidR="00BA4A77" w:rsidRPr="00A44D58">
              <w:rPr>
                <w:rStyle w:val="Hyperlink"/>
                <w:noProof/>
              </w:rPr>
              <w:t>Introduction</w:t>
            </w:r>
            <w:r w:rsidR="00BA4A77">
              <w:rPr>
                <w:noProof/>
                <w:webHidden/>
              </w:rPr>
              <w:tab/>
            </w:r>
            <w:r w:rsidR="00BA4A77">
              <w:rPr>
                <w:noProof/>
                <w:webHidden/>
              </w:rPr>
              <w:fldChar w:fldCharType="begin"/>
            </w:r>
            <w:r w:rsidR="00BA4A77">
              <w:rPr>
                <w:noProof/>
                <w:webHidden/>
              </w:rPr>
              <w:instrText xml:space="preserve"> PAGEREF _Toc123809211 \h </w:instrText>
            </w:r>
            <w:r w:rsidR="00BA4A77">
              <w:rPr>
                <w:noProof/>
                <w:webHidden/>
              </w:rPr>
            </w:r>
            <w:r w:rsidR="00BA4A77">
              <w:rPr>
                <w:noProof/>
                <w:webHidden/>
              </w:rPr>
              <w:fldChar w:fldCharType="separate"/>
            </w:r>
            <w:r w:rsidR="00107A7F">
              <w:rPr>
                <w:noProof/>
                <w:webHidden/>
              </w:rPr>
              <w:t>3</w:t>
            </w:r>
            <w:r w:rsidR="00BA4A77">
              <w:rPr>
                <w:noProof/>
                <w:webHidden/>
              </w:rPr>
              <w:fldChar w:fldCharType="end"/>
            </w:r>
          </w:hyperlink>
        </w:p>
        <w:p w14:paraId="1DB06C87" w14:textId="36F91492" w:rsidR="00BA4A77" w:rsidRDefault="00CC5ACD">
          <w:pPr>
            <w:pStyle w:val="TOC2"/>
            <w:tabs>
              <w:tab w:val="right" w:leader="dot" w:pos="8630"/>
            </w:tabs>
            <w:rPr>
              <w:rFonts w:asciiTheme="minorHAnsi" w:eastAsiaTheme="minorEastAsia" w:hAnsiTheme="minorHAnsi" w:cstheme="minorBidi"/>
              <w:noProof/>
              <w:sz w:val="22"/>
              <w:szCs w:val="22"/>
              <w:lang w:eastAsia="en-IE"/>
            </w:rPr>
          </w:pPr>
          <w:hyperlink w:anchor="_Toc123809212" w:history="1">
            <w:r w:rsidR="00BA4A77" w:rsidRPr="00A44D58">
              <w:rPr>
                <w:rStyle w:val="Hyperlink"/>
                <w:noProof/>
              </w:rPr>
              <w:t>Background</w:t>
            </w:r>
            <w:r w:rsidR="00BA4A77">
              <w:rPr>
                <w:noProof/>
                <w:webHidden/>
              </w:rPr>
              <w:tab/>
            </w:r>
            <w:r w:rsidR="00BA4A77">
              <w:rPr>
                <w:noProof/>
                <w:webHidden/>
              </w:rPr>
              <w:fldChar w:fldCharType="begin"/>
            </w:r>
            <w:r w:rsidR="00BA4A77">
              <w:rPr>
                <w:noProof/>
                <w:webHidden/>
              </w:rPr>
              <w:instrText xml:space="preserve"> PAGEREF _Toc123809212 \h </w:instrText>
            </w:r>
            <w:r w:rsidR="00BA4A77">
              <w:rPr>
                <w:noProof/>
                <w:webHidden/>
              </w:rPr>
            </w:r>
            <w:r w:rsidR="00BA4A77">
              <w:rPr>
                <w:noProof/>
                <w:webHidden/>
              </w:rPr>
              <w:fldChar w:fldCharType="separate"/>
            </w:r>
            <w:r w:rsidR="00107A7F">
              <w:rPr>
                <w:noProof/>
                <w:webHidden/>
              </w:rPr>
              <w:t>3</w:t>
            </w:r>
            <w:r w:rsidR="00BA4A77">
              <w:rPr>
                <w:noProof/>
                <w:webHidden/>
              </w:rPr>
              <w:fldChar w:fldCharType="end"/>
            </w:r>
          </w:hyperlink>
        </w:p>
        <w:p w14:paraId="14402FFE" w14:textId="7AE4C76A" w:rsidR="00BA4A77" w:rsidRDefault="00CC5ACD">
          <w:pPr>
            <w:pStyle w:val="TOC1"/>
            <w:tabs>
              <w:tab w:val="right" w:leader="dot" w:pos="8630"/>
            </w:tabs>
            <w:rPr>
              <w:rFonts w:asciiTheme="minorHAnsi" w:eastAsiaTheme="minorEastAsia" w:hAnsiTheme="minorHAnsi" w:cstheme="minorBidi"/>
              <w:b w:val="0"/>
              <w:noProof/>
              <w:sz w:val="22"/>
              <w:szCs w:val="22"/>
              <w:lang w:eastAsia="en-IE"/>
            </w:rPr>
          </w:pPr>
          <w:hyperlink w:anchor="_Toc123809213" w:history="1">
            <w:r w:rsidR="00BA4A77" w:rsidRPr="00A44D58">
              <w:rPr>
                <w:rStyle w:val="Hyperlink"/>
                <w:noProof/>
              </w:rPr>
              <w:t>Methods of measuring attitudes</w:t>
            </w:r>
            <w:r w:rsidR="00BA4A77">
              <w:rPr>
                <w:noProof/>
                <w:webHidden/>
              </w:rPr>
              <w:tab/>
            </w:r>
            <w:r w:rsidR="00BA4A77">
              <w:rPr>
                <w:noProof/>
                <w:webHidden/>
              </w:rPr>
              <w:fldChar w:fldCharType="begin"/>
            </w:r>
            <w:r w:rsidR="00BA4A77">
              <w:rPr>
                <w:noProof/>
                <w:webHidden/>
              </w:rPr>
              <w:instrText xml:space="preserve"> PAGEREF _Toc123809213 \h </w:instrText>
            </w:r>
            <w:r w:rsidR="00BA4A77">
              <w:rPr>
                <w:noProof/>
                <w:webHidden/>
              </w:rPr>
            </w:r>
            <w:r w:rsidR="00BA4A77">
              <w:rPr>
                <w:noProof/>
                <w:webHidden/>
              </w:rPr>
              <w:fldChar w:fldCharType="separate"/>
            </w:r>
            <w:r w:rsidR="00107A7F">
              <w:rPr>
                <w:noProof/>
                <w:webHidden/>
              </w:rPr>
              <w:t>4</w:t>
            </w:r>
            <w:r w:rsidR="00BA4A77">
              <w:rPr>
                <w:noProof/>
                <w:webHidden/>
              </w:rPr>
              <w:fldChar w:fldCharType="end"/>
            </w:r>
          </w:hyperlink>
        </w:p>
        <w:p w14:paraId="7D7DD88B" w14:textId="41F81C0C" w:rsidR="00BA4A77" w:rsidRDefault="00CC5ACD">
          <w:pPr>
            <w:pStyle w:val="TOC2"/>
            <w:tabs>
              <w:tab w:val="right" w:leader="dot" w:pos="8630"/>
            </w:tabs>
            <w:rPr>
              <w:rFonts w:asciiTheme="minorHAnsi" w:eastAsiaTheme="minorEastAsia" w:hAnsiTheme="minorHAnsi" w:cstheme="minorBidi"/>
              <w:noProof/>
              <w:sz w:val="22"/>
              <w:szCs w:val="22"/>
              <w:lang w:eastAsia="en-IE"/>
            </w:rPr>
          </w:pPr>
          <w:hyperlink w:anchor="_Toc123809214" w:history="1">
            <w:r w:rsidR="00BA4A77" w:rsidRPr="00A44D58">
              <w:rPr>
                <w:rStyle w:val="Hyperlink"/>
                <w:noProof/>
              </w:rPr>
              <w:t>Direct measures</w:t>
            </w:r>
            <w:r w:rsidR="00BA4A77">
              <w:rPr>
                <w:noProof/>
                <w:webHidden/>
              </w:rPr>
              <w:tab/>
            </w:r>
            <w:r w:rsidR="00BA4A77">
              <w:rPr>
                <w:noProof/>
                <w:webHidden/>
              </w:rPr>
              <w:fldChar w:fldCharType="begin"/>
            </w:r>
            <w:r w:rsidR="00BA4A77">
              <w:rPr>
                <w:noProof/>
                <w:webHidden/>
              </w:rPr>
              <w:instrText xml:space="preserve"> PAGEREF _Toc123809214 \h </w:instrText>
            </w:r>
            <w:r w:rsidR="00BA4A77">
              <w:rPr>
                <w:noProof/>
                <w:webHidden/>
              </w:rPr>
            </w:r>
            <w:r w:rsidR="00BA4A77">
              <w:rPr>
                <w:noProof/>
                <w:webHidden/>
              </w:rPr>
              <w:fldChar w:fldCharType="separate"/>
            </w:r>
            <w:r w:rsidR="00107A7F">
              <w:rPr>
                <w:noProof/>
                <w:webHidden/>
              </w:rPr>
              <w:t>5</w:t>
            </w:r>
            <w:r w:rsidR="00BA4A77">
              <w:rPr>
                <w:noProof/>
                <w:webHidden/>
              </w:rPr>
              <w:fldChar w:fldCharType="end"/>
            </w:r>
          </w:hyperlink>
        </w:p>
        <w:p w14:paraId="5FE95251" w14:textId="74994BE9"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15" w:history="1">
            <w:r w:rsidR="00BA4A77" w:rsidRPr="00A44D58">
              <w:rPr>
                <w:rStyle w:val="Hyperlink"/>
                <w:noProof/>
              </w:rPr>
              <w:t>Self-report surveys</w:t>
            </w:r>
            <w:r w:rsidR="00BA4A77">
              <w:rPr>
                <w:noProof/>
                <w:webHidden/>
              </w:rPr>
              <w:tab/>
            </w:r>
            <w:r w:rsidR="00BA4A77">
              <w:rPr>
                <w:noProof/>
                <w:webHidden/>
              </w:rPr>
              <w:fldChar w:fldCharType="begin"/>
            </w:r>
            <w:r w:rsidR="00BA4A77">
              <w:rPr>
                <w:noProof/>
                <w:webHidden/>
              </w:rPr>
              <w:instrText xml:space="preserve"> PAGEREF _Toc123809215 \h </w:instrText>
            </w:r>
            <w:r w:rsidR="00BA4A77">
              <w:rPr>
                <w:noProof/>
                <w:webHidden/>
              </w:rPr>
            </w:r>
            <w:r w:rsidR="00BA4A77">
              <w:rPr>
                <w:noProof/>
                <w:webHidden/>
              </w:rPr>
              <w:fldChar w:fldCharType="separate"/>
            </w:r>
            <w:r w:rsidR="00107A7F">
              <w:rPr>
                <w:noProof/>
                <w:webHidden/>
              </w:rPr>
              <w:t>6</w:t>
            </w:r>
            <w:r w:rsidR="00BA4A77">
              <w:rPr>
                <w:noProof/>
                <w:webHidden/>
              </w:rPr>
              <w:fldChar w:fldCharType="end"/>
            </w:r>
          </w:hyperlink>
        </w:p>
        <w:p w14:paraId="1507D727" w14:textId="64C5D7F4"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16" w:history="1">
            <w:r w:rsidR="00BA4A77" w:rsidRPr="00A44D58">
              <w:rPr>
                <w:rStyle w:val="Hyperlink"/>
                <w:noProof/>
              </w:rPr>
              <w:t>Q-methodology</w:t>
            </w:r>
            <w:r w:rsidR="00BA4A77">
              <w:rPr>
                <w:noProof/>
                <w:webHidden/>
              </w:rPr>
              <w:tab/>
            </w:r>
            <w:r w:rsidR="00BA4A77">
              <w:rPr>
                <w:noProof/>
                <w:webHidden/>
              </w:rPr>
              <w:fldChar w:fldCharType="begin"/>
            </w:r>
            <w:r w:rsidR="00BA4A77">
              <w:rPr>
                <w:noProof/>
                <w:webHidden/>
              </w:rPr>
              <w:instrText xml:space="preserve"> PAGEREF _Toc123809216 \h </w:instrText>
            </w:r>
            <w:r w:rsidR="00BA4A77">
              <w:rPr>
                <w:noProof/>
                <w:webHidden/>
              </w:rPr>
            </w:r>
            <w:r w:rsidR="00BA4A77">
              <w:rPr>
                <w:noProof/>
                <w:webHidden/>
              </w:rPr>
              <w:fldChar w:fldCharType="separate"/>
            </w:r>
            <w:r w:rsidR="00107A7F">
              <w:rPr>
                <w:noProof/>
                <w:webHidden/>
              </w:rPr>
              <w:t>7</w:t>
            </w:r>
            <w:r w:rsidR="00BA4A77">
              <w:rPr>
                <w:noProof/>
                <w:webHidden/>
              </w:rPr>
              <w:fldChar w:fldCharType="end"/>
            </w:r>
          </w:hyperlink>
        </w:p>
        <w:p w14:paraId="68D5B1F5" w14:textId="1E9132A7"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17" w:history="1">
            <w:r w:rsidR="00BA4A77" w:rsidRPr="00A44D58">
              <w:rPr>
                <w:rStyle w:val="Hyperlink"/>
                <w:noProof/>
              </w:rPr>
              <w:t>Sociometric techniques</w:t>
            </w:r>
            <w:r w:rsidR="00BA4A77">
              <w:rPr>
                <w:noProof/>
                <w:webHidden/>
              </w:rPr>
              <w:tab/>
            </w:r>
            <w:r w:rsidR="00BA4A77">
              <w:rPr>
                <w:noProof/>
                <w:webHidden/>
              </w:rPr>
              <w:fldChar w:fldCharType="begin"/>
            </w:r>
            <w:r w:rsidR="00BA4A77">
              <w:rPr>
                <w:noProof/>
                <w:webHidden/>
              </w:rPr>
              <w:instrText xml:space="preserve"> PAGEREF _Toc123809217 \h </w:instrText>
            </w:r>
            <w:r w:rsidR="00BA4A77">
              <w:rPr>
                <w:noProof/>
                <w:webHidden/>
              </w:rPr>
            </w:r>
            <w:r w:rsidR="00BA4A77">
              <w:rPr>
                <w:noProof/>
                <w:webHidden/>
              </w:rPr>
              <w:fldChar w:fldCharType="separate"/>
            </w:r>
            <w:r w:rsidR="00107A7F">
              <w:rPr>
                <w:noProof/>
                <w:webHidden/>
              </w:rPr>
              <w:t>9</w:t>
            </w:r>
            <w:r w:rsidR="00BA4A77">
              <w:rPr>
                <w:noProof/>
                <w:webHidden/>
              </w:rPr>
              <w:fldChar w:fldCharType="end"/>
            </w:r>
          </w:hyperlink>
        </w:p>
        <w:p w14:paraId="6918E615" w14:textId="312821B9"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18" w:history="1">
            <w:r w:rsidR="00BA4A77" w:rsidRPr="00A44D58">
              <w:rPr>
                <w:rStyle w:val="Hyperlink"/>
                <w:noProof/>
              </w:rPr>
              <w:t>Semantic deferential technique</w:t>
            </w:r>
            <w:r w:rsidR="00BA4A77">
              <w:rPr>
                <w:noProof/>
                <w:webHidden/>
              </w:rPr>
              <w:tab/>
            </w:r>
            <w:r w:rsidR="00BA4A77">
              <w:rPr>
                <w:noProof/>
                <w:webHidden/>
              </w:rPr>
              <w:fldChar w:fldCharType="begin"/>
            </w:r>
            <w:r w:rsidR="00BA4A77">
              <w:rPr>
                <w:noProof/>
                <w:webHidden/>
              </w:rPr>
              <w:instrText xml:space="preserve"> PAGEREF _Toc123809218 \h </w:instrText>
            </w:r>
            <w:r w:rsidR="00BA4A77">
              <w:rPr>
                <w:noProof/>
                <w:webHidden/>
              </w:rPr>
            </w:r>
            <w:r w:rsidR="00BA4A77">
              <w:rPr>
                <w:noProof/>
                <w:webHidden/>
              </w:rPr>
              <w:fldChar w:fldCharType="separate"/>
            </w:r>
            <w:r w:rsidR="00107A7F">
              <w:rPr>
                <w:noProof/>
                <w:webHidden/>
              </w:rPr>
              <w:t>10</w:t>
            </w:r>
            <w:r w:rsidR="00BA4A77">
              <w:rPr>
                <w:noProof/>
                <w:webHidden/>
              </w:rPr>
              <w:fldChar w:fldCharType="end"/>
            </w:r>
          </w:hyperlink>
        </w:p>
        <w:p w14:paraId="7B3FAAE9" w14:textId="50B1F33B"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19" w:history="1">
            <w:r w:rsidR="00BA4A77" w:rsidRPr="00A44D58">
              <w:rPr>
                <w:rStyle w:val="Hyperlink"/>
                <w:noProof/>
              </w:rPr>
              <w:t>Single-item direct attitude scales</w:t>
            </w:r>
            <w:r w:rsidR="00BA4A77">
              <w:rPr>
                <w:noProof/>
                <w:webHidden/>
              </w:rPr>
              <w:tab/>
            </w:r>
            <w:r w:rsidR="00BA4A77">
              <w:rPr>
                <w:noProof/>
                <w:webHidden/>
              </w:rPr>
              <w:fldChar w:fldCharType="begin"/>
            </w:r>
            <w:r w:rsidR="00BA4A77">
              <w:rPr>
                <w:noProof/>
                <w:webHidden/>
              </w:rPr>
              <w:instrText xml:space="preserve"> PAGEREF _Toc123809219 \h </w:instrText>
            </w:r>
            <w:r w:rsidR="00BA4A77">
              <w:rPr>
                <w:noProof/>
                <w:webHidden/>
              </w:rPr>
            </w:r>
            <w:r w:rsidR="00BA4A77">
              <w:rPr>
                <w:noProof/>
                <w:webHidden/>
              </w:rPr>
              <w:fldChar w:fldCharType="separate"/>
            </w:r>
            <w:r w:rsidR="00107A7F">
              <w:rPr>
                <w:noProof/>
                <w:webHidden/>
              </w:rPr>
              <w:t>11</w:t>
            </w:r>
            <w:r w:rsidR="00BA4A77">
              <w:rPr>
                <w:noProof/>
                <w:webHidden/>
              </w:rPr>
              <w:fldChar w:fldCharType="end"/>
            </w:r>
          </w:hyperlink>
        </w:p>
        <w:p w14:paraId="548CB371" w14:textId="26DEB8EC"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20" w:history="1">
            <w:r w:rsidR="00BA4A77" w:rsidRPr="00A44D58">
              <w:rPr>
                <w:rStyle w:val="Hyperlink"/>
                <w:noProof/>
              </w:rPr>
              <w:t>Vignettes</w:t>
            </w:r>
            <w:r w:rsidR="00BA4A77">
              <w:rPr>
                <w:noProof/>
                <w:webHidden/>
              </w:rPr>
              <w:tab/>
            </w:r>
            <w:r w:rsidR="00BA4A77">
              <w:rPr>
                <w:noProof/>
                <w:webHidden/>
              </w:rPr>
              <w:fldChar w:fldCharType="begin"/>
            </w:r>
            <w:r w:rsidR="00BA4A77">
              <w:rPr>
                <w:noProof/>
                <w:webHidden/>
              </w:rPr>
              <w:instrText xml:space="preserve"> PAGEREF _Toc123809220 \h </w:instrText>
            </w:r>
            <w:r w:rsidR="00BA4A77">
              <w:rPr>
                <w:noProof/>
                <w:webHidden/>
              </w:rPr>
            </w:r>
            <w:r w:rsidR="00BA4A77">
              <w:rPr>
                <w:noProof/>
                <w:webHidden/>
              </w:rPr>
              <w:fldChar w:fldCharType="separate"/>
            </w:r>
            <w:r w:rsidR="00107A7F">
              <w:rPr>
                <w:noProof/>
                <w:webHidden/>
              </w:rPr>
              <w:t>12</w:t>
            </w:r>
            <w:r w:rsidR="00BA4A77">
              <w:rPr>
                <w:noProof/>
                <w:webHidden/>
              </w:rPr>
              <w:fldChar w:fldCharType="end"/>
            </w:r>
          </w:hyperlink>
        </w:p>
        <w:p w14:paraId="34CCC733" w14:textId="45206CA0"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21" w:history="1">
            <w:r w:rsidR="00BA4A77" w:rsidRPr="00A44D58">
              <w:rPr>
                <w:rStyle w:val="Hyperlink"/>
                <w:noProof/>
              </w:rPr>
              <w:t>Threats to validity associated with direct measures</w:t>
            </w:r>
            <w:r w:rsidR="00BA4A77">
              <w:rPr>
                <w:noProof/>
                <w:webHidden/>
              </w:rPr>
              <w:tab/>
            </w:r>
            <w:r w:rsidR="00BA4A77">
              <w:rPr>
                <w:noProof/>
                <w:webHidden/>
              </w:rPr>
              <w:fldChar w:fldCharType="begin"/>
            </w:r>
            <w:r w:rsidR="00BA4A77">
              <w:rPr>
                <w:noProof/>
                <w:webHidden/>
              </w:rPr>
              <w:instrText xml:space="preserve"> PAGEREF _Toc123809221 \h </w:instrText>
            </w:r>
            <w:r w:rsidR="00BA4A77">
              <w:rPr>
                <w:noProof/>
                <w:webHidden/>
              </w:rPr>
            </w:r>
            <w:r w:rsidR="00BA4A77">
              <w:rPr>
                <w:noProof/>
                <w:webHidden/>
              </w:rPr>
              <w:fldChar w:fldCharType="separate"/>
            </w:r>
            <w:r w:rsidR="00107A7F">
              <w:rPr>
                <w:noProof/>
                <w:webHidden/>
              </w:rPr>
              <w:t>14</w:t>
            </w:r>
            <w:r w:rsidR="00BA4A77">
              <w:rPr>
                <w:noProof/>
                <w:webHidden/>
              </w:rPr>
              <w:fldChar w:fldCharType="end"/>
            </w:r>
          </w:hyperlink>
        </w:p>
        <w:p w14:paraId="2F02BE81" w14:textId="168B437A" w:rsidR="00BA4A77" w:rsidRDefault="00CC5ACD">
          <w:pPr>
            <w:pStyle w:val="TOC2"/>
            <w:tabs>
              <w:tab w:val="right" w:leader="dot" w:pos="8630"/>
            </w:tabs>
            <w:rPr>
              <w:rFonts w:asciiTheme="minorHAnsi" w:eastAsiaTheme="minorEastAsia" w:hAnsiTheme="minorHAnsi" w:cstheme="minorBidi"/>
              <w:noProof/>
              <w:sz w:val="22"/>
              <w:szCs w:val="22"/>
              <w:lang w:eastAsia="en-IE"/>
            </w:rPr>
          </w:pPr>
          <w:hyperlink w:anchor="_Toc123809222" w:history="1">
            <w:r w:rsidR="00BA4A77" w:rsidRPr="00A44D58">
              <w:rPr>
                <w:rStyle w:val="Hyperlink"/>
                <w:noProof/>
              </w:rPr>
              <w:t>Indirect measures</w:t>
            </w:r>
            <w:r w:rsidR="00BA4A77">
              <w:rPr>
                <w:noProof/>
                <w:webHidden/>
              </w:rPr>
              <w:tab/>
            </w:r>
            <w:r w:rsidR="00BA4A77">
              <w:rPr>
                <w:noProof/>
                <w:webHidden/>
              </w:rPr>
              <w:fldChar w:fldCharType="begin"/>
            </w:r>
            <w:r w:rsidR="00BA4A77">
              <w:rPr>
                <w:noProof/>
                <w:webHidden/>
              </w:rPr>
              <w:instrText xml:space="preserve"> PAGEREF _Toc123809222 \h </w:instrText>
            </w:r>
            <w:r w:rsidR="00BA4A77">
              <w:rPr>
                <w:noProof/>
                <w:webHidden/>
              </w:rPr>
            </w:r>
            <w:r w:rsidR="00BA4A77">
              <w:rPr>
                <w:noProof/>
                <w:webHidden/>
              </w:rPr>
              <w:fldChar w:fldCharType="separate"/>
            </w:r>
            <w:r w:rsidR="00107A7F">
              <w:rPr>
                <w:noProof/>
                <w:webHidden/>
              </w:rPr>
              <w:t>16</w:t>
            </w:r>
            <w:r w:rsidR="00BA4A77">
              <w:rPr>
                <w:noProof/>
                <w:webHidden/>
              </w:rPr>
              <w:fldChar w:fldCharType="end"/>
            </w:r>
          </w:hyperlink>
        </w:p>
        <w:p w14:paraId="17531F93" w14:textId="136ABB82"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23" w:history="1">
            <w:r w:rsidR="00BA4A77" w:rsidRPr="00A44D58">
              <w:rPr>
                <w:rStyle w:val="Hyperlink"/>
                <w:noProof/>
              </w:rPr>
              <w:t>IAT</w:t>
            </w:r>
            <w:r w:rsidR="00BA4A77">
              <w:rPr>
                <w:noProof/>
                <w:webHidden/>
              </w:rPr>
              <w:tab/>
            </w:r>
            <w:r w:rsidR="00BA4A77">
              <w:rPr>
                <w:noProof/>
                <w:webHidden/>
              </w:rPr>
              <w:fldChar w:fldCharType="begin"/>
            </w:r>
            <w:r w:rsidR="00BA4A77">
              <w:rPr>
                <w:noProof/>
                <w:webHidden/>
              </w:rPr>
              <w:instrText xml:space="preserve"> PAGEREF _Toc123809223 \h </w:instrText>
            </w:r>
            <w:r w:rsidR="00BA4A77">
              <w:rPr>
                <w:noProof/>
                <w:webHidden/>
              </w:rPr>
            </w:r>
            <w:r w:rsidR="00BA4A77">
              <w:rPr>
                <w:noProof/>
                <w:webHidden/>
              </w:rPr>
              <w:fldChar w:fldCharType="separate"/>
            </w:r>
            <w:r w:rsidR="00107A7F">
              <w:rPr>
                <w:noProof/>
                <w:webHidden/>
              </w:rPr>
              <w:t>17</w:t>
            </w:r>
            <w:r w:rsidR="00BA4A77">
              <w:rPr>
                <w:noProof/>
                <w:webHidden/>
              </w:rPr>
              <w:fldChar w:fldCharType="end"/>
            </w:r>
          </w:hyperlink>
        </w:p>
        <w:p w14:paraId="6AEF1388" w14:textId="5BE32F61"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24" w:history="1">
            <w:r w:rsidR="00BA4A77" w:rsidRPr="00A44D58">
              <w:rPr>
                <w:rStyle w:val="Hyperlink"/>
                <w:noProof/>
              </w:rPr>
              <w:t>Go/No Go Association Task (GNAT)</w:t>
            </w:r>
            <w:r w:rsidR="00BA4A77">
              <w:rPr>
                <w:noProof/>
                <w:webHidden/>
              </w:rPr>
              <w:tab/>
            </w:r>
            <w:r w:rsidR="00BA4A77">
              <w:rPr>
                <w:noProof/>
                <w:webHidden/>
              </w:rPr>
              <w:fldChar w:fldCharType="begin"/>
            </w:r>
            <w:r w:rsidR="00BA4A77">
              <w:rPr>
                <w:noProof/>
                <w:webHidden/>
              </w:rPr>
              <w:instrText xml:space="preserve"> PAGEREF _Toc123809224 \h </w:instrText>
            </w:r>
            <w:r w:rsidR="00BA4A77">
              <w:rPr>
                <w:noProof/>
                <w:webHidden/>
              </w:rPr>
            </w:r>
            <w:r w:rsidR="00BA4A77">
              <w:rPr>
                <w:noProof/>
                <w:webHidden/>
              </w:rPr>
              <w:fldChar w:fldCharType="separate"/>
            </w:r>
            <w:r w:rsidR="00107A7F">
              <w:rPr>
                <w:noProof/>
                <w:webHidden/>
              </w:rPr>
              <w:t>18</w:t>
            </w:r>
            <w:r w:rsidR="00BA4A77">
              <w:rPr>
                <w:noProof/>
                <w:webHidden/>
              </w:rPr>
              <w:fldChar w:fldCharType="end"/>
            </w:r>
          </w:hyperlink>
        </w:p>
        <w:p w14:paraId="70CD2D08" w14:textId="545987AA"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25" w:history="1">
            <w:r w:rsidR="00BA4A77" w:rsidRPr="00A44D58">
              <w:rPr>
                <w:rStyle w:val="Hyperlink"/>
                <w:noProof/>
              </w:rPr>
              <w:t>Implicit Relational Assessment Procedure (IRAP)</w:t>
            </w:r>
            <w:r w:rsidR="00BA4A77">
              <w:rPr>
                <w:noProof/>
                <w:webHidden/>
              </w:rPr>
              <w:tab/>
            </w:r>
            <w:r w:rsidR="00BA4A77">
              <w:rPr>
                <w:noProof/>
                <w:webHidden/>
              </w:rPr>
              <w:fldChar w:fldCharType="begin"/>
            </w:r>
            <w:r w:rsidR="00BA4A77">
              <w:rPr>
                <w:noProof/>
                <w:webHidden/>
              </w:rPr>
              <w:instrText xml:space="preserve"> PAGEREF _Toc123809225 \h </w:instrText>
            </w:r>
            <w:r w:rsidR="00BA4A77">
              <w:rPr>
                <w:noProof/>
                <w:webHidden/>
              </w:rPr>
            </w:r>
            <w:r w:rsidR="00BA4A77">
              <w:rPr>
                <w:noProof/>
                <w:webHidden/>
              </w:rPr>
              <w:fldChar w:fldCharType="separate"/>
            </w:r>
            <w:r w:rsidR="00107A7F">
              <w:rPr>
                <w:noProof/>
                <w:webHidden/>
              </w:rPr>
              <w:t>19</w:t>
            </w:r>
            <w:r w:rsidR="00BA4A77">
              <w:rPr>
                <w:noProof/>
                <w:webHidden/>
              </w:rPr>
              <w:fldChar w:fldCharType="end"/>
            </w:r>
          </w:hyperlink>
        </w:p>
        <w:p w14:paraId="0A458A04" w14:textId="753A7423"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26" w:history="1">
            <w:r w:rsidR="00BA4A77" w:rsidRPr="00A44D58">
              <w:rPr>
                <w:rStyle w:val="Hyperlink"/>
                <w:noProof/>
              </w:rPr>
              <w:t>Vignettes</w:t>
            </w:r>
            <w:r w:rsidR="00BA4A77">
              <w:rPr>
                <w:noProof/>
                <w:webHidden/>
              </w:rPr>
              <w:tab/>
            </w:r>
            <w:r w:rsidR="00BA4A77">
              <w:rPr>
                <w:noProof/>
                <w:webHidden/>
              </w:rPr>
              <w:fldChar w:fldCharType="begin"/>
            </w:r>
            <w:r w:rsidR="00BA4A77">
              <w:rPr>
                <w:noProof/>
                <w:webHidden/>
              </w:rPr>
              <w:instrText xml:space="preserve"> PAGEREF _Toc123809226 \h </w:instrText>
            </w:r>
            <w:r w:rsidR="00BA4A77">
              <w:rPr>
                <w:noProof/>
                <w:webHidden/>
              </w:rPr>
            </w:r>
            <w:r w:rsidR="00BA4A77">
              <w:rPr>
                <w:noProof/>
                <w:webHidden/>
              </w:rPr>
              <w:fldChar w:fldCharType="separate"/>
            </w:r>
            <w:r w:rsidR="00107A7F">
              <w:rPr>
                <w:noProof/>
                <w:webHidden/>
              </w:rPr>
              <w:t>19</w:t>
            </w:r>
            <w:r w:rsidR="00BA4A77">
              <w:rPr>
                <w:noProof/>
                <w:webHidden/>
              </w:rPr>
              <w:fldChar w:fldCharType="end"/>
            </w:r>
          </w:hyperlink>
        </w:p>
        <w:p w14:paraId="28CC638B" w14:textId="30AD9DF7"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27" w:history="1">
            <w:r w:rsidR="00BA4A77" w:rsidRPr="00A44D58">
              <w:rPr>
                <w:rStyle w:val="Hyperlink"/>
                <w:noProof/>
              </w:rPr>
              <w:t>List Experiments</w:t>
            </w:r>
            <w:r w:rsidR="00BA4A77">
              <w:rPr>
                <w:noProof/>
                <w:webHidden/>
              </w:rPr>
              <w:tab/>
            </w:r>
            <w:r w:rsidR="00BA4A77">
              <w:rPr>
                <w:noProof/>
                <w:webHidden/>
              </w:rPr>
              <w:fldChar w:fldCharType="begin"/>
            </w:r>
            <w:r w:rsidR="00BA4A77">
              <w:rPr>
                <w:noProof/>
                <w:webHidden/>
              </w:rPr>
              <w:instrText xml:space="preserve"> PAGEREF _Toc123809227 \h </w:instrText>
            </w:r>
            <w:r w:rsidR="00BA4A77">
              <w:rPr>
                <w:noProof/>
                <w:webHidden/>
              </w:rPr>
            </w:r>
            <w:r w:rsidR="00BA4A77">
              <w:rPr>
                <w:noProof/>
                <w:webHidden/>
              </w:rPr>
              <w:fldChar w:fldCharType="separate"/>
            </w:r>
            <w:r w:rsidR="00107A7F">
              <w:rPr>
                <w:noProof/>
                <w:webHidden/>
              </w:rPr>
              <w:t>20</w:t>
            </w:r>
            <w:r w:rsidR="00BA4A77">
              <w:rPr>
                <w:noProof/>
                <w:webHidden/>
              </w:rPr>
              <w:fldChar w:fldCharType="end"/>
            </w:r>
          </w:hyperlink>
        </w:p>
        <w:p w14:paraId="441385CA" w14:textId="0AC4C857"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28" w:history="1">
            <w:r w:rsidR="00BA4A77" w:rsidRPr="00A44D58">
              <w:rPr>
                <w:rStyle w:val="Hyperlink"/>
                <w:noProof/>
              </w:rPr>
              <w:t>The Endorsement Experiment</w:t>
            </w:r>
            <w:r w:rsidR="00BA4A77">
              <w:rPr>
                <w:noProof/>
                <w:webHidden/>
              </w:rPr>
              <w:tab/>
            </w:r>
            <w:r w:rsidR="00BA4A77">
              <w:rPr>
                <w:noProof/>
                <w:webHidden/>
              </w:rPr>
              <w:fldChar w:fldCharType="begin"/>
            </w:r>
            <w:r w:rsidR="00BA4A77">
              <w:rPr>
                <w:noProof/>
                <w:webHidden/>
              </w:rPr>
              <w:instrText xml:space="preserve"> PAGEREF _Toc123809228 \h </w:instrText>
            </w:r>
            <w:r w:rsidR="00BA4A77">
              <w:rPr>
                <w:noProof/>
                <w:webHidden/>
              </w:rPr>
            </w:r>
            <w:r w:rsidR="00BA4A77">
              <w:rPr>
                <w:noProof/>
                <w:webHidden/>
              </w:rPr>
              <w:fldChar w:fldCharType="separate"/>
            </w:r>
            <w:r w:rsidR="00107A7F">
              <w:rPr>
                <w:noProof/>
                <w:webHidden/>
              </w:rPr>
              <w:t>22</w:t>
            </w:r>
            <w:r w:rsidR="00BA4A77">
              <w:rPr>
                <w:noProof/>
                <w:webHidden/>
              </w:rPr>
              <w:fldChar w:fldCharType="end"/>
            </w:r>
          </w:hyperlink>
        </w:p>
        <w:p w14:paraId="3C007C5C" w14:textId="42367A87"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29" w:history="1">
            <w:r w:rsidR="00BA4A77" w:rsidRPr="00A44D58">
              <w:rPr>
                <w:rStyle w:val="Hyperlink"/>
                <w:noProof/>
              </w:rPr>
              <w:t>The Randomised Response Method</w:t>
            </w:r>
            <w:r w:rsidR="00BA4A77">
              <w:rPr>
                <w:noProof/>
                <w:webHidden/>
              </w:rPr>
              <w:tab/>
            </w:r>
            <w:r w:rsidR="00BA4A77">
              <w:rPr>
                <w:noProof/>
                <w:webHidden/>
              </w:rPr>
              <w:fldChar w:fldCharType="begin"/>
            </w:r>
            <w:r w:rsidR="00BA4A77">
              <w:rPr>
                <w:noProof/>
                <w:webHidden/>
              </w:rPr>
              <w:instrText xml:space="preserve"> PAGEREF _Toc123809229 \h </w:instrText>
            </w:r>
            <w:r w:rsidR="00BA4A77">
              <w:rPr>
                <w:noProof/>
                <w:webHidden/>
              </w:rPr>
            </w:r>
            <w:r w:rsidR="00BA4A77">
              <w:rPr>
                <w:noProof/>
                <w:webHidden/>
              </w:rPr>
              <w:fldChar w:fldCharType="separate"/>
            </w:r>
            <w:r w:rsidR="00107A7F">
              <w:rPr>
                <w:noProof/>
                <w:webHidden/>
              </w:rPr>
              <w:t>22</w:t>
            </w:r>
            <w:r w:rsidR="00BA4A77">
              <w:rPr>
                <w:noProof/>
                <w:webHidden/>
              </w:rPr>
              <w:fldChar w:fldCharType="end"/>
            </w:r>
          </w:hyperlink>
        </w:p>
        <w:p w14:paraId="79AFB76D" w14:textId="2551ED23"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30" w:history="1">
            <w:r w:rsidR="00BA4A77" w:rsidRPr="00A44D58">
              <w:rPr>
                <w:rStyle w:val="Hyperlink"/>
                <w:noProof/>
              </w:rPr>
              <w:t>Policy Framing</w:t>
            </w:r>
            <w:r w:rsidR="00BA4A77">
              <w:rPr>
                <w:noProof/>
                <w:webHidden/>
              </w:rPr>
              <w:tab/>
            </w:r>
            <w:r w:rsidR="00BA4A77">
              <w:rPr>
                <w:noProof/>
                <w:webHidden/>
              </w:rPr>
              <w:fldChar w:fldCharType="begin"/>
            </w:r>
            <w:r w:rsidR="00BA4A77">
              <w:rPr>
                <w:noProof/>
                <w:webHidden/>
              </w:rPr>
              <w:instrText xml:space="preserve"> PAGEREF _Toc123809230 \h </w:instrText>
            </w:r>
            <w:r w:rsidR="00BA4A77">
              <w:rPr>
                <w:noProof/>
                <w:webHidden/>
              </w:rPr>
            </w:r>
            <w:r w:rsidR="00BA4A77">
              <w:rPr>
                <w:noProof/>
                <w:webHidden/>
              </w:rPr>
              <w:fldChar w:fldCharType="separate"/>
            </w:r>
            <w:r w:rsidR="00107A7F">
              <w:rPr>
                <w:noProof/>
                <w:webHidden/>
              </w:rPr>
              <w:t>22</w:t>
            </w:r>
            <w:r w:rsidR="00BA4A77">
              <w:rPr>
                <w:noProof/>
                <w:webHidden/>
              </w:rPr>
              <w:fldChar w:fldCharType="end"/>
            </w:r>
          </w:hyperlink>
        </w:p>
        <w:p w14:paraId="651CC0EA" w14:textId="37EE205F" w:rsidR="00BA4A77" w:rsidRDefault="00CC5ACD">
          <w:pPr>
            <w:pStyle w:val="TOC3"/>
            <w:tabs>
              <w:tab w:val="right" w:leader="dot" w:pos="8630"/>
            </w:tabs>
            <w:rPr>
              <w:rFonts w:asciiTheme="minorHAnsi" w:eastAsiaTheme="minorEastAsia" w:hAnsiTheme="minorHAnsi" w:cstheme="minorBidi"/>
              <w:noProof/>
              <w:sz w:val="22"/>
              <w:szCs w:val="22"/>
              <w:lang w:eastAsia="en-IE"/>
            </w:rPr>
          </w:pPr>
          <w:hyperlink w:anchor="_Toc123809231" w:history="1">
            <w:r w:rsidR="00BA4A77" w:rsidRPr="00A44D58">
              <w:rPr>
                <w:rStyle w:val="Hyperlink"/>
                <w:noProof/>
              </w:rPr>
              <w:t>Threats to validity associated with indirect measures</w:t>
            </w:r>
            <w:r w:rsidR="00BA4A77">
              <w:rPr>
                <w:noProof/>
                <w:webHidden/>
              </w:rPr>
              <w:tab/>
            </w:r>
            <w:r w:rsidR="00BA4A77">
              <w:rPr>
                <w:noProof/>
                <w:webHidden/>
              </w:rPr>
              <w:fldChar w:fldCharType="begin"/>
            </w:r>
            <w:r w:rsidR="00BA4A77">
              <w:rPr>
                <w:noProof/>
                <w:webHidden/>
              </w:rPr>
              <w:instrText xml:space="preserve"> PAGEREF _Toc123809231 \h </w:instrText>
            </w:r>
            <w:r w:rsidR="00BA4A77">
              <w:rPr>
                <w:noProof/>
                <w:webHidden/>
              </w:rPr>
            </w:r>
            <w:r w:rsidR="00BA4A77">
              <w:rPr>
                <w:noProof/>
                <w:webHidden/>
              </w:rPr>
              <w:fldChar w:fldCharType="separate"/>
            </w:r>
            <w:r w:rsidR="00107A7F">
              <w:rPr>
                <w:noProof/>
                <w:webHidden/>
              </w:rPr>
              <w:t>23</w:t>
            </w:r>
            <w:r w:rsidR="00BA4A77">
              <w:rPr>
                <w:noProof/>
                <w:webHidden/>
              </w:rPr>
              <w:fldChar w:fldCharType="end"/>
            </w:r>
          </w:hyperlink>
        </w:p>
        <w:p w14:paraId="1B21B5A4" w14:textId="718E8F92" w:rsidR="00BA4A77" w:rsidRDefault="00CC5ACD">
          <w:pPr>
            <w:pStyle w:val="TOC1"/>
            <w:tabs>
              <w:tab w:val="right" w:leader="dot" w:pos="8630"/>
            </w:tabs>
            <w:rPr>
              <w:rFonts w:asciiTheme="minorHAnsi" w:eastAsiaTheme="minorEastAsia" w:hAnsiTheme="minorHAnsi" w:cstheme="minorBidi"/>
              <w:b w:val="0"/>
              <w:noProof/>
              <w:sz w:val="22"/>
              <w:szCs w:val="22"/>
              <w:lang w:eastAsia="en-IE"/>
            </w:rPr>
          </w:pPr>
          <w:hyperlink w:anchor="_Toc123809232" w:history="1">
            <w:r w:rsidR="00BA4A77" w:rsidRPr="00A44D58">
              <w:rPr>
                <w:rStyle w:val="Hyperlink"/>
                <w:noProof/>
              </w:rPr>
              <w:t>Comparison of indirect and direct measures</w:t>
            </w:r>
            <w:r w:rsidR="00BA4A77">
              <w:rPr>
                <w:noProof/>
                <w:webHidden/>
              </w:rPr>
              <w:tab/>
            </w:r>
            <w:r w:rsidR="00BA4A77">
              <w:rPr>
                <w:noProof/>
                <w:webHidden/>
              </w:rPr>
              <w:fldChar w:fldCharType="begin"/>
            </w:r>
            <w:r w:rsidR="00BA4A77">
              <w:rPr>
                <w:noProof/>
                <w:webHidden/>
              </w:rPr>
              <w:instrText xml:space="preserve"> PAGEREF _Toc123809232 \h </w:instrText>
            </w:r>
            <w:r w:rsidR="00BA4A77">
              <w:rPr>
                <w:noProof/>
                <w:webHidden/>
              </w:rPr>
            </w:r>
            <w:r w:rsidR="00BA4A77">
              <w:rPr>
                <w:noProof/>
                <w:webHidden/>
              </w:rPr>
              <w:fldChar w:fldCharType="separate"/>
            </w:r>
            <w:r w:rsidR="00107A7F">
              <w:rPr>
                <w:noProof/>
                <w:webHidden/>
              </w:rPr>
              <w:t>24</w:t>
            </w:r>
            <w:r w:rsidR="00BA4A77">
              <w:rPr>
                <w:noProof/>
                <w:webHidden/>
              </w:rPr>
              <w:fldChar w:fldCharType="end"/>
            </w:r>
          </w:hyperlink>
        </w:p>
        <w:p w14:paraId="774205E1" w14:textId="3F9EC668" w:rsidR="00BA4A77" w:rsidRDefault="00CC5ACD">
          <w:pPr>
            <w:pStyle w:val="TOC2"/>
            <w:tabs>
              <w:tab w:val="right" w:leader="dot" w:pos="8630"/>
            </w:tabs>
            <w:rPr>
              <w:rFonts w:asciiTheme="minorHAnsi" w:eastAsiaTheme="minorEastAsia" w:hAnsiTheme="minorHAnsi" w:cstheme="minorBidi"/>
              <w:noProof/>
              <w:sz w:val="22"/>
              <w:szCs w:val="22"/>
              <w:lang w:eastAsia="en-IE"/>
            </w:rPr>
          </w:pPr>
          <w:hyperlink w:anchor="_Toc123809233" w:history="1">
            <w:r w:rsidR="00BA4A77" w:rsidRPr="00A44D58">
              <w:rPr>
                <w:rStyle w:val="Hyperlink"/>
                <w:noProof/>
              </w:rPr>
              <w:t>Evaluation of the List Method compared to other</w:t>
            </w:r>
            <w:r w:rsidR="00BA4A77" w:rsidRPr="00A44D58">
              <w:rPr>
                <w:rStyle w:val="Hyperlink"/>
                <w:rFonts w:ascii="Arial" w:hAnsi="Arial"/>
                <w:noProof/>
              </w:rPr>
              <w:t xml:space="preserve"> </w:t>
            </w:r>
            <w:r w:rsidR="00BA4A77" w:rsidRPr="00A44D58">
              <w:rPr>
                <w:rStyle w:val="Hyperlink"/>
                <w:noProof/>
              </w:rPr>
              <w:t>indirect techniques</w:t>
            </w:r>
            <w:r w:rsidR="00BA4A77">
              <w:rPr>
                <w:noProof/>
                <w:webHidden/>
              </w:rPr>
              <w:tab/>
            </w:r>
            <w:r w:rsidR="00BA4A77">
              <w:rPr>
                <w:noProof/>
                <w:webHidden/>
              </w:rPr>
              <w:fldChar w:fldCharType="begin"/>
            </w:r>
            <w:r w:rsidR="00BA4A77">
              <w:rPr>
                <w:noProof/>
                <w:webHidden/>
              </w:rPr>
              <w:instrText xml:space="preserve"> PAGEREF _Toc123809233 \h </w:instrText>
            </w:r>
            <w:r w:rsidR="00BA4A77">
              <w:rPr>
                <w:noProof/>
                <w:webHidden/>
              </w:rPr>
            </w:r>
            <w:r w:rsidR="00BA4A77">
              <w:rPr>
                <w:noProof/>
                <w:webHidden/>
              </w:rPr>
              <w:fldChar w:fldCharType="separate"/>
            </w:r>
            <w:r w:rsidR="00107A7F">
              <w:rPr>
                <w:noProof/>
                <w:webHidden/>
              </w:rPr>
              <w:t>24</w:t>
            </w:r>
            <w:r w:rsidR="00BA4A77">
              <w:rPr>
                <w:noProof/>
                <w:webHidden/>
              </w:rPr>
              <w:fldChar w:fldCharType="end"/>
            </w:r>
          </w:hyperlink>
        </w:p>
        <w:p w14:paraId="3AE87682" w14:textId="04BC2040" w:rsidR="00BA4A77" w:rsidRDefault="00CC5ACD">
          <w:pPr>
            <w:pStyle w:val="TOC2"/>
            <w:tabs>
              <w:tab w:val="right" w:leader="dot" w:pos="8630"/>
            </w:tabs>
            <w:rPr>
              <w:rFonts w:asciiTheme="minorHAnsi" w:eastAsiaTheme="minorEastAsia" w:hAnsiTheme="minorHAnsi" w:cstheme="minorBidi"/>
              <w:noProof/>
              <w:sz w:val="22"/>
              <w:szCs w:val="22"/>
              <w:lang w:eastAsia="en-IE"/>
            </w:rPr>
          </w:pPr>
          <w:hyperlink w:anchor="_Toc123809234" w:history="1">
            <w:r w:rsidR="00BA4A77" w:rsidRPr="00A44D58">
              <w:rPr>
                <w:rStyle w:val="Hyperlink"/>
                <w:noProof/>
              </w:rPr>
              <w:t>Relationship between indirect and direct measures</w:t>
            </w:r>
            <w:r w:rsidR="00BA4A77">
              <w:rPr>
                <w:noProof/>
                <w:webHidden/>
              </w:rPr>
              <w:tab/>
            </w:r>
            <w:r w:rsidR="00BA4A77">
              <w:rPr>
                <w:noProof/>
                <w:webHidden/>
              </w:rPr>
              <w:fldChar w:fldCharType="begin"/>
            </w:r>
            <w:r w:rsidR="00BA4A77">
              <w:rPr>
                <w:noProof/>
                <w:webHidden/>
              </w:rPr>
              <w:instrText xml:space="preserve"> PAGEREF _Toc123809234 \h </w:instrText>
            </w:r>
            <w:r w:rsidR="00BA4A77">
              <w:rPr>
                <w:noProof/>
                <w:webHidden/>
              </w:rPr>
            </w:r>
            <w:r w:rsidR="00BA4A77">
              <w:rPr>
                <w:noProof/>
                <w:webHidden/>
              </w:rPr>
              <w:fldChar w:fldCharType="separate"/>
            </w:r>
            <w:r w:rsidR="00107A7F">
              <w:rPr>
                <w:noProof/>
                <w:webHidden/>
              </w:rPr>
              <w:t>25</w:t>
            </w:r>
            <w:r w:rsidR="00BA4A77">
              <w:rPr>
                <w:noProof/>
                <w:webHidden/>
              </w:rPr>
              <w:fldChar w:fldCharType="end"/>
            </w:r>
          </w:hyperlink>
        </w:p>
        <w:p w14:paraId="0317371E" w14:textId="4F147686" w:rsidR="00BA4A77" w:rsidRDefault="00CC5ACD">
          <w:pPr>
            <w:pStyle w:val="TOC2"/>
            <w:tabs>
              <w:tab w:val="right" w:leader="dot" w:pos="8630"/>
            </w:tabs>
            <w:rPr>
              <w:rFonts w:asciiTheme="minorHAnsi" w:eastAsiaTheme="minorEastAsia" w:hAnsiTheme="minorHAnsi" w:cstheme="minorBidi"/>
              <w:noProof/>
              <w:sz w:val="22"/>
              <w:szCs w:val="22"/>
              <w:lang w:eastAsia="en-IE"/>
            </w:rPr>
          </w:pPr>
          <w:hyperlink w:anchor="_Toc123809235" w:history="1">
            <w:r w:rsidR="00BA4A77" w:rsidRPr="00A44D58">
              <w:rPr>
                <w:rStyle w:val="Hyperlink"/>
                <w:noProof/>
              </w:rPr>
              <w:t>Predictive value of direct and indirect measures</w:t>
            </w:r>
            <w:r w:rsidR="00BA4A77">
              <w:rPr>
                <w:noProof/>
                <w:webHidden/>
              </w:rPr>
              <w:tab/>
            </w:r>
            <w:r w:rsidR="00BA4A77">
              <w:rPr>
                <w:noProof/>
                <w:webHidden/>
              </w:rPr>
              <w:fldChar w:fldCharType="begin"/>
            </w:r>
            <w:r w:rsidR="00BA4A77">
              <w:rPr>
                <w:noProof/>
                <w:webHidden/>
              </w:rPr>
              <w:instrText xml:space="preserve"> PAGEREF _Toc123809235 \h </w:instrText>
            </w:r>
            <w:r w:rsidR="00BA4A77">
              <w:rPr>
                <w:noProof/>
                <w:webHidden/>
              </w:rPr>
            </w:r>
            <w:r w:rsidR="00BA4A77">
              <w:rPr>
                <w:noProof/>
                <w:webHidden/>
              </w:rPr>
              <w:fldChar w:fldCharType="separate"/>
            </w:r>
            <w:r w:rsidR="00107A7F">
              <w:rPr>
                <w:noProof/>
                <w:webHidden/>
              </w:rPr>
              <w:t>27</w:t>
            </w:r>
            <w:r w:rsidR="00BA4A77">
              <w:rPr>
                <w:noProof/>
                <w:webHidden/>
              </w:rPr>
              <w:fldChar w:fldCharType="end"/>
            </w:r>
          </w:hyperlink>
        </w:p>
        <w:p w14:paraId="2CAA1DDE" w14:textId="229DAF50" w:rsidR="00BA4A77" w:rsidRDefault="00CC5ACD">
          <w:pPr>
            <w:pStyle w:val="TOC1"/>
            <w:tabs>
              <w:tab w:val="right" w:leader="dot" w:pos="8630"/>
            </w:tabs>
            <w:rPr>
              <w:rFonts w:asciiTheme="minorHAnsi" w:eastAsiaTheme="minorEastAsia" w:hAnsiTheme="minorHAnsi" w:cstheme="minorBidi"/>
              <w:b w:val="0"/>
              <w:noProof/>
              <w:sz w:val="22"/>
              <w:szCs w:val="22"/>
              <w:lang w:eastAsia="en-IE"/>
            </w:rPr>
          </w:pPr>
          <w:hyperlink w:anchor="_Toc123809236" w:history="1">
            <w:r w:rsidR="00BA4A77" w:rsidRPr="00A44D58">
              <w:rPr>
                <w:rStyle w:val="Hyperlink"/>
                <w:noProof/>
              </w:rPr>
              <w:t>Modes of survey data collection</w:t>
            </w:r>
            <w:r w:rsidR="00BA4A77">
              <w:rPr>
                <w:noProof/>
                <w:webHidden/>
              </w:rPr>
              <w:tab/>
            </w:r>
            <w:r w:rsidR="00BA4A77">
              <w:rPr>
                <w:noProof/>
                <w:webHidden/>
              </w:rPr>
              <w:fldChar w:fldCharType="begin"/>
            </w:r>
            <w:r w:rsidR="00BA4A77">
              <w:rPr>
                <w:noProof/>
                <w:webHidden/>
              </w:rPr>
              <w:instrText xml:space="preserve"> PAGEREF _Toc123809236 \h </w:instrText>
            </w:r>
            <w:r w:rsidR="00BA4A77">
              <w:rPr>
                <w:noProof/>
                <w:webHidden/>
              </w:rPr>
            </w:r>
            <w:r w:rsidR="00BA4A77">
              <w:rPr>
                <w:noProof/>
                <w:webHidden/>
              </w:rPr>
              <w:fldChar w:fldCharType="separate"/>
            </w:r>
            <w:r w:rsidR="00107A7F">
              <w:rPr>
                <w:noProof/>
                <w:webHidden/>
              </w:rPr>
              <w:t>28</w:t>
            </w:r>
            <w:r w:rsidR="00BA4A77">
              <w:rPr>
                <w:noProof/>
                <w:webHidden/>
              </w:rPr>
              <w:fldChar w:fldCharType="end"/>
            </w:r>
          </w:hyperlink>
        </w:p>
        <w:p w14:paraId="15488853" w14:textId="341B9A32" w:rsidR="00BA4A77" w:rsidRDefault="00CC5ACD">
          <w:pPr>
            <w:pStyle w:val="TOC1"/>
            <w:tabs>
              <w:tab w:val="right" w:leader="dot" w:pos="8630"/>
            </w:tabs>
            <w:rPr>
              <w:rFonts w:asciiTheme="minorHAnsi" w:eastAsiaTheme="minorEastAsia" w:hAnsiTheme="minorHAnsi" w:cstheme="minorBidi"/>
              <w:b w:val="0"/>
              <w:noProof/>
              <w:sz w:val="22"/>
              <w:szCs w:val="22"/>
              <w:lang w:eastAsia="en-IE"/>
            </w:rPr>
          </w:pPr>
          <w:hyperlink w:anchor="_Toc123809237" w:history="1">
            <w:r w:rsidR="00BA4A77" w:rsidRPr="00A44D58">
              <w:rPr>
                <w:rStyle w:val="Hyperlink"/>
                <w:noProof/>
              </w:rPr>
              <w:t>Conclusion</w:t>
            </w:r>
            <w:r w:rsidR="00BA4A77">
              <w:rPr>
                <w:noProof/>
                <w:webHidden/>
              </w:rPr>
              <w:tab/>
            </w:r>
            <w:r w:rsidR="00BA4A77">
              <w:rPr>
                <w:noProof/>
                <w:webHidden/>
              </w:rPr>
              <w:fldChar w:fldCharType="begin"/>
            </w:r>
            <w:r w:rsidR="00BA4A77">
              <w:rPr>
                <w:noProof/>
                <w:webHidden/>
              </w:rPr>
              <w:instrText xml:space="preserve"> PAGEREF _Toc123809237 \h </w:instrText>
            </w:r>
            <w:r w:rsidR="00BA4A77">
              <w:rPr>
                <w:noProof/>
                <w:webHidden/>
              </w:rPr>
            </w:r>
            <w:r w:rsidR="00BA4A77">
              <w:rPr>
                <w:noProof/>
                <w:webHidden/>
              </w:rPr>
              <w:fldChar w:fldCharType="separate"/>
            </w:r>
            <w:r w:rsidR="00107A7F">
              <w:rPr>
                <w:noProof/>
                <w:webHidden/>
              </w:rPr>
              <w:t>31</w:t>
            </w:r>
            <w:r w:rsidR="00BA4A77">
              <w:rPr>
                <w:noProof/>
                <w:webHidden/>
              </w:rPr>
              <w:fldChar w:fldCharType="end"/>
            </w:r>
          </w:hyperlink>
        </w:p>
        <w:p w14:paraId="1AA284E3" w14:textId="176ADB60" w:rsidR="00BA4A77" w:rsidRDefault="00CC5ACD">
          <w:pPr>
            <w:pStyle w:val="TOC1"/>
            <w:tabs>
              <w:tab w:val="right" w:leader="dot" w:pos="8630"/>
            </w:tabs>
            <w:rPr>
              <w:rFonts w:asciiTheme="minorHAnsi" w:eastAsiaTheme="minorEastAsia" w:hAnsiTheme="minorHAnsi" w:cstheme="minorBidi"/>
              <w:b w:val="0"/>
              <w:noProof/>
              <w:sz w:val="22"/>
              <w:szCs w:val="22"/>
              <w:lang w:eastAsia="en-IE"/>
            </w:rPr>
          </w:pPr>
          <w:hyperlink w:anchor="_Toc123809238" w:history="1">
            <w:r w:rsidR="00BA4A77" w:rsidRPr="00A44D58">
              <w:rPr>
                <w:rStyle w:val="Hyperlink"/>
                <w:noProof/>
              </w:rPr>
              <w:t>References</w:t>
            </w:r>
            <w:r w:rsidR="00BA4A77">
              <w:rPr>
                <w:noProof/>
                <w:webHidden/>
              </w:rPr>
              <w:tab/>
            </w:r>
            <w:r w:rsidR="00BA4A77">
              <w:rPr>
                <w:noProof/>
                <w:webHidden/>
              </w:rPr>
              <w:fldChar w:fldCharType="begin"/>
            </w:r>
            <w:r w:rsidR="00BA4A77">
              <w:rPr>
                <w:noProof/>
                <w:webHidden/>
              </w:rPr>
              <w:instrText xml:space="preserve"> PAGEREF _Toc123809238 \h </w:instrText>
            </w:r>
            <w:r w:rsidR="00BA4A77">
              <w:rPr>
                <w:noProof/>
                <w:webHidden/>
              </w:rPr>
            </w:r>
            <w:r w:rsidR="00BA4A77">
              <w:rPr>
                <w:noProof/>
                <w:webHidden/>
              </w:rPr>
              <w:fldChar w:fldCharType="separate"/>
            </w:r>
            <w:r w:rsidR="00107A7F">
              <w:rPr>
                <w:noProof/>
                <w:webHidden/>
              </w:rPr>
              <w:t>33</w:t>
            </w:r>
            <w:r w:rsidR="00BA4A77">
              <w:rPr>
                <w:noProof/>
                <w:webHidden/>
              </w:rPr>
              <w:fldChar w:fldCharType="end"/>
            </w:r>
          </w:hyperlink>
        </w:p>
        <w:p w14:paraId="67D0BCCC" w14:textId="402C972D" w:rsidR="00BA4A77" w:rsidRDefault="00CC5ACD">
          <w:pPr>
            <w:pStyle w:val="TOC1"/>
            <w:tabs>
              <w:tab w:val="right" w:leader="dot" w:pos="8630"/>
            </w:tabs>
            <w:rPr>
              <w:rFonts w:asciiTheme="minorHAnsi" w:eastAsiaTheme="minorEastAsia" w:hAnsiTheme="minorHAnsi" w:cstheme="minorBidi"/>
              <w:b w:val="0"/>
              <w:noProof/>
              <w:sz w:val="22"/>
              <w:szCs w:val="22"/>
              <w:lang w:eastAsia="en-IE"/>
            </w:rPr>
          </w:pPr>
          <w:hyperlink w:anchor="_Toc123809239" w:history="1">
            <w:r w:rsidR="00BA4A77" w:rsidRPr="00A44D58">
              <w:rPr>
                <w:rStyle w:val="Hyperlink"/>
                <w:rFonts w:eastAsia="SimSun"/>
                <w:noProof/>
                <w:lang w:val="en-GB" w:eastAsia="en-IE"/>
              </w:rPr>
              <w:t>Appendix 1:  Additional information on list experiments</w:t>
            </w:r>
            <w:r w:rsidR="00BA4A77">
              <w:rPr>
                <w:noProof/>
                <w:webHidden/>
              </w:rPr>
              <w:tab/>
            </w:r>
            <w:r w:rsidR="00BA4A77">
              <w:rPr>
                <w:noProof/>
                <w:webHidden/>
              </w:rPr>
              <w:fldChar w:fldCharType="begin"/>
            </w:r>
            <w:r w:rsidR="00BA4A77">
              <w:rPr>
                <w:noProof/>
                <w:webHidden/>
              </w:rPr>
              <w:instrText xml:space="preserve"> PAGEREF _Toc123809239 \h </w:instrText>
            </w:r>
            <w:r w:rsidR="00BA4A77">
              <w:rPr>
                <w:noProof/>
                <w:webHidden/>
              </w:rPr>
            </w:r>
            <w:r w:rsidR="00BA4A77">
              <w:rPr>
                <w:noProof/>
                <w:webHidden/>
              </w:rPr>
              <w:fldChar w:fldCharType="separate"/>
            </w:r>
            <w:r w:rsidR="00107A7F">
              <w:rPr>
                <w:noProof/>
                <w:webHidden/>
              </w:rPr>
              <w:t>47</w:t>
            </w:r>
            <w:r w:rsidR="00BA4A77">
              <w:rPr>
                <w:noProof/>
                <w:webHidden/>
              </w:rPr>
              <w:fldChar w:fldCharType="end"/>
            </w:r>
          </w:hyperlink>
        </w:p>
        <w:p w14:paraId="49C12964" w14:textId="7F75C9D4" w:rsidR="00760F05" w:rsidRDefault="0040063E">
          <w:pPr>
            <w:rPr>
              <w:b/>
              <w:bCs/>
              <w:noProof/>
            </w:rPr>
          </w:pPr>
          <w:r>
            <w:rPr>
              <w:b/>
              <w:bCs/>
              <w:noProof/>
            </w:rPr>
            <w:fldChar w:fldCharType="end"/>
          </w:r>
        </w:p>
      </w:sdtContent>
    </w:sdt>
    <w:p w14:paraId="60D341D9" w14:textId="78F0E017" w:rsidR="00760F05" w:rsidRDefault="00760F05"/>
    <w:p w14:paraId="4BD1C811" w14:textId="0FC9C3D3" w:rsidR="00760F05" w:rsidRDefault="00760F05"/>
    <w:p w14:paraId="4A6A1FE9" w14:textId="7CBF30E9" w:rsidR="00760F05" w:rsidRDefault="00760F05"/>
    <w:p w14:paraId="36493EC1" w14:textId="506D1051" w:rsidR="007F7DEA" w:rsidRDefault="007F7DEA">
      <w:pPr>
        <w:spacing w:after="0"/>
      </w:pPr>
      <w:r>
        <w:br w:type="page"/>
      </w:r>
    </w:p>
    <w:p w14:paraId="2074F36C" w14:textId="239C99EB" w:rsidR="007E76A2" w:rsidRDefault="00CC43BD" w:rsidP="0040063E">
      <w:pPr>
        <w:pStyle w:val="Heading1"/>
      </w:pPr>
      <w:bookmarkStart w:id="1" w:name="_Toc123809211"/>
      <w:r>
        <w:lastRenderedPageBreak/>
        <w:t>Introduction</w:t>
      </w:r>
      <w:bookmarkEnd w:id="1"/>
    </w:p>
    <w:p w14:paraId="25869717" w14:textId="2781F6C5" w:rsidR="002E672F" w:rsidRDefault="002E672F" w:rsidP="002E672F">
      <w:pPr>
        <w:tabs>
          <w:tab w:val="num" w:pos="720"/>
        </w:tabs>
        <w:rPr>
          <w:bCs/>
          <w:lang w:val="en-US"/>
        </w:rPr>
      </w:pPr>
      <w:r>
        <w:rPr>
          <w:bCs/>
        </w:rPr>
        <w:t>Since 2001, the National Disability Authority (NDA) has conducted a</w:t>
      </w:r>
      <w:r w:rsidR="008B4DB2">
        <w:rPr>
          <w:bCs/>
        </w:rPr>
        <w:t xml:space="preserve"> time series</w:t>
      </w:r>
      <w:r>
        <w:rPr>
          <w:bCs/>
        </w:rPr>
        <w:t xml:space="preserve"> Public Attitudes </w:t>
      </w:r>
      <w:r w:rsidR="008B4DB2">
        <w:rPr>
          <w:bCs/>
        </w:rPr>
        <w:t>to Disability in Ireland survey, every five or six years.</w:t>
      </w:r>
      <w:r>
        <w:rPr>
          <w:rStyle w:val="FootnoteReference"/>
          <w:bCs/>
        </w:rPr>
        <w:footnoteReference w:id="1"/>
      </w:r>
      <w:r>
        <w:rPr>
          <w:bCs/>
        </w:rPr>
        <w:t xml:space="preserve"> These surveys have been face-to-face, interview administered surveys to a random sample of the Irish population with quotas to match the age and gender demographics of the national population. In 2022, as the next attitudes survey was due, the NDA decided to review whether a public attitudes survey to disability was the </w:t>
      </w:r>
      <w:r w:rsidR="008C1CC9">
        <w:rPr>
          <w:bCs/>
        </w:rPr>
        <w:t>optimum</w:t>
      </w:r>
      <w:r>
        <w:rPr>
          <w:bCs/>
        </w:rPr>
        <w:t xml:space="preserve"> approach to take in terms of measuring attitudes. </w:t>
      </w:r>
    </w:p>
    <w:p w14:paraId="4F6CD1BC" w14:textId="77777777" w:rsidR="008B4DB2" w:rsidRDefault="002E672F" w:rsidP="008B4DB2">
      <w:pPr>
        <w:tabs>
          <w:tab w:val="num" w:pos="720"/>
        </w:tabs>
        <w:rPr>
          <w:bCs/>
          <w:lang w:val="en-US"/>
        </w:rPr>
      </w:pPr>
      <w:r>
        <w:rPr>
          <w:bCs/>
          <w:lang w:val="en-US"/>
        </w:rPr>
        <w:t xml:space="preserve">This review </w:t>
      </w:r>
      <w:r w:rsidR="008B4DB2">
        <w:rPr>
          <w:bCs/>
          <w:lang w:val="en-US"/>
        </w:rPr>
        <w:t xml:space="preserve">entailed three distinct but inter-related elements: </w:t>
      </w:r>
    </w:p>
    <w:p w14:paraId="561F557A" w14:textId="0CE88617" w:rsidR="002E672F" w:rsidRDefault="002E672F" w:rsidP="008B4DB2">
      <w:pPr>
        <w:pStyle w:val="ListNumber"/>
      </w:pPr>
      <w:r>
        <w:t>A review of the literature on attitudes and, in particular, changing negative attitudes and behaviours towards disabled people.</w:t>
      </w:r>
    </w:p>
    <w:p w14:paraId="0B1F07A9" w14:textId="162C965E" w:rsidR="002E672F" w:rsidRDefault="008C1CC9" w:rsidP="002E672F">
      <w:pPr>
        <w:pStyle w:val="ListNumber"/>
        <w:numPr>
          <w:ilvl w:val="0"/>
          <w:numId w:val="7"/>
        </w:numPr>
        <w:tabs>
          <w:tab w:val="clear" w:pos="360"/>
        </w:tabs>
      </w:pPr>
      <w:r>
        <w:t>A review of</w:t>
      </w:r>
      <w:r w:rsidR="002E672F" w:rsidRPr="003D3670">
        <w:t xml:space="preserve"> </w:t>
      </w:r>
      <w:r w:rsidR="002E672F">
        <w:t xml:space="preserve">the various methodologies </w:t>
      </w:r>
      <w:r>
        <w:t>by</w:t>
      </w:r>
      <w:r w:rsidR="002E672F">
        <w:t xml:space="preserve"> which </w:t>
      </w:r>
      <w:r w:rsidR="002E672F" w:rsidRPr="003D3670">
        <w:t xml:space="preserve">attitudes </w:t>
      </w:r>
      <w:r w:rsidR="002E672F">
        <w:t xml:space="preserve">are </w:t>
      </w:r>
      <w:r w:rsidR="008B4DB2">
        <w:t>measured</w:t>
      </w:r>
      <w:r w:rsidR="002E672F">
        <w:t xml:space="preserve"> </w:t>
      </w:r>
    </w:p>
    <w:p w14:paraId="407585CF" w14:textId="77777777" w:rsidR="002E672F" w:rsidRDefault="002E672F" w:rsidP="002E672F">
      <w:pPr>
        <w:pStyle w:val="ListNumber"/>
        <w:numPr>
          <w:ilvl w:val="0"/>
          <w:numId w:val="7"/>
        </w:numPr>
        <w:tabs>
          <w:tab w:val="clear" w:pos="360"/>
        </w:tabs>
      </w:pPr>
      <w:r>
        <w:t xml:space="preserve">A list and associated experiments on attitudes to disability (conducted by the Economic and Social Research Institute (ESRI) for the NDA). </w:t>
      </w:r>
    </w:p>
    <w:p w14:paraId="3B85CE70" w14:textId="35A773FC" w:rsidR="002E672F" w:rsidRDefault="002E672F" w:rsidP="008B4DB2">
      <w:pPr>
        <w:tabs>
          <w:tab w:val="num" w:pos="720"/>
        </w:tabs>
      </w:pPr>
      <w:r>
        <w:t xml:space="preserve">This report will cover the second item, i.e. a review of common methodologies used to measure attitudes. Separate reports will </w:t>
      </w:r>
      <w:r w:rsidR="008B4DB2">
        <w:t xml:space="preserve">present the findings from the other two elements of this project. </w:t>
      </w:r>
      <w:r>
        <w:rPr>
          <w:bCs/>
        </w:rPr>
        <w:t>The literature and methodological reviews and the ESRI work will inform NDA’s decisions about its future research and policy work in the area of attitudes.</w:t>
      </w:r>
      <w:r w:rsidRPr="00491359">
        <w:t xml:space="preserve"> </w:t>
      </w:r>
    </w:p>
    <w:p w14:paraId="5F3339CF" w14:textId="2BD2512C" w:rsidR="008B4DB2" w:rsidRDefault="008B4DB2" w:rsidP="008B4DB2">
      <w:pPr>
        <w:pStyle w:val="Heading2"/>
      </w:pPr>
      <w:bookmarkStart w:id="2" w:name="_Toc123809212"/>
      <w:r>
        <w:t>Background</w:t>
      </w:r>
      <w:bookmarkEnd w:id="2"/>
    </w:p>
    <w:p w14:paraId="24CABE37" w14:textId="67A24E56" w:rsidR="009C66A8" w:rsidRDefault="00F620B3" w:rsidP="00F620B3">
      <w:r>
        <w:t xml:space="preserve">Individuals with </w:t>
      </w:r>
      <w:r w:rsidR="00643A00">
        <w:t>disabilities</w:t>
      </w:r>
      <w:r>
        <w:t xml:space="preserve"> </w:t>
      </w:r>
      <w:r w:rsidR="00643A00">
        <w:t>a</w:t>
      </w:r>
      <w:r>
        <w:t>re the</w:t>
      </w:r>
      <w:r w:rsidR="00643A00">
        <w:t xml:space="preserve"> world’s largest minority group</w:t>
      </w:r>
      <w:r>
        <w:t xml:space="preserve"> and one of the only minority groups that </w:t>
      </w:r>
      <w:r w:rsidR="00643A00">
        <w:t>any individual</w:t>
      </w:r>
      <w:r>
        <w:t xml:space="preserve"> can unexpectedly become a member of</w:t>
      </w:r>
      <w:r w:rsidR="001D7CE4">
        <w:t xml:space="preserve"> at any time</w:t>
      </w:r>
      <w:r w:rsidR="00431737">
        <w:t>.</w:t>
      </w:r>
      <w:r w:rsidR="008F4FE8">
        <w:rPr>
          <w:rStyle w:val="FootnoteReference"/>
        </w:rPr>
        <w:footnoteReference w:id="2"/>
      </w:r>
      <w:r>
        <w:t xml:space="preserve"> However</w:t>
      </w:r>
      <w:r w:rsidR="002E176C">
        <w:t>,</w:t>
      </w:r>
      <w:r>
        <w:t xml:space="preserve"> people with disabilities are the most u</w:t>
      </w:r>
      <w:r w:rsidR="008B4ECF">
        <w:t>nder-represented minority group</w:t>
      </w:r>
      <w:r w:rsidR="00B15C79">
        <w:t>, even within Equality, Diversity and Inclusion Policies</w:t>
      </w:r>
      <w:r w:rsidR="00431737">
        <w:t>.</w:t>
      </w:r>
      <w:r w:rsidR="00431737">
        <w:rPr>
          <w:rStyle w:val="FootnoteReference"/>
        </w:rPr>
        <w:footnoteReference w:id="3"/>
      </w:r>
      <w:r w:rsidR="00B15C79">
        <w:t xml:space="preserve"> </w:t>
      </w:r>
      <w:r w:rsidR="00311D6C">
        <w:t xml:space="preserve">Negative attitudes towards </w:t>
      </w:r>
      <w:r w:rsidR="00CC43BD">
        <w:t>people</w:t>
      </w:r>
      <w:r w:rsidR="00311D6C">
        <w:t xml:space="preserve"> </w:t>
      </w:r>
      <w:r w:rsidR="00CC43BD">
        <w:t>w</w:t>
      </w:r>
      <w:r w:rsidR="00311D6C">
        <w:t xml:space="preserve">ith disabilities </w:t>
      </w:r>
      <w:r w:rsidR="001D7CE4">
        <w:t>pose substantial</w:t>
      </w:r>
      <w:r w:rsidR="00311D6C">
        <w:t xml:space="preserve"> barriers to the full social inclusion of disabled people. </w:t>
      </w:r>
      <w:r w:rsidR="00523F93" w:rsidRPr="00AE1230">
        <w:t>Research has shown that attitudes play at least some part in predicting various behaviours and indicating values</w:t>
      </w:r>
      <w:r w:rsidR="006A55BB">
        <w:t>.</w:t>
      </w:r>
      <w:r w:rsidR="00431737">
        <w:rPr>
          <w:rStyle w:val="FootnoteReference"/>
        </w:rPr>
        <w:footnoteReference w:id="4"/>
      </w:r>
      <w:r w:rsidR="00431737">
        <w:t xml:space="preserve"> </w:t>
      </w:r>
      <w:r w:rsidR="00657032">
        <w:t>For example, negative a</w:t>
      </w:r>
      <w:r w:rsidR="00523F93" w:rsidRPr="00AE1230">
        <w:t xml:space="preserve">ttitudes have been associated with </w:t>
      </w:r>
      <w:r w:rsidR="00657032">
        <w:t xml:space="preserve">a </w:t>
      </w:r>
      <w:r w:rsidR="00523F93" w:rsidRPr="00AE1230">
        <w:t xml:space="preserve">desire for increased social distance </w:t>
      </w:r>
      <w:r w:rsidR="00523F93" w:rsidRPr="00AE1230">
        <w:lastRenderedPageBreak/>
        <w:t>from people with Schizophrenia</w:t>
      </w:r>
      <w:r w:rsidR="00431737">
        <w:t>,</w:t>
      </w:r>
      <w:r w:rsidR="00431737">
        <w:rPr>
          <w:rStyle w:val="FootnoteReference"/>
        </w:rPr>
        <w:footnoteReference w:id="5"/>
      </w:r>
      <w:r w:rsidR="00431737">
        <w:t xml:space="preserve"> </w:t>
      </w:r>
      <w:r w:rsidR="00625E03">
        <w:t>developmental</w:t>
      </w:r>
      <w:r w:rsidR="00523F93" w:rsidRPr="00AE1230">
        <w:t xml:space="preserve"> disabilities</w:t>
      </w:r>
      <w:r w:rsidR="00EB6038">
        <w:t>,</w:t>
      </w:r>
      <w:r w:rsidR="00625E03">
        <w:rPr>
          <w:rStyle w:val="FootnoteReference"/>
        </w:rPr>
        <w:footnoteReference w:id="6"/>
      </w:r>
      <w:r w:rsidR="00523F93" w:rsidRPr="00AE1230">
        <w:t xml:space="preserve"> </w:t>
      </w:r>
      <w:r w:rsidR="000544F6">
        <w:t xml:space="preserve"> and </w:t>
      </w:r>
      <w:r w:rsidR="00EB6038">
        <w:t>intellectual disabilities</w:t>
      </w:r>
      <w:r w:rsidR="000544F6">
        <w:t>.</w:t>
      </w:r>
      <w:r w:rsidR="00EB6038">
        <w:rPr>
          <w:rStyle w:val="FootnoteReference"/>
        </w:rPr>
        <w:footnoteReference w:id="7"/>
      </w:r>
      <w:r w:rsidR="00523F93" w:rsidRPr="00AE1230">
        <w:t xml:space="preserve"> Furthermore, a large body of research has indicated that employers often hold negative</w:t>
      </w:r>
      <w:r w:rsidR="007F04DA">
        <w:t xml:space="preserve"> attitudes and stereotypes regar</w:t>
      </w:r>
      <w:r w:rsidR="00523F93" w:rsidRPr="00AE1230">
        <w:t>ding people with disabilities which may lead to workplace discrimination</w:t>
      </w:r>
      <w:r w:rsidR="00431737">
        <w:t>.</w:t>
      </w:r>
      <w:r w:rsidR="00431737">
        <w:rPr>
          <w:rStyle w:val="FootnoteReference"/>
        </w:rPr>
        <w:footnoteReference w:id="8"/>
      </w:r>
      <w:r w:rsidR="00523F93" w:rsidRPr="00AE1230">
        <w:t xml:space="preserve"> </w:t>
      </w:r>
      <w:r w:rsidR="000A524D">
        <w:t>As part of</w:t>
      </w:r>
      <w:r w:rsidR="007F04DA">
        <w:t xml:space="preserve"> a systematic review, Fitzge</w:t>
      </w:r>
      <w:r w:rsidR="00523F93">
        <w:t>r</w:t>
      </w:r>
      <w:r w:rsidR="007F04DA">
        <w:t>a</w:t>
      </w:r>
      <w:r w:rsidR="00523F93">
        <w:t xml:space="preserve">ld and Hurst (2017) </w:t>
      </w:r>
      <w:r w:rsidR="000A524D">
        <w:t>highlighted</w:t>
      </w:r>
      <w:r w:rsidR="00523F93">
        <w:t xml:space="preserve"> that negative bias </w:t>
      </w:r>
      <w:r w:rsidR="00657032">
        <w:t>a</w:t>
      </w:r>
      <w:r w:rsidR="00523F93">
        <w:t xml:space="preserve">mong healthcare providers </w:t>
      </w:r>
      <w:r w:rsidR="000A524D">
        <w:t>was</w:t>
      </w:r>
      <w:r w:rsidR="00523F93">
        <w:t xml:space="preserve"> </w:t>
      </w:r>
      <w:r w:rsidR="000A524D">
        <w:t>negatively correlated</w:t>
      </w:r>
      <w:r w:rsidR="00523F93">
        <w:t xml:space="preserve"> </w:t>
      </w:r>
      <w:r w:rsidR="00074E31">
        <w:t xml:space="preserve">with </w:t>
      </w:r>
      <w:r w:rsidR="00523F93">
        <w:t xml:space="preserve">quality of care </w:t>
      </w:r>
      <w:r w:rsidR="000A524D">
        <w:t xml:space="preserve">indicators </w:t>
      </w:r>
      <w:r w:rsidR="00523F93">
        <w:t>for people with mental illnesses</w:t>
      </w:r>
      <w:r w:rsidR="000A524D">
        <w:rPr>
          <w:rStyle w:val="FootnoteReference"/>
        </w:rPr>
        <w:footnoteReference w:id="9"/>
      </w:r>
      <w:r w:rsidR="000A524D">
        <w:t xml:space="preserve"> and acquired brain injuries</w:t>
      </w:r>
      <w:r w:rsidR="000A524D">
        <w:rPr>
          <w:rStyle w:val="FootnoteReference"/>
        </w:rPr>
        <w:footnoteReference w:id="10"/>
      </w:r>
      <w:r w:rsidR="00523F93">
        <w:t>.</w:t>
      </w:r>
      <w:r w:rsidR="00523F93" w:rsidRPr="00AE1230">
        <w:t xml:space="preserve"> Therefore, research into attitudes is an appropriate approach towards investigating the causes of </w:t>
      </w:r>
      <w:r w:rsidR="001E5F13">
        <w:t xml:space="preserve">prejudice and </w:t>
      </w:r>
      <w:r w:rsidR="00523F93" w:rsidRPr="00AE1230">
        <w:t>discrimination against people with disabilities</w:t>
      </w:r>
      <w:r w:rsidR="008C1CC9">
        <w:t xml:space="preserve"> in order to identify ways of mitigating the</w:t>
      </w:r>
      <w:r w:rsidR="005B55D1">
        <w:t>m</w:t>
      </w:r>
      <w:r w:rsidR="00431737">
        <w:t>.</w:t>
      </w:r>
      <w:r w:rsidR="00431737">
        <w:rPr>
          <w:rStyle w:val="FootnoteReference"/>
        </w:rPr>
        <w:footnoteReference w:id="11"/>
      </w:r>
    </w:p>
    <w:p w14:paraId="4FE916FA" w14:textId="09750AFB" w:rsidR="0017676C" w:rsidRDefault="00180F11" w:rsidP="0040063E">
      <w:pPr>
        <w:pStyle w:val="Heading1"/>
      </w:pPr>
      <w:bookmarkStart w:id="3" w:name="_Toc123809213"/>
      <w:r>
        <w:t xml:space="preserve">Methods of </w:t>
      </w:r>
      <w:r w:rsidRPr="00645197">
        <w:t>me</w:t>
      </w:r>
      <w:r>
        <w:t>asuring attitudes</w:t>
      </w:r>
      <w:bookmarkEnd w:id="3"/>
    </w:p>
    <w:p w14:paraId="76B036F2" w14:textId="77777777" w:rsidR="001E5F13" w:rsidRDefault="001E5F13" w:rsidP="00124C36">
      <w:r>
        <w:t>Methods of measuring attitudes have changed over the years, becoming more sophisticated as knowledge of the underlying processes involved in attitude formation and persistence has improved.</w:t>
      </w:r>
      <w:r>
        <w:rPr>
          <w:rStyle w:val="FootnoteReference"/>
        </w:rPr>
        <w:footnoteReference w:id="12"/>
      </w:r>
      <w:r>
        <w:t xml:space="preserve"> As a result, there now exists an abundance of measurement tools and approaches to measuring attitudes. The purpose of this chapter is to provide a brief overview of some of the measures that are commonly used to assess attitudes towards disability.</w:t>
      </w:r>
    </w:p>
    <w:p w14:paraId="38BC028F" w14:textId="1B962A81" w:rsidR="00B11D8E" w:rsidRDefault="00631BA2" w:rsidP="00124C36">
      <w:r>
        <w:t>Alt</w:t>
      </w:r>
      <w:r w:rsidR="00657032">
        <w:t>hough research into attitudes is</w:t>
      </w:r>
      <w:r>
        <w:t xml:space="preserve"> continually advancing, i</w:t>
      </w:r>
      <w:r w:rsidR="001319FC">
        <w:t xml:space="preserve">t is </w:t>
      </w:r>
      <w:r>
        <w:t>currently</w:t>
      </w:r>
      <w:r w:rsidR="001319FC">
        <w:t xml:space="preserve"> generally accepted that attitudes consist of three components: affective, cognitive and behavioural</w:t>
      </w:r>
      <w:r w:rsidR="002636C3">
        <w:t>.</w:t>
      </w:r>
      <w:r w:rsidR="002636C3">
        <w:rPr>
          <w:rStyle w:val="FootnoteReference"/>
        </w:rPr>
        <w:footnoteReference w:id="13"/>
      </w:r>
      <w:r w:rsidR="00124C36">
        <w:t xml:space="preserve"> The affective component reflects the emotions underpinning an attitude, such</w:t>
      </w:r>
      <w:r w:rsidR="007F04DA">
        <w:t xml:space="preserve"> as</w:t>
      </w:r>
      <w:r w:rsidR="00124C36">
        <w:t xml:space="preserve"> and the amount of positive or negative feelings towards the referent</w:t>
      </w:r>
      <w:r w:rsidR="002636C3">
        <w:t>.</w:t>
      </w:r>
      <w:r w:rsidR="002636C3">
        <w:rPr>
          <w:rStyle w:val="FootnoteReference"/>
        </w:rPr>
        <w:footnoteReference w:id="14"/>
      </w:r>
      <w:r w:rsidR="00124C36">
        <w:t xml:space="preserve"> The cognitive component refers to the individual’s ideas, thoughts, p</w:t>
      </w:r>
      <w:r w:rsidR="00124C36" w:rsidRPr="00124C36">
        <w:t>erception</w:t>
      </w:r>
      <w:r w:rsidR="00124C36">
        <w:t>s, beliefs, opinions, or mental conceptuali</w:t>
      </w:r>
      <w:r w:rsidR="0023138D">
        <w:t>s</w:t>
      </w:r>
      <w:r w:rsidR="00124C36">
        <w:t>ation o</w:t>
      </w:r>
      <w:r w:rsidR="00124C36" w:rsidRPr="00124C36">
        <w:t xml:space="preserve">f the </w:t>
      </w:r>
      <w:r w:rsidR="00124C36">
        <w:t xml:space="preserve">attitude </w:t>
      </w:r>
      <w:r w:rsidR="00124C36" w:rsidRPr="00124C36">
        <w:t>referent</w:t>
      </w:r>
      <w:r w:rsidR="00124C36">
        <w:t xml:space="preserve">. The behavioural </w:t>
      </w:r>
      <w:r w:rsidR="00257ED6">
        <w:t>component</w:t>
      </w:r>
      <w:r w:rsidR="00124C36">
        <w:t xml:space="preserve"> reflect</w:t>
      </w:r>
      <w:r w:rsidR="004C1875">
        <w:t>s</w:t>
      </w:r>
      <w:r w:rsidR="00124C36">
        <w:t xml:space="preserve"> the </w:t>
      </w:r>
      <w:r w:rsidR="00A27EB7">
        <w:t>individual’s</w:t>
      </w:r>
      <w:r w:rsidR="00124C36">
        <w:t xml:space="preserve"> in</w:t>
      </w:r>
      <w:r w:rsidR="00FF0C63">
        <w:t xml:space="preserve">tent to behave in </w:t>
      </w:r>
      <w:r w:rsidR="00FF0C63">
        <w:lastRenderedPageBreak/>
        <w:t xml:space="preserve">a certain way, </w:t>
      </w:r>
      <w:r w:rsidR="00124C36">
        <w:t>or their actual behaviour</w:t>
      </w:r>
      <w:r w:rsidR="00FF0C63">
        <w:t>,</w:t>
      </w:r>
      <w:r w:rsidR="004E0995">
        <w:t xml:space="preserve"> towards the referent</w:t>
      </w:r>
      <w:r w:rsidR="002636C3">
        <w:t>.</w:t>
      </w:r>
      <w:r w:rsidR="002636C3">
        <w:rPr>
          <w:rStyle w:val="FootnoteReference"/>
        </w:rPr>
        <w:footnoteReference w:id="15"/>
      </w:r>
      <w:r w:rsidR="002636C3">
        <w:t xml:space="preserve"> </w:t>
      </w:r>
      <w:r>
        <w:t>Studies</w:t>
      </w:r>
      <w:r w:rsidR="003D4974">
        <w:t xml:space="preserve"> have found that these affects, </w:t>
      </w:r>
      <w:r w:rsidR="00205746">
        <w:t>cognitions</w:t>
      </w:r>
      <w:r w:rsidR="003D4974">
        <w:t xml:space="preserve"> and behaviours are not necessarily congruent within individuals</w:t>
      </w:r>
      <w:r w:rsidR="002636C3">
        <w:t>.</w:t>
      </w:r>
      <w:r w:rsidR="002636C3">
        <w:rPr>
          <w:rStyle w:val="FootnoteReference"/>
        </w:rPr>
        <w:footnoteReference w:id="16"/>
      </w:r>
      <w:r w:rsidR="00B11D8E">
        <w:t xml:space="preserve"> F</w:t>
      </w:r>
      <w:r w:rsidR="00B7019C">
        <w:t>or example,</w:t>
      </w:r>
      <w:r w:rsidR="00B11D8E">
        <w:t xml:space="preserve"> Findler et al. (2007)</w:t>
      </w:r>
      <w:r w:rsidR="00B7019C">
        <w:t xml:space="preserve"> found that </w:t>
      </w:r>
      <w:r w:rsidR="00B11D8E">
        <w:t>participants</w:t>
      </w:r>
      <w:r w:rsidR="00B7019C">
        <w:t xml:space="preserve"> responded more </w:t>
      </w:r>
      <w:r w:rsidR="00B11D8E">
        <w:t xml:space="preserve">positively on the behavioural aspect of their multidimensional scale </w:t>
      </w:r>
      <w:r w:rsidR="005A0447">
        <w:t xml:space="preserve">of attitudes towards people with disabilities </w:t>
      </w:r>
      <w:r w:rsidR="00B11D8E">
        <w:t>compared</w:t>
      </w:r>
      <w:r w:rsidR="00B7019C">
        <w:t xml:space="preserve"> to the affective and cognitive </w:t>
      </w:r>
      <w:r w:rsidR="00B11D8E">
        <w:t>components</w:t>
      </w:r>
      <w:r w:rsidR="00B7019C">
        <w:t xml:space="preserve">. </w:t>
      </w:r>
      <w:r w:rsidR="00B11D8E">
        <w:t>T</w:t>
      </w:r>
      <w:r w:rsidR="00B7019C">
        <w:t xml:space="preserve">he </w:t>
      </w:r>
      <w:r w:rsidR="00B11D8E">
        <w:t>authors</w:t>
      </w:r>
      <w:r w:rsidR="00B7019C">
        <w:t xml:space="preserve"> argue</w:t>
      </w:r>
      <w:r w:rsidR="00B11D8E">
        <w:t>d</w:t>
      </w:r>
      <w:r w:rsidR="00B7019C">
        <w:t xml:space="preserve"> that this indicated that individual</w:t>
      </w:r>
      <w:r w:rsidR="00B11D8E">
        <w:t xml:space="preserve">s did not intend to act on their feelings or thoughts of discomfort towards people with disabilities, or they at least did not want to admit to acting on them. Findings such as these </w:t>
      </w:r>
      <w:r w:rsidR="00B7019C">
        <w:t xml:space="preserve">emphasise the </w:t>
      </w:r>
      <w:r w:rsidR="00B11D8E">
        <w:t>importance</w:t>
      </w:r>
      <w:r w:rsidR="00B7019C">
        <w:t xml:space="preserve"> of assessing all three components</w:t>
      </w:r>
      <w:r w:rsidR="005B55D1">
        <w:t xml:space="preserve"> when measuring</w:t>
      </w:r>
      <w:r w:rsidR="005A0447">
        <w:t xml:space="preserve"> attitudes. Not doing so </w:t>
      </w:r>
      <w:r w:rsidR="00205746">
        <w:t>risks g</w:t>
      </w:r>
      <w:r w:rsidR="005B55D1">
        <w:t>athering an incomplete understand</w:t>
      </w:r>
      <w:r w:rsidR="00205746">
        <w:t>ing of an individual’s attitudes and behaviours.</w:t>
      </w:r>
    </w:p>
    <w:p w14:paraId="6A32F2CF" w14:textId="1ACF98B9" w:rsidR="001319FC" w:rsidRDefault="00B11D8E" w:rsidP="00124C36">
      <w:r>
        <w:t>T</w:t>
      </w:r>
      <w:r w:rsidR="004C1875">
        <w:t xml:space="preserve">here is also a general consensus that attitudes can be </w:t>
      </w:r>
      <w:r w:rsidR="00257ED6">
        <w:t xml:space="preserve">categorised into two </w:t>
      </w:r>
      <w:r w:rsidR="004C1875">
        <w:t xml:space="preserve">distinct but related </w:t>
      </w:r>
      <w:r w:rsidR="00190688">
        <w:t>levels.</w:t>
      </w:r>
      <w:r w:rsidR="002636C3">
        <w:rPr>
          <w:rStyle w:val="FootnoteReference"/>
        </w:rPr>
        <w:footnoteReference w:id="17"/>
      </w:r>
      <w:r w:rsidR="00190688">
        <w:t xml:space="preserve"> T</w:t>
      </w:r>
      <w:r>
        <w:t xml:space="preserve">hose that exist on an </w:t>
      </w:r>
      <w:r w:rsidR="004854C1">
        <w:t>e</w:t>
      </w:r>
      <w:r w:rsidR="004C1875">
        <w:t xml:space="preserve">xplicit </w:t>
      </w:r>
      <w:r w:rsidR="00325D64">
        <w:t xml:space="preserve">or conscious </w:t>
      </w:r>
      <w:r>
        <w:t xml:space="preserve">level and those that exist on an </w:t>
      </w:r>
      <w:r w:rsidR="004854C1">
        <w:t>implicit</w:t>
      </w:r>
      <w:r w:rsidR="00325D64">
        <w:t xml:space="preserve"> or </w:t>
      </w:r>
      <w:r w:rsidR="00631BA2">
        <w:t xml:space="preserve">less </w:t>
      </w:r>
      <w:r w:rsidR="00325D64">
        <w:t>conscious</w:t>
      </w:r>
      <w:r w:rsidR="004854C1">
        <w:t xml:space="preserve"> </w:t>
      </w:r>
      <w:r w:rsidR="001A0D2B">
        <w:t>level</w:t>
      </w:r>
      <w:r w:rsidR="004854C1">
        <w:t>.</w:t>
      </w:r>
      <w:r w:rsidR="002636C3">
        <w:rPr>
          <w:rStyle w:val="FootnoteReference"/>
        </w:rPr>
        <w:footnoteReference w:id="18"/>
      </w:r>
      <w:r w:rsidR="004854C1">
        <w:t xml:space="preserve"> </w:t>
      </w:r>
      <w:r w:rsidR="001A0D2B">
        <w:t xml:space="preserve">Explicit attitudes </w:t>
      </w:r>
      <w:r w:rsidR="00325D64">
        <w:t xml:space="preserve">are attitudes that the individual is aware of, they </w:t>
      </w:r>
      <w:r w:rsidR="00C37040">
        <w:t>are deliberately formed and are easy to self-report. Implicit atti</w:t>
      </w:r>
      <w:r w:rsidR="00325D64">
        <w:t xml:space="preserve">tudes on the other hand, </w:t>
      </w:r>
      <w:r w:rsidR="00C37040">
        <w:t>are formed involuntarily</w:t>
      </w:r>
      <w:r w:rsidR="00325D64">
        <w:t xml:space="preserve"> and the individual is generally unaware of them</w:t>
      </w:r>
      <w:r w:rsidR="00C37040">
        <w:t xml:space="preserve">. Explicit attitudes are generally </w:t>
      </w:r>
      <w:r w:rsidR="00190688">
        <w:t>measured</w:t>
      </w:r>
      <w:r w:rsidR="00C37040">
        <w:t xml:space="preserve"> by what are known as direct measures while implicit attitudes are measured by indirect </w:t>
      </w:r>
      <w:r w:rsidR="00190688">
        <w:t>measures</w:t>
      </w:r>
      <w:r w:rsidR="00C37040">
        <w:t>.</w:t>
      </w:r>
    </w:p>
    <w:p w14:paraId="3C2348D1" w14:textId="15A69353" w:rsidR="00425F77" w:rsidRDefault="00052F23" w:rsidP="0040063E">
      <w:pPr>
        <w:pStyle w:val="Heading2"/>
      </w:pPr>
      <w:bookmarkStart w:id="4" w:name="_Toc123809214"/>
      <w:r>
        <w:t xml:space="preserve">Direct </w:t>
      </w:r>
      <w:r w:rsidR="00F02E31">
        <w:t>m</w:t>
      </w:r>
      <w:r>
        <w:t>e</w:t>
      </w:r>
      <w:r w:rsidR="00631BA2">
        <w:t>asures</w:t>
      </w:r>
      <w:bookmarkEnd w:id="4"/>
    </w:p>
    <w:p w14:paraId="2FABD9E3" w14:textId="39EB0AB1" w:rsidR="00077C33" w:rsidRPr="00077C33" w:rsidRDefault="0029182C" w:rsidP="00077C33">
      <w:r w:rsidRPr="0029182C">
        <w:t>Direct measures are the most widely used method of measuring attitudes to persons with disabilities</w:t>
      </w:r>
      <w:r>
        <w:t xml:space="preserve">, </w:t>
      </w:r>
      <w:r w:rsidR="005E4926">
        <w:t>likely because they</w:t>
      </w:r>
      <w:r>
        <w:t xml:space="preserve"> are easier</w:t>
      </w:r>
      <w:r w:rsidR="005E4926">
        <w:t xml:space="preserve"> to administer </w:t>
      </w:r>
      <w:r w:rsidR="0083593D">
        <w:t>since</w:t>
      </w:r>
      <w:r w:rsidR="005E4926">
        <w:t xml:space="preserve"> explicit attitudes can be self-reported or overtly observed</w:t>
      </w:r>
      <w:r w:rsidR="002636C3">
        <w:t>.</w:t>
      </w:r>
      <w:r w:rsidR="002636C3">
        <w:rPr>
          <w:rStyle w:val="FootnoteReference"/>
        </w:rPr>
        <w:footnoteReference w:id="19"/>
      </w:r>
      <w:r w:rsidR="002636C3">
        <w:t xml:space="preserve"> </w:t>
      </w:r>
      <w:r w:rsidR="00052F23">
        <w:t>When using d</w:t>
      </w:r>
      <w:r w:rsidR="00077C33">
        <w:t>irect</w:t>
      </w:r>
      <w:r w:rsidR="00052F23">
        <w:t xml:space="preserve"> methods of measuring attitudes, respondents are aware that their attitudes are being measured, either because they have been informed by the researcher or it becomes apparent </w:t>
      </w:r>
      <w:r w:rsidR="0083593D">
        <w:t>through the process of being assessed</w:t>
      </w:r>
      <w:r w:rsidR="002636C3">
        <w:t>.</w:t>
      </w:r>
      <w:r w:rsidR="002636C3">
        <w:rPr>
          <w:rStyle w:val="FootnoteReference"/>
        </w:rPr>
        <w:footnoteReference w:id="20"/>
      </w:r>
      <w:r w:rsidR="004243E6">
        <w:t xml:space="preserve"> T</w:t>
      </w:r>
      <w:r w:rsidR="00077C33">
        <w:t xml:space="preserve">here are numerous direct measures available to assess attitudes. Below is a brief overview of some of the common direct </w:t>
      </w:r>
      <w:r w:rsidR="00107873">
        <w:t>measures</w:t>
      </w:r>
      <w:r w:rsidR="00077C33">
        <w:t xml:space="preserve"> that </w:t>
      </w:r>
      <w:r w:rsidR="0083593D">
        <w:t>have been</w:t>
      </w:r>
      <w:r w:rsidR="00077C33">
        <w:t xml:space="preserve"> iden</w:t>
      </w:r>
      <w:r w:rsidR="0083593D">
        <w:t>tified</w:t>
      </w:r>
      <w:r w:rsidR="00E3254A">
        <w:t>.</w:t>
      </w:r>
      <w:r w:rsidR="00FF0C63">
        <w:rPr>
          <w:rStyle w:val="FootnoteReference"/>
        </w:rPr>
        <w:footnoteReference w:id="21"/>
      </w:r>
    </w:p>
    <w:p w14:paraId="30AD4528" w14:textId="66098E1B" w:rsidR="00BA3BB4" w:rsidRPr="00BA3BB4" w:rsidRDefault="00BA3BB4" w:rsidP="00BC315A">
      <w:pPr>
        <w:pStyle w:val="Heading3"/>
      </w:pPr>
      <w:bookmarkStart w:id="5" w:name="_Toc123809215"/>
      <w:r>
        <w:lastRenderedPageBreak/>
        <w:t>S</w:t>
      </w:r>
      <w:r w:rsidR="009E42D5">
        <w:t xml:space="preserve">elf-report </w:t>
      </w:r>
      <w:r w:rsidR="00493C0C">
        <w:t>surveys</w:t>
      </w:r>
      <w:bookmarkEnd w:id="5"/>
    </w:p>
    <w:p w14:paraId="68709612" w14:textId="48945380" w:rsidR="00107873" w:rsidRDefault="00BA3BB4" w:rsidP="006F1165">
      <w:r>
        <w:t>T</w:t>
      </w:r>
      <w:r w:rsidR="007C7FAA">
        <w:t xml:space="preserve">he most common method of </w:t>
      </w:r>
      <w:r w:rsidR="0083593D">
        <w:t xml:space="preserve">directly </w:t>
      </w:r>
      <w:r w:rsidR="007C7FAA">
        <w:t xml:space="preserve">measuring attitudes </w:t>
      </w:r>
      <w:r w:rsidR="00631BA2">
        <w:t xml:space="preserve">is </w:t>
      </w:r>
      <w:r w:rsidR="00107873">
        <w:t xml:space="preserve">through </w:t>
      </w:r>
      <w:r w:rsidR="009E42D5">
        <w:t xml:space="preserve">self-report </w:t>
      </w:r>
      <w:r w:rsidR="00631BA2">
        <w:t>surveys</w:t>
      </w:r>
      <w:r w:rsidR="00107873">
        <w:t xml:space="preserve"> in which participants are asked to express their attitudes by responding to a list of questions or statements about people with disabilities. </w:t>
      </w:r>
      <w:r w:rsidR="0017676C">
        <w:t>M</w:t>
      </w:r>
      <w:r w:rsidR="00ED27E4">
        <w:t>any surveys use</w:t>
      </w:r>
      <w:r w:rsidR="0017676C">
        <w:t xml:space="preserve"> validated scales to measure attitudes such as the </w:t>
      </w:r>
      <w:r w:rsidR="0017676C" w:rsidRPr="0017676C">
        <w:t>Attitudes Toward Intellectual Disability Questionnaire</w:t>
      </w:r>
      <w:r w:rsidR="00825DAA">
        <w:t>,</w:t>
      </w:r>
      <w:r w:rsidR="00825DAA">
        <w:rPr>
          <w:rStyle w:val="FootnoteReference"/>
        </w:rPr>
        <w:footnoteReference w:id="22"/>
      </w:r>
      <w:r w:rsidR="006F1165" w:rsidRPr="006F1165">
        <w:t xml:space="preserve"> </w:t>
      </w:r>
      <w:r w:rsidR="00074E31">
        <w:t xml:space="preserve">the </w:t>
      </w:r>
      <w:r w:rsidR="006F1165">
        <w:t>Revised Acceptance of Disability Scale</w:t>
      </w:r>
      <w:r w:rsidR="00825DAA">
        <w:rPr>
          <w:rStyle w:val="FootnoteReference"/>
        </w:rPr>
        <w:footnoteReference w:id="23"/>
      </w:r>
      <w:r w:rsidR="00920DAB">
        <w:t xml:space="preserve"> or the Attitude to Disability </w:t>
      </w:r>
      <w:r w:rsidR="006F1165">
        <w:t>Scale</w:t>
      </w:r>
      <w:r w:rsidR="00825DAA">
        <w:t>.</w:t>
      </w:r>
      <w:r w:rsidR="00825DAA">
        <w:rPr>
          <w:rStyle w:val="FootnoteReference"/>
        </w:rPr>
        <w:footnoteReference w:id="24"/>
      </w:r>
      <w:r w:rsidR="00825DAA">
        <w:t xml:space="preserve"> </w:t>
      </w:r>
      <w:r w:rsidR="0083593D">
        <w:t>A recent systematic review assessed the psychometric properties and overall utility of 31 identified validated scales for assessing attitudes towards disability.</w:t>
      </w:r>
      <w:r w:rsidR="004243E6">
        <w:rPr>
          <w:rStyle w:val="FootnoteReference"/>
        </w:rPr>
        <w:footnoteReference w:id="25"/>
      </w:r>
      <w:r w:rsidR="0060506D">
        <w:t xml:space="preserve"> The reviewed instruments included five that measured attitudes toward communication disability</w:t>
      </w:r>
      <w:r w:rsidR="005B55D1">
        <w:t xml:space="preserve"> (used in this instance to</w:t>
      </w:r>
      <w:r w:rsidR="005B55D1" w:rsidRPr="005B55D1">
        <w:t xml:space="preserve"> refer to people with speech or hearing impairments</w:t>
      </w:r>
      <w:r w:rsidR="005B55D1">
        <w:t>)</w:t>
      </w:r>
      <w:r w:rsidR="0060506D">
        <w:t xml:space="preserve">, seven toward intellectual disability, four toward mental illness, and 15 toward disability in general. Target respondents </w:t>
      </w:r>
      <w:r w:rsidR="005C58A2">
        <w:t xml:space="preserve">included children and adults </w:t>
      </w:r>
      <w:r w:rsidR="0060506D">
        <w:t xml:space="preserve">from different occupations and cultural backgrounds. Twenty-three </w:t>
      </w:r>
      <w:r w:rsidR="005C58A2">
        <w:t xml:space="preserve">measures </w:t>
      </w:r>
      <w:r w:rsidR="0060506D">
        <w:t>were found to have adequate overall utility, while</w:t>
      </w:r>
      <w:r w:rsidR="005C58A2">
        <w:t xml:space="preserve"> eight were found to</w:t>
      </w:r>
      <w:r w:rsidR="0060506D">
        <w:t xml:space="preserve"> have poor overall utility</w:t>
      </w:r>
      <w:r w:rsidR="004243E6">
        <w:t xml:space="preserve">. The authors concluded that there are a number of adequate validated surveys in existence for </w:t>
      </w:r>
      <w:r w:rsidR="004B224C">
        <w:t>researchers</w:t>
      </w:r>
      <w:r w:rsidR="004243E6">
        <w:t xml:space="preserve"> to use, however, they </w:t>
      </w:r>
      <w:r w:rsidR="000C6278">
        <w:t>caution</w:t>
      </w:r>
      <w:r w:rsidR="004243E6">
        <w:t xml:space="preserve"> that careful </w:t>
      </w:r>
      <w:r w:rsidR="004B224C">
        <w:t>consideration</w:t>
      </w:r>
      <w:r w:rsidR="004243E6">
        <w:t xml:space="preserve"> must be given to</w:t>
      </w:r>
      <w:r w:rsidR="00DD7CBB">
        <w:t xml:space="preserve"> the </w:t>
      </w:r>
      <w:r w:rsidR="0023138D">
        <w:t xml:space="preserve">limitations of the </w:t>
      </w:r>
      <w:r w:rsidR="00DD7CBB">
        <w:t>chosen scale</w:t>
      </w:r>
      <w:r w:rsidR="002D7BEB">
        <w:t xml:space="preserve"> when they are used</w:t>
      </w:r>
      <w:r w:rsidR="00DD7CBB">
        <w:t xml:space="preserve">. </w:t>
      </w:r>
      <w:r w:rsidR="00994C23">
        <w:t xml:space="preserve">A more recent systematic review of self-report measures assessing workplace attitudes towards people with disabilities </w:t>
      </w:r>
      <w:r w:rsidR="00386585">
        <w:t>highlighted a number of validity issues with the nine scales identified and particularly highlighted the lack of explicit theoretical foundations underpinning the scales</w:t>
      </w:r>
      <w:r w:rsidR="00F85D63">
        <w:t>.</w:t>
      </w:r>
      <w:r w:rsidR="00994C23">
        <w:rPr>
          <w:rStyle w:val="FootnoteReference"/>
        </w:rPr>
        <w:footnoteReference w:id="26"/>
      </w:r>
      <w:r w:rsidR="00994C23">
        <w:t xml:space="preserve"> </w:t>
      </w:r>
    </w:p>
    <w:p w14:paraId="1FA614CE" w14:textId="2498D970" w:rsidR="00107873" w:rsidRDefault="00386585" w:rsidP="0060506D">
      <w:r>
        <w:t>Self-report measure</w:t>
      </w:r>
      <w:r w:rsidR="002D7BEB">
        <w:t>s</w:t>
      </w:r>
      <w:r>
        <w:t xml:space="preserve"> have been widely used to</w:t>
      </w:r>
      <w:r w:rsidR="0073398A">
        <w:t xml:space="preserve"> directly assess attitudes</w:t>
      </w:r>
      <w:r>
        <w:t xml:space="preserve"> towards people </w:t>
      </w:r>
      <w:r w:rsidR="0073398A">
        <w:t>with</w:t>
      </w:r>
      <w:r w:rsidR="00EA12CA">
        <w:t xml:space="preserve"> disabilities, including those with</w:t>
      </w:r>
      <w:r w:rsidR="0073398A">
        <w:t xml:space="preserve"> mental illness</w:t>
      </w:r>
      <w:r w:rsidR="00F85D63">
        <w:t>,</w:t>
      </w:r>
      <w:r w:rsidR="004B224C">
        <w:rPr>
          <w:rStyle w:val="FootnoteReference"/>
        </w:rPr>
        <w:footnoteReference w:id="27"/>
      </w:r>
      <w:r w:rsidR="00EF0649">
        <w:t xml:space="preserve"> </w:t>
      </w:r>
      <w:r w:rsidR="004243E6">
        <w:rPr>
          <w:rStyle w:val="FootnoteReference"/>
        </w:rPr>
        <w:footnoteReference w:id="28"/>
      </w:r>
      <w:r w:rsidR="004243E6">
        <w:t xml:space="preserve"> disabilities in general</w:t>
      </w:r>
      <w:r w:rsidR="00C03034">
        <w:t>,</w:t>
      </w:r>
      <w:r w:rsidR="004243E6">
        <w:rPr>
          <w:rStyle w:val="FootnoteReference"/>
        </w:rPr>
        <w:footnoteReference w:id="29"/>
      </w:r>
      <w:r w:rsidR="004243E6">
        <w:t xml:space="preserve"> </w:t>
      </w:r>
      <w:r w:rsidR="009F4BD7">
        <w:t>those with intellectual disabilities</w:t>
      </w:r>
      <w:r w:rsidR="00EA12CA">
        <w:t>,</w:t>
      </w:r>
      <w:r w:rsidR="002D7BEB">
        <w:rPr>
          <w:rStyle w:val="FootnoteReference"/>
        </w:rPr>
        <w:footnoteReference w:id="30"/>
      </w:r>
      <w:r w:rsidR="003569AA">
        <w:t xml:space="preserve"> a</w:t>
      </w:r>
      <w:r w:rsidR="005525E4">
        <w:t>utism</w:t>
      </w:r>
      <w:r w:rsidR="00EA12CA">
        <w:t>,</w:t>
      </w:r>
      <w:r w:rsidR="003569AA">
        <w:rPr>
          <w:rStyle w:val="FootnoteReference"/>
        </w:rPr>
        <w:footnoteReference w:id="31"/>
      </w:r>
      <w:r w:rsidR="00EA12CA">
        <w:t xml:space="preserve"> and sensory disabilities</w:t>
      </w:r>
      <w:r w:rsidR="00EA12CA">
        <w:rPr>
          <w:rStyle w:val="FootnoteReference"/>
        </w:rPr>
        <w:footnoteReference w:id="32"/>
      </w:r>
      <w:r w:rsidR="00EA12CA">
        <w:t xml:space="preserve"> </w:t>
      </w:r>
      <w:r w:rsidR="00ED27E4">
        <w:t xml:space="preserve">Many studies, </w:t>
      </w:r>
      <w:r w:rsidR="0014337E">
        <w:t>particularly those conducted in academic settings</w:t>
      </w:r>
      <w:r w:rsidR="008A5DBE">
        <w:t>,</w:t>
      </w:r>
      <w:r w:rsidR="0014337E">
        <w:t xml:space="preserve"> </w:t>
      </w:r>
      <w:r>
        <w:t xml:space="preserve">have </w:t>
      </w:r>
      <w:r w:rsidR="008A5DBE">
        <w:t>relied on</w:t>
      </w:r>
      <w:r>
        <w:t xml:space="preserve"> </w:t>
      </w:r>
      <w:r w:rsidR="0014337E">
        <w:lastRenderedPageBreak/>
        <w:t>convenience sampling,</w:t>
      </w:r>
      <w:r>
        <w:t xml:space="preserve"> and </w:t>
      </w:r>
      <w:r w:rsidR="008A5DBE">
        <w:t>recruited</w:t>
      </w:r>
      <w:r w:rsidR="0014337E">
        <w:t xml:space="preserve"> university students</w:t>
      </w:r>
      <w:r w:rsidR="00C03034">
        <w:t>,</w:t>
      </w:r>
      <w:r w:rsidR="008A5DBE">
        <w:t xml:space="preserve"> so generalisability</w:t>
      </w:r>
      <w:r w:rsidR="003569AA">
        <w:t xml:space="preserve"> limitations must be considered</w:t>
      </w:r>
      <w:r w:rsidR="0014337E">
        <w:t>. A small</w:t>
      </w:r>
      <w:r w:rsidR="00ED27E4">
        <w:t xml:space="preserve"> number of</w:t>
      </w:r>
      <w:r w:rsidR="0014337E">
        <w:t xml:space="preserve"> survey studies which</w:t>
      </w:r>
      <w:r>
        <w:t xml:space="preserve"> did achieve representative ran</w:t>
      </w:r>
      <w:r w:rsidR="0014337E">
        <w:t xml:space="preserve">dom samples </w:t>
      </w:r>
      <w:r w:rsidR="007B36FD">
        <w:t>have</w:t>
      </w:r>
      <w:r w:rsidR="00191417">
        <w:t xml:space="preserve"> also </w:t>
      </w:r>
      <w:r w:rsidR="007A2E2B">
        <w:t xml:space="preserve">been </w:t>
      </w:r>
      <w:r w:rsidR="00191417">
        <w:t>identified, which provide good levels of evidence regarding public attitudes towards disability.</w:t>
      </w:r>
      <w:r w:rsidR="008A5DBE">
        <w:rPr>
          <w:rStyle w:val="FootnoteReference"/>
        </w:rPr>
        <w:footnoteReference w:id="33"/>
      </w:r>
      <w:r w:rsidR="00191417">
        <w:t xml:space="preserve"> Many of these nationally representative surveys have relied on face-to-face interviewing, however, which can threaten the validity of the data</w:t>
      </w:r>
      <w:r w:rsidR="000861F0">
        <w:t xml:space="preserve">, </w:t>
      </w:r>
      <w:r w:rsidR="00C03034">
        <w:t>due to factors such as</w:t>
      </w:r>
      <w:r w:rsidR="000861F0">
        <w:t xml:space="preserve"> socially desirable responding</w:t>
      </w:r>
      <w:r w:rsidR="00191417">
        <w:t xml:space="preserve">. This will be discussed in more detail later. </w:t>
      </w:r>
      <w:r w:rsidR="0014337E">
        <w:t xml:space="preserve"> </w:t>
      </w:r>
      <w:r w:rsidR="00ED27E4">
        <w:t xml:space="preserve"> </w:t>
      </w:r>
    </w:p>
    <w:p w14:paraId="156593B7" w14:textId="1D67DB75" w:rsidR="00C76982" w:rsidRPr="00C76982" w:rsidRDefault="00847F22" w:rsidP="00C76982">
      <w:r>
        <w:t xml:space="preserve">Many </w:t>
      </w:r>
      <w:r w:rsidR="002B6CB1">
        <w:t>self-report</w:t>
      </w:r>
      <w:r>
        <w:t xml:space="preserve"> s</w:t>
      </w:r>
      <w:r w:rsidR="003569AA">
        <w:t>urveys</w:t>
      </w:r>
      <w:r>
        <w:t xml:space="preserve"> rely on Likert scale responses in which respondents indicate their level of</w:t>
      </w:r>
      <w:r w:rsidR="003569AA">
        <w:t xml:space="preserve"> agreement usually on a scale of five or</w:t>
      </w:r>
      <w:r>
        <w:t xml:space="preserve"> seven, for example, 1(strongly disagree) to 5 (strongly agree). </w:t>
      </w:r>
      <w:r w:rsidR="00410014">
        <w:t>Likert scales are advantageous as they are wid</w:t>
      </w:r>
      <w:r w:rsidR="002127FF">
        <w:t xml:space="preserve">ely used, easily understood, </w:t>
      </w:r>
      <w:r w:rsidR="00D03FF8">
        <w:t xml:space="preserve">and </w:t>
      </w:r>
      <w:r w:rsidR="002127FF">
        <w:t xml:space="preserve">easily </w:t>
      </w:r>
      <w:r w:rsidR="00410014">
        <w:t>quantifiable</w:t>
      </w:r>
      <w:r w:rsidR="00D03FF8">
        <w:t>. T</w:t>
      </w:r>
      <w:r w:rsidR="002127FF">
        <w:t xml:space="preserve">hey are also quick and </w:t>
      </w:r>
      <w:r w:rsidR="00D03FF8">
        <w:t>inexpensive</w:t>
      </w:r>
      <w:r w:rsidR="002127FF">
        <w:t xml:space="preserve"> to administe</w:t>
      </w:r>
      <w:r w:rsidR="00D03FF8">
        <w:t>r</w:t>
      </w:r>
      <w:r w:rsidR="002127FF">
        <w:t xml:space="preserve">. Likert </w:t>
      </w:r>
      <w:r w:rsidR="00D03FF8">
        <w:t>scales</w:t>
      </w:r>
      <w:r w:rsidR="002127FF">
        <w:t xml:space="preserve"> also make it easier for the respondent to answer the question as they are not forced to give an absolute answer but can indicate a degree of agreement. </w:t>
      </w:r>
      <w:r w:rsidR="009D0E81">
        <w:t xml:space="preserve">Debates exist around the use of </w:t>
      </w:r>
      <w:r w:rsidR="002127FF">
        <w:t>Likert scale</w:t>
      </w:r>
      <w:r w:rsidR="009D0E81">
        <w:t>s</w:t>
      </w:r>
      <w:r w:rsidR="002127FF">
        <w:t xml:space="preserve"> to measure attitudes</w:t>
      </w:r>
      <w:r w:rsidR="009D0E81">
        <w:t>,</w:t>
      </w:r>
      <w:r w:rsidR="002127FF">
        <w:t xml:space="preserve"> however. </w:t>
      </w:r>
      <w:r w:rsidR="00D57317">
        <w:t>For example, some argue that a</w:t>
      </w:r>
      <w:r w:rsidR="002127FF">
        <w:t>ttitudes are multi-dimensional</w:t>
      </w:r>
      <w:r w:rsidR="00D03FF8">
        <w:t xml:space="preserve"> and exist on a vast </w:t>
      </w:r>
      <w:r w:rsidR="009D0E81">
        <w:t>continuum</w:t>
      </w:r>
      <w:r w:rsidR="002127FF">
        <w:t>, whereas Likert scale are unidimensional</w:t>
      </w:r>
      <w:r w:rsidR="00D03FF8">
        <w:t xml:space="preserve"> and only give a small number of response options</w:t>
      </w:r>
      <w:r w:rsidR="002127FF">
        <w:t xml:space="preserve">. Research also indicates that people </w:t>
      </w:r>
      <w:r w:rsidR="003569AA">
        <w:t>often</w:t>
      </w:r>
      <w:r w:rsidR="002127FF">
        <w:t xml:space="preserve"> avoid extremes when answering, </w:t>
      </w:r>
      <w:r w:rsidR="00C03034">
        <w:t>and may tend to</w:t>
      </w:r>
      <w:r w:rsidR="002127FF">
        <w:t xml:space="preserve"> give answer</w:t>
      </w:r>
      <w:r w:rsidR="00D03FF8">
        <w:t>s that are closer to the middle of the scale</w:t>
      </w:r>
      <w:r w:rsidR="006572C7">
        <w:t>.</w:t>
      </w:r>
      <w:r w:rsidR="00410014">
        <w:t xml:space="preserve"> </w:t>
      </w:r>
      <w:r>
        <w:t>Given the complexity around attitudes and behaviours,</w:t>
      </w:r>
      <w:r w:rsidR="006572C7">
        <w:t xml:space="preserve"> </w:t>
      </w:r>
      <w:r w:rsidR="00584CE2">
        <w:t>some researchers argue that</w:t>
      </w:r>
      <w:r>
        <w:t xml:space="preserve"> </w:t>
      </w:r>
      <w:r w:rsidR="002B6CB1">
        <w:t>relying on</w:t>
      </w:r>
      <w:r>
        <w:t xml:space="preserve"> Likert scales</w:t>
      </w:r>
      <w:r w:rsidR="002B6CB1">
        <w:t xml:space="preserve"> alone</w:t>
      </w:r>
      <w:r>
        <w:t xml:space="preserve"> </w:t>
      </w:r>
      <w:r w:rsidR="002B6CB1">
        <w:t xml:space="preserve">is likely an inefficient approach to assessing </w:t>
      </w:r>
      <w:r>
        <w:t>internal processes. Numerous alternatives to Likert-type scales exist (e.g. q-methodology, socio-metrics) that may increase the validity</w:t>
      </w:r>
      <w:r w:rsidR="00D57317">
        <w:t xml:space="preserve"> of</w:t>
      </w:r>
      <w:r>
        <w:t xml:space="preserve"> </w:t>
      </w:r>
      <w:r w:rsidR="00584CE2">
        <w:t>attitudes data</w:t>
      </w:r>
      <w:r w:rsidR="00EF0649">
        <w:t>.</w:t>
      </w:r>
      <w:r w:rsidR="00EF0649">
        <w:rPr>
          <w:rStyle w:val="FootnoteReference"/>
        </w:rPr>
        <w:footnoteReference w:id="34"/>
      </w:r>
      <w:r w:rsidR="00584CE2">
        <w:t xml:space="preserve"> </w:t>
      </w:r>
    </w:p>
    <w:p w14:paraId="6F1E16F3" w14:textId="77777777" w:rsidR="007711A8" w:rsidRDefault="007711A8" w:rsidP="00AA71B4">
      <w:pPr>
        <w:pStyle w:val="Heading3"/>
      </w:pPr>
      <w:bookmarkStart w:id="6" w:name="_Toc123809216"/>
      <w:r>
        <w:t>Q-methodology</w:t>
      </w:r>
      <w:bookmarkEnd w:id="6"/>
    </w:p>
    <w:p w14:paraId="611A03A5" w14:textId="6227B5C1" w:rsidR="00377B61" w:rsidRDefault="0073247B" w:rsidP="00D44726">
      <w:r>
        <w:t>Q-methodology is a</w:t>
      </w:r>
      <w:r w:rsidR="001555D7">
        <w:t xml:space="preserve"> combination of qualitative and quantitative techniques for studying </w:t>
      </w:r>
      <w:r w:rsidR="008A1342">
        <w:t xml:space="preserve">subjective views </w:t>
      </w:r>
      <w:r w:rsidR="00242FC3">
        <w:t>on</w:t>
      </w:r>
      <w:r w:rsidR="008A1342">
        <w:t xml:space="preserve"> a topic</w:t>
      </w:r>
      <w:r w:rsidR="00EF0649">
        <w:t>.</w:t>
      </w:r>
      <w:r w:rsidR="00EF0649">
        <w:rPr>
          <w:rStyle w:val="FootnoteReference"/>
        </w:rPr>
        <w:footnoteReference w:id="35"/>
      </w:r>
      <w:r w:rsidR="008A1342">
        <w:t xml:space="preserve"> </w:t>
      </w:r>
      <w:r w:rsidR="00296083">
        <w:t>In a</w:t>
      </w:r>
      <w:r w:rsidR="007711A8">
        <w:t xml:space="preserve"> Q-methodology task,</w:t>
      </w:r>
      <w:r w:rsidR="006004D6" w:rsidRPr="006004D6">
        <w:t xml:space="preserve"> </w:t>
      </w:r>
      <w:r w:rsidR="006004D6">
        <w:t>participants</w:t>
      </w:r>
      <w:r w:rsidR="000349FD">
        <w:t>’</w:t>
      </w:r>
      <w:r w:rsidR="00E90A0D">
        <w:t xml:space="preserve"> views about a particular to</w:t>
      </w:r>
      <w:r w:rsidR="003569AA">
        <w:t>p</w:t>
      </w:r>
      <w:r w:rsidR="00E90A0D">
        <w:t>ic are gathered by asking</w:t>
      </w:r>
      <w:r w:rsidR="0069756B">
        <w:t xml:space="preserve"> them</w:t>
      </w:r>
      <w:r w:rsidR="00D71A6F">
        <w:t xml:space="preserve"> to rank a set of statements (Q-set) about </w:t>
      </w:r>
      <w:r w:rsidR="00E90A0D">
        <w:t>the</w:t>
      </w:r>
      <w:r w:rsidR="00D71A6F">
        <w:t xml:space="preserve"> topic according to a specified criterion</w:t>
      </w:r>
      <w:r w:rsidR="00E90A0D">
        <w:t>,</w:t>
      </w:r>
      <w:r w:rsidR="0014549B">
        <w:t xml:space="preserve"> such as intensity of agreement</w:t>
      </w:r>
      <w:r w:rsidR="001555D7">
        <w:t>.</w:t>
      </w:r>
      <w:r w:rsidR="0014549B">
        <w:rPr>
          <w:rStyle w:val="FootnoteReference"/>
        </w:rPr>
        <w:footnoteReference w:id="36"/>
      </w:r>
      <w:r w:rsidR="00296083">
        <w:t xml:space="preserve"> </w:t>
      </w:r>
      <w:r w:rsidR="0016286D">
        <w:t xml:space="preserve">Developing the Q set </w:t>
      </w:r>
      <w:r w:rsidR="0016286D" w:rsidRPr="0016286D">
        <w:t xml:space="preserve">involves </w:t>
      </w:r>
      <w:r w:rsidR="0016286D">
        <w:t xml:space="preserve">collecting all logical </w:t>
      </w:r>
      <w:r w:rsidR="0016286D" w:rsidRPr="0016286D">
        <w:t>ideas, concepts, or statements</w:t>
      </w:r>
      <w:r w:rsidR="0016286D">
        <w:t xml:space="preserve"> that can expressed</w:t>
      </w:r>
      <w:r w:rsidR="0016286D" w:rsidRPr="0016286D">
        <w:t xml:space="preserve"> about the to</w:t>
      </w:r>
      <w:r w:rsidR="0016286D">
        <w:t xml:space="preserve">pic until saturation is reached, </w:t>
      </w:r>
      <w:r w:rsidR="0016286D" w:rsidRPr="0016286D">
        <w:t xml:space="preserve">this is called </w:t>
      </w:r>
      <w:r w:rsidR="00FC282C">
        <w:t>development of the</w:t>
      </w:r>
      <w:r w:rsidR="0016286D" w:rsidRPr="0016286D">
        <w:t xml:space="preserve"> concourse</w:t>
      </w:r>
      <w:r w:rsidR="00FC282C">
        <w:t xml:space="preserve"> (i.e. the body of information related to the topic of information)</w:t>
      </w:r>
      <w:r w:rsidR="0016286D">
        <w:t>.</w:t>
      </w:r>
      <w:r w:rsidR="00FC282C">
        <w:rPr>
          <w:rStyle w:val="FootnoteReference"/>
        </w:rPr>
        <w:footnoteReference w:id="37"/>
      </w:r>
      <w:r w:rsidR="0016286D">
        <w:t xml:space="preserve"> </w:t>
      </w:r>
      <w:r w:rsidR="00FC282C">
        <w:t xml:space="preserve">Developing the concourse </w:t>
      </w:r>
      <w:r w:rsidR="0016286D">
        <w:t xml:space="preserve">can </w:t>
      </w:r>
      <w:r w:rsidR="0016286D" w:rsidRPr="0016286D">
        <w:t xml:space="preserve">involve a </w:t>
      </w:r>
      <w:r w:rsidR="0016286D">
        <w:t xml:space="preserve">conducting a </w:t>
      </w:r>
      <w:r w:rsidR="0016286D" w:rsidRPr="0016286D">
        <w:t>literature review, pr</w:t>
      </w:r>
      <w:r w:rsidR="002A0EF7">
        <w:t>eliminary data collection (e.g.</w:t>
      </w:r>
      <w:r w:rsidR="0016286D" w:rsidRPr="0016286D">
        <w:t xml:space="preserve"> interviews</w:t>
      </w:r>
      <w:r w:rsidR="0016286D">
        <w:t xml:space="preserve"> or </w:t>
      </w:r>
      <w:r w:rsidR="0016286D">
        <w:lastRenderedPageBreak/>
        <w:t>surveys),</w:t>
      </w:r>
      <w:r w:rsidR="0016286D" w:rsidRPr="0016286D">
        <w:t xml:space="preserve"> </w:t>
      </w:r>
      <w:r w:rsidR="0077726D">
        <w:t xml:space="preserve">and/or </w:t>
      </w:r>
      <w:r w:rsidR="0016286D" w:rsidRPr="0016286D">
        <w:t>searching publicly available resources</w:t>
      </w:r>
      <w:r w:rsidR="0016286D">
        <w:t xml:space="preserve"> or academic databases</w:t>
      </w:r>
      <w:r w:rsidR="0016286D" w:rsidRPr="0016286D">
        <w:t>. Collected statements are then reduced and refined</w:t>
      </w:r>
      <w:r w:rsidR="0077726D">
        <w:t xml:space="preserve"> by the researchers</w:t>
      </w:r>
      <w:r w:rsidR="002A0EF7">
        <w:t xml:space="preserve"> (e.g.</w:t>
      </w:r>
      <w:r w:rsidR="0016286D" w:rsidRPr="0016286D">
        <w:t xml:space="preserve"> grouping similar ideas together</w:t>
      </w:r>
      <w:r w:rsidR="0077726D">
        <w:t xml:space="preserve">, consulting with </w:t>
      </w:r>
      <w:r w:rsidR="00F80A91">
        <w:t>experts</w:t>
      </w:r>
      <w:r w:rsidR="0016286D" w:rsidRPr="0016286D">
        <w:t>) to produce a manageable Q-set</w:t>
      </w:r>
      <w:r w:rsidR="00C864C8">
        <w:t xml:space="preserve"> of, usually, up to 60 statements what are presented to the participant</w:t>
      </w:r>
      <w:r w:rsidR="0016286D" w:rsidRPr="0016286D">
        <w:t>.</w:t>
      </w:r>
      <w:r w:rsidR="0077726D">
        <w:rPr>
          <w:rStyle w:val="FootnoteReference"/>
        </w:rPr>
        <w:footnoteReference w:id="38"/>
      </w:r>
      <w:r w:rsidR="0077726D">
        <w:t xml:space="preserve"> </w:t>
      </w:r>
      <w:r w:rsidR="006004D6">
        <w:t>E</w:t>
      </w:r>
      <w:r w:rsidR="00E21AEB">
        <w:t>ach resp</w:t>
      </w:r>
      <w:r w:rsidR="00296083">
        <w:t xml:space="preserve">ondent’s </w:t>
      </w:r>
      <w:r w:rsidR="00386F06">
        <w:t xml:space="preserve">final ranking is called their </w:t>
      </w:r>
      <w:r w:rsidR="00296083">
        <w:t>‘</w:t>
      </w:r>
      <w:r w:rsidR="00386F06">
        <w:t>Q-sort</w:t>
      </w:r>
      <w:r w:rsidR="00296083">
        <w:t>’</w:t>
      </w:r>
      <w:r w:rsidR="00386F06">
        <w:t xml:space="preserve"> and this is then analysed using factor analysis techniques </w:t>
      </w:r>
      <w:r w:rsidR="00E21AEB">
        <w:t>to</w:t>
      </w:r>
      <w:r w:rsidR="00386F06">
        <w:t xml:space="preserve"> identify similarities and differences in the ways in which participants have ranked the items. </w:t>
      </w:r>
      <w:r w:rsidR="00B638EC">
        <w:t>Q</w:t>
      </w:r>
      <w:r w:rsidR="00060DD0">
        <w:t>ualitative interpretation of the commonalities across participants generate</w:t>
      </w:r>
      <w:r w:rsidR="00D909D9">
        <w:t>s</w:t>
      </w:r>
      <w:r w:rsidR="00060DD0">
        <w:t xml:space="preserve"> the factors</w:t>
      </w:r>
      <w:r w:rsidR="002D49DB">
        <w:t>.</w:t>
      </w:r>
      <w:r w:rsidR="00056B13">
        <w:rPr>
          <w:rStyle w:val="FootnoteReference"/>
        </w:rPr>
        <w:footnoteReference w:id="39"/>
      </w:r>
      <w:r w:rsidR="00F72665">
        <w:t xml:space="preserve"> Participants are purposively sampled as they would be in qualitative research</w:t>
      </w:r>
      <w:r w:rsidR="00AE49C8">
        <w:t>. T</w:t>
      </w:r>
      <w:r w:rsidR="00F72665">
        <w:t xml:space="preserve">he aim of Q-methodology is not to achieve a generalisable sample, </w:t>
      </w:r>
      <w:r w:rsidR="00AE49C8">
        <w:t>instead</w:t>
      </w:r>
      <w:r w:rsidR="00F72665">
        <w:t xml:space="preserve"> the aim is to include a </w:t>
      </w:r>
      <w:r w:rsidR="00AE49C8">
        <w:t xml:space="preserve">comprehensive </w:t>
      </w:r>
      <w:r w:rsidR="00F72665">
        <w:t>range of perspectives on the topic</w:t>
      </w:r>
      <w:r w:rsidR="00AE49C8">
        <w:t xml:space="preserve"> under discussion</w:t>
      </w:r>
      <w:r w:rsidR="00F72665">
        <w:t>.</w:t>
      </w:r>
      <w:r w:rsidR="00F72665">
        <w:rPr>
          <w:rStyle w:val="FootnoteReference"/>
        </w:rPr>
        <w:footnoteReference w:id="40"/>
      </w:r>
      <w:r w:rsidR="00F72665">
        <w:t xml:space="preserve"> </w:t>
      </w:r>
      <w:r w:rsidR="00616330">
        <w:t>A</w:t>
      </w:r>
      <w:r w:rsidR="00B639AA">
        <w:t xml:space="preserve"> sample size of 40-60 participants is typical in Q-methodology studies.</w:t>
      </w:r>
      <w:r w:rsidR="00B639AA">
        <w:rPr>
          <w:rStyle w:val="FootnoteReference"/>
        </w:rPr>
        <w:footnoteReference w:id="41"/>
      </w:r>
      <w:r w:rsidR="002D49DB">
        <w:t xml:space="preserve"> A number of advantages of using </w:t>
      </w:r>
      <w:r w:rsidR="009B58EE">
        <w:t>Q-</w:t>
      </w:r>
      <w:r w:rsidR="00E31F7C">
        <w:t>methodology</w:t>
      </w:r>
      <w:r w:rsidR="009B58EE">
        <w:t xml:space="preserve"> </w:t>
      </w:r>
      <w:r w:rsidR="002D49DB">
        <w:t>have been ide</w:t>
      </w:r>
      <w:r w:rsidR="008B672C">
        <w:t>ntified. Q-m</w:t>
      </w:r>
      <w:r w:rsidR="0069756B">
        <w:t>e</w:t>
      </w:r>
      <w:r w:rsidR="008B672C">
        <w:t>th</w:t>
      </w:r>
      <w:r w:rsidR="0069756B">
        <w:t>od</w:t>
      </w:r>
      <w:r w:rsidR="008B672C">
        <w:t>ology</w:t>
      </w:r>
      <w:r w:rsidR="002D49DB">
        <w:t xml:space="preserve"> has been found to be useful for exploring complex topics, or topics that elicit strong, differing or under-acknowledged views</w:t>
      </w:r>
      <w:r w:rsidR="00142D3B">
        <w:t>.</w:t>
      </w:r>
      <w:r w:rsidR="00142D3B">
        <w:rPr>
          <w:rStyle w:val="FootnoteReference"/>
        </w:rPr>
        <w:footnoteReference w:id="42"/>
      </w:r>
      <w:r w:rsidR="002D49DB">
        <w:t xml:space="preserve"> </w:t>
      </w:r>
      <w:r w:rsidR="00CB3917">
        <w:t xml:space="preserve">Some </w:t>
      </w:r>
      <w:r w:rsidR="008B672C">
        <w:t>researchers</w:t>
      </w:r>
      <w:r w:rsidR="00CB3917">
        <w:t xml:space="preserve"> have argued that the Q-</w:t>
      </w:r>
      <w:r w:rsidR="008B672C">
        <w:t>methodology</w:t>
      </w:r>
      <w:r w:rsidR="00CB3917">
        <w:t xml:space="preserve"> represents a holistic </w:t>
      </w:r>
      <w:r w:rsidR="008B672C">
        <w:t>approach</w:t>
      </w:r>
      <w:r w:rsidR="00CB3917">
        <w:t xml:space="preserve"> and can obtain a full</w:t>
      </w:r>
      <w:r w:rsidR="00120015">
        <w:t>er</w:t>
      </w:r>
      <w:r w:rsidR="00CB3917">
        <w:t xml:space="preserve"> </w:t>
      </w:r>
      <w:r w:rsidR="008B672C">
        <w:t>perspective</w:t>
      </w:r>
      <w:r w:rsidR="00CB3917">
        <w:t xml:space="preserve"> due to the forced choice nature of the approach</w:t>
      </w:r>
      <w:r w:rsidR="00142D3B">
        <w:t>.</w:t>
      </w:r>
      <w:r w:rsidR="00142D3B">
        <w:rPr>
          <w:rStyle w:val="FootnoteReference"/>
        </w:rPr>
        <w:footnoteReference w:id="43"/>
      </w:r>
      <w:r w:rsidR="00142D3B">
        <w:t xml:space="preserve"> </w:t>
      </w:r>
      <w:r w:rsidR="00D909D9">
        <w:t xml:space="preserve">Other advantages </w:t>
      </w:r>
      <w:r w:rsidR="008E56D6">
        <w:t xml:space="preserve">include </w:t>
      </w:r>
      <w:r w:rsidR="00377B61">
        <w:t>the systematic process involved, which</w:t>
      </w:r>
      <w:r w:rsidR="008E56D6">
        <w:t xml:space="preserve"> researchers argue</w:t>
      </w:r>
      <w:r w:rsidR="00377B61">
        <w:t xml:space="preserve"> ensures the i</w:t>
      </w:r>
      <w:r w:rsidR="00377B61" w:rsidRPr="00D44726">
        <w:t>nternal validity</w:t>
      </w:r>
      <w:r w:rsidR="00377B61">
        <w:t xml:space="preserve"> of the method</w:t>
      </w:r>
      <w:r w:rsidR="008E56D6">
        <w:t xml:space="preserve">, </w:t>
      </w:r>
      <w:r w:rsidR="00377B61">
        <w:t>the replicability of the method</w:t>
      </w:r>
      <w:r w:rsidR="008E56D6">
        <w:t>,</w:t>
      </w:r>
      <w:r w:rsidR="00142D3B">
        <w:rPr>
          <w:rStyle w:val="FootnoteReference"/>
        </w:rPr>
        <w:footnoteReference w:id="44"/>
      </w:r>
      <w:r w:rsidR="00142D3B">
        <w:t xml:space="preserve"> </w:t>
      </w:r>
      <w:r w:rsidR="008E56D6">
        <w:t>t</w:t>
      </w:r>
      <w:r w:rsidR="00377B61">
        <w:t>he integration of qualitat</w:t>
      </w:r>
      <w:r w:rsidR="008E56D6">
        <w:t xml:space="preserve">ive and quantitative techniques, </w:t>
      </w:r>
      <w:r w:rsidR="009B58EE">
        <w:t>the</w:t>
      </w:r>
      <w:r w:rsidR="00F6022D">
        <w:t xml:space="preserve"> </w:t>
      </w:r>
      <w:r w:rsidR="009B58EE">
        <w:t>a</w:t>
      </w:r>
      <w:r w:rsidR="00377B61">
        <w:t>bility to administer the method</w:t>
      </w:r>
      <w:r w:rsidR="00D44726">
        <w:t xml:space="preserve"> </w:t>
      </w:r>
      <w:r w:rsidR="00F6022D">
        <w:t xml:space="preserve">in a variety of modes including </w:t>
      </w:r>
      <w:r w:rsidR="00D44726">
        <w:t>online or face-to-face</w:t>
      </w:r>
      <w:r w:rsidR="009B58EE">
        <w:t>;</w:t>
      </w:r>
      <w:r w:rsidR="00D44726">
        <w:rPr>
          <w:rStyle w:val="FootnoteReference"/>
        </w:rPr>
        <w:footnoteReference w:id="45"/>
      </w:r>
      <w:r w:rsidR="00D44726" w:rsidRPr="00D44726">
        <w:t xml:space="preserve"> </w:t>
      </w:r>
      <w:r w:rsidR="00377B61">
        <w:t>the requirement for only</w:t>
      </w:r>
      <w:r w:rsidR="008E56D6">
        <w:t xml:space="preserve"> a small number of participants,</w:t>
      </w:r>
      <w:r w:rsidR="00377B61">
        <w:t xml:space="preserve"> </w:t>
      </w:r>
      <w:r w:rsidR="00120015">
        <w:t>and the increased accessibility of the method to</w:t>
      </w:r>
      <w:r w:rsidR="00120015" w:rsidRPr="00120015">
        <w:t xml:space="preserve"> participants with certain communication difficulties </w:t>
      </w:r>
      <w:r w:rsidR="00120015">
        <w:t xml:space="preserve">due to the </w:t>
      </w:r>
      <w:r w:rsidR="00377B61">
        <w:t xml:space="preserve">non-verbal </w:t>
      </w:r>
      <w:r w:rsidR="00120015">
        <w:t xml:space="preserve">nature in which </w:t>
      </w:r>
      <w:r w:rsidR="00377B61">
        <w:t xml:space="preserve">views </w:t>
      </w:r>
      <w:r w:rsidR="00120015">
        <w:t>are gathered</w:t>
      </w:r>
      <w:r w:rsidR="008E56D6">
        <w:t>.</w:t>
      </w:r>
      <w:r w:rsidR="00827AAF">
        <w:rPr>
          <w:rStyle w:val="FootnoteReference"/>
        </w:rPr>
        <w:footnoteReference w:id="46"/>
      </w:r>
      <w:r w:rsidR="00661F43">
        <w:t xml:space="preserve"> </w:t>
      </w:r>
      <w:r w:rsidR="00BB579A">
        <w:t>Q m</w:t>
      </w:r>
      <w:r w:rsidR="00BB579A" w:rsidRPr="00BB579A">
        <w:t xml:space="preserve">ethodology has </w:t>
      </w:r>
      <w:r w:rsidR="00BB579A">
        <w:t>faced criticism related to a</w:t>
      </w:r>
      <w:r w:rsidR="00BB579A" w:rsidRPr="00BB579A">
        <w:t xml:space="preserve"> perceived lack of robust</w:t>
      </w:r>
      <w:r w:rsidR="00BB579A">
        <w:t xml:space="preserve"> data collection methods and </w:t>
      </w:r>
      <w:r w:rsidR="00BB579A" w:rsidRPr="00BB579A">
        <w:t>rigorous analysis.</w:t>
      </w:r>
      <w:r w:rsidR="00DA1003">
        <w:rPr>
          <w:rStyle w:val="FootnoteReference"/>
        </w:rPr>
        <w:footnoteReference w:id="47"/>
      </w:r>
      <w:r w:rsidR="00BB579A">
        <w:t xml:space="preserve"> </w:t>
      </w:r>
      <w:r w:rsidR="00444459">
        <w:t>E</w:t>
      </w:r>
      <w:r w:rsidR="00BB579A">
        <w:t>ven proponents of this method concede that demonstrated evidence</w:t>
      </w:r>
      <w:r w:rsidR="00444459">
        <w:t xml:space="preserve"> of the robustness of certain elements, such as concourse sampling, has </w:t>
      </w:r>
      <w:r w:rsidR="00444459">
        <w:lastRenderedPageBreak/>
        <w:t>not been</w:t>
      </w:r>
      <w:r w:rsidR="00BB579A">
        <w:t xml:space="preserve"> </w:t>
      </w:r>
      <w:r w:rsidR="00444459">
        <w:t xml:space="preserve">adequately reported </w:t>
      </w:r>
      <w:r w:rsidR="00BB579A">
        <w:t xml:space="preserve">in the literature </w:t>
      </w:r>
      <w:r w:rsidR="00444459">
        <w:t>and that the accessibility of the method to research</w:t>
      </w:r>
      <w:r w:rsidR="005C255C">
        <w:t>ers</w:t>
      </w:r>
      <w:r w:rsidR="00444459">
        <w:t xml:space="preserve"> could be improved.</w:t>
      </w:r>
      <w:r w:rsidR="00444459">
        <w:rPr>
          <w:rStyle w:val="FootnoteReference"/>
        </w:rPr>
        <w:footnoteReference w:id="48"/>
      </w:r>
      <w:r w:rsidR="00444459">
        <w:t xml:space="preserve"> </w:t>
      </w:r>
      <w:r w:rsidR="009C34AD">
        <w:t>Additionally, the reliability of Q-methodology has also been questioned because the same result is not necessarily obtained when an individual repeats the task.</w:t>
      </w:r>
      <w:r w:rsidR="00876543">
        <w:rPr>
          <w:rStyle w:val="FootnoteReference"/>
        </w:rPr>
        <w:footnoteReference w:id="49"/>
      </w:r>
      <w:r w:rsidR="00876543">
        <w:t xml:space="preserve"> A</w:t>
      </w:r>
      <w:r w:rsidR="009C34AD">
        <w:t xml:space="preserve"> risk of bias exists at the data collection phase, as the participant may provide socially desirable answers, and at the data interpretation phase as this task lies with the researcher.</w:t>
      </w:r>
      <w:r w:rsidR="00876543">
        <w:rPr>
          <w:rStyle w:val="FootnoteReference"/>
        </w:rPr>
        <w:footnoteReference w:id="50"/>
      </w:r>
    </w:p>
    <w:p w14:paraId="6BE25366" w14:textId="61AAA8AC" w:rsidR="00BF2D36" w:rsidRPr="00BF2D36" w:rsidRDefault="004971B0" w:rsidP="00BF2D36">
      <w:r>
        <w:t>Q-</w:t>
      </w:r>
      <w:r w:rsidR="00133BA5">
        <w:t>m</w:t>
      </w:r>
      <w:r w:rsidR="002765F5">
        <w:t>ethod</w:t>
      </w:r>
      <w:r w:rsidR="00133BA5">
        <w:t>ology</w:t>
      </w:r>
      <w:r>
        <w:t xml:space="preserve"> </w:t>
      </w:r>
      <w:r w:rsidR="001B4AD2">
        <w:t>has often been used to directly assess</w:t>
      </w:r>
      <w:r w:rsidRPr="004971B0">
        <w:t xml:space="preserve"> attitudes towards disability.</w:t>
      </w:r>
      <w:r w:rsidR="009E3020">
        <w:t xml:space="preserve"> </w:t>
      </w:r>
      <w:r w:rsidR="00B638EC">
        <w:t xml:space="preserve">The method has been used </w:t>
      </w:r>
      <w:r w:rsidR="009E3020">
        <w:t>to assess</w:t>
      </w:r>
      <w:r w:rsidR="00E31F7C">
        <w:t>, for example,</w:t>
      </w:r>
      <w:r w:rsidR="009E3020">
        <w:t xml:space="preserve"> attitudes towards the sexuality of people with ID</w:t>
      </w:r>
      <w:r w:rsidR="009E3020">
        <w:rPr>
          <w:rStyle w:val="FootnoteReference"/>
        </w:rPr>
        <w:footnoteReference w:id="51"/>
      </w:r>
      <w:r w:rsidR="00D909D9">
        <w:t>, understandings of Downs S</w:t>
      </w:r>
      <w:r w:rsidR="009E3020">
        <w:t>yndrome</w:t>
      </w:r>
      <w:r w:rsidR="009E3020">
        <w:rPr>
          <w:rStyle w:val="FootnoteReference"/>
        </w:rPr>
        <w:footnoteReference w:id="52"/>
      </w:r>
      <w:r w:rsidR="007753D7">
        <w:t>, p</w:t>
      </w:r>
      <w:r w:rsidR="009A2D66">
        <w:t xml:space="preserve">rivate therapists’ </w:t>
      </w:r>
      <w:r w:rsidR="009E42D5">
        <w:t>attitudes</w:t>
      </w:r>
      <w:r w:rsidR="009A2D66">
        <w:t xml:space="preserve"> towards working with people with learning disabilities</w:t>
      </w:r>
      <w:r w:rsidR="009A2D66">
        <w:rPr>
          <w:rStyle w:val="FootnoteReference"/>
        </w:rPr>
        <w:footnoteReference w:id="53"/>
      </w:r>
      <w:r w:rsidR="007753D7">
        <w:t>,</w:t>
      </w:r>
      <w:r w:rsidR="00B638EC">
        <w:t xml:space="preserve"> </w:t>
      </w:r>
      <w:r w:rsidR="007753D7">
        <w:t>practitioners’ beliefs relating to parenting and psychosis</w:t>
      </w:r>
      <w:r w:rsidR="005542E4">
        <w:t>,</w:t>
      </w:r>
      <w:r w:rsidR="007753D7">
        <w:rPr>
          <w:rStyle w:val="FootnoteReference"/>
        </w:rPr>
        <w:footnoteReference w:id="54"/>
      </w:r>
      <w:r w:rsidR="002A55BA">
        <w:t xml:space="preserve"> and </w:t>
      </w:r>
      <w:r w:rsidR="005542E4">
        <w:t xml:space="preserve">stakeholder beliefs about the use of coercion in mental </w:t>
      </w:r>
      <w:r w:rsidR="002A55BA">
        <w:t>healthcare</w:t>
      </w:r>
      <w:r w:rsidR="005542E4">
        <w:rPr>
          <w:rStyle w:val="FootnoteReference"/>
        </w:rPr>
        <w:footnoteReference w:id="55"/>
      </w:r>
      <w:r w:rsidR="005542E4">
        <w:t xml:space="preserve"> </w:t>
      </w:r>
    </w:p>
    <w:p w14:paraId="424DD567" w14:textId="20F560E9" w:rsidR="00BF2D36" w:rsidRDefault="00465B17" w:rsidP="00AA71B4">
      <w:pPr>
        <w:pStyle w:val="Heading3"/>
      </w:pPr>
      <w:bookmarkStart w:id="7" w:name="_Toc123809217"/>
      <w:r>
        <w:t>S</w:t>
      </w:r>
      <w:r w:rsidR="00A332EE">
        <w:t>ociometric techniques</w:t>
      </w:r>
      <w:bookmarkEnd w:id="7"/>
    </w:p>
    <w:p w14:paraId="38657A1A" w14:textId="74D475D9" w:rsidR="004B220C" w:rsidRDefault="00EF0E20" w:rsidP="00AF2E8F">
      <w:r>
        <w:t>Sociometric techniques</w:t>
      </w:r>
      <w:r w:rsidR="005F0EC0">
        <w:t xml:space="preserve"> </w:t>
      </w:r>
      <w:r w:rsidR="003C3C0E">
        <w:t xml:space="preserve">are designed to measure social relationships and uncover how an individual </w:t>
      </w:r>
      <w:r w:rsidR="005F0EC0">
        <w:t>behaves or intends to behave</w:t>
      </w:r>
      <w:r w:rsidR="002C4AF0">
        <w:t xml:space="preserve"> to</w:t>
      </w:r>
      <w:r w:rsidR="003C3C0E">
        <w:t>wards</w:t>
      </w:r>
      <w:r w:rsidR="002C4AF0">
        <w:t xml:space="preserve"> a person within the referent grou</w:t>
      </w:r>
      <w:r w:rsidR="00356ADF">
        <w:t>p (e.g.</w:t>
      </w:r>
      <w:r w:rsidR="002C4AF0">
        <w:t xml:space="preserve"> a person with a disability).</w:t>
      </w:r>
      <w:r w:rsidR="00BD3D29">
        <w:rPr>
          <w:rStyle w:val="FootnoteReference"/>
        </w:rPr>
        <w:footnoteReference w:id="56"/>
      </w:r>
      <w:r w:rsidR="002C4AF0">
        <w:t xml:space="preserve"> </w:t>
      </w:r>
      <w:r w:rsidR="00F70457" w:rsidRPr="00F70457">
        <w:t xml:space="preserve">For example, a child might be asked </w:t>
      </w:r>
      <w:r w:rsidR="007C3F99">
        <w:t xml:space="preserve">to </w:t>
      </w:r>
      <w:r w:rsidR="00F70457" w:rsidRPr="00F70457">
        <w:t>categorise their classmates in terms of w</w:t>
      </w:r>
      <w:r w:rsidR="005739FB">
        <w:t xml:space="preserve">ho they most like to play with or sit with. </w:t>
      </w:r>
      <w:r w:rsidR="00F70457" w:rsidRPr="00F70457">
        <w:t xml:space="preserve">The resulting data </w:t>
      </w:r>
      <w:r w:rsidR="001B4AD2">
        <w:t>are</w:t>
      </w:r>
      <w:r w:rsidR="00F70457">
        <w:t xml:space="preserve"> then</w:t>
      </w:r>
      <w:r w:rsidR="00F70457" w:rsidRPr="00F70457">
        <w:t xml:space="preserve"> used to provide a picture of the social status</w:t>
      </w:r>
      <w:r w:rsidR="006648A0">
        <w:t xml:space="preserve"> and levels of acceptance</w:t>
      </w:r>
      <w:r w:rsidR="00F70457" w:rsidRPr="00F70457">
        <w:t xml:space="preserve"> of the individuals in the group. </w:t>
      </w:r>
      <w:r>
        <w:t>The method has been commonly used in education research in particular, with many studies focusing on inclu</w:t>
      </w:r>
      <w:r w:rsidR="00D87A84">
        <w:t>sive education and disabled children</w:t>
      </w:r>
      <w:r w:rsidR="00242FC3">
        <w:t>.</w:t>
      </w:r>
      <w:r w:rsidR="00D87A84">
        <w:rPr>
          <w:rStyle w:val="FootnoteReference"/>
        </w:rPr>
        <w:footnoteReference w:id="57"/>
      </w:r>
      <w:r w:rsidR="00F70457">
        <w:t xml:space="preserve"> </w:t>
      </w:r>
      <w:r w:rsidR="006648A0">
        <w:t>There are a num</w:t>
      </w:r>
      <w:r w:rsidR="00F81E52">
        <w:t xml:space="preserve">ber of </w:t>
      </w:r>
      <w:r w:rsidR="00585F6E">
        <w:t>limitations</w:t>
      </w:r>
      <w:r w:rsidR="00F81E52">
        <w:t xml:space="preserve"> to using soc</w:t>
      </w:r>
      <w:r w:rsidR="006648A0">
        <w:t>iomet</w:t>
      </w:r>
      <w:r w:rsidR="00B4116A">
        <w:t>ric techniques</w:t>
      </w:r>
      <w:r w:rsidR="00242FC3">
        <w:t>,</w:t>
      </w:r>
      <w:r w:rsidR="00B4116A">
        <w:t xml:space="preserve"> however. F</w:t>
      </w:r>
      <w:r w:rsidR="006648A0">
        <w:t xml:space="preserve">or example, asking </w:t>
      </w:r>
      <w:r w:rsidR="00585F6E">
        <w:t>individuals</w:t>
      </w:r>
      <w:r w:rsidR="006648A0">
        <w:t xml:space="preserve"> to simply name people relies on free recall, </w:t>
      </w:r>
      <w:r w:rsidR="00585F6E">
        <w:t>which</w:t>
      </w:r>
      <w:r w:rsidR="006648A0">
        <w:t xml:space="preserve"> may mean tha</w:t>
      </w:r>
      <w:r w:rsidR="00B4116A">
        <w:t>t some individuals in the group</w:t>
      </w:r>
      <w:r w:rsidR="006648A0">
        <w:t xml:space="preserve"> are forgotten</w:t>
      </w:r>
      <w:r w:rsidR="00F81E52">
        <w:t xml:space="preserve"> or neglected</w:t>
      </w:r>
      <w:r w:rsidR="00B4116A">
        <w:t>.</w:t>
      </w:r>
      <w:r w:rsidR="00F81E52">
        <w:rPr>
          <w:rStyle w:val="FootnoteReference"/>
        </w:rPr>
        <w:footnoteReference w:id="58"/>
      </w:r>
      <w:r w:rsidR="006648A0">
        <w:t xml:space="preserve"> </w:t>
      </w:r>
      <w:r w:rsidR="00B4116A">
        <w:t xml:space="preserve">This approach may also require the participants to write out the names which can lead to frustration </w:t>
      </w:r>
      <w:r w:rsidR="00B4116A">
        <w:lastRenderedPageBreak/>
        <w:t xml:space="preserve">or fatigue. </w:t>
      </w:r>
      <w:r w:rsidR="00AD4AC2">
        <w:t>T</w:t>
      </w:r>
      <w:r w:rsidR="006648A0">
        <w:t xml:space="preserve">o address this, some </w:t>
      </w:r>
      <w:r w:rsidR="00585F6E">
        <w:t>researchers</w:t>
      </w:r>
      <w:r w:rsidR="006648A0">
        <w:t xml:space="preserve"> provide a roster of all of the names</w:t>
      </w:r>
      <w:r w:rsidR="00AD4AC2">
        <w:t xml:space="preserve"> of individuals</w:t>
      </w:r>
      <w:r w:rsidR="006648A0">
        <w:t xml:space="preserve"> in the </w:t>
      </w:r>
      <w:r w:rsidR="00AD4AC2">
        <w:t>group</w:t>
      </w:r>
      <w:r w:rsidR="006648A0">
        <w:t>, but this may produce a response bia</w:t>
      </w:r>
      <w:r w:rsidR="00F81E52">
        <w:t>s</w:t>
      </w:r>
      <w:r w:rsidR="00AD4AC2">
        <w:t xml:space="preserve"> as some may have a tendency to just pick the names at the top of the list.</w:t>
      </w:r>
      <w:r w:rsidR="00F81E52">
        <w:rPr>
          <w:rStyle w:val="FootnoteReference"/>
        </w:rPr>
        <w:footnoteReference w:id="59"/>
      </w:r>
      <w:r w:rsidR="00AD4AC2">
        <w:t xml:space="preserve"> </w:t>
      </w:r>
      <w:r w:rsidR="00AF2E8F">
        <w:t>There are also ethical concerns around using soci</w:t>
      </w:r>
      <w:r w:rsidR="00A17E4A">
        <w:t>o</w:t>
      </w:r>
      <w:r w:rsidR="00AF2E8F">
        <w:t>metric techniques. For example, asking children to rate their peers could have a negative impact upon those who already have difficulty with peer relationships and reinforce their pre-existing</w:t>
      </w:r>
      <w:r w:rsidR="00356ADF">
        <w:t xml:space="preserve"> isolated or rejected position.</w:t>
      </w:r>
      <w:r w:rsidR="00AF2E8F">
        <w:rPr>
          <w:rStyle w:val="FootnoteReference"/>
        </w:rPr>
        <w:footnoteReference w:id="60"/>
      </w:r>
      <w:r w:rsidR="00AF2E8F">
        <w:t xml:space="preserve"> </w:t>
      </w:r>
      <w:r w:rsidR="00AD4AC2">
        <w:t xml:space="preserve">A further limitation relates to the </w:t>
      </w:r>
      <w:r w:rsidR="00980071">
        <w:t>assumption</w:t>
      </w:r>
      <w:r w:rsidR="00356CBB">
        <w:t xml:space="preserve"> which underlie</w:t>
      </w:r>
      <w:r w:rsidR="00980071">
        <w:t>s</w:t>
      </w:r>
      <w:r w:rsidR="00356CBB">
        <w:t xml:space="preserve"> sociometric techniques, that all children need or want </w:t>
      </w:r>
      <w:r w:rsidR="00980071">
        <w:t>a certain amount of</w:t>
      </w:r>
      <w:r w:rsidR="00356CBB">
        <w:t xml:space="preserve"> friend</w:t>
      </w:r>
      <w:r w:rsidR="00980071">
        <w:t>s.</w:t>
      </w:r>
      <w:r w:rsidR="00980071">
        <w:rPr>
          <w:rStyle w:val="FootnoteReference"/>
        </w:rPr>
        <w:footnoteReference w:id="61"/>
      </w:r>
      <w:r w:rsidR="00356CBB">
        <w:t xml:space="preserve"> </w:t>
      </w:r>
      <w:r w:rsidR="0081445F">
        <w:t>Child and Nind (2012) have cautioned that</w:t>
      </w:r>
      <w:r w:rsidR="00D00E32">
        <w:t>:</w:t>
      </w:r>
      <w:r w:rsidR="0081445F">
        <w:t xml:space="preserve"> </w:t>
      </w:r>
    </w:p>
    <w:p w14:paraId="0404EB69" w14:textId="42B6B2E0" w:rsidR="002C4AF0" w:rsidRDefault="00463455" w:rsidP="004B220C">
      <w:pPr>
        <w:pStyle w:val="BlockQuote"/>
      </w:pPr>
      <w:r>
        <w:t>this</w:t>
      </w:r>
      <w:r w:rsidR="0081445F">
        <w:t xml:space="preserve"> practice of categorising individuals as popular, and so on, may construct and reinforce social difficulties, especially for disabled children. It fails to consider the role of the environment in creating these difficulties, and instead may blame the individual.</w:t>
      </w:r>
      <w:r w:rsidR="004B220C">
        <w:t xml:space="preserve"> (p.1)</w:t>
      </w:r>
    </w:p>
    <w:p w14:paraId="4E72AE35" w14:textId="3D48C8AC" w:rsidR="00BA5263" w:rsidRDefault="00BA2B86" w:rsidP="00AA71B4">
      <w:pPr>
        <w:pStyle w:val="Heading3"/>
      </w:pPr>
      <w:bookmarkStart w:id="8" w:name="_Toc123809218"/>
      <w:r>
        <w:t>S</w:t>
      </w:r>
      <w:r w:rsidR="00226527">
        <w:t xml:space="preserve">emantic </w:t>
      </w:r>
      <w:r w:rsidR="00BA3BB4">
        <w:t>de</w:t>
      </w:r>
      <w:r w:rsidR="00BA3BB4" w:rsidRPr="00BA5263">
        <w:t>ferential</w:t>
      </w:r>
      <w:r w:rsidR="00BA5263" w:rsidRPr="00BA5263">
        <w:t xml:space="preserve"> </w:t>
      </w:r>
      <w:r w:rsidR="003A0D48">
        <w:t>t</w:t>
      </w:r>
      <w:r w:rsidR="00C03C39">
        <w:t>echnique</w:t>
      </w:r>
      <w:bookmarkEnd w:id="8"/>
    </w:p>
    <w:p w14:paraId="2B93EE6D" w14:textId="08CB89CF" w:rsidR="0017159D" w:rsidRDefault="007524FF" w:rsidP="00681432">
      <w:pPr>
        <w:spacing w:after="0"/>
      </w:pPr>
      <w:r>
        <w:t xml:space="preserve">The Sematic </w:t>
      </w:r>
      <w:r w:rsidR="00BA2B86">
        <w:t>deferential</w:t>
      </w:r>
      <w:r>
        <w:t xml:space="preserve"> method, developed by Osgood</w:t>
      </w:r>
      <w:r w:rsidR="00BC30F8">
        <w:t xml:space="preserve">, Suci, and Tannenbaum (1957), </w:t>
      </w:r>
      <w:r w:rsidR="00C17B81">
        <w:t>measure</w:t>
      </w:r>
      <w:r w:rsidR="0030057B">
        <w:t>s</w:t>
      </w:r>
      <w:r w:rsidR="00C17B81">
        <w:t xml:space="preserve"> </w:t>
      </w:r>
      <w:r w:rsidR="00BC30F8">
        <w:t>a person’s</w:t>
      </w:r>
      <w:r w:rsidR="00C17B81">
        <w:t xml:space="preserve"> attitudes and beliefs</w:t>
      </w:r>
      <w:r w:rsidR="0030057B">
        <w:t xml:space="preserve"> </w:t>
      </w:r>
      <w:r w:rsidR="00C17B81">
        <w:t xml:space="preserve">about a </w:t>
      </w:r>
      <w:r w:rsidR="0030057B">
        <w:t xml:space="preserve">single </w:t>
      </w:r>
      <w:r w:rsidR="00837D7F">
        <w:t>concept, phenomenon, or object</w:t>
      </w:r>
      <w:r w:rsidR="00BC30F8">
        <w:t xml:space="preserve"> on a bipolar scale </w:t>
      </w:r>
      <w:r w:rsidR="00BC30F8" w:rsidRPr="00BC30F8">
        <w:t>defined by contrasting adjective pa</w:t>
      </w:r>
      <w:r w:rsidR="00356ADF">
        <w:t>irs, e.g.</w:t>
      </w:r>
      <w:r w:rsidR="007F04DA">
        <w:t xml:space="preserve"> “likable-un</w:t>
      </w:r>
      <w:r w:rsidR="00BC30F8">
        <w:t>likable”.</w:t>
      </w:r>
      <w:r w:rsidR="00FB1030">
        <w:t xml:space="preserve"> The adjectives tend to reflect three dimensions: </w:t>
      </w:r>
      <w:r w:rsidR="00BC30F8">
        <w:t xml:space="preserve"> </w:t>
      </w:r>
      <w:r w:rsidR="00FB1030" w:rsidRPr="00FB1030">
        <w:t>evaluation (i.e. whether a respondent views the attitude theme in a negative or positive light), potency (i.e. how strongly a respondent feels about the attitude topic) and activity (i.e. whether the attitude topic is viewed as active or passive)</w:t>
      </w:r>
      <w:r w:rsidR="00242FC3">
        <w:t>.</w:t>
      </w:r>
      <w:r w:rsidR="00524568">
        <w:rPr>
          <w:rStyle w:val="FootnoteReference"/>
        </w:rPr>
        <w:footnoteReference w:id="62"/>
      </w:r>
      <w:r w:rsidR="00FB1030" w:rsidRPr="00FB1030">
        <w:t xml:space="preserve"> </w:t>
      </w:r>
      <w:r w:rsidR="0030057B" w:rsidRPr="0030057B">
        <w:t xml:space="preserve">Participants are asked to mark </w:t>
      </w:r>
      <w:r w:rsidR="0030057B">
        <w:t>a point on the scale t</w:t>
      </w:r>
      <w:r w:rsidR="0030057B" w:rsidRPr="0030057B">
        <w:t>hat represents their per</w:t>
      </w:r>
      <w:r w:rsidR="008F78E2">
        <w:t>spec</w:t>
      </w:r>
      <w:r w:rsidR="0030057B" w:rsidRPr="0030057B">
        <w:t>tive</w:t>
      </w:r>
      <w:r w:rsidR="0030057B">
        <w:t>.</w:t>
      </w:r>
      <w:r w:rsidR="0030057B">
        <w:rPr>
          <w:rStyle w:val="FootnoteReference"/>
        </w:rPr>
        <w:footnoteReference w:id="63"/>
      </w:r>
      <w:r>
        <w:t xml:space="preserve"> </w:t>
      </w:r>
      <w:r w:rsidR="004856CB" w:rsidRPr="004856CB">
        <w:t>Then, the factors underlying the multivariate data are extracted by conducting a factor analysis to explain the affective responses in terms of a limited number of specific main factors</w:t>
      </w:r>
      <w:r w:rsidR="00242FC3">
        <w:t>.</w:t>
      </w:r>
      <w:r w:rsidR="00004D5B">
        <w:t xml:space="preserve"> </w:t>
      </w:r>
      <w:r w:rsidR="00FB1030">
        <w:t>T</w:t>
      </w:r>
      <w:r w:rsidR="004856CB">
        <w:t>he advantages of using Semantic Differential techniques include being comprehensive, simple to administer and r</w:t>
      </w:r>
      <w:r w:rsidR="00241CA6">
        <w:t>elatively straightforward to complete</w:t>
      </w:r>
      <w:r w:rsidR="00242FC3">
        <w:t>.</w:t>
      </w:r>
      <w:r w:rsidR="00242FC3">
        <w:rPr>
          <w:rStyle w:val="FootnoteReference"/>
        </w:rPr>
        <w:footnoteReference w:id="64"/>
      </w:r>
      <w:r w:rsidR="00241CA6">
        <w:t xml:space="preserve"> </w:t>
      </w:r>
      <w:r w:rsidR="00242FC3">
        <w:t>S</w:t>
      </w:r>
      <w:r w:rsidR="00837D7F">
        <w:t>im</w:t>
      </w:r>
      <w:r w:rsidR="00242FC3">
        <w:t>i</w:t>
      </w:r>
      <w:r w:rsidR="00837D7F">
        <w:t>lar to other scales, d</w:t>
      </w:r>
      <w:r w:rsidR="004856CB">
        <w:t>isadvantages include the potential for</w:t>
      </w:r>
      <w:r w:rsidR="004856CB" w:rsidRPr="004856CB">
        <w:t xml:space="preserve"> positional response bias</w:t>
      </w:r>
      <w:r w:rsidR="00C646C4">
        <w:t>, whereby participants choose one response position more often than any others regardless of the item content</w:t>
      </w:r>
      <w:r w:rsidR="0015161A">
        <w:t>.</w:t>
      </w:r>
      <w:r w:rsidR="0015161A">
        <w:rPr>
          <w:rStyle w:val="FootnoteReference"/>
        </w:rPr>
        <w:footnoteReference w:id="65"/>
      </w:r>
    </w:p>
    <w:p w14:paraId="3BD6F9A7" w14:textId="7B57CFC9" w:rsidR="00BC30F8" w:rsidRDefault="00BC30F8" w:rsidP="00681432">
      <w:pPr>
        <w:spacing w:after="0"/>
      </w:pPr>
    </w:p>
    <w:p w14:paraId="72CB3B84" w14:textId="7D01555D" w:rsidR="00BC30F8" w:rsidRDefault="00BC30F8" w:rsidP="00681432">
      <w:pPr>
        <w:spacing w:after="0"/>
      </w:pPr>
      <w:r w:rsidRPr="00BC30F8">
        <w:t xml:space="preserve">This technique has been used in a variety of contexts in relation to measuring attitudes towards disabled people. For example, Burke et al. </w:t>
      </w:r>
      <w:r w:rsidR="00242FC3">
        <w:t>(</w:t>
      </w:r>
      <w:r w:rsidRPr="00BC30F8">
        <w:t>2019</w:t>
      </w:r>
      <w:r w:rsidR="00242FC3">
        <w:t>)</w:t>
      </w:r>
      <w:r w:rsidRPr="00BC30F8">
        <w:t xml:space="preserve"> use</w:t>
      </w:r>
      <w:r w:rsidR="00356ADF">
        <w:t>d</w:t>
      </w:r>
      <w:r w:rsidRPr="00BC30F8">
        <w:t xml:space="preserve"> the technique as a direct measure of undergraduate students’ attitude</w:t>
      </w:r>
      <w:r w:rsidR="00356ADF">
        <w:t>s</w:t>
      </w:r>
      <w:r w:rsidRPr="00BC30F8">
        <w:t xml:space="preserve"> to</w:t>
      </w:r>
      <w:r w:rsidR="00356ADF">
        <w:t>wards</w:t>
      </w:r>
      <w:r w:rsidRPr="00BC30F8">
        <w:t xml:space="preserve"> people who have engaged in non-suicidal self-harm. Tacka</w:t>
      </w:r>
      <w:r w:rsidR="007F04DA">
        <w:t>ha</w:t>
      </w:r>
      <w:r w:rsidRPr="00BC30F8">
        <w:t xml:space="preserve">shi (2018) used the </w:t>
      </w:r>
      <w:r w:rsidR="00BE0453">
        <w:t xml:space="preserve">technique </w:t>
      </w:r>
      <w:r w:rsidRPr="00BC30F8">
        <w:t xml:space="preserve">to assess undergraduate students’ attitudes to people with various disabilities such as intellectual disability, physical disability and deafness. </w:t>
      </w:r>
      <w:r w:rsidR="00781DEF">
        <w:t>Janero et al. (2018) used the technique to assess attitudes towards people with disabilities in general.</w:t>
      </w:r>
      <w:r w:rsidRPr="00BC30F8">
        <w:t xml:space="preserve"> </w:t>
      </w:r>
    </w:p>
    <w:p w14:paraId="6C5D0D7C" w14:textId="763E8BFD" w:rsidR="00907975" w:rsidRDefault="00907975" w:rsidP="00681432">
      <w:pPr>
        <w:spacing w:after="0"/>
      </w:pPr>
    </w:p>
    <w:p w14:paraId="54C93993" w14:textId="77777777" w:rsidR="007A5793" w:rsidRDefault="007A5793" w:rsidP="007A5793">
      <w:pPr>
        <w:pStyle w:val="Heading3"/>
      </w:pPr>
      <w:bookmarkStart w:id="9" w:name="_Toc123809219"/>
      <w:r>
        <w:t>Single-item direct attitude scales</w:t>
      </w:r>
      <w:bookmarkEnd w:id="9"/>
      <w:r>
        <w:t xml:space="preserve"> </w:t>
      </w:r>
    </w:p>
    <w:p w14:paraId="4C7BBB5C" w14:textId="345B6AC3" w:rsidR="00BC158C" w:rsidRDefault="00EA58C4" w:rsidP="00BC158C">
      <w:r>
        <w:t xml:space="preserve">Single item direct measures of attitudes are </w:t>
      </w:r>
      <w:r w:rsidR="0087680D">
        <w:t xml:space="preserve">used </w:t>
      </w:r>
      <w:r w:rsidR="007A5793">
        <w:t xml:space="preserve">to measure a targeted construct </w:t>
      </w:r>
      <w:r>
        <w:t>using a</w:t>
      </w:r>
      <w:r w:rsidR="007A5793">
        <w:t xml:space="preserve"> single targeted question</w:t>
      </w:r>
      <w:r w:rsidR="0015161A">
        <w:t>.</w:t>
      </w:r>
      <w:r w:rsidR="0015161A">
        <w:rPr>
          <w:rStyle w:val="FootnoteReference"/>
        </w:rPr>
        <w:footnoteReference w:id="66"/>
      </w:r>
      <w:r w:rsidR="007A5793">
        <w:t xml:space="preserve"> </w:t>
      </w:r>
      <w:r w:rsidR="00D800F2" w:rsidRPr="00D800F2">
        <w:t xml:space="preserve">For example, Crittenden (2018) </w:t>
      </w:r>
      <w:r w:rsidR="00D800F2">
        <w:t>asked participants t</w:t>
      </w:r>
      <w:r w:rsidR="00D800F2" w:rsidRPr="00D800F2">
        <w:t xml:space="preserve">o indicate their attitude </w:t>
      </w:r>
      <w:r w:rsidR="00D800F2">
        <w:t xml:space="preserve">towards disabled people </w:t>
      </w:r>
      <w:r w:rsidR="00D800F2" w:rsidRPr="00D800F2">
        <w:t>on a scale of 1 (</w:t>
      </w:r>
      <w:r w:rsidR="00D800F2">
        <w:t xml:space="preserve">extremely unfavourable) to 100 (extremely </w:t>
      </w:r>
      <w:r w:rsidR="00D800F2" w:rsidRPr="00D800F2">
        <w:t>favourable), using a visual of a thermo</w:t>
      </w:r>
      <w:r w:rsidR="00D800F2">
        <w:t>me</w:t>
      </w:r>
      <w:r w:rsidR="00D800F2" w:rsidRPr="00D800F2">
        <w:t>ter as an aid.</w:t>
      </w:r>
      <w:r w:rsidR="00D800F2">
        <w:t xml:space="preserve"> </w:t>
      </w:r>
      <w:r w:rsidR="00BC158C">
        <w:t>The project Implicit website</w:t>
      </w:r>
      <w:r w:rsidR="00356ADF">
        <w:t>,</w:t>
      </w:r>
      <w:r w:rsidR="00BC158C">
        <w:rPr>
          <w:rStyle w:val="FootnoteReference"/>
        </w:rPr>
        <w:footnoteReference w:id="67"/>
      </w:r>
      <w:r w:rsidR="00BC158C">
        <w:t xml:space="preserve"> has used also a single item to directly measure explicit attitudes. Participants were asked to indicate their preference for disabled or non-disabled people</w:t>
      </w:r>
      <w:r w:rsidR="00BC158C" w:rsidRPr="00AB5E94">
        <w:t xml:space="preserve"> on a seven point </w:t>
      </w:r>
      <w:r w:rsidR="00BC158C">
        <w:t xml:space="preserve">rating </w:t>
      </w:r>
      <w:r w:rsidR="00BC158C" w:rsidRPr="00AB5E94">
        <w:t>scale</w:t>
      </w:r>
      <w:r w:rsidR="00BC158C">
        <w:t xml:space="preserve"> ranging from strongly prefer disabled people to strongly prefer non-disabled people.</w:t>
      </w:r>
      <w:r w:rsidR="00BC158C">
        <w:rPr>
          <w:rStyle w:val="FootnoteReference"/>
        </w:rPr>
        <w:footnoteReference w:id="68"/>
      </w:r>
      <w:r w:rsidR="00BC158C">
        <w:t xml:space="preserve"> This was then used to compare explicit attitudes to implicit attitudes gathered by the Implicit Association Test.</w:t>
      </w:r>
      <w:r w:rsidR="00BC158C">
        <w:rPr>
          <w:rStyle w:val="FootnoteReference"/>
        </w:rPr>
        <w:footnoteReference w:id="69"/>
      </w:r>
      <w:r w:rsidR="00BC158C">
        <w:t xml:space="preserve"> </w:t>
      </w:r>
    </w:p>
    <w:p w14:paraId="1D29E6AB" w14:textId="4CDC273A" w:rsidR="007A5793" w:rsidRDefault="00EA58C4" w:rsidP="00837D7F">
      <w:r w:rsidRPr="00EA58C4">
        <w:t>There are a number of reasons that researchers want to use sing</w:t>
      </w:r>
      <w:r w:rsidR="00DA67B9">
        <w:t>l</w:t>
      </w:r>
      <w:r w:rsidRPr="00EA58C4">
        <w:t>e item measures, including reducing res</w:t>
      </w:r>
      <w:r w:rsidR="004F583B">
        <w:t>pondent burden, which has been linked</w:t>
      </w:r>
      <w:r w:rsidRPr="00EA58C4">
        <w:t xml:space="preserve"> to increase</w:t>
      </w:r>
      <w:r w:rsidR="006B110A">
        <w:t>d</w:t>
      </w:r>
      <w:r w:rsidRPr="00EA58C4">
        <w:t xml:space="preserve"> response</w:t>
      </w:r>
      <w:r>
        <w:t xml:space="preserve"> rates</w:t>
      </w:r>
      <w:r w:rsidR="00C84470">
        <w:t>,</w:t>
      </w:r>
      <w:r w:rsidR="00C84470">
        <w:rPr>
          <w:rStyle w:val="FootnoteReference"/>
        </w:rPr>
        <w:footnoteReference w:id="70"/>
      </w:r>
      <w:r>
        <w:t xml:space="preserve"> reducing the time nee</w:t>
      </w:r>
      <w:r w:rsidR="00E26C3A">
        <w:t>ded to complete the question</w:t>
      </w:r>
      <w:r>
        <w:t xml:space="preserve">naire, and reduced cost. </w:t>
      </w:r>
      <w:r w:rsidR="00091332" w:rsidRPr="00091332">
        <w:t xml:space="preserve">Single-item ratings </w:t>
      </w:r>
      <w:r w:rsidR="00091332">
        <w:t>have been found to</w:t>
      </w:r>
      <w:r w:rsidR="00091332" w:rsidRPr="00091332">
        <w:t xml:space="preserve"> adequately represent the outcomes of traditional multi-item assessments. In one study, the majority of single-item assessments agreed with their lengthier multiple-item subscales and adequately represented the outcomes of traditional multi-item assessments</w:t>
      </w:r>
      <w:r w:rsidR="006B110A">
        <w:t>.</w:t>
      </w:r>
      <w:r w:rsidR="00C13513">
        <w:rPr>
          <w:rStyle w:val="FootnoteReference"/>
        </w:rPr>
        <w:footnoteReference w:id="71"/>
      </w:r>
      <w:r w:rsidR="00091332" w:rsidRPr="00091332">
        <w:t xml:space="preserve"> </w:t>
      </w:r>
      <w:r w:rsidR="00C13513">
        <w:t>Single</w:t>
      </w:r>
      <w:r w:rsidR="00091332" w:rsidRPr="00091332">
        <w:t>-item scales are sometimes used to gauge constructs that, originally, were assumed to comprise several dimensions.</w:t>
      </w:r>
      <w:r w:rsidR="00C13513">
        <w:t xml:space="preserve"> </w:t>
      </w:r>
      <w:r w:rsidR="007A5793">
        <w:t>However, while there may be benefits in relation to</w:t>
      </w:r>
      <w:r>
        <w:t xml:space="preserve"> time, cost and respondent </w:t>
      </w:r>
      <w:r>
        <w:lastRenderedPageBreak/>
        <w:t xml:space="preserve">burden, </w:t>
      </w:r>
      <w:r w:rsidR="007A5793">
        <w:t xml:space="preserve">single-item attitude scales </w:t>
      </w:r>
      <w:r w:rsidR="00004D5B">
        <w:t>can be</w:t>
      </w:r>
      <w:r w:rsidR="007A5793">
        <w:t xml:space="preserve"> problematic</w:t>
      </w:r>
      <w:r w:rsidR="0015161A">
        <w:t>.</w:t>
      </w:r>
      <w:r w:rsidR="0015161A">
        <w:rPr>
          <w:rStyle w:val="FootnoteReference"/>
        </w:rPr>
        <w:footnoteReference w:id="72"/>
      </w:r>
      <w:r w:rsidR="0015161A">
        <w:t xml:space="preserve"> </w:t>
      </w:r>
      <w:r w:rsidR="00E26C3A">
        <w:t>As discussed earlier, it is generally accepted that attitudes are multi-dimensional and so</w:t>
      </w:r>
      <w:r w:rsidR="006B110A">
        <w:t>,</w:t>
      </w:r>
      <w:r w:rsidR="00E26C3A">
        <w:t xml:space="preserve"> many researchers argue that multi-dimensional measurement is re</w:t>
      </w:r>
      <w:r w:rsidR="009E485D">
        <w:t>quired to obtain accurate dat</w:t>
      </w:r>
      <w:r w:rsidR="007E0393">
        <w:t>a</w:t>
      </w:r>
      <w:r w:rsidR="0015161A">
        <w:t>.</w:t>
      </w:r>
      <w:r w:rsidR="0015161A">
        <w:rPr>
          <w:rStyle w:val="FootnoteReference"/>
        </w:rPr>
        <w:footnoteReference w:id="73"/>
      </w:r>
      <w:r w:rsidR="0015161A">
        <w:t xml:space="preserve"> </w:t>
      </w:r>
      <w:r w:rsidR="009E485D" w:rsidRPr="00994960">
        <w:t>Another c</w:t>
      </w:r>
      <w:r w:rsidR="00994960">
        <w:t>riticism of single item measure</w:t>
      </w:r>
      <w:r w:rsidR="009E485D" w:rsidRPr="00994960">
        <w:t xml:space="preserve"> is the potential for</w:t>
      </w:r>
      <w:r w:rsidR="007A5793" w:rsidRPr="00994960">
        <w:t xml:space="preserve"> acquiescence</w:t>
      </w:r>
      <w:r w:rsidR="009E485D" w:rsidRPr="00994960">
        <w:t xml:space="preserve"> bias</w:t>
      </w:r>
      <w:r w:rsidR="007A5793" w:rsidRPr="00994960">
        <w:t xml:space="preserve"> </w:t>
      </w:r>
      <w:r w:rsidR="00994960">
        <w:t>because participants</w:t>
      </w:r>
      <w:r w:rsidR="007A5793" w:rsidRPr="00994960">
        <w:t xml:space="preserve"> have to decide on the spot if they agree or disagree with </w:t>
      </w:r>
      <w:r w:rsidR="00994960">
        <w:t xml:space="preserve">the statement which may lead to </w:t>
      </w:r>
      <w:r w:rsidR="007A5793" w:rsidRPr="00994960">
        <w:t>an overestimation in the ratings</w:t>
      </w:r>
      <w:r w:rsidR="0015161A">
        <w:t>.</w:t>
      </w:r>
      <w:r w:rsidR="0015161A">
        <w:rPr>
          <w:rStyle w:val="FootnoteReference"/>
        </w:rPr>
        <w:footnoteReference w:id="74"/>
      </w:r>
      <w:r w:rsidR="009D003B">
        <w:t xml:space="preserve"> </w:t>
      </w:r>
      <w:r w:rsidR="00965B24">
        <w:t xml:space="preserve"> </w:t>
      </w:r>
    </w:p>
    <w:p w14:paraId="5EF6A14B" w14:textId="77777777" w:rsidR="00907975" w:rsidRDefault="00907975" w:rsidP="00907975">
      <w:pPr>
        <w:pStyle w:val="Heading3"/>
      </w:pPr>
      <w:bookmarkStart w:id="10" w:name="_Toc123809220"/>
      <w:r>
        <w:t>Vignettes</w:t>
      </w:r>
      <w:bookmarkEnd w:id="10"/>
    </w:p>
    <w:p w14:paraId="3696979C" w14:textId="4DE07004" w:rsidR="00907975" w:rsidRDefault="00907975" w:rsidP="00907975">
      <w:r>
        <w:t>V</w:t>
      </w:r>
      <w:r w:rsidRPr="00FE0F3A">
        <w:t>ignettes</w:t>
      </w:r>
      <w:r>
        <w:t xml:space="preserve"> simulate real events through short descriptive sketches about hypothetical characters in hypothetical situations which are presented to </w:t>
      </w:r>
      <w:r w:rsidR="00206723">
        <w:t>respondents</w:t>
      </w:r>
      <w:r>
        <w:t xml:space="preserve"> to elicit their reactions and opinions</w:t>
      </w:r>
      <w:r w:rsidR="00C52C40" w:rsidRPr="00C52C40">
        <w:t xml:space="preserve"> </w:t>
      </w:r>
      <w:r w:rsidR="00C52C40" w:rsidRPr="00FE0F3A">
        <w:t>according to how they state they would</w:t>
      </w:r>
      <w:r w:rsidR="00C52C40">
        <w:t xml:space="preserve"> </w:t>
      </w:r>
      <w:r w:rsidR="00C52C40" w:rsidRPr="00FE0F3A">
        <w:t>behave in the situation depicted</w:t>
      </w:r>
      <w:r w:rsidR="00C52C40">
        <w:t>.</w:t>
      </w:r>
      <w:r w:rsidR="00C52C40">
        <w:rPr>
          <w:rStyle w:val="FootnoteReference"/>
        </w:rPr>
        <w:footnoteReference w:id="75"/>
      </w:r>
      <w:r w:rsidR="00C52C40">
        <w:t xml:space="preserve"> </w:t>
      </w:r>
      <w:r>
        <w:t>Vignettes are</w:t>
      </w:r>
      <w:r w:rsidRPr="00FE0F3A">
        <w:t xml:space="preserve"> a</w:t>
      </w:r>
      <w:r>
        <w:t xml:space="preserve"> </w:t>
      </w:r>
      <w:r w:rsidRPr="00FE0F3A">
        <w:t>popular method used in social psychology to investigate</w:t>
      </w:r>
      <w:r>
        <w:t xml:space="preserve"> </w:t>
      </w:r>
      <w:r w:rsidRPr="00FE0F3A">
        <w:t>attitudes and prejudices towards certain groups</w:t>
      </w:r>
      <w:r w:rsidR="008D7CCC">
        <w:t>, and can be used as a direct or indirect measure of attitudes</w:t>
      </w:r>
      <w:r w:rsidR="00341E9B">
        <w:t xml:space="preserve">. </w:t>
      </w:r>
      <w:r>
        <w:t xml:space="preserve">They are </w:t>
      </w:r>
      <w:r w:rsidR="00105A91">
        <w:t xml:space="preserve">useful </w:t>
      </w:r>
      <w:r w:rsidRPr="003334C3">
        <w:t>when observing or placing an individual in a particular context is not possible for</w:t>
      </w:r>
      <w:r>
        <w:t xml:space="preserve"> logistical or ethical reasons</w:t>
      </w:r>
      <w:r w:rsidR="005540D7">
        <w:t>.</w:t>
      </w:r>
      <w:r>
        <w:rPr>
          <w:rStyle w:val="FootnoteReference"/>
        </w:rPr>
        <w:footnoteReference w:id="76"/>
      </w:r>
      <w:r>
        <w:t xml:space="preserve"> </w:t>
      </w:r>
      <w:r w:rsidR="00105A91">
        <w:t xml:space="preserve">They can be depicted in text, images or other stimuli, such as videos </w:t>
      </w:r>
      <w:r>
        <w:t>and may consist of single snapshots of scenarios or a series of stages as the scenarios unfold.</w:t>
      </w:r>
      <w:r>
        <w:rPr>
          <w:rStyle w:val="FootnoteReference"/>
        </w:rPr>
        <w:footnoteReference w:id="77"/>
      </w:r>
      <w:r>
        <w:t xml:space="preserve"> Vignette design generally consists of two components: an initial description of a hypothetical situation and the participant</w:t>
      </w:r>
      <w:r w:rsidR="006B110A">
        <w:t>’s</w:t>
      </w:r>
      <w:r>
        <w:t xml:space="preserve"> responses to the situation.</w:t>
      </w:r>
      <w:r>
        <w:rPr>
          <w:rStyle w:val="FootnoteReference"/>
        </w:rPr>
        <w:footnoteReference w:id="78"/>
      </w:r>
      <w:r>
        <w:t xml:space="preserve"> Following the vignette, respondents may be asked either open-ended or closed questions with a set of response categories from which they may choose.</w:t>
      </w:r>
      <w:r>
        <w:rPr>
          <w:rStyle w:val="FootnoteReference"/>
        </w:rPr>
        <w:footnoteReference w:id="79"/>
      </w:r>
      <w:r>
        <w:t xml:space="preserve"> </w:t>
      </w:r>
    </w:p>
    <w:p w14:paraId="4A42FB96" w14:textId="285A7D2C" w:rsidR="00907975" w:rsidRDefault="00907975" w:rsidP="00907975">
      <w:r>
        <w:t>The practical advantages of using vignettes were outlined in a review of the litera</w:t>
      </w:r>
      <w:r w:rsidR="007B278B">
        <w:t>ture by Hughes and Hub</w:t>
      </w:r>
      <w:r w:rsidR="005A7F06">
        <w:t>e</w:t>
      </w:r>
      <w:r>
        <w:t>y (2002):</w:t>
      </w:r>
    </w:p>
    <w:p w14:paraId="06BA8103" w14:textId="240BC645" w:rsidR="00907975" w:rsidRDefault="00907975" w:rsidP="00907975">
      <w:pPr>
        <w:pStyle w:val="ListBullet"/>
      </w:pPr>
      <w:r>
        <w:t>Vignettes are more efficient in terms of cost and time compared to observational studies.</w:t>
      </w:r>
      <w:r w:rsidR="00CB50EE">
        <w:rPr>
          <w:rStyle w:val="FootnoteReference"/>
        </w:rPr>
        <w:footnoteReference w:id="80"/>
      </w:r>
      <w:r>
        <w:t xml:space="preserve">  </w:t>
      </w:r>
    </w:p>
    <w:p w14:paraId="3BF4098F" w14:textId="0BD59BAD" w:rsidR="00907975" w:rsidRDefault="00D96A5C" w:rsidP="00907975">
      <w:pPr>
        <w:pStyle w:val="ListBullet"/>
      </w:pPr>
      <w:r>
        <w:lastRenderedPageBreak/>
        <w:t>Vignettes</w:t>
      </w:r>
      <w:r w:rsidR="00907975">
        <w:t xml:space="preserve"> can lead to more uniform data as the content and staging of the vignette content c</w:t>
      </w:r>
      <w:r w:rsidR="00A010F0">
        <w:t>an be defined and standardised</w:t>
      </w:r>
      <w:r w:rsidR="00907975">
        <w:t>.</w:t>
      </w:r>
    </w:p>
    <w:p w14:paraId="1C1F9901" w14:textId="29A0B68C" w:rsidR="00907975" w:rsidRDefault="00907975" w:rsidP="00907975">
      <w:pPr>
        <w:pStyle w:val="ListBullet"/>
      </w:pPr>
      <w:r w:rsidRPr="0066187C">
        <w:t>Vignettes do not necessarily require participants to have in-depth knowledge of the topics under study</w:t>
      </w:r>
      <w:r w:rsidR="00CB50EE">
        <w:rPr>
          <w:rStyle w:val="FootnoteReference"/>
        </w:rPr>
        <w:footnoteReference w:id="81"/>
      </w:r>
      <w:r w:rsidRPr="0066187C">
        <w:t xml:space="preserve"> and may be used to elicit participants' automatically generated meanings</w:t>
      </w:r>
      <w:r w:rsidR="008D327B">
        <w:rPr>
          <w:rStyle w:val="FootnoteReference"/>
        </w:rPr>
        <w:footnoteReference w:id="82"/>
      </w:r>
    </w:p>
    <w:p w14:paraId="033D7DFB" w14:textId="39C49DAC" w:rsidR="00907975" w:rsidRDefault="00907975" w:rsidP="005540D7">
      <w:pPr>
        <w:pStyle w:val="ListBullet"/>
      </w:pPr>
      <w:r>
        <w:t>Vignettes can help to des</w:t>
      </w:r>
      <w:r w:rsidR="005540D7">
        <w:t>ensitis</w:t>
      </w:r>
      <w:r>
        <w:t xml:space="preserve">e sensitive topics (such as </w:t>
      </w:r>
      <w:r w:rsidR="005540D7">
        <w:t>attitudes to disability</w:t>
      </w:r>
      <w:r>
        <w:t>) by asking participants to respond from the point of view of the vignette character</w:t>
      </w:r>
      <w:r w:rsidR="00A010F0">
        <w:t xml:space="preserve"> rather than as themselves. This allows</w:t>
      </w:r>
      <w:r>
        <w:t xml:space="preserve"> respondents to distance themselves from the topic</w:t>
      </w:r>
      <w:r w:rsidR="00D17783" w:rsidRPr="00D17783">
        <w:t xml:space="preserve"> </w:t>
      </w:r>
      <w:r w:rsidR="00D17783">
        <w:t xml:space="preserve">to </w:t>
      </w:r>
      <w:r w:rsidR="00D17783" w:rsidRPr="00D17783">
        <w:t>make responding easier and remove feelings of embarrassment</w:t>
      </w:r>
      <w:r w:rsidR="008D327B">
        <w:t>.</w:t>
      </w:r>
      <w:r w:rsidR="008D327B">
        <w:rPr>
          <w:rStyle w:val="FootnoteReference"/>
        </w:rPr>
        <w:footnoteReference w:id="83"/>
      </w:r>
      <w:r w:rsidR="001C2795">
        <w:t xml:space="preserve"> </w:t>
      </w:r>
      <w:r w:rsidR="00A010F0">
        <w:t xml:space="preserve">This </w:t>
      </w:r>
      <w:r>
        <w:t xml:space="preserve">can also help reduce socially desirable responding. </w:t>
      </w:r>
      <w:r w:rsidRPr="00D43D4C">
        <w:t>The situated</w:t>
      </w:r>
      <w:r>
        <w:t xml:space="preserve"> context of vignettes in stories </w:t>
      </w:r>
      <w:r w:rsidRPr="00D43D4C">
        <w:t>allows participants to respond within the context of the particular situations presented</w:t>
      </w:r>
      <w:r w:rsidR="008D327B">
        <w:t>.</w:t>
      </w:r>
      <w:r w:rsidR="008D327B">
        <w:rPr>
          <w:rStyle w:val="FootnoteReference"/>
        </w:rPr>
        <w:footnoteReference w:id="84"/>
      </w:r>
      <w:r w:rsidR="00D17783" w:rsidRPr="00D17783">
        <w:t xml:space="preserve"> </w:t>
      </w:r>
    </w:p>
    <w:p w14:paraId="6916A5A7" w14:textId="53696697" w:rsidR="00907975" w:rsidRDefault="00907975" w:rsidP="00907975">
      <w:pPr>
        <w:pStyle w:val="ListBullet"/>
      </w:pPr>
      <w:r w:rsidRPr="00D43D4C">
        <w:t>Vignette s</w:t>
      </w:r>
      <w:r w:rsidR="0087680D">
        <w:t>cenarios</w:t>
      </w:r>
      <w:r w:rsidRPr="00D43D4C">
        <w:t xml:space="preserve"> may be constructed from unrealistic events in order to understand more about how individuals might behave. However, </w:t>
      </w:r>
      <w:r w:rsidR="00A010F0">
        <w:t>they can also be based</w:t>
      </w:r>
      <w:r w:rsidR="00702A02">
        <w:t xml:space="preserve"> </w:t>
      </w:r>
      <w:r w:rsidR="00A010F0">
        <w:t xml:space="preserve">on real life </w:t>
      </w:r>
      <w:r w:rsidR="00702A02">
        <w:t>situations</w:t>
      </w:r>
      <w:r w:rsidR="00A010F0">
        <w:t xml:space="preserve"> to </w:t>
      </w:r>
      <w:r w:rsidR="00702A02">
        <w:t>reveal</w:t>
      </w:r>
      <w:r w:rsidRPr="00D43D4C">
        <w:t xml:space="preserve"> nuances that only `insiders' are usually</w:t>
      </w:r>
      <w:r w:rsidR="00A010F0">
        <w:t xml:space="preserve"> aware of</w:t>
      </w:r>
      <w:r w:rsidR="001C2795">
        <w:t>.</w:t>
      </w:r>
      <w:r w:rsidR="008D327B">
        <w:rPr>
          <w:rStyle w:val="FootnoteReference"/>
        </w:rPr>
        <w:footnoteReference w:id="85"/>
      </w:r>
      <w:r w:rsidR="008D327B">
        <w:t xml:space="preserve"> </w:t>
      </w:r>
    </w:p>
    <w:p w14:paraId="21FC5FCE" w14:textId="0B717EA1" w:rsidR="006254FE" w:rsidRDefault="001C2795" w:rsidP="006254FE">
      <w:pPr>
        <w:pStyle w:val="ListBullet"/>
      </w:pPr>
      <w:r>
        <w:t>They can</w:t>
      </w:r>
      <w:r w:rsidR="006254FE">
        <w:t xml:space="preserve"> provide a useful focus for discussi</w:t>
      </w:r>
      <w:r w:rsidR="008D327B">
        <w:t>on during individual interviews</w:t>
      </w:r>
      <w:r w:rsidR="008D327B">
        <w:rPr>
          <w:rStyle w:val="FootnoteReference"/>
        </w:rPr>
        <w:footnoteReference w:id="86"/>
      </w:r>
      <w:r w:rsidR="008D327B">
        <w:t xml:space="preserve"> </w:t>
      </w:r>
      <w:r w:rsidR="006254FE">
        <w:t>and can act as a</w:t>
      </w:r>
      <w:r w:rsidR="002647EC">
        <w:t xml:space="preserve"> stimulus for group discussions.</w:t>
      </w:r>
      <w:r w:rsidR="008D327B">
        <w:rPr>
          <w:rStyle w:val="FootnoteReference"/>
        </w:rPr>
        <w:footnoteReference w:id="87"/>
      </w:r>
    </w:p>
    <w:p w14:paraId="20C72FC5" w14:textId="4AD30478" w:rsidR="006254FE" w:rsidRDefault="006254FE" w:rsidP="006254FE">
      <w:pPr>
        <w:pStyle w:val="ListBullet"/>
      </w:pPr>
      <w:r>
        <w:t>From a practical point of view, where research studies are limited by available resources, vignettes can be used to generate a sound data-base relatively quickly and cost effectively.</w:t>
      </w:r>
      <w:r w:rsidR="008D327B">
        <w:rPr>
          <w:rStyle w:val="FootnoteReference"/>
        </w:rPr>
        <w:footnoteReference w:id="88"/>
      </w:r>
      <w:r>
        <w:t xml:space="preserve"> </w:t>
      </w:r>
    </w:p>
    <w:p w14:paraId="24DDDC9A" w14:textId="135577D8" w:rsidR="00907975" w:rsidRDefault="00D17783" w:rsidP="00907975">
      <w:r>
        <w:t>Additional advantages a</w:t>
      </w:r>
      <w:r w:rsidR="00907975" w:rsidRPr="009A28B9">
        <w:t>cc</w:t>
      </w:r>
      <w:r w:rsidR="00907975">
        <w:t>ording to Schoenberg and Ravdal</w:t>
      </w:r>
      <w:r>
        <w:t xml:space="preserve"> (2000) include</w:t>
      </w:r>
      <w:r w:rsidR="00907975">
        <w:t xml:space="preserve">: </w:t>
      </w:r>
    </w:p>
    <w:p w14:paraId="6E64BDC2" w14:textId="793E985C" w:rsidR="00907975" w:rsidRDefault="00907975" w:rsidP="00907975">
      <w:pPr>
        <w:pStyle w:val="ListBullet"/>
      </w:pPr>
      <w:r w:rsidRPr="009A28B9">
        <w:t>the stor</w:t>
      </w:r>
      <w:r w:rsidR="00D17783">
        <w:t xml:space="preserve">ytelling nature of vignettes, which may </w:t>
      </w:r>
      <w:r w:rsidR="001C2795">
        <w:t xml:space="preserve">be </w:t>
      </w:r>
      <w:r w:rsidRPr="009A28B9">
        <w:t xml:space="preserve">relaxing, pleasant, and interesting and </w:t>
      </w:r>
      <w:r w:rsidR="00D17783">
        <w:t>could</w:t>
      </w:r>
      <w:r w:rsidRPr="009A28B9">
        <w:t xml:space="preserve"> reduce feelings of being overburdened </w:t>
      </w:r>
      <w:r>
        <w:t>by the inter</w:t>
      </w:r>
      <w:r w:rsidRPr="009A28B9">
        <w:t>view process</w:t>
      </w:r>
      <w:r w:rsidR="008D327B">
        <w:rPr>
          <w:rStyle w:val="FootnoteReference"/>
        </w:rPr>
        <w:footnoteReference w:id="89"/>
      </w:r>
      <w:r w:rsidR="008D327B">
        <w:t xml:space="preserve"> </w:t>
      </w:r>
    </w:p>
    <w:p w14:paraId="006BD76C" w14:textId="2E96B313" w:rsidR="006254FE" w:rsidRDefault="002647EC" w:rsidP="006254FE">
      <w:pPr>
        <w:pStyle w:val="ListBullet"/>
      </w:pPr>
      <w:r>
        <w:lastRenderedPageBreak/>
        <w:t>t</w:t>
      </w:r>
      <w:r w:rsidR="00D17783">
        <w:t>heir adaptability</w:t>
      </w:r>
      <w:r w:rsidR="00907975">
        <w:t xml:space="preserve"> to suit the </w:t>
      </w:r>
      <w:r w:rsidR="001C2795">
        <w:t>topic or population of interest.</w:t>
      </w:r>
      <w:r w:rsidR="00907975">
        <w:t xml:space="preserve"> </w:t>
      </w:r>
    </w:p>
    <w:p w14:paraId="1AF8B1AF" w14:textId="18104C64" w:rsidR="006254FE" w:rsidRDefault="001C2795" w:rsidP="006254FE">
      <w:pPr>
        <w:pStyle w:val="ListBullet"/>
        <w:numPr>
          <w:ilvl w:val="0"/>
          <w:numId w:val="0"/>
        </w:numPr>
      </w:pPr>
      <w:r>
        <w:t xml:space="preserve">In their study, </w:t>
      </w:r>
      <w:r w:rsidR="00907975">
        <w:t>Shoenberg and Ravdal</w:t>
      </w:r>
      <w:r w:rsidR="002C73E8">
        <w:t xml:space="preserve"> also highlighted</w:t>
      </w:r>
      <w:r w:rsidR="00907975">
        <w:t xml:space="preserve"> a number of </w:t>
      </w:r>
      <w:r w:rsidR="002C73E8">
        <w:t>problems with vignettes in relation to d</w:t>
      </w:r>
      <w:r w:rsidR="00907975">
        <w:t>ata collection and analysis</w:t>
      </w:r>
      <w:r w:rsidR="00146472">
        <w:t xml:space="preserve">. </w:t>
      </w:r>
      <w:r>
        <w:t>For example, s</w:t>
      </w:r>
      <w:r w:rsidR="00146472">
        <w:t>ome participants d</w:t>
      </w:r>
      <w:r w:rsidR="00907975">
        <w:t>id not want to give advice based on the vignette scenario. Shoenberg and Ravdal suggest that this may happen if respondents have a lack of faith in their own opinion or have a perceived lack of knowledge related to the subject. They suggest that this may be overcome by creative probing, encouragement and reassu</w:t>
      </w:r>
      <w:r>
        <w:t>rance from the interviewer. A second issue wa</w:t>
      </w:r>
      <w:r w:rsidR="00146472">
        <w:t xml:space="preserve">s the potential threats to validity. Not </w:t>
      </w:r>
      <w:r w:rsidR="00B06CB9">
        <w:t>rigorously</w:t>
      </w:r>
      <w:r w:rsidR="00146472">
        <w:t xml:space="preserve"> pre-testi</w:t>
      </w:r>
      <w:r w:rsidR="00B06CB9">
        <w:t>n</w:t>
      </w:r>
      <w:r w:rsidR="00146472">
        <w:t>g</w:t>
      </w:r>
      <w:r w:rsidR="00146472" w:rsidRPr="00146472">
        <w:t xml:space="preserve"> </w:t>
      </w:r>
      <w:r w:rsidR="00146472">
        <w:t>the vignettes to ensu</w:t>
      </w:r>
      <w:r w:rsidR="002647EC">
        <w:t>re content validity and clarity</w:t>
      </w:r>
      <w:r w:rsidR="00146472">
        <w:t xml:space="preserve"> may leave them open to </w:t>
      </w:r>
      <w:r w:rsidR="00907975">
        <w:t>interpret</w:t>
      </w:r>
      <w:r w:rsidR="00146472">
        <w:t xml:space="preserve">ation by both the </w:t>
      </w:r>
      <w:r w:rsidR="00B06CB9">
        <w:t>participants</w:t>
      </w:r>
      <w:r w:rsidR="00146472">
        <w:t xml:space="preserve"> and the researchers</w:t>
      </w:r>
      <w:r w:rsidR="00B06CB9">
        <w:t>. In addition to pre-testing, Shoenberg and Ravdal recommend using</w:t>
      </w:r>
      <w:r w:rsidR="00907975">
        <w:t xml:space="preserve"> standard probes to ensure </w:t>
      </w:r>
      <w:r>
        <w:t>participants stay focused on the topic</w:t>
      </w:r>
      <w:r w:rsidR="00907975">
        <w:t>, and ongoing debate</w:t>
      </w:r>
      <w:r w:rsidR="00B06CB9">
        <w:t xml:space="preserve">, </w:t>
      </w:r>
      <w:r w:rsidR="00907975">
        <w:t>comparison and contextualisation of the data</w:t>
      </w:r>
      <w:r>
        <w:t xml:space="preserve"> by the researchers. </w:t>
      </w:r>
      <w:r w:rsidR="00E65DA9">
        <w:t>Additionally, s</w:t>
      </w:r>
      <w:r w:rsidR="00907975">
        <w:t xml:space="preserve">ince </w:t>
      </w:r>
      <w:r w:rsidR="00E65DA9">
        <w:t xml:space="preserve">vignette </w:t>
      </w:r>
      <w:r w:rsidR="00907975">
        <w:t>scenarios are hypothetical,</w:t>
      </w:r>
      <w:r w:rsidR="00B06CB9">
        <w:t xml:space="preserve"> </w:t>
      </w:r>
      <w:r w:rsidR="00907975">
        <w:t xml:space="preserve">they may not predict the </w:t>
      </w:r>
      <w:r w:rsidR="00B06CB9">
        <w:t>respondents</w:t>
      </w:r>
      <w:r w:rsidR="00CF4639">
        <w:t>’</w:t>
      </w:r>
      <w:r w:rsidR="00907975">
        <w:t xml:space="preserve"> actual behaviour</w:t>
      </w:r>
      <w:r w:rsidR="00E65DA9">
        <w:t>.</w:t>
      </w:r>
      <w:r w:rsidR="00E65DA9">
        <w:rPr>
          <w:rStyle w:val="FootnoteReference"/>
        </w:rPr>
        <w:footnoteReference w:id="90"/>
      </w:r>
      <w:r w:rsidR="00E65DA9">
        <w:t xml:space="preserve"> </w:t>
      </w:r>
      <w:r w:rsidR="00E65DA9" w:rsidRPr="00E65DA9">
        <w:t xml:space="preserve">problems may </w:t>
      </w:r>
      <w:r w:rsidR="00E65DA9">
        <w:t xml:space="preserve">also </w:t>
      </w:r>
      <w:r w:rsidR="00E65DA9" w:rsidRPr="00E65DA9">
        <w:t>arise if there is a large disconnection between the actual experiences of the participants and the vignette char</w:t>
      </w:r>
      <w:r w:rsidR="00E65DA9">
        <w:t>acters they are asked to assume</w:t>
      </w:r>
      <w:r w:rsidR="002647EC">
        <w:t>.</w:t>
      </w:r>
      <w:r w:rsidR="00E65DA9">
        <w:rPr>
          <w:rStyle w:val="FootnoteReference"/>
        </w:rPr>
        <w:footnoteReference w:id="91"/>
      </w:r>
      <w:r w:rsidR="00CF4639" w:rsidRPr="00CF4639">
        <w:t xml:space="preserve"> </w:t>
      </w:r>
    </w:p>
    <w:p w14:paraId="7538B40E" w14:textId="73D60EDA" w:rsidR="00907975" w:rsidRDefault="006254FE" w:rsidP="00907975">
      <w:pPr>
        <w:pStyle w:val="ListBullet"/>
        <w:numPr>
          <w:ilvl w:val="0"/>
          <w:numId w:val="0"/>
        </w:numPr>
      </w:pPr>
      <w:r>
        <w:t xml:space="preserve">In recent research, vignettes have been used to explore the attitudes of various groups towards people with various </w:t>
      </w:r>
      <w:r w:rsidR="00E65DA9">
        <w:t>types</w:t>
      </w:r>
      <w:r w:rsidR="0045018C">
        <w:t xml:space="preserve"> </w:t>
      </w:r>
      <w:r>
        <w:t>of disabilities. Sanhala &amp; Theodore</w:t>
      </w:r>
      <w:r w:rsidR="008D327B">
        <w:t xml:space="preserve"> (2015) </w:t>
      </w:r>
      <w:r>
        <w:t xml:space="preserve">used a vignette as part of an online survey to investigate public attitudes towards the sexuality of people with intellectual disabilities within a UK sample and to compare attitudes between people from White Western and South Asian backgrounds. Anderson et al. </w:t>
      </w:r>
      <w:r w:rsidR="008D327B">
        <w:t>(</w:t>
      </w:r>
      <w:r>
        <w:t>2015</w:t>
      </w:r>
      <w:r w:rsidR="008D327B">
        <w:t>)</w:t>
      </w:r>
      <w:r>
        <w:t xml:space="preserve"> also used vignettes as part of an online survey to investigate Swedish employers’ experiences and attitudes toward hiring p</w:t>
      </w:r>
      <w:r w:rsidR="00E65DA9">
        <w:t>eople with various disabilities</w:t>
      </w:r>
      <w:r>
        <w:t>. In a review of health professionals’ stigma towards people with mental illness, Carrer</w:t>
      </w:r>
      <w:r w:rsidR="00E65DA9">
        <w:t>a et al., found that four</w:t>
      </w:r>
      <w:r>
        <w:t xml:space="preserve"> of the reviewed studies used vignettes to assess attitudes or stigma towards mental illness. Dabby et al., (2015) used vignettes as part of the Social Distance Scale to assess attitudes towards people with Schizophrenia and diabetes mellitus</w:t>
      </w:r>
      <w:r w:rsidR="001E2F96">
        <w:t xml:space="preserve"> and compared </w:t>
      </w:r>
      <w:r>
        <w:t>the responses to the vignettes to responses on another direct measure as well as an indirect measure (the IAT).</w:t>
      </w:r>
    </w:p>
    <w:p w14:paraId="798EEE11" w14:textId="558A8CAB" w:rsidR="00AE1230" w:rsidRDefault="007563ED" w:rsidP="004854C1">
      <w:pPr>
        <w:pStyle w:val="Heading3"/>
      </w:pPr>
      <w:bookmarkStart w:id="11" w:name="_Toc123809221"/>
      <w:r>
        <w:t>Threats to validity associated with</w:t>
      </w:r>
      <w:r w:rsidR="004854C1">
        <w:t xml:space="preserve"> direct measures</w:t>
      </w:r>
      <w:bookmarkEnd w:id="11"/>
    </w:p>
    <w:p w14:paraId="2ED51638" w14:textId="1841E216" w:rsidR="00AE1230" w:rsidRPr="00AE1230" w:rsidRDefault="00AE1230" w:rsidP="00AE1230">
      <w:pPr>
        <w:spacing w:before="120" w:after="120"/>
      </w:pPr>
      <w:r w:rsidRPr="00AE1230">
        <w:t>Research on attitudes towards people with disabilities tends to indicate increasingly positive attitudes towards this group</w:t>
      </w:r>
      <w:r w:rsidR="008D327B">
        <w:t>.</w:t>
      </w:r>
      <w:r w:rsidR="008D327B">
        <w:rPr>
          <w:rStyle w:val="FootnoteReference"/>
        </w:rPr>
        <w:footnoteReference w:id="92"/>
      </w:r>
      <w:r w:rsidRPr="00AE1230">
        <w:t xml:space="preserve"> However, such generally </w:t>
      </w:r>
      <w:r w:rsidRPr="00AE1230">
        <w:lastRenderedPageBreak/>
        <w:t xml:space="preserve">positive attitudes are contrary to the well-documented experiences of discrimination and stigma that are commonly reported by </w:t>
      </w:r>
      <w:r w:rsidR="00271587">
        <w:t>people with disabilities</w:t>
      </w:r>
      <w:r w:rsidR="000A2251">
        <w:t>.</w:t>
      </w:r>
      <w:r w:rsidRPr="00AE1230">
        <w:rPr>
          <w:strike/>
        </w:rPr>
        <w:t xml:space="preserve"> </w:t>
      </w:r>
    </w:p>
    <w:p w14:paraId="0542BA3A" w14:textId="61A32BD3" w:rsidR="00241130" w:rsidRDefault="00AE1230" w:rsidP="00AE1230">
      <w:pPr>
        <w:spacing w:before="120" w:after="120"/>
      </w:pPr>
      <w:r w:rsidRPr="00AE1230">
        <w:t>One potential reason for this mismatch in reported public attitudes and reported experiences of people with disabilities is that attitudes towards people with disabilities have most commonly been examined through direct measures</w:t>
      </w:r>
      <w:r w:rsidR="00FF56DF">
        <w:t>, such as those listed above</w:t>
      </w:r>
      <w:r w:rsidRPr="00AE1230">
        <w:t>. However, direct measures of attitudes are subject to a number of validity issues.</w:t>
      </w:r>
      <w:r w:rsidR="004008AC">
        <w:rPr>
          <w:rStyle w:val="FootnoteReference"/>
        </w:rPr>
        <w:footnoteReference w:id="93"/>
      </w:r>
      <w:r w:rsidRPr="00AE1230">
        <w:t xml:space="preserve"> Simply responding to an attitude measure may create an attitude that did not exist prior to responding, or could create a transient attitude that the research</w:t>
      </w:r>
      <w:r w:rsidR="00FF56DF">
        <w:t>er</w:t>
      </w:r>
      <w:r w:rsidRPr="00AE1230">
        <w:t xml:space="preserve"> may mistake as stable.</w:t>
      </w:r>
      <w:r w:rsidR="005C2968">
        <w:rPr>
          <w:rStyle w:val="FootnoteReference"/>
        </w:rPr>
        <w:footnoteReference w:id="94"/>
      </w:r>
      <w:r w:rsidRPr="00AE1230">
        <w:t xml:space="preserve"> Respondents m</w:t>
      </w:r>
      <w:r w:rsidR="00110FED">
        <w:t>a</w:t>
      </w:r>
      <w:r w:rsidRPr="00AE1230">
        <w:t xml:space="preserve">y intentionally distort their answers for a number of reasons including, wanting to please the researcher by </w:t>
      </w:r>
      <w:r w:rsidR="008760F2">
        <w:t>telling them what they think they want to hear</w:t>
      </w:r>
      <w:r w:rsidRPr="00AE1230">
        <w:t xml:space="preserve">, giving the referent groups the benefit of the doubt, trying to sabotage the study by deliberately providing inaccurate representations of attitudes, </w:t>
      </w:r>
      <w:r w:rsidR="00241130">
        <w:t xml:space="preserve">or </w:t>
      </w:r>
      <w:r w:rsidRPr="00AE1230">
        <w:t>failing to give thorough answers due to a lack of interest</w:t>
      </w:r>
      <w:r w:rsidR="003569AA">
        <w:rPr>
          <w:rStyle w:val="FootnoteReference"/>
        </w:rPr>
        <w:footnoteReference w:id="95"/>
      </w:r>
      <w:r w:rsidRPr="00AE1230">
        <w:t xml:space="preserve">. </w:t>
      </w:r>
      <w:r w:rsidR="00FF56DF">
        <w:t xml:space="preserve">Another threat to the validity of direct measures is the social desirability bias. </w:t>
      </w:r>
      <w:r w:rsidRPr="00AE1230">
        <w:t xml:space="preserve">There is ample evidence that survey questions asking about sensitive topics, such as attitudes towards people with disabilities, often generate inaccurate data because they are distorted by </w:t>
      </w:r>
      <w:r w:rsidR="00FF56DF">
        <w:t xml:space="preserve">this </w:t>
      </w:r>
      <w:r w:rsidRPr="00AE1230">
        <w:t>bias</w:t>
      </w:r>
      <w:r w:rsidR="006D4334">
        <w:t>.</w:t>
      </w:r>
      <w:r w:rsidR="006D4334">
        <w:rPr>
          <w:rStyle w:val="FootnoteReference"/>
        </w:rPr>
        <w:footnoteReference w:id="96"/>
      </w:r>
      <w:r w:rsidRPr="00AE1230">
        <w:t xml:space="preserve"> Respondents often misrepresent their true attitudes and behaviours if, for example, they feel they conflict with prevalent social norms, or if they want to give a good impression of themselves. So, due to self-preservation, respondents often underreport socially undesirable behaviours and attitudes and over represent socially desirable ones</w:t>
      </w:r>
      <w:r w:rsidR="006D4334">
        <w:t>.</w:t>
      </w:r>
      <w:r w:rsidR="006D4334">
        <w:rPr>
          <w:rStyle w:val="FootnoteReference"/>
        </w:rPr>
        <w:footnoteReference w:id="97"/>
      </w:r>
      <w:r w:rsidRPr="00AE1230">
        <w:t xml:space="preserve"> </w:t>
      </w:r>
      <w:r w:rsidR="00241130">
        <w:t>There is also the possibility</w:t>
      </w:r>
      <w:r w:rsidR="00FF56DF">
        <w:t xml:space="preserve"> that incorrect data could be generated because</w:t>
      </w:r>
      <w:r w:rsidR="00241130">
        <w:t xml:space="preserve"> some p</w:t>
      </w:r>
      <w:r w:rsidR="00241130" w:rsidRPr="00241130">
        <w:t xml:space="preserve">articipants </w:t>
      </w:r>
      <w:r w:rsidR="00241130">
        <w:t>could</w:t>
      </w:r>
      <w:r w:rsidR="00241130" w:rsidRPr="00241130">
        <w:t xml:space="preserve"> lack the</w:t>
      </w:r>
      <w:r w:rsidR="00241130">
        <w:t xml:space="preserve"> necessary</w:t>
      </w:r>
      <w:r w:rsidR="00241130" w:rsidRPr="00241130">
        <w:t xml:space="preserve"> introspective ability when answering self-report surveys</w:t>
      </w:r>
      <w:r w:rsidR="00241130">
        <w:t>, especi</w:t>
      </w:r>
      <w:r w:rsidR="006D4334">
        <w:t xml:space="preserve">ally if there is a </w:t>
      </w:r>
      <w:r w:rsidR="00241130">
        <w:t>disconnect between who the person is and who they think they are</w:t>
      </w:r>
      <w:r w:rsidR="006D4334">
        <w:t>.</w:t>
      </w:r>
      <w:r w:rsidR="006D4334">
        <w:rPr>
          <w:rStyle w:val="FootnoteReference"/>
        </w:rPr>
        <w:footnoteReference w:id="98"/>
      </w:r>
      <w:r w:rsidR="006D4334">
        <w:t xml:space="preserve"> </w:t>
      </w:r>
    </w:p>
    <w:p w14:paraId="7CC63530" w14:textId="7722F165" w:rsidR="00AE1230" w:rsidRPr="00AE1230" w:rsidRDefault="00AE1230" w:rsidP="00AA5824">
      <w:pPr>
        <w:spacing w:before="120" w:after="120"/>
      </w:pPr>
      <w:r w:rsidRPr="00AE1230">
        <w:t>Styles of responding on direct measures can also threaten validity. For example, some respondents may answer all items affirmatively, also known as the acquiescence style. Some respondents may choose responses based on where in the continuum of the scale they are place</w:t>
      </w:r>
      <w:r w:rsidR="00AC1C32">
        <w:t>d</w:t>
      </w:r>
      <w:r w:rsidR="00BA4A77">
        <w:t xml:space="preserve"> e.g.</w:t>
      </w:r>
      <w:r w:rsidRPr="00AE1230">
        <w:t xml:space="preserve"> choosing the middle or neutral response for each </w:t>
      </w:r>
      <w:r w:rsidR="00055429">
        <w:t>item.</w:t>
      </w:r>
      <w:r w:rsidRPr="00AE1230">
        <w:t xml:space="preserve"> Another response style is when respondents give similar responses to items that they perceive to be related. Finally, some respondents </w:t>
      </w:r>
      <w:r w:rsidRPr="00AE1230">
        <w:lastRenderedPageBreak/>
        <w:t xml:space="preserve">may </w:t>
      </w:r>
      <w:r w:rsidR="002647EC">
        <w:t>only give</w:t>
      </w:r>
      <w:r w:rsidRPr="00AE1230">
        <w:t xml:space="preserve"> responses that are unusual or uncommon</w:t>
      </w:r>
      <w:r w:rsidR="001C1C43">
        <w:t>.</w:t>
      </w:r>
      <w:r w:rsidR="001C1C43">
        <w:rPr>
          <w:rStyle w:val="FootnoteReference"/>
        </w:rPr>
        <w:footnoteReference w:id="99"/>
      </w:r>
      <w:r w:rsidRPr="00AE1230">
        <w:t xml:space="preserve"> Considering these threats to validity, </w:t>
      </w:r>
      <w:r w:rsidR="00837D7F">
        <w:t xml:space="preserve">some argue that </w:t>
      </w:r>
      <w:r w:rsidRPr="00AE1230">
        <w:t>it is unlikely that measuring explicit attitudes alone provides a sufficient basis for</w:t>
      </w:r>
      <w:r w:rsidR="00223124">
        <w:t xml:space="preserve"> a holistic</w:t>
      </w:r>
      <w:r w:rsidRPr="00AE1230">
        <w:t xml:space="preserve"> understanding </w:t>
      </w:r>
      <w:r w:rsidR="00223124">
        <w:t>of</w:t>
      </w:r>
      <w:r w:rsidR="00AB512A">
        <w:t xml:space="preserve"> </w:t>
      </w:r>
      <w:r w:rsidRPr="00AE1230">
        <w:t>attitudes towards people with disabilities.</w:t>
      </w:r>
      <w:r w:rsidR="00837D7F">
        <w:rPr>
          <w:rStyle w:val="FootnoteReference"/>
        </w:rPr>
        <w:footnoteReference w:id="100"/>
      </w:r>
    </w:p>
    <w:p w14:paraId="3B653AA3" w14:textId="77777777" w:rsidR="00296983" w:rsidRDefault="00296983" w:rsidP="0040063E">
      <w:pPr>
        <w:pStyle w:val="Heading2"/>
      </w:pPr>
      <w:bookmarkStart w:id="12" w:name="_Toc123809222"/>
      <w:r>
        <w:t>Indirect measures</w:t>
      </w:r>
      <w:bookmarkEnd w:id="12"/>
    </w:p>
    <w:p w14:paraId="358750AA" w14:textId="05A89FAD" w:rsidR="00296983" w:rsidRDefault="00296983" w:rsidP="00075D9E">
      <w:r>
        <w:t>In recent decades, more attention has been paid to the mea</w:t>
      </w:r>
      <w:r w:rsidR="003F0C2F">
        <w:t>surement of implicit or unconscious attitudes using indirect measures</w:t>
      </w:r>
      <w:r w:rsidR="0005764F">
        <w:t>. S</w:t>
      </w:r>
      <w:r>
        <w:t xml:space="preserve">ome argue that they represent a more accurate basis for the </w:t>
      </w:r>
      <w:r w:rsidR="003F0C2F">
        <w:t xml:space="preserve">measurement and </w:t>
      </w:r>
      <w:r>
        <w:t>description of values and behaviours because</w:t>
      </w:r>
      <w:r w:rsidR="003F0C2F">
        <w:t>, due to the time pressure often employed,</w:t>
      </w:r>
      <w:r>
        <w:t xml:space="preserve"> participants have less opportunity to manipulate their answers as compared to when </w:t>
      </w:r>
      <w:r w:rsidR="003F0C2F">
        <w:t xml:space="preserve">responding to direct </w:t>
      </w:r>
      <w:r w:rsidR="001C1C43">
        <w:t>measures.</w:t>
      </w:r>
      <w:r w:rsidR="001C1C43">
        <w:rPr>
          <w:rStyle w:val="FootnoteReference"/>
        </w:rPr>
        <w:footnoteReference w:id="101"/>
      </w:r>
      <w:r w:rsidR="003F0C2F">
        <w:t xml:space="preserve"> </w:t>
      </w:r>
      <w:r>
        <w:t xml:space="preserve">Indirect methods </w:t>
      </w:r>
      <w:r w:rsidR="006778B9">
        <w:t>of</w:t>
      </w:r>
      <w:r w:rsidR="007F04DA">
        <w:t xml:space="preserve"> measuring</w:t>
      </w:r>
      <w:r w:rsidR="006778B9">
        <w:t xml:space="preserve"> </w:t>
      </w:r>
      <w:r>
        <w:t>attitude</w:t>
      </w:r>
      <w:r w:rsidR="007F04DA">
        <w:t>s</w:t>
      </w:r>
      <w:r>
        <w:t xml:space="preserve"> include nonobtrusive behavioural observations in which the respondents do not know that they</w:t>
      </w:r>
      <w:r w:rsidR="003F0C2F">
        <w:t xml:space="preserve"> are being observed or measured;</w:t>
      </w:r>
      <w:r>
        <w:t xml:space="preserve"> projective techniques in which respondents are aware that they are being observed or measured, but are not necessarily aware of</w:t>
      </w:r>
      <w:r w:rsidR="0005764F">
        <w:t>,</w:t>
      </w:r>
      <w:r>
        <w:t xml:space="preserve"> or clear about</w:t>
      </w:r>
      <w:r w:rsidR="0005764F">
        <w:t>,</w:t>
      </w:r>
      <w:r w:rsidR="003F0C2F">
        <w:t xml:space="preserve"> the purpose of the measurement;</w:t>
      </w:r>
      <w:r>
        <w:t xml:space="preserve"> disguised techniques in which respondents are deliberately deceived regarding the true purpo</w:t>
      </w:r>
      <w:r w:rsidR="003F0C2F">
        <w:t>se of the measurement situation;</w:t>
      </w:r>
      <w:r>
        <w:t xml:space="preserve"> and physiological methods in which the respondents are aware they are being measured but are inactive participants in the measurement process</w:t>
      </w:r>
      <w:r w:rsidR="001C1C43">
        <w:t>.</w:t>
      </w:r>
      <w:r w:rsidR="001C1C43">
        <w:rPr>
          <w:rStyle w:val="FootnoteReference"/>
        </w:rPr>
        <w:footnoteReference w:id="102"/>
      </w:r>
      <w:r>
        <w:t xml:space="preserve"> </w:t>
      </w:r>
      <w:r w:rsidR="00656C9D" w:rsidRPr="00656C9D">
        <w:t>The assumption of physiological indirect measures is that physiological reactions</w:t>
      </w:r>
      <w:r w:rsidR="00656C9D">
        <w:t>, such as heart rate, blood pressure, pupil dilation or electrical conduciveness of the skin,</w:t>
      </w:r>
      <w:r w:rsidR="00656C9D" w:rsidRPr="00656C9D">
        <w:t xml:space="preserve"> are linked to autonomic arousal or the intensity of </w:t>
      </w:r>
      <w:r w:rsidR="00656C9D">
        <w:t>an</w:t>
      </w:r>
      <w:r w:rsidR="00656C9D" w:rsidRPr="00656C9D">
        <w:t xml:space="preserve"> underlying attitude.</w:t>
      </w:r>
      <w:r w:rsidR="00656C9D">
        <w:rPr>
          <w:rStyle w:val="FootnoteReference"/>
        </w:rPr>
        <w:footnoteReference w:id="103"/>
      </w:r>
      <w:r w:rsidR="00656C9D">
        <w:t xml:space="preserve"> </w:t>
      </w:r>
      <w:r w:rsidR="00055429">
        <w:t xml:space="preserve">Other </w:t>
      </w:r>
      <w:r w:rsidR="00956E86">
        <w:t>in</w:t>
      </w:r>
      <w:r w:rsidR="00055429">
        <w:t xml:space="preserve">direct measure do exist in which participants are aware that they are being measured or observed and are aware of the purpose of the measurement situation but that responding is so automatic </w:t>
      </w:r>
      <w:r w:rsidR="000120C8">
        <w:t>t</w:t>
      </w:r>
      <w:r w:rsidR="00055429">
        <w:t xml:space="preserve">hat this awareness is assumed not to pose a threat to validity. The Implicit Association Test, the Go/No Go Association Test (GNAT) and the Implicit Relational Assessment Procedure (IRAP) are examples of this. </w:t>
      </w:r>
      <w:r>
        <w:t>Although such t</w:t>
      </w:r>
      <w:r w:rsidRPr="00296983">
        <w:t xml:space="preserve">echniques </w:t>
      </w:r>
      <w:r>
        <w:t>may be</w:t>
      </w:r>
      <w:r w:rsidRPr="00296983">
        <w:t xml:space="preserve"> useful </w:t>
      </w:r>
      <w:r w:rsidR="0005764F">
        <w:t>for avoiding certain t</w:t>
      </w:r>
      <w:r>
        <w:t>h</w:t>
      </w:r>
      <w:r w:rsidR="0005764F">
        <w:t>r</w:t>
      </w:r>
      <w:r>
        <w:t xml:space="preserve">eats to validity such </w:t>
      </w:r>
      <w:r w:rsidR="006778B9">
        <w:t>as</w:t>
      </w:r>
      <w:r>
        <w:t xml:space="preserve"> social desirability biases, they have also been </w:t>
      </w:r>
      <w:r w:rsidR="006778B9">
        <w:t>criticis</w:t>
      </w:r>
      <w:r w:rsidRPr="00296983">
        <w:t>ed for a lack of reliabi</w:t>
      </w:r>
      <w:r>
        <w:t xml:space="preserve">lity and </w:t>
      </w:r>
      <w:r w:rsidRPr="00296983">
        <w:t>psychometric validation</w:t>
      </w:r>
      <w:r w:rsidR="006778B9">
        <w:t>.</w:t>
      </w:r>
      <w:r w:rsidR="001C1C43">
        <w:rPr>
          <w:rStyle w:val="FootnoteReference"/>
        </w:rPr>
        <w:footnoteReference w:id="104"/>
      </w:r>
      <w:r>
        <w:t xml:space="preserve"> </w:t>
      </w:r>
    </w:p>
    <w:p w14:paraId="1B03F0ED" w14:textId="41471476" w:rsidR="00425F77" w:rsidRDefault="00182301" w:rsidP="00EC1DBD">
      <w:pPr>
        <w:pStyle w:val="Heading3"/>
      </w:pPr>
      <w:bookmarkStart w:id="13" w:name="_Toc123809223"/>
      <w:r>
        <w:lastRenderedPageBreak/>
        <w:t>IAT</w:t>
      </w:r>
      <w:bookmarkEnd w:id="13"/>
      <w:r>
        <w:t xml:space="preserve"> </w:t>
      </w:r>
    </w:p>
    <w:p w14:paraId="24C4ADC8" w14:textId="2500D4D7" w:rsidR="00C30FFA" w:rsidRDefault="00285D11" w:rsidP="00285D11">
      <w:r>
        <w:t xml:space="preserve">The Implicit Association Test (IAT), </w:t>
      </w:r>
      <w:r w:rsidR="006C2F85">
        <w:t xml:space="preserve">originally </w:t>
      </w:r>
      <w:r>
        <w:t xml:space="preserve">developed by Greenwald, McGhee, and Schwartz (1998), </w:t>
      </w:r>
      <w:r w:rsidR="001E2C3E">
        <w:t>is</w:t>
      </w:r>
      <w:r>
        <w:t xml:space="preserve"> one of the most widely used i</w:t>
      </w:r>
      <w:r w:rsidR="00055429">
        <w:t>ndirect</w:t>
      </w:r>
      <w:r>
        <w:t xml:space="preserve"> measures</w:t>
      </w:r>
      <w:r w:rsidR="001E2C3E">
        <w:t xml:space="preserve"> for assessing attitudes</w:t>
      </w:r>
      <w:r>
        <w:t xml:space="preserve">. </w:t>
      </w:r>
      <w:r w:rsidR="001A7B78">
        <w:t>T</w:t>
      </w:r>
      <w:r w:rsidR="001E2C3E">
        <w:t>he instrument is</w:t>
      </w:r>
      <w:r w:rsidR="001E2C3E" w:rsidRPr="001E2C3E">
        <w:t xml:space="preserve"> computer-based </w:t>
      </w:r>
      <w:r w:rsidR="001E2C3E">
        <w:t>and</w:t>
      </w:r>
      <w:r w:rsidR="001E2C3E" w:rsidRPr="001E2C3E">
        <w:t xml:space="preserve"> </w:t>
      </w:r>
      <w:r w:rsidR="001852B8">
        <w:t>determines the</w:t>
      </w:r>
      <w:r w:rsidR="001852B8" w:rsidRPr="001852B8">
        <w:t xml:space="preserve"> strength of participants’ unconscious biases by the speed at which participants </w:t>
      </w:r>
      <w:r w:rsidR="002E2C33">
        <w:t xml:space="preserve">classify different groups of words or images into subordinate </w:t>
      </w:r>
      <w:r w:rsidR="004843DA">
        <w:t>categories</w:t>
      </w:r>
      <w:r w:rsidR="001C1C43">
        <w:t>.</w:t>
      </w:r>
      <w:r w:rsidR="001C1C43">
        <w:rPr>
          <w:rStyle w:val="FootnoteReference"/>
        </w:rPr>
        <w:footnoteReference w:id="105"/>
      </w:r>
      <w:r w:rsidR="001852B8" w:rsidRPr="001852B8">
        <w:t xml:space="preserve"> </w:t>
      </w:r>
      <w:r w:rsidR="001852B8">
        <w:t>Two of these groups are</w:t>
      </w:r>
      <w:r w:rsidR="001E2C3E" w:rsidRPr="001E2C3E">
        <w:t xml:space="preserve"> target concept</w:t>
      </w:r>
      <w:r w:rsidR="00BA4A77">
        <w:t>s (e.g.</w:t>
      </w:r>
      <w:r w:rsidR="001852B8">
        <w:t xml:space="preserve"> disabled and non-disabled)</w:t>
      </w:r>
      <w:r w:rsidR="001E2C3E" w:rsidRPr="001E2C3E">
        <w:t xml:space="preserve"> and </w:t>
      </w:r>
      <w:r w:rsidR="001852B8">
        <w:t>two are</w:t>
      </w:r>
      <w:r w:rsidR="001E2C3E" w:rsidRPr="001E2C3E">
        <w:t xml:space="preserve"> attribute </w:t>
      </w:r>
      <w:r w:rsidR="001852B8">
        <w:t>concepts</w:t>
      </w:r>
      <w:r w:rsidR="001852B8" w:rsidRPr="001852B8">
        <w:t xml:space="preserve"> (e.g. pleasant and unpleasant</w:t>
      </w:r>
      <w:r w:rsidR="001852B8">
        <w:t>)</w:t>
      </w:r>
      <w:r w:rsidR="001C1C43">
        <w:t>.</w:t>
      </w:r>
      <w:r w:rsidR="001C1C43">
        <w:rPr>
          <w:rStyle w:val="FootnoteReference"/>
        </w:rPr>
        <w:footnoteReference w:id="106"/>
      </w:r>
      <w:r w:rsidR="001E2C3E">
        <w:t xml:space="preserve"> </w:t>
      </w:r>
      <w:r w:rsidR="00161FD4">
        <w:t xml:space="preserve">The assumption is that participants will categorise stimuli faster when the categories </w:t>
      </w:r>
      <w:r w:rsidR="00956E86">
        <w:t>align</w:t>
      </w:r>
      <w:r w:rsidR="00161FD4">
        <w:t xml:space="preserve"> with the participant’s internally held associations or attitudes. </w:t>
      </w:r>
      <w:r w:rsidR="004843DA">
        <w:t xml:space="preserve">The IAT has been used to assess a </w:t>
      </w:r>
      <w:r w:rsidR="007956CC">
        <w:t>whole host</w:t>
      </w:r>
      <w:r w:rsidR="004843DA">
        <w:t xml:space="preserve"> of implicit </w:t>
      </w:r>
      <w:r w:rsidR="00100774">
        <w:t>cognitions</w:t>
      </w:r>
      <w:r w:rsidR="004843DA">
        <w:t xml:space="preserve"> including racial attitudes</w:t>
      </w:r>
      <w:r w:rsidR="000A2251">
        <w:t>,</w:t>
      </w:r>
      <w:r w:rsidR="000A2251">
        <w:rPr>
          <w:rStyle w:val="FootnoteReference"/>
        </w:rPr>
        <w:footnoteReference w:id="107"/>
      </w:r>
      <w:r w:rsidR="004843DA">
        <w:t xml:space="preserve"> gender attitudes</w:t>
      </w:r>
      <w:r w:rsidR="000A2251">
        <w:rPr>
          <w:rStyle w:val="FootnoteReference"/>
        </w:rPr>
        <w:footnoteReference w:id="108"/>
      </w:r>
      <w:r w:rsidR="004843DA">
        <w:t xml:space="preserve"> and </w:t>
      </w:r>
      <w:r w:rsidR="00100774">
        <w:t>attitudes towards criminal violence</w:t>
      </w:r>
      <w:r w:rsidR="00B65463">
        <w:t>.</w:t>
      </w:r>
      <w:r w:rsidR="001C1C43">
        <w:rPr>
          <w:rStyle w:val="FootnoteReference"/>
        </w:rPr>
        <w:footnoteReference w:id="109"/>
      </w:r>
      <w:r w:rsidR="003F2557">
        <w:t xml:space="preserve"> </w:t>
      </w:r>
    </w:p>
    <w:p w14:paraId="1B578557" w14:textId="3BB1DA6F" w:rsidR="00F42136" w:rsidRDefault="001A7B78" w:rsidP="00541215">
      <w:r>
        <w:t>A large body o</w:t>
      </w:r>
      <w:r w:rsidR="00AC5849">
        <w:t>f research has now</w:t>
      </w:r>
      <w:r w:rsidR="00F42136">
        <w:t xml:space="preserve"> </w:t>
      </w:r>
      <w:r w:rsidR="00AC5849">
        <w:t xml:space="preserve">used the IAT </w:t>
      </w:r>
      <w:r>
        <w:t>to examine attitudes towards people with</w:t>
      </w:r>
      <w:r w:rsidR="005A41EA">
        <w:t xml:space="preserve"> </w:t>
      </w:r>
      <w:r>
        <w:t>disabilities</w:t>
      </w:r>
      <w:r w:rsidR="00D21960">
        <w:t>. S</w:t>
      </w:r>
      <w:r w:rsidR="00A71B11">
        <w:t>ome researchers have developed and used their own disability versions o</w:t>
      </w:r>
      <w:r w:rsidR="00861256">
        <w:t>f the</w:t>
      </w:r>
      <w:r w:rsidR="00A71B11">
        <w:t xml:space="preserve"> IAT</w:t>
      </w:r>
      <w:r w:rsidR="001C1C43">
        <w:rPr>
          <w:rStyle w:val="FootnoteReference"/>
        </w:rPr>
        <w:footnoteReference w:id="110"/>
      </w:r>
      <w:r w:rsidR="00FD795A">
        <w:t xml:space="preserve">, however, </w:t>
      </w:r>
      <w:r w:rsidR="00A71B11">
        <w:t>the validated Disability Attitude Implicit Association Test (DA-IAT)</w:t>
      </w:r>
      <w:r w:rsidR="00B65463">
        <w:rPr>
          <w:rStyle w:val="FootnoteReference"/>
        </w:rPr>
        <w:footnoteReference w:id="111"/>
      </w:r>
      <w:r w:rsidR="00B65463">
        <w:t xml:space="preserve"> </w:t>
      </w:r>
      <w:r w:rsidR="00A71B11">
        <w:t>is the most widely used disability-</w:t>
      </w:r>
      <w:r w:rsidR="00601642">
        <w:t>related IAT</w:t>
      </w:r>
      <w:r w:rsidR="006778B9">
        <w:t>.</w:t>
      </w:r>
      <w:r w:rsidR="00B65463">
        <w:rPr>
          <w:rStyle w:val="FootnoteReference"/>
        </w:rPr>
        <w:footnoteReference w:id="112"/>
      </w:r>
      <w:r w:rsidR="00A71B11">
        <w:t xml:space="preserve"> </w:t>
      </w:r>
      <w:r w:rsidR="003F2557">
        <w:t>The DA-IAT</w:t>
      </w:r>
      <w:r w:rsidR="00601642">
        <w:t xml:space="preserve"> is similar to the original IAT </w:t>
      </w:r>
      <w:r w:rsidR="00AC5849">
        <w:t xml:space="preserve">except the </w:t>
      </w:r>
      <w:r w:rsidR="00601642">
        <w:t>target-concep</w:t>
      </w:r>
      <w:r w:rsidR="00FD795A">
        <w:t>t discriminations are ‘disabled-</w:t>
      </w:r>
      <w:r w:rsidR="00601642">
        <w:t>persons’ and ‘abled</w:t>
      </w:r>
      <w:r w:rsidR="00FD795A">
        <w:t>-</w:t>
      </w:r>
      <w:r w:rsidR="00AC5849">
        <w:t>persons</w:t>
      </w:r>
      <w:r w:rsidR="006778B9">
        <w:t>’</w:t>
      </w:r>
      <w:r w:rsidR="00AC5849">
        <w:rPr>
          <w:rStyle w:val="FootnoteReference"/>
        </w:rPr>
        <w:footnoteReference w:id="113"/>
      </w:r>
      <w:r w:rsidR="00AC5849">
        <w:t xml:space="preserve"> </w:t>
      </w:r>
      <w:r w:rsidR="00601642">
        <w:t>and the attribute</w:t>
      </w:r>
      <w:r w:rsidR="00AC5849">
        <w:t xml:space="preserve"> </w:t>
      </w:r>
      <w:r w:rsidR="00B65463">
        <w:t>dimensions are ‘good’ and ‘bad</w:t>
      </w:r>
      <w:r w:rsidR="00601642">
        <w:t>’</w:t>
      </w:r>
      <w:r w:rsidR="00B65463">
        <w:t>.</w:t>
      </w:r>
      <w:r w:rsidR="00B65463">
        <w:rPr>
          <w:rStyle w:val="FootnoteReference"/>
        </w:rPr>
        <w:footnoteReference w:id="114"/>
      </w:r>
      <w:r w:rsidR="00601642">
        <w:t xml:space="preserve"> </w:t>
      </w:r>
    </w:p>
    <w:p w14:paraId="7A3F5519" w14:textId="5171B952" w:rsidR="00F44C08" w:rsidRDefault="00F42136" w:rsidP="004E6D8E">
      <w:r>
        <w:t xml:space="preserve">Research </w:t>
      </w:r>
      <w:r w:rsidR="00C92146">
        <w:t>has provided</w:t>
      </w:r>
      <w:r>
        <w:t xml:space="preserve"> support for the reliability and validity of </w:t>
      </w:r>
      <w:r w:rsidR="00B65463">
        <w:t>the IAT</w:t>
      </w:r>
      <w:r w:rsidR="00541215">
        <w:t xml:space="preserve"> </w:t>
      </w:r>
      <w:r>
        <w:t>and t</w:t>
      </w:r>
      <w:r w:rsidR="00104D23">
        <w:t>he DA–IAT</w:t>
      </w:r>
      <w:r w:rsidR="00CD7DFA">
        <w:t>.</w:t>
      </w:r>
      <w:r w:rsidR="00C92146">
        <w:rPr>
          <w:rStyle w:val="FootnoteReference"/>
        </w:rPr>
        <w:footnoteReference w:id="115"/>
      </w:r>
      <w:r w:rsidR="00CD7DFA">
        <w:t xml:space="preserve"> </w:t>
      </w:r>
      <w:r w:rsidR="00DD5E1D">
        <w:t xml:space="preserve">However, </w:t>
      </w:r>
      <w:r w:rsidR="000B1533">
        <w:t xml:space="preserve">some </w:t>
      </w:r>
      <w:r w:rsidR="00DD5E1D">
        <w:t>challenges have also been identified,</w:t>
      </w:r>
      <w:r w:rsidR="000B1533">
        <w:t xml:space="preserve"> such as the ambiguity in interpretation caused by comparing two categories. </w:t>
      </w:r>
      <w:r w:rsidR="00796688">
        <w:t xml:space="preserve">By design, the IAT can only be used as a relative comparison of a person’s implicit biases towards two different </w:t>
      </w:r>
      <w:r w:rsidR="007F0AA7">
        <w:t>groups</w:t>
      </w:r>
      <w:r w:rsidR="00EB43E5">
        <w:t xml:space="preserve"> (e.g. disabled and non-disabled people)</w:t>
      </w:r>
      <w:r w:rsidR="00796688">
        <w:t xml:space="preserve"> and not </w:t>
      </w:r>
      <w:r w:rsidR="00796688">
        <w:lastRenderedPageBreak/>
        <w:t xml:space="preserve">their absolute </w:t>
      </w:r>
      <w:r w:rsidR="00EB43E5">
        <w:t xml:space="preserve">implicit attitude towards one of the </w:t>
      </w:r>
      <w:r w:rsidR="007F0AA7">
        <w:t>groups</w:t>
      </w:r>
      <w:r w:rsidR="00796688">
        <w:t xml:space="preserve"> alone.</w:t>
      </w:r>
      <w:r w:rsidR="00DD5E1D">
        <w:t xml:space="preserve"> </w:t>
      </w:r>
      <w:r w:rsidR="000B1533">
        <w:t xml:space="preserve">In response to </w:t>
      </w:r>
      <w:r w:rsidR="00DD5E1D">
        <w:t>such</w:t>
      </w:r>
      <w:r w:rsidR="00796688">
        <w:t xml:space="preserve"> limitation</w:t>
      </w:r>
      <w:r w:rsidR="000B1533">
        <w:t>s</w:t>
      </w:r>
      <w:r w:rsidR="00796688">
        <w:t xml:space="preserve">, other versions of the IAT have been developed. These include </w:t>
      </w:r>
      <w:r w:rsidR="00467687" w:rsidRPr="00467687">
        <w:t>the</w:t>
      </w:r>
      <w:r w:rsidR="00467687">
        <w:t xml:space="preserve"> Single </w:t>
      </w:r>
      <w:r w:rsidR="00D3780C">
        <w:t>Category</w:t>
      </w:r>
      <w:r w:rsidR="00467687">
        <w:t xml:space="preserve"> Implicit Association Test</w:t>
      </w:r>
      <w:r w:rsidR="00467687" w:rsidRPr="00467687">
        <w:t xml:space="preserve"> </w:t>
      </w:r>
      <w:r w:rsidR="00467687">
        <w:t>(</w:t>
      </w:r>
      <w:r w:rsidR="00D3780C">
        <w:t>SC</w:t>
      </w:r>
      <w:r w:rsidR="00467687" w:rsidRPr="00467687">
        <w:t>-IAT</w:t>
      </w:r>
      <w:r w:rsidR="00C92146">
        <w:t>);</w:t>
      </w:r>
      <w:r w:rsidR="00C92146">
        <w:rPr>
          <w:rStyle w:val="FootnoteReference"/>
        </w:rPr>
        <w:footnoteReference w:id="116"/>
      </w:r>
      <w:r w:rsidR="00C92146">
        <w:t xml:space="preserve"> </w:t>
      </w:r>
      <w:r w:rsidR="00796688">
        <w:t xml:space="preserve">and the Single Target Implicit </w:t>
      </w:r>
      <w:r w:rsidR="007F2EA5">
        <w:t>Association</w:t>
      </w:r>
      <w:r w:rsidR="00796688">
        <w:t xml:space="preserve"> Test (ST-</w:t>
      </w:r>
      <w:r w:rsidR="00C92146">
        <w:t>IAT)</w:t>
      </w:r>
      <w:r w:rsidR="00C92146">
        <w:rPr>
          <w:rStyle w:val="FootnoteReference"/>
        </w:rPr>
        <w:footnoteReference w:id="117"/>
      </w:r>
      <w:r w:rsidR="00C92146">
        <w:t xml:space="preserve"> </w:t>
      </w:r>
      <w:r w:rsidR="00DD5E1D">
        <w:t xml:space="preserve">which </w:t>
      </w:r>
      <w:r w:rsidR="003C20D2">
        <w:t>measure</w:t>
      </w:r>
      <w:r w:rsidR="00467687">
        <w:t xml:space="preserve"> </w:t>
      </w:r>
      <w:r w:rsidR="003C20D2">
        <w:t xml:space="preserve">absolute </w:t>
      </w:r>
      <w:r w:rsidR="00467687" w:rsidRPr="00467687">
        <w:t xml:space="preserve">implicit attitudes to a single target </w:t>
      </w:r>
      <w:r w:rsidR="00BA4A77">
        <w:t>(i.e.</w:t>
      </w:r>
      <w:r w:rsidR="003C20D2">
        <w:t xml:space="preserve"> disabled person</w:t>
      </w:r>
      <w:r w:rsidR="00BA4A77">
        <w:t>) and concepts (e.g.</w:t>
      </w:r>
      <w:r w:rsidR="00DD5E1D">
        <w:t xml:space="preserve"> good/bad).</w:t>
      </w:r>
    </w:p>
    <w:p w14:paraId="5263F109" w14:textId="6669C273" w:rsidR="00F42136" w:rsidRDefault="00F42136" w:rsidP="004E6D8E">
      <w:r w:rsidRPr="00F42136">
        <w:t xml:space="preserve">Many studies have used </w:t>
      </w:r>
      <w:r w:rsidR="003C7FE4">
        <w:t xml:space="preserve">secondary </w:t>
      </w:r>
      <w:r w:rsidRPr="00F42136">
        <w:t>data gathered from Project Implicit, a website where anyone can test their implicit attitudes and biases to a variety of groups, including people with disabilities</w:t>
      </w:r>
      <w:r w:rsidR="003342B4">
        <w:t>.</w:t>
      </w:r>
      <w:r w:rsidR="003342B4">
        <w:rPr>
          <w:rStyle w:val="FootnoteReference"/>
        </w:rPr>
        <w:footnoteReference w:id="118"/>
      </w:r>
      <w:r w:rsidR="003342B4">
        <w:t xml:space="preserve"> </w:t>
      </w:r>
      <w:r w:rsidRPr="00F42136">
        <w:t>Although u</w:t>
      </w:r>
      <w:r w:rsidR="007B30FB">
        <w:t>sing such data allow</w:t>
      </w:r>
      <w:r w:rsidRPr="00F42136">
        <w:t xml:space="preserve"> for analyses on large samples, caution must be exercised as all participants are self-selected and so a selection bias may exist. Nevertheless, regardless of the type of IAT used, overall, findings indicate negative implicit attitudes </w:t>
      </w:r>
      <w:r w:rsidR="003342B4">
        <w:t>t</w:t>
      </w:r>
      <w:r w:rsidR="00B0572F">
        <w:t>oward the disabled population.</w:t>
      </w:r>
      <w:r w:rsidR="003342B4">
        <w:rPr>
          <w:rStyle w:val="FootnoteReference"/>
        </w:rPr>
        <w:footnoteReference w:id="119"/>
      </w:r>
    </w:p>
    <w:p w14:paraId="013E6661" w14:textId="252E5FB4" w:rsidR="00425F77" w:rsidRDefault="00DF6EAC" w:rsidP="00EC1DBD">
      <w:pPr>
        <w:pStyle w:val="Heading3"/>
      </w:pPr>
      <w:bookmarkStart w:id="14" w:name="_Toc123809224"/>
      <w:r>
        <w:t>Go/No Go Association Task (</w:t>
      </w:r>
      <w:r w:rsidR="00425F77">
        <w:t>GNAT</w:t>
      </w:r>
      <w:r>
        <w:t>)</w:t>
      </w:r>
      <w:bookmarkEnd w:id="14"/>
    </w:p>
    <w:p w14:paraId="6F668B38" w14:textId="0EED48DB" w:rsidR="00F77FA1" w:rsidRDefault="00F77FA1" w:rsidP="00752B32">
      <w:r>
        <w:t>The GNAT</w:t>
      </w:r>
      <w:r w:rsidR="00B0572F">
        <w:rPr>
          <w:rStyle w:val="FootnoteReference"/>
        </w:rPr>
        <w:footnoteReference w:id="120"/>
      </w:r>
      <w:r>
        <w:t xml:space="preserve"> </w:t>
      </w:r>
      <w:r w:rsidR="0047494E">
        <w:t xml:space="preserve">is similar to other indirect </w:t>
      </w:r>
      <w:r w:rsidR="00FE4A39">
        <w:t>measures</w:t>
      </w:r>
      <w:r w:rsidR="0047494E">
        <w:t xml:space="preserve"> such as the </w:t>
      </w:r>
      <w:r w:rsidR="00427BDD">
        <w:t>IAT</w:t>
      </w:r>
      <w:r w:rsidR="0047494E">
        <w:t xml:space="preserve"> but </w:t>
      </w:r>
      <w:r w:rsidR="00752B32">
        <w:t>examines only one category.</w:t>
      </w:r>
      <w:r w:rsidR="00127B53">
        <w:t xml:space="preserve"> </w:t>
      </w:r>
      <w:r w:rsidR="00752B32">
        <w:t>Respondents categori</w:t>
      </w:r>
      <w:r w:rsidR="003A24B0">
        <w:t>s</w:t>
      </w:r>
      <w:r w:rsidR="00752B32">
        <w:t xml:space="preserve">e stimuli </w:t>
      </w:r>
      <w:r w:rsidR="00BA4A77">
        <w:t>(e.g.</w:t>
      </w:r>
      <w:r w:rsidR="00CA5167">
        <w:t xml:space="preserve"> disabled person) </w:t>
      </w:r>
      <w:r w:rsidR="00752B32">
        <w:t>depending on whether or not they are associated with an evaluative category</w:t>
      </w:r>
      <w:r w:rsidR="00BA4A77">
        <w:t xml:space="preserve"> (e.g.</w:t>
      </w:r>
      <w:r w:rsidR="00CA5167">
        <w:t xml:space="preserve"> positive or negative)</w:t>
      </w:r>
      <w:r w:rsidR="00752B32">
        <w:t xml:space="preserve"> and respond by pressing </w:t>
      </w:r>
      <w:r w:rsidR="00FE4A39">
        <w:t>a key (</w:t>
      </w:r>
      <w:r w:rsidR="00752B32">
        <w:t>“go”</w:t>
      </w:r>
      <w:r w:rsidR="00FE4A39">
        <w:t>)</w:t>
      </w:r>
      <w:r w:rsidR="00752B32">
        <w:t xml:space="preserve"> when stimuli</w:t>
      </w:r>
      <w:r w:rsidR="00FE4A39">
        <w:t xml:space="preserve"> </w:t>
      </w:r>
      <w:r w:rsidR="00752B32">
        <w:t>belong to the category</w:t>
      </w:r>
      <w:r w:rsidR="00FE4A39">
        <w:t xml:space="preserve"> </w:t>
      </w:r>
      <w:r w:rsidR="00752B32">
        <w:t>or to give no response (“no go”) when stimuli do not belong to the catego</w:t>
      </w:r>
      <w:r w:rsidR="00B0572F">
        <w:t>ry.</w:t>
      </w:r>
      <w:r w:rsidR="00B0572F">
        <w:rPr>
          <w:rStyle w:val="FootnoteReference"/>
        </w:rPr>
        <w:footnoteReference w:id="121"/>
      </w:r>
      <w:r w:rsidR="002C27FD">
        <w:t xml:space="preserve"> </w:t>
      </w:r>
      <w:r w:rsidR="00F83CF4">
        <w:t xml:space="preserve">Like other indirect </w:t>
      </w:r>
      <w:r w:rsidR="00722E91">
        <w:t>measures</w:t>
      </w:r>
      <w:r w:rsidR="00F83CF4">
        <w:t xml:space="preserve">, </w:t>
      </w:r>
      <w:r w:rsidR="002C27FD">
        <w:t xml:space="preserve">the strength of associations in the GNAT is determined </w:t>
      </w:r>
      <w:r w:rsidR="00F83CF4">
        <w:t xml:space="preserve">by the </w:t>
      </w:r>
      <w:r w:rsidR="00722E91">
        <w:t>speed of responding</w:t>
      </w:r>
      <w:r w:rsidR="002C27FD">
        <w:t xml:space="preserve">. </w:t>
      </w:r>
    </w:p>
    <w:p w14:paraId="622A67B3" w14:textId="5DE05885" w:rsidR="00FF7BDC" w:rsidRPr="00FF7BDC" w:rsidRDefault="00CA5167" w:rsidP="00FF7BDC">
      <w:r>
        <w:t>The GNAT</w:t>
      </w:r>
      <w:r w:rsidR="007658C9">
        <w:t xml:space="preserve"> has been used </w:t>
      </w:r>
      <w:r w:rsidR="002C27FD">
        <w:t xml:space="preserve">less commonly than the IAT in disability related research but has been used </w:t>
      </w:r>
      <w:r w:rsidR="007658C9">
        <w:t>to assess attitudes towards mental illness</w:t>
      </w:r>
      <w:r w:rsidR="00B0572F">
        <w:rPr>
          <w:rStyle w:val="FootnoteReference"/>
        </w:rPr>
        <w:footnoteReference w:id="122"/>
      </w:r>
      <w:r w:rsidR="007658C9">
        <w:t xml:space="preserve"> </w:t>
      </w:r>
      <w:r w:rsidR="002C27FD">
        <w:t xml:space="preserve"> and</w:t>
      </w:r>
      <w:r>
        <w:t xml:space="preserve"> intellectual and </w:t>
      </w:r>
      <w:r w:rsidR="002C27FD">
        <w:t>d</w:t>
      </w:r>
      <w:r w:rsidR="00B0572F">
        <w:t>evelopmental disabilities</w:t>
      </w:r>
      <w:r w:rsidR="002C27FD">
        <w:t>.</w:t>
      </w:r>
      <w:r w:rsidR="00B0572F">
        <w:rPr>
          <w:rStyle w:val="FootnoteReference"/>
        </w:rPr>
        <w:footnoteReference w:id="123"/>
      </w:r>
      <w:r w:rsidR="007658C9">
        <w:t xml:space="preserve"> </w:t>
      </w:r>
      <w:r w:rsidR="00810199">
        <w:t>James et al.</w:t>
      </w:r>
      <w:r w:rsidR="00FF7BDC">
        <w:t xml:space="preserve"> </w:t>
      </w:r>
      <w:r w:rsidR="00810199">
        <w:t>(</w:t>
      </w:r>
      <w:r w:rsidR="00FF7BDC">
        <w:t>2018</w:t>
      </w:r>
      <w:r w:rsidR="00810199">
        <w:t>)</w:t>
      </w:r>
      <w:r w:rsidR="00FF7BDC">
        <w:t xml:space="preserve"> found</w:t>
      </w:r>
      <w:r w:rsidR="00810199">
        <w:t xml:space="preserve"> in their study, however, that </w:t>
      </w:r>
      <w:r w:rsidR="00FF7BDC">
        <w:t xml:space="preserve">the GNAT </w:t>
      </w:r>
      <w:r w:rsidR="00810199">
        <w:t>had</w:t>
      </w:r>
      <w:r w:rsidR="00FF7BDC">
        <w:t xml:space="preserve"> unacceptable internal consistency </w:t>
      </w:r>
      <w:r w:rsidR="009629F8">
        <w:t>and suggest</w:t>
      </w:r>
      <w:r w:rsidR="00810199">
        <w:t>ed</w:t>
      </w:r>
      <w:r w:rsidR="009629F8">
        <w:t xml:space="preserve"> that this tool may not be as good a choice for assessing implicit attitudes</w:t>
      </w:r>
      <w:r w:rsidR="00810199">
        <w:t xml:space="preserve"> to mental illness</w:t>
      </w:r>
      <w:r w:rsidR="009629F8">
        <w:t xml:space="preserve"> compared to the IAT.</w:t>
      </w:r>
    </w:p>
    <w:p w14:paraId="51EA4625" w14:textId="3C744619" w:rsidR="00425F77" w:rsidRDefault="00A26D5A" w:rsidP="00EC1DBD">
      <w:pPr>
        <w:pStyle w:val="Heading3"/>
      </w:pPr>
      <w:bookmarkStart w:id="15" w:name="_Toc123809225"/>
      <w:r>
        <w:lastRenderedPageBreak/>
        <w:t>Implicit Relational Assessment Procedure (IRAP)</w:t>
      </w:r>
      <w:bookmarkEnd w:id="15"/>
    </w:p>
    <w:p w14:paraId="53B21408" w14:textId="490BA76E" w:rsidR="00A26D5A" w:rsidRDefault="00F44C08" w:rsidP="00137937">
      <w:r>
        <w:t>Relational Frame Theory</w:t>
      </w:r>
      <w:r w:rsidR="00FE2F82">
        <w:t xml:space="preserve"> (RFT) is</w:t>
      </w:r>
      <w:r>
        <w:t xml:space="preserve"> a psychological theory of behaviour,</w:t>
      </w:r>
      <w:r w:rsidR="00E45E64">
        <w:t xml:space="preserve"> language and cognition.</w:t>
      </w:r>
      <w:r w:rsidR="00E45E64">
        <w:rPr>
          <w:rStyle w:val="FootnoteReference"/>
        </w:rPr>
        <w:footnoteReference w:id="124"/>
      </w:r>
      <w:r w:rsidR="00E45E64">
        <w:t xml:space="preserve"> </w:t>
      </w:r>
      <w:r w:rsidR="00182726">
        <w:t>RFT focuses more</w:t>
      </w:r>
      <w:r w:rsidR="00CB2023">
        <w:t xml:space="preserve"> on</w:t>
      </w:r>
      <w:r w:rsidR="00182726">
        <w:t xml:space="preserve"> </w:t>
      </w:r>
      <w:r w:rsidR="009023DD" w:rsidRPr="000A524C">
        <w:t>how</w:t>
      </w:r>
      <w:r w:rsidR="009023DD">
        <w:t xml:space="preserve"> stimuli are related </w:t>
      </w:r>
      <w:r w:rsidR="00182726">
        <w:t>rather than the extent to which associations exist between them</w:t>
      </w:r>
      <w:r w:rsidR="00FE2F82">
        <w:t xml:space="preserve"> which is what the IAT is based on</w:t>
      </w:r>
      <w:r w:rsidR="00E45E64">
        <w:t>.</w:t>
      </w:r>
      <w:r w:rsidR="00E45E64">
        <w:rPr>
          <w:rStyle w:val="FootnoteReference"/>
        </w:rPr>
        <w:footnoteReference w:id="125"/>
      </w:r>
      <w:r w:rsidR="00E45E64">
        <w:t xml:space="preserve"> </w:t>
      </w:r>
      <w:r w:rsidR="00FE2F82">
        <w:t>Proponents</w:t>
      </w:r>
      <w:r w:rsidR="009023DD">
        <w:t xml:space="preserve"> of using RFT in the measurement of implicit cognition argue that this allows for </w:t>
      </w:r>
      <w:r w:rsidR="00FE2F82">
        <w:t>greater</w:t>
      </w:r>
      <w:r w:rsidR="009023DD">
        <w:t xml:space="preserve"> specificity and context sensitivity compared to associative</w:t>
      </w:r>
      <w:r w:rsidR="00137937">
        <w:t xml:space="preserve"> approaches</w:t>
      </w:r>
      <w:r w:rsidR="0096667E">
        <w:t xml:space="preserve"> such </w:t>
      </w:r>
      <w:r w:rsidR="00427BDD">
        <w:t>as</w:t>
      </w:r>
      <w:r w:rsidR="0096667E">
        <w:t xml:space="preserve"> the IAT</w:t>
      </w:r>
      <w:r w:rsidR="00427BDD">
        <w:t xml:space="preserve"> or GNAT</w:t>
      </w:r>
      <w:r w:rsidR="0096667E">
        <w:t xml:space="preserve">. </w:t>
      </w:r>
      <w:r w:rsidR="00137937">
        <w:t xml:space="preserve">The </w:t>
      </w:r>
      <w:r w:rsidR="00FE2F82" w:rsidRPr="00FE2F82">
        <w:t>Implicit Relational Assessment Procedure (IRAP</w:t>
      </w:r>
      <w:r w:rsidR="003A4019">
        <w:t>)</w:t>
      </w:r>
      <w:r w:rsidR="00C8089C">
        <w:t>,</w:t>
      </w:r>
      <w:r w:rsidR="003A4019">
        <w:rPr>
          <w:rStyle w:val="FootnoteReference"/>
        </w:rPr>
        <w:footnoteReference w:id="126"/>
      </w:r>
      <w:r w:rsidR="00FE2F82">
        <w:t xml:space="preserve"> an indirect measure of implicit cognitions,</w:t>
      </w:r>
      <w:r w:rsidR="00FE2F82" w:rsidRPr="00FE2F82">
        <w:t xml:space="preserve"> based on </w:t>
      </w:r>
      <w:r w:rsidR="00FE2F82">
        <w:t xml:space="preserve">RFT, </w:t>
      </w:r>
      <w:r w:rsidR="00137937">
        <w:t>is a computerised assessment tool that requires participants to respo</w:t>
      </w:r>
      <w:r w:rsidR="00C270D7">
        <w:t xml:space="preserve">nd </w:t>
      </w:r>
      <w:r w:rsidR="00C270D7" w:rsidRPr="00C270D7">
        <w:t>in ways that are either consistent or inconsistent with their prior learning histories by choosing between a pair of relat</w:t>
      </w:r>
      <w:r w:rsidR="00BA4A77">
        <w:t>ional response options (e.g.</w:t>
      </w:r>
      <w:r w:rsidR="00C270D7">
        <w:t xml:space="preserve"> “similar</w:t>
      </w:r>
      <w:r w:rsidR="00C270D7" w:rsidRPr="00C270D7">
        <w:t>” and “</w:t>
      </w:r>
      <w:r w:rsidR="00C270D7">
        <w:t>opposite</w:t>
      </w:r>
      <w:r w:rsidR="00C270D7" w:rsidRPr="00C270D7">
        <w:t>”) when presen</w:t>
      </w:r>
      <w:r w:rsidR="00B866BD">
        <w:t>ted with a label stimulus (e.g.</w:t>
      </w:r>
      <w:r w:rsidR="00C270D7" w:rsidRPr="00C270D7">
        <w:t xml:space="preserve"> “Pleasan</w:t>
      </w:r>
      <w:r w:rsidR="00B866BD">
        <w:t>t”) and a target stimulus (e.g.</w:t>
      </w:r>
      <w:r w:rsidR="00C270D7" w:rsidRPr="00C270D7">
        <w:t xml:space="preserve"> “</w:t>
      </w:r>
      <w:r w:rsidR="00C270D7">
        <w:t>dis</w:t>
      </w:r>
      <w:r w:rsidR="00C8089C">
        <w:t>abled person”)</w:t>
      </w:r>
      <w:r w:rsidR="00C270D7">
        <w:t xml:space="preserve">. </w:t>
      </w:r>
      <w:r w:rsidR="00FE2F82">
        <w:t xml:space="preserve">Similar to other </w:t>
      </w:r>
      <w:r w:rsidR="00C270D7">
        <w:t>measures</w:t>
      </w:r>
      <w:r w:rsidR="00FE2F82">
        <w:t xml:space="preserve"> o</w:t>
      </w:r>
      <w:r w:rsidR="00C270D7">
        <w:t>f</w:t>
      </w:r>
      <w:r w:rsidR="00FE2F82">
        <w:t xml:space="preserve"> implicit </w:t>
      </w:r>
      <w:r w:rsidR="00C270D7">
        <w:t>bias</w:t>
      </w:r>
      <w:r w:rsidR="00FE2F82">
        <w:t>, the IRAP relies on respo</w:t>
      </w:r>
      <w:r w:rsidR="00727CF9">
        <w:t xml:space="preserve">nse-latency to determine </w:t>
      </w:r>
      <w:r w:rsidR="00C270D7">
        <w:t>the relations between the two targeted concepts</w:t>
      </w:r>
      <w:r w:rsidR="00294369">
        <w:t>.</w:t>
      </w:r>
      <w:r w:rsidR="00294369">
        <w:rPr>
          <w:rStyle w:val="FootnoteReference"/>
        </w:rPr>
        <w:footnoteReference w:id="127"/>
      </w:r>
      <w:r w:rsidR="00FE2F82">
        <w:t xml:space="preserve"> In other words, i</w:t>
      </w:r>
      <w:r w:rsidR="00137937">
        <w:t>t is assumed that respondents will be slower to respond when the required response goes against their internally held cognitions</w:t>
      </w:r>
      <w:r w:rsidR="00294369">
        <w:t>.</w:t>
      </w:r>
      <w:r w:rsidR="00C8089C">
        <w:rPr>
          <w:rStyle w:val="FootnoteReference"/>
        </w:rPr>
        <w:footnoteReference w:id="128"/>
      </w:r>
      <w:r w:rsidR="00C270D7">
        <w:t xml:space="preserve"> </w:t>
      </w:r>
    </w:p>
    <w:p w14:paraId="703E361D" w14:textId="3A1CEE19" w:rsidR="006F34FB" w:rsidRPr="006F34FB" w:rsidRDefault="00AF6092" w:rsidP="006F34FB">
      <w:r>
        <w:t>T</w:t>
      </w:r>
      <w:r w:rsidR="004D3F12">
        <w:t>he IRAP</w:t>
      </w:r>
      <w:r>
        <w:t xml:space="preserve"> has been found to demonstrate</w:t>
      </w:r>
      <w:r w:rsidR="004D3F12">
        <w:t xml:space="preserve"> levels of predictive validity comparable to the IAT</w:t>
      </w:r>
      <w:r w:rsidR="00C8089C">
        <w:rPr>
          <w:rStyle w:val="FootnoteReference"/>
        </w:rPr>
        <w:footnoteReference w:id="129"/>
      </w:r>
      <w:r w:rsidR="00C8089C">
        <w:t xml:space="preserve"> </w:t>
      </w:r>
      <w:r w:rsidR="004D3F12">
        <w:t>as well as a resilience to faking strategies</w:t>
      </w:r>
      <w:r w:rsidR="00C8089C">
        <w:t>.</w:t>
      </w:r>
      <w:r w:rsidR="00C8089C">
        <w:rPr>
          <w:rStyle w:val="FootnoteReference"/>
        </w:rPr>
        <w:footnoteReference w:id="130"/>
      </w:r>
      <w:r w:rsidR="009A3744">
        <w:t xml:space="preserve"> </w:t>
      </w:r>
      <w:r w:rsidR="00AF0C1B">
        <w:t>Examples of use of the</w:t>
      </w:r>
      <w:r w:rsidR="00456B8D">
        <w:t xml:space="preserve"> IR</w:t>
      </w:r>
      <w:r w:rsidR="00D565A4">
        <w:t xml:space="preserve">AP </w:t>
      </w:r>
      <w:r w:rsidR="00727CF9">
        <w:t>in disability-related research included assessing</w:t>
      </w:r>
      <w:r w:rsidR="00D565A4">
        <w:t xml:space="preserve"> attitudes toward people with visible </w:t>
      </w:r>
      <w:r w:rsidR="00C270D7">
        <w:t>and invisible</w:t>
      </w:r>
      <w:r w:rsidR="00D565A4">
        <w:t xml:space="preserve"> intellectual disabilities</w:t>
      </w:r>
      <w:r w:rsidR="00C8089C">
        <w:t>,</w:t>
      </w:r>
      <w:r w:rsidR="00C8089C">
        <w:rPr>
          <w:rStyle w:val="FootnoteReference"/>
        </w:rPr>
        <w:footnoteReference w:id="131"/>
      </w:r>
      <w:r w:rsidR="00C8089C">
        <w:t xml:space="preserve"> </w:t>
      </w:r>
      <w:r w:rsidR="00052B02">
        <w:t xml:space="preserve">and </w:t>
      </w:r>
      <w:r w:rsidR="00C8089C">
        <w:t xml:space="preserve">people </w:t>
      </w:r>
      <w:r w:rsidR="00294369">
        <w:t xml:space="preserve">on the </w:t>
      </w:r>
      <w:r w:rsidR="00C8089C">
        <w:t>autism</w:t>
      </w:r>
      <w:r w:rsidR="00294369">
        <w:t xml:space="preserve"> spectrum</w:t>
      </w:r>
      <w:r w:rsidR="00C8089C">
        <w:t>.</w:t>
      </w:r>
      <w:r w:rsidR="00C8089C">
        <w:rPr>
          <w:rStyle w:val="FootnoteReference"/>
        </w:rPr>
        <w:footnoteReference w:id="132"/>
      </w:r>
    </w:p>
    <w:p w14:paraId="45106CAA" w14:textId="77777777" w:rsidR="00A9790E" w:rsidRDefault="00425F77" w:rsidP="00A9790E">
      <w:pPr>
        <w:pStyle w:val="Heading3"/>
      </w:pPr>
      <w:bookmarkStart w:id="16" w:name="_Toc123809226"/>
      <w:r>
        <w:t>Vignettes</w:t>
      </w:r>
      <w:bookmarkEnd w:id="16"/>
    </w:p>
    <w:p w14:paraId="276A52F8" w14:textId="4AB16C14" w:rsidR="00A9790E" w:rsidRDefault="00A9790E" w:rsidP="00C47C63">
      <w:r>
        <w:t>As note</w:t>
      </w:r>
      <w:r w:rsidR="00052B02">
        <w:t>d</w:t>
      </w:r>
      <w:r>
        <w:t xml:space="preserve"> previously, Vignettes are often used as a</w:t>
      </w:r>
      <w:r w:rsidR="00427BDD">
        <w:t xml:space="preserve"> direct </w:t>
      </w:r>
      <w:r w:rsidR="009D2BD2">
        <w:t xml:space="preserve">measure of </w:t>
      </w:r>
      <w:r w:rsidR="00427BDD">
        <w:t>attitudes</w:t>
      </w:r>
      <w:r>
        <w:t xml:space="preserve">. However, they can also be used </w:t>
      </w:r>
      <w:r w:rsidR="00427BDD">
        <w:t xml:space="preserve">as an indirect </w:t>
      </w:r>
      <w:r w:rsidR="00BA0C32">
        <w:t>measures</w:t>
      </w:r>
      <w:r>
        <w:t xml:space="preserve">. </w:t>
      </w:r>
      <w:r w:rsidR="00052B02">
        <w:t>A</w:t>
      </w:r>
      <w:r>
        <w:t xml:space="preserve"> s</w:t>
      </w:r>
      <w:r w:rsidR="0040576A">
        <w:t>ystematic review by Fitzge</w:t>
      </w:r>
      <w:r w:rsidR="00B34F28">
        <w:t>r</w:t>
      </w:r>
      <w:r w:rsidR="0040576A">
        <w:t>a</w:t>
      </w:r>
      <w:r w:rsidR="007F04DA">
        <w:t>a</w:t>
      </w:r>
      <w:r w:rsidR="00B34F28">
        <w:t>ld and</w:t>
      </w:r>
      <w:r w:rsidR="00BA0C32">
        <w:t xml:space="preserve"> Hurst (</w:t>
      </w:r>
      <w:r>
        <w:t xml:space="preserve">2017) </w:t>
      </w:r>
      <w:r w:rsidR="00C47C63">
        <w:t>examining implicit bias among healthcare professionals included studies that employed clinical vignettes to assess bias</w:t>
      </w:r>
      <w:r w:rsidR="00A41639">
        <w:t xml:space="preserve">. In </w:t>
      </w:r>
      <w:r w:rsidR="00A41639">
        <w:lastRenderedPageBreak/>
        <w:t>these studies, participants were given a number of vignettes in which o</w:t>
      </w:r>
      <w:r w:rsidR="00052B02">
        <w:t>ne</w:t>
      </w:r>
      <w:r w:rsidR="007F04DA">
        <w:t xml:space="preserve"> characteristic (e.g.</w:t>
      </w:r>
      <w:r w:rsidR="00A41639">
        <w:t xml:space="preserve"> ethnicity) varied by vignette. </w:t>
      </w:r>
      <w:r w:rsidR="0040576A">
        <w:t>The differences in responding</w:t>
      </w:r>
      <w:r w:rsidR="00A41639" w:rsidRPr="00A41639">
        <w:t xml:space="preserve"> to the</w:t>
      </w:r>
      <w:r w:rsidR="00A41639">
        <w:t xml:space="preserve"> different</w:t>
      </w:r>
      <w:r w:rsidR="00A41639" w:rsidRPr="00A41639">
        <w:t xml:space="preserve"> vignettes</w:t>
      </w:r>
      <w:r w:rsidR="00BA0C32">
        <w:t xml:space="preserve"> we</w:t>
      </w:r>
      <w:r w:rsidR="00A41639">
        <w:t>re</w:t>
      </w:r>
      <w:r w:rsidR="00A41639" w:rsidRPr="00A41639">
        <w:t xml:space="preserve"> measured. </w:t>
      </w:r>
      <w:r w:rsidR="00A41639">
        <w:t>I</w:t>
      </w:r>
      <w:r w:rsidR="00A41639" w:rsidRPr="00A41639">
        <w:t xml:space="preserve">f </w:t>
      </w:r>
      <w:r w:rsidR="00A41639">
        <w:t>a</w:t>
      </w:r>
      <w:r w:rsidR="00A41639" w:rsidRPr="00A41639">
        <w:t xml:space="preserve"> statistically significant difference</w:t>
      </w:r>
      <w:r w:rsidR="00A41639">
        <w:t xml:space="preserve"> </w:t>
      </w:r>
      <w:r w:rsidR="00A41639" w:rsidRPr="00A41639">
        <w:t>in the diagnosis or treatment prescribed</w:t>
      </w:r>
      <w:r w:rsidR="00A41639">
        <w:t xml:space="preserve"> </w:t>
      </w:r>
      <w:r w:rsidR="009A3744">
        <w:t>wa</w:t>
      </w:r>
      <w:r w:rsidR="00A41639">
        <w:t>s</w:t>
      </w:r>
      <w:r w:rsidR="00A41639" w:rsidRPr="00A41639">
        <w:t xml:space="preserve"> correlated with </w:t>
      </w:r>
      <w:r w:rsidR="00A41639">
        <w:t>certain characteristics such as ethnicity or gender</w:t>
      </w:r>
      <w:r w:rsidR="00531FAE">
        <w:t xml:space="preserve"> of the patient</w:t>
      </w:r>
      <w:r w:rsidR="00A41639">
        <w:t>,</w:t>
      </w:r>
      <w:r w:rsidR="00A41639" w:rsidRPr="00A41639">
        <w:t xml:space="preserve"> the researchers infer</w:t>
      </w:r>
      <w:r w:rsidR="00294369">
        <w:t>red that it wa</w:t>
      </w:r>
      <w:r w:rsidR="00A41639" w:rsidRPr="00A41639">
        <w:t>s partly a result of implicit processes in the physicians’ decision-making.</w:t>
      </w:r>
      <w:r w:rsidR="00531FAE" w:rsidRPr="00531FAE">
        <w:t xml:space="preserve"> </w:t>
      </w:r>
      <w:r w:rsidR="00531FAE">
        <w:t>Fitzgerald and Hurst label</w:t>
      </w:r>
      <w:r w:rsidR="00294369">
        <w:t>led</w:t>
      </w:r>
      <w:r w:rsidR="00531FAE">
        <w:t xml:space="preserve"> this ‘the assumption method’ because it is based on the assumption that most individuals will be motivated to explicitly disregard factors such as ethnicity</w:t>
      </w:r>
      <w:r w:rsidR="00052B02">
        <w:t>. It</w:t>
      </w:r>
      <w:r w:rsidR="00531FAE">
        <w:t xml:space="preserve"> is not </w:t>
      </w:r>
      <w:r w:rsidR="00A41639" w:rsidRPr="00A41639">
        <w:t>possible</w:t>
      </w:r>
      <w:r w:rsidR="00052B02">
        <w:t>, however,</w:t>
      </w:r>
      <w:r w:rsidR="00A41639" w:rsidRPr="00A41639">
        <w:t xml:space="preserve"> to say with certainty whether implicit or explicit processes</w:t>
      </w:r>
      <w:r w:rsidR="00531FAE">
        <w:t xml:space="preserve"> are involved. O</w:t>
      </w:r>
      <w:r w:rsidR="001B3E75">
        <w:t>f the 14 studies included that used the assumption method, one study assess</w:t>
      </w:r>
      <w:r w:rsidR="00052B02">
        <w:t>ed</w:t>
      </w:r>
      <w:r w:rsidR="001B3E75">
        <w:t xml:space="preserve"> attitudes to</w:t>
      </w:r>
      <w:r w:rsidR="00294369">
        <w:t>wards</w:t>
      </w:r>
      <w:r w:rsidR="001B3E75">
        <w:t xml:space="preserve"> people </w:t>
      </w:r>
      <w:r w:rsidR="00294369">
        <w:t xml:space="preserve">living </w:t>
      </w:r>
      <w:r w:rsidR="001B3E75">
        <w:t>with AIDS, two studies asse</w:t>
      </w:r>
      <w:r w:rsidR="0036617B">
        <w:t>s</w:t>
      </w:r>
      <w:r w:rsidR="001B3E75">
        <w:t xml:space="preserve">sed </w:t>
      </w:r>
      <w:r w:rsidR="00531FAE">
        <w:t>attitudes</w:t>
      </w:r>
      <w:r w:rsidR="001B3E75">
        <w:t xml:space="preserve"> towards people with acquired brain injury, and four assessed attitudes to</w:t>
      </w:r>
      <w:r w:rsidR="00294369">
        <w:t>wards</w:t>
      </w:r>
      <w:r w:rsidR="001B3E75">
        <w:t xml:space="preserve"> people</w:t>
      </w:r>
      <w:r w:rsidR="00531FAE">
        <w:t xml:space="preserve"> </w:t>
      </w:r>
      <w:r w:rsidR="001B3E75">
        <w:t xml:space="preserve">with mental illness. </w:t>
      </w:r>
    </w:p>
    <w:p w14:paraId="07CFFDA3" w14:textId="35E613CC" w:rsidR="0059535F" w:rsidRDefault="005245FA" w:rsidP="00B34F28">
      <w:r>
        <w:t xml:space="preserve">Another use of vignettes as </w:t>
      </w:r>
      <w:r w:rsidR="00CB2023">
        <w:t>a</w:t>
      </w:r>
      <w:r w:rsidR="00B34F28">
        <w:t xml:space="preserve">n indirect measure of attitudes </w:t>
      </w:r>
      <w:r w:rsidR="00CB2023">
        <w:t xml:space="preserve">is </w:t>
      </w:r>
      <w:r w:rsidR="00B34F28">
        <w:t>as part of</w:t>
      </w:r>
      <w:r>
        <w:t xml:space="preserve"> th</w:t>
      </w:r>
      <w:r w:rsidR="00B34F28">
        <w:t xml:space="preserve">e </w:t>
      </w:r>
      <w:r w:rsidR="00AC1C32">
        <w:t xml:space="preserve">Multi-Dimensional Attitudes Scale </w:t>
      </w:r>
      <w:r w:rsidR="001F0621">
        <w:t>(MAS</w:t>
      </w:r>
      <w:r w:rsidR="0036617B">
        <w:t>)</w:t>
      </w:r>
      <w:r>
        <w:t>.</w:t>
      </w:r>
      <w:r w:rsidR="0036617B">
        <w:rPr>
          <w:rStyle w:val="FootnoteReference"/>
        </w:rPr>
        <w:footnoteReference w:id="133"/>
      </w:r>
      <w:r w:rsidR="00B34F28" w:rsidRPr="00B34F28">
        <w:t xml:space="preserve"> </w:t>
      </w:r>
      <w:r w:rsidR="00052B02">
        <w:t>This indirect measure</w:t>
      </w:r>
      <w:r w:rsidR="00B34F28">
        <w:t xml:space="preserve"> uses </w:t>
      </w:r>
      <w:r w:rsidR="00052B02">
        <w:t xml:space="preserve">a </w:t>
      </w:r>
      <w:r w:rsidR="00B34F28">
        <w:t>social scenario</w:t>
      </w:r>
      <w:r>
        <w:t xml:space="preserve"> vignette describing an</w:t>
      </w:r>
      <w:r w:rsidR="00B34F28">
        <w:t xml:space="preserve"> </w:t>
      </w:r>
      <w:r>
        <w:t>interaction between</w:t>
      </w:r>
      <w:r w:rsidR="00052B02">
        <w:t xml:space="preserve"> non-disabled and disabled people. </w:t>
      </w:r>
      <w:r w:rsidR="001F0621">
        <w:t xml:space="preserve">Respondents read the vignette and are then asked to indicate how they think the non-disabled person would feel (affect), think (cognitions), or act (behaviour) in the situation. </w:t>
      </w:r>
      <w:r w:rsidR="00294369">
        <w:t>Responses a</w:t>
      </w:r>
      <w:r w:rsidR="00B34F28">
        <w:t>re marked on a 5-point Likert-type</w:t>
      </w:r>
      <w:r>
        <w:t xml:space="preserve"> </w:t>
      </w:r>
      <w:r w:rsidR="00B34F28">
        <w:t xml:space="preserve">scale ranging from 1 (not at all) to 5 (very much). </w:t>
      </w:r>
      <w:r w:rsidR="001F0621" w:rsidRPr="001F0621">
        <w:t>The original MAS depicted a situation involving</w:t>
      </w:r>
      <w:r w:rsidR="001F0621">
        <w:t xml:space="preserve"> a wheelchair user, but other studies have </w:t>
      </w:r>
      <w:r w:rsidR="004111F7">
        <w:t>ada</w:t>
      </w:r>
      <w:r w:rsidR="001F0621">
        <w:t>pted the MAS to depict people with other types of disabilities</w:t>
      </w:r>
      <w:r w:rsidR="006C5A3D">
        <w:t xml:space="preserve"> including intellectual </w:t>
      </w:r>
      <w:r w:rsidR="00BC0529">
        <w:t>disability</w:t>
      </w:r>
      <w:r w:rsidR="0036617B">
        <w:t>,</w:t>
      </w:r>
      <w:r w:rsidR="0036617B">
        <w:rPr>
          <w:rStyle w:val="FootnoteReference"/>
        </w:rPr>
        <w:footnoteReference w:id="134"/>
      </w:r>
      <w:r w:rsidR="00BC0529">
        <w:t xml:space="preserve">  </w:t>
      </w:r>
      <w:r w:rsidR="006C5A3D">
        <w:t>autism</w:t>
      </w:r>
      <w:r w:rsidR="0036617B">
        <w:t>,</w:t>
      </w:r>
      <w:r w:rsidR="0036617B">
        <w:rPr>
          <w:rStyle w:val="FootnoteReference"/>
        </w:rPr>
        <w:footnoteReference w:id="135"/>
      </w:r>
      <w:r w:rsidR="00346BE2">
        <w:t xml:space="preserve"> </w:t>
      </w:r>
      <w:r w:rsidR="0036617B">
        <w:t>h</w:t>
      </w:r>
      <w:r w:rsidR="004111F7">
        <w:t>earing and vision impairments</w:t>
      </w:r>
      <w:r w:rsidR="0036617B">
        <w:t>,</w:t>
      </w:r>
      <w:r w:rsidR="0036617B">
        <w:rPr>
          <w:rStyle w:val="FootnoteReference"/>
        </w:rPr>
        <w:footnoteReference w:id="136"/>
      </w:r>
      <w:r w:rsidR="00346BE2">
        <w:t xml:space="preserve"> </w:t>
      </w:r>
      <w:r w:rsidR="00D80692">
        <w:t xml:space="preserve">and </w:t>
      </w:r>
      <w:r w:rsidR="0036617B">
        <w:t>ADHD.</w:t>
      </w:r>
      <w:r w:rsidR="0036617B">
        <w:rPr>
          <w:rStyle w:val="FootnoteReference"/>
        </w:rPr>
        <w:footnoteReference w:id="137"/>
      </w:r>
    </w:p>
    <w:p w14:paraId="44A62719" w14:textId="7B51CA0E" w:rsidR="00AE1230" w:rsidRDefault="00F44D26" w:rsidP="00FB702C">
      <w:pPr>
        <w:pStyle w:val="Heading3"/>
      </w:pPr>
      <w:bookmarkStart w:id="17" w:name="_Toc123809227"/>
      <w:r>
        <w:t>List E</w:t>
      </w:r>
      <w:r w:rsidR="00425F77" w:rsidRPr="0067065D">
        <w:t>xperiments</w:t>
      </w:r>
      <w:bookmarkEnd w:id="17"/>
    </w:p>
    <w:p w14:paraId="10818817" w14:textId="28D3F887" w:rsidR="0067065D" w:rsidRDefault="0067065D" w:rsidP="0067065D">
      <w:r>
        <w:t xml:space="preserve">A List Experiment is an </w:t>
      </w:r>
      <w:r w:rsidRPr="00A66EAC">
        <w:t>experimental design in which some subjects are indu</w:t>
      </w:r>
      <w:r>
        <w:t xml:space="preserve">ced to speak their mind freely, </w:t>
      </w:r>
      <w:r w:rsidRPr="00A66EAC">
        <w:t xml:space="preserve">without fear of being blamed for </w:t>
      </w:r>
      <w:r>
        <w:t xml:space="preserve">their </w:t>
      </w:r>
      <w:r w:rsidRPr="00A66EAC">
        <w:t>"socially</w:t>
      </w:r>
      <w:r>
        <w:t xml:space="preserve"> deviant" opinions, while other </w:t>
      </w:r>
      <w:r w:rsidRPr="00A66EAC">
        <w:t xml:space="preserve">subjects are exposed to social normative </w:t>
      </w:r>
      <w:r>
        <w:t xml:space="preserve">influences. Between-group </w:t>
      </w:r>
      <w:r w:rsidRPr="00A66EAC">
        <w:t xml:space="preserve">comparisons and </w:t>
      </w:r>
      <w:r>
        <w:t xml:space="preserve">recent </w:t>
      </w:r>
      <w:r w:rsidRPr="00A66EAC">
        <w:t xml:space="preserve">refinements </w:t>
      </w:r>
      <w:r>
        <w:t xml:space="preserve">in </w:t>
      </w:r>
      <w:r w:rsidRPr="00A66EAC">
        <w:t xml:space="preserve">the </w:t>
      </w:r>
      <w:r>
        <w:t xml:space="preserve">list experiment </w:t>
      </w:r>
      <w:r w:rsidRPr="00A66EAC">
        <w:t>method</w:t>
      </w:r>
      <w:r>
        <w:t xml:space="preserve"> allows one to estimate the aggregate proportion of “liars” as well as conducting a multivariate analysis of </w:t>
      </w:r>
      <w:r w:rsidRPr="00A66EAC">
        <w:t>the</w:t>
      </w:r>
      <w:r>
        <w:t>ir</w:t>
      </w:r>
      <w:r w:rsidRPr="00A66EAC">
        <w:t xml:space="preserve"> </w:t>
      </w:r>
      <w:r>
        <w:t>profile – social desirability responding moderators.</w:t>
      </w:r>
      <w:r>
        <w:rPr>
          <w:rStyle w:val="FootnoteReference"/>
        </w:rPr>
        <w:footnoteReference w:id="138"/>
      </w:r>
      <w:r>
        <w:t xml:space="preserve"> The simple idea behind the list experiment is that respondents are not directly asked about the sensitive issue. Instead, they are </w:t>
      </w:r>
      <w:r>
        <w:lastRenderedPageBreak/>
        <w:t xml:space="preserve">asked to provide enumerators with an aggregate count of the items on a list that they agree with. </w:t>
      </w:r>
    </w:p>
    <w:p w14:paraId="544EA0A3" w14:textId="390C2926" w:rsidR="0067065D" w:rsidRDefault="0067065D" w:rsidP="0067065D">
      <w:r w:rsidRPr="007C56E3">
        <w:t xml:space="preserve">The list experiment </w:t>
      </w:r>
      <w:r>
        <w:t xml:space="preserve">randomises a sample of respondents into two groups. A list of control items are </w:t>
      </w:r>
      <w:r w:rsidRPr="007C56E3">
        <w:t>present</w:t>
      </w:r>
      <w:r>
        <w:t xml:space="preserve">ed to a control group and a list of the same control items plus </w:t>
      </w:r>
      <w:r w:rsidRPr="007C56E3">
        <w:t>one sensitive item</w:t>
      </w:r>
      <w:r>
        <w:t xml:space="preserve"> are presented to the treatment group. Respondents are </w:t>
      </w:r>
      <w:r w:rsidRPr="007C56E3">
        <w:t xml:space="preserve">not asked which of the items they agree with, just how many items </w:t>
      </w:r>
      <w:r>
        <w:t xml:space="preserve">they agree with. </w:t>
      </w:r>
      <w:r w:rsidRPr="007C56E3">
        <w:t xml:space="preserve">As the groups are randomly assigned and both samples are presented the same control list items, any difference between the average response </w:t>
      </w:r>
      <w:r>
        <w:t xml:space="preserve">in </w:t>
      </w:r>
      <w:r w:rsidRPr="007C56E3">
        <w:t xml:space="preserve">the control and treatment </w:t>
      </w:r>
      <w:r>
        <w:t xml:space="preserve">groups </w:t>
      </w:r>
      <w:r w:rsidRPr="007C56E3">
        <w:t xml:space="preserve">is due to the </w:t>
      </w:r>
      <w:r>
        <w:t>sensitive</w:t>
      </w:r>
      <w:r w:rsidRPr="007C56E3">
        <w:t xml:space="preserve"> item. Respondents in the control group are asked </w:t>
      </w:r>
      <w:r>
        <w:t xml:space="preserve">about </w:t>
      </w:r>
      <w:r w:rsidRPr="007C56E3">
        <w:t xml:space="preserve">the </w:t>
      </w:r>
      <w:r>
        <w:t>sensitive topic with a direct question</w:t>
      </w:r>
      <w:r w:rsidRPr="007C56E3">
        <w:t xml:space="preserve">. The difference between </w:t>
      </w:r>
      <w:r>
        <w:t xml:space="preserve">responses </w:t>
      </w:r>
      <w:r w:rsidRPr="007C56E3">
        <w:t xml:space="preserve">from the direct survey question and </w:t>
      </w:r>
      <w:r>
        <w:t xml:space="preserve">responses </w:t>
      </w:r>
      <w:r w:rsidRPr="007C56E3">
        <w:t>from the list is interpretable as a measure of the extent to which</w:t>
      </w:r>
      <w:r>
        <w:t>, for example,</w:t>
      </w:r>
      <w:r w:rsidRPr="007C56E3">
        <w:t xml:space="preserve"> support for a particular group is over-stated or negative attitudes are hidden or</w:t>
      </w:r>
      <w:r>
        <w:t xml:space="preserve"> </w:t>
      </w:r>
      <w:r w:rsidRPr="007C56E3">
        <w:t>‘masked’.</w:t>
      </w:r>
      <w:r w:rsidRPr="00B4779D">
        <w:t xml:space="preserve"> </w:t>
      </w:r>
      <w:r>
        <w:t xml:space="preserve">Respondents have the </w:t>
      </w:r>
      <w:r w:rsidRPr="00B4779D">
        <w:t>options of "Refuse to Answer" and "Don't Know."</w:t>
      </w:r>
      <w:r w:rsidR="00CD1934" w:rsidRPr="00CD1934">
        <w:t xml:space="preserve"> The protection of privacy in the list experiment is designed to increase willingness of respondents to provide truthful answers to sensitive questions</w:t>
      </w:r>
      <w:r w:rsidR="00CD1934">
        <w:t>. The format of list experi</w:t>
      </w:r>
      <w:r w:rsidR="00E13204">
        <w:t>ments can be confusing, however; a</w:t>
      </w:r>
      <w:r w:rsidR="00CD1934">
        <w:t xml:space="preserve">s indicated by studies which have found </w:t>
      </w:r>
      <w:r w:rsidR="00FF157F">
        <w:t>inconsistent findings in terms of direct and indirect measures, especially among some groups</w:t>
      </w:r>
      <w:r w:rsidR="00E13204">
        <w:t>,</w:t>
      </w:r>
      <w:r w:rsidR="00FF157F">
        <w:t xml:space="preserve"> such as those who are less well educated.</w:t>
      </w:r>
      <w:r w:rsidR="00FF157F">
        <w:rPr>
          <w:rStyle w:val="FootnoteReference"/>
        </w:rPr>
        <w:footnoteReference w:id="139"/>
      </w:r>
      <w:r w:rsidR="00CD1934">
        <w:t xml:space="preserve"> </w:t>
      </w:r>
      <w:r w:rsidR="00CD1934" w:rsidRPr="00CD1934">
        <w:t>Thus, while the list experiment can reduce social bias it can introduce different forms of error associated with question complex</w:t>
      </w:r>
      <w:r w:rsidR="0076696A">
        <w:t xml:space="preserve">ity and difficulty. </w:t>
      </w:r>
      <w:r w:rsidR="00CD1934" w:rsidRPr="00CD1934">
        <w:t>Efforts are being made to address these iss</w:t>
      </w:r>
      <w:r w:rsidR="0076696A">
        <w:t>ues including the use of images</w:t>
      </w:r>
      <w:r w:rsidR="00CD1934" w:rsidRPr="00CD1934">
        <w:t xml:space="preserve"> </w:t>
      </w:r>
      <w:r w:rsidR="0076696A">
        <w:t xml:space="preserve">and </w:t>
      </w:r>
      <w:r w:rsidR="00CD1934" w:rsidRPr="00CD1934">
        <w:t>clearer i</w:t>
      </w:r>
      <w:r w:rsidR="0076696A">
        <w:t>nstructions for enumerators</w:t>
      </w:r>
      <w:r w:rsidR="00CD1934" w:rsidRPr="00CD1934">
        <w:t>.</w:t>
      </w:r>
      <w:r w:rsidR="00D100F6">
        <w:rPr>
          <w:rStyle w:val="FootnoteReference"/>
        </w:rPr>
        <w:footnoteReference w:id="140"/>
      </w:r>
      <w:r w:rsidR="00CD1934" w:rsidRPr="00CD1934">
        <w:t xml:space="preserve">  </w:t>
      </w:r>
    </w:p>
    <w:p w14:paraId="58023B47" w14:textId="1F051F68" w:rsidR="003B39D9" w:rsidRPr="009743B4" w:rsidRDefault="0067065D" w:rsidP="003B39D9">
      <w:pPr>
        <w:rPr>
          <w:color w:val="FF0000"/>
        </w:rPr>
      </w:pPr>
      <w:r w:rsidRPr="009C23D7">
        <w:t xml:space="preserve">The list experiment design has been used in surveys, </w:t>
      </w:r>
      <w:r w:rsidR="0076696A">
        <w:t>for example,</w:t>
      </w:r>
      <w:r w:rsidRPr="009C23D7">
        <w:t xml:space="preserve"> to elicit vote preferences</w:t>
      </w:r>
      <w:r>
        <w:t>,</w:t>
      </w:r>
      <w:r>
        <w:rPr>
          <w:rStyle w:val="FootnoteReference"/>
        </w:rPr>
        <w:footnoteReference w:id="141"/>
      </w:r>
      <w:r w:rsidRPr="009C23D7">
        <w:t xml:space="preserve"> views on undocumented migration</w:t>
      </w:r>
      <w:r>
        <w:t>,</w:t>
      </w:r>
      <w:r>
        <w:rPr>
          <w:rStyle w:val="FootnoteReference"/>
        </w:rPr>
        <w:footnoteReference w:id="142"/>
      </w:r>
      <w:r w:rsidRPr="009C23D7">
        <w:t xml:space="preserve"> prevalence of the use of micro-finance loans</w:t>
      </w:r>
      <w:r>
        <w:t>,</w:t>
      </w:r>
      <w:r>
        <w:rPr>
          <w:rStyle w:val="FootnoteReference"/>
        </w:rPr>
        <w:footnoteReference w:id="143"/>
      </w:r>
      <w:r w:rsidRPr="009C23D7">
        <w:t xml:space="preserve"> and opinions on topics such as gay marriage</w:t>
      </w:r>
      <w:r>
        <w:rPr>
          <w:rStyle w:val="FootnoteReference"/>
        </w:rPr>
        <w:footnoteReference w:id="144"/>
      </w:r>
      <w:r w:rsidRPr="009C23D7">
        <w:t xml:space="preserve"> and racism</w:t>
      </w:r>
      <w:r>
        <w:rPr>
          <w:rStyle w:val="FootnoteReference"/>
        </w:rPr>
        <w:footnoteReference w:id="145"/>
      </w:r>
      <w:r>
        <w:t xml:space="preserve"> and many other issues.</w:t>
      </w:r>
      <w:r w:rsidR="009866E7">
        <w:t xml:space="preserve"> No list experiment focused on measuring attitudes towards people with disabilities has been identified. In</w:t>
      </w:r>
      <w:r w:rsidR="00A92639">
        <w:t xml:space="preserve"> an effort to address this gap in the evidence base, </w:t>
      </w:r>
      <w:r w:rsidR="009866E7">
        <w:t xml:space="preserve">the </w:t>
      </w:r>
      <w:r w:rsidR="0076696A">
        <w:t>National Disability Authority (N</w:t>
      </w:r>
      <w:r w:rsidR="009866E7">
        <w:t>DA</w:t>
      </w:r>
      <w:r w:rsidR="0076696A">
        <w:t>)</w:t>
      </w:r>
      <w:r w:rsidR="009866E7">
        <w:t xml:space="preserve"> </w:t>
      </w:r>
      <w:r w:rsidR="007E665D">
        <w:t xml:space="preserve">is working through a research partnership with the </w:t>
      </w:r>
      <w:r w:rsidR="0076696A">
        <w:t xml:space="preserve">Economic and Social Research Institute </w:t>
      </w:r>
      <w:r w:rsidR="0076696A">
        <w:lastRenderedPageBreak/>
        <w:t>(ESR)</w:t>
      </w:r>
      <w:r w:rsidR="00A92639">
        <w:t xml:space="preserve"> to</w:t>
      </w:r>
      <w:r w:rsidR="00A92639" w:rsidRPr="00A92639">
        <w:t xml:space="preserve"> undertake research on attitudes to disability in Ireland using a range </w:t>
      </w:r>
      <w:r w:rsidR="00A92639">
        <w:t xml:space="preserve">of indirect measurement methods, including a list experiment. </w:t>
      </w:r>
      <w:r w:rsidR="009743B4">
        <w:t xml:space="preserve">The details and findings of the list experiment are published in full elsewhere. </w:t>
      </w:r>
      <w:r w:rsidR="00825549">
        <w:t>F</w:t>
      </w:r>
      <w:r w:rsidR="00825549" w:rsidRPr="00825549">
        <w:t>or more information about list experiments see Appendix 1</w:t>
      </w:r>
      <w:bookmarkStart w:id="18" w:name="_Toc119331047"/>
      <w:r w:rsidR="0076696A">
        <w:t>.</w:t>
      </w:r>
    </w:p>
    <w:p w14:paraId="246EC4E4" w14:textId="1028A071" w:rsidR="0067065D" w:rsidRDefault="00F44D26" w:rsidP="003B39D9">
      <w:pPr>
        <w:pStyle w:val="Heading3"/>
      </w:pPr>
      <w:bookmarkStart w:id="19" w:name="_Toc123809228"/>
      <w:r>
        <w:t>The Endorsement E</w:t>
      </w:r>
      <w:r w:rsidR="0067065D">
        <w:t>xperiment</w:t>
      </w:r>
      <w:bookmarkEnd w:id="18"/>
      <w:bookmarkEnd w:id="19"/>
      <w:r w:rsidR="000B0FA0" w:rsidRPr="000B0FA0">
        <w:t xml:space="preserve"> </w:t>
      </w:r>
    </w:p>
    <w:p w14:paraId="65330121" w14:textId="0013F1A6" w:rsidR="00A32BB4" w:rsidRPr="00ED6256" w:rsidRDefault="00ED6256" w:rsidP="00ED6256">
      <w:r w:rsidRPr="00787329">
        <w:t>Endorsement experimen</w:t>
      </w:r>
      <w:r>
        <w:t>ts offer an indirect way of ask</w:t>
      </w:r>
      <w:r w:rsidRPr="00787329">
        <w:t xml:space="preserve">ing sensitive questions other than list experiments. </w:t>
      </w:r>
      <w:r>
        <w:t xml:space="preserve">It </w:t>
      </w:r>
      <w:r w:rsidRPr="005E39C4">
        <w:t xml:space="preserve">obscures individual responses by exploiting evaluation bias in </w:t>
      </w:r>
      <w:r>
        <w:t xml:space="preserve">human judgment. It draws on </w:t>
      </w:r>
      <w:r w:rsidRPr="005E39C4">
        <w:t>psychology, which demonstrates that people tend to evaluate identical objects positively (</w:t>
      </w:r>
      <w:r w:rsidR="000B0FA0">
        <w:t xml:space="preserve">or </w:t>
      </w:r>
      <w:r w:rsidRPr="005E39C4">
        <w:t>negatively) when paired with favourable (</w:t>
      </w:r>
      <w:r w:rsidR="000B0FA0">
        <w:t xml:space="preserve">or </w:t>
      </w:r>
      <w:r w:rsidRPr="005E39C4">
        <w:t>unfavourable) entities. It asks respondents non-</w:t>
      </w:r>
      <w:r w:rsidR="00BA4A77">
        <w:t>sensitive questions but randomis</w:t>
      </w:r>
      <w:r w:rsidRPr="005E39C4">
        <w:t>es whether these questions are pa</w:t>
      </w:r>
      <w:r>
        <w:t>ired with the sensitive object.</w:t>
      </w:r>
      <w:r w:rsidRPr="00D40DC9">
        <w:t xml:space="preserve"> </w:t>
      </w:r>
      <w:r w:rsidRPr="00787329">
        <w:t>Like list experiments, a sampl</w:t>
      </w:r>
      <w:r>
        <w:t>e of respondents is randomly divided into control and treatment</w:t>
      </w:r>
      <w:r w:rsidRPr="00787329">
        <w:t xml:space="preserve"> groups</w:t>
      </w:r>
      <w:r w:rsidR="00A32BB4">
        <w:t xml:space="preserve">. </w:t>
      </w:r>
      <w:r w:rsidRPr="004A3347">
        <w:t>In the control group, respondents are asked to rate the</w:t>
      </w:r>
      <w:r>
        <w:t>ir</w:t>
      </w:r>
      <w:r w:rsidRPr="004A3347">
        <w:t xml:space="preserve"> level of support</w:t>
      </w:r>
      <w:r>
        <w:t>, for example,</w:t>
      </w:r>
      <w:r w:rsidR="0076696A">
        <w:t xml:space="preserve"> for a particular policy</w:t>
      </w:r>
      <w:r w:rsidR="002756BB">
        <w:t>.</w:t>
      </w:r>
      <w:r w:rsidRPr="004A3347">
        <w:t xml:space="preserve"> For those in the treatment group, the same question is asked, except that the policy is said to be endorsed by an actor of interest. The main idea is to take advantage of subtle cues induced by endorsements (or names) a</w:t>
      </w:r>
      <w:r>
        <w:t>nd</w:t>
      </w:r>
      <w:r w:rsidRPr="004A3347">
        <w:t xml:space="preserve"> interpret the difference</w:t>
      </w:r>
      <w:r>
        <w:t xml:space="preserve"> in responses between the treat</w:t>
      </w:r>
      <w:r w:rsidRPr="004A3347">
        <w:t>ment and control groups as evidence of su</w:t>
      </w:r>
      <w:r>
        <w:t>pport (or lack thereof) for the</w:t>
      </w:r>
      <w:r w:rsidRPr="004A3347">
        <w:t xml:space="preserve"> actor</w:t>
      </w:r>
      <w:r>
        <w:t xml:space="preserve"> </w:t>
      </w:r>
      <w:r w:rsidRPr="004A3347">
        <w:t>of int</w:t>
      </w:r>
      <w:r>
        <w:t>erest. Typically, several poli</w:t>
      </w:r>
      <w:r w:rsidRPr="004A3347">
        <w:t>cies are selected so that measurement does not rely on a single instrument and statisti</w:t>
      </w:r>
      <w:r>
        <w:t>cal power is increased by analys</w:t>
      </w:r>
      <w:r w:rsidRPr="004A3347">
        <w:t>ing them together</w:t>
      </w:r>
      <w:r>
        <w:t>.</w:t>
      </w:r>
      <w:r w:rsidRPr="004A3347">
        <w:t xml:space="preserve"> Respondents </w:t>
      </w:r>
      <w:r>
        <w:t xml:space="preserve">might be </w:t>
      </w:r>
      <w:r w:rsidRPr="004A3347">
        <w:t xml:space="preserve">asked </w:t>
      </w:r>
      <w:r>
        <w:t>for example to indicate their level of sup</w:t>
      </w:r>
      <w:r w:rsidRPr="004A3347">
        <w:t xml:space="preserve">port for </w:t>
      </w:r>
      <w:r>
        <w:t xml:space="preserve">the various policies </w:t>
      </w:r>
      <w:r w:rsidRPr="004A3347">
        <w:t xml:space="preserve">on a 5-point </w:t>
      </w:r>
      <w:r>
        <w:t xml:space="preserve">Likert </w:t>
      </w:r>
      <w:r w:rsidRPr="004A3347">
        <w:t>scale</w:t>
      </w:r>
      <w:r>
        <w:t xml:space="preserve"> from strongly agree to </w:t>
      </w:r>
      <w:r w:rsidRPr="004A3347">
        <w:t>strongly disa</w:t>
      </w:r>
      <w:r>
        <w:t>gree.</w:t>
      </w:r>
      <w:r>
        <w:rPr>
          <w:rStyle w:val="FootnoteReference"/>
        </w:rPr>
        <w:footnoteReference w:id="146"/>
      </w:r>
      <w:r>
        <w:t xml:space="preserve"> </w:t>
      </w:r>
    </w:p>
    <w:p w14:paraId="0EBEE080" w14:textId="3532C1DD" w:rsidR="0067065D" w:rsidRDefault="00F44D26" w:rsidP="003B39D9">
      <w:pPr>
        <w:pStyle w:val="Heading3"/>
      </w:pPr>
      <w:bookmarkStart w:id="20" w:name="_Toc119331048"/>
      <w:bookmarkStart w:id="21" w:name="_Toc123809229"/>
      <w:r>
        <w:t>The R</w:t>
      </w:r>
      <w:r w:rsidR="00202835">
        <w:t>andomis</w:t>
      </w:r>
      <w:r>
        <w:t>ed Response M</w:t>
      </w:r>
      <w:r w:rsidR="0067065D" w:rsidRPr="008E68EF">
        <w:t>ethod</w:t>
      </w:r>
      <w:bookmarkEnd w:id="20"/>
      <w:bookmarkEnd w:id="21"/>
    </w:p>
    <w:p w14:paraId="2F6407EE" w14:textId="351A2E5C" w:rsidR="00ED6256" w:rsidRDefault="00ED6256" w:rsidP="00ED6256">
      <w:r w:rsidRPr="00FC4F78">
        <w:t>This method </w:t>
      </w:r>
      <w:r w:rsidRPr="00FC4F78">
        <w:rPr>
          <w:bCs/>
        </w:rPr>
        <w:t>as</w:t>
      </w:r>
      <w:r w:rsidR="006227ED">
        <w:rPr>
          <w:bCs/>
        </w:rPr>
        <w:t>ks respondents to use a randomis</w:t>
      </w:r>
      <w:r w:rsidRPr="00FC4F78">
        <w:rPr>
          <w:bCs/>
        </w:rPr>
        <w:t>ation device, such as a coin flip, whose outcome is unobserved by the interviewer</w:t>
      </w:r>
      <w:r w:rsidRPr="00FC4F78">
        <w:t>. By introducing random noise, the method</w:t>
      </w:r>
      <w:r>
        <w:t xml:space="preserve"> obscures or</w:t>
      </w:r>
      <w:r w:rsidRPr="00FC4F78">
        <w:t xml:space="preserve"> conceals individual responses and protects respondent privacy.</w:t>
      </w:r>
      <w:r>
        <w:t xml:space="preserve"> </w:t>
      </w:r>
      <w:r w:rsidRPr="005E39C4">
        <w:t>Under a standard design, it asks responden</w:t>
      </w:r>
      <w:r w:rsidR="00EF593E">
        <w:t>ts to use a randomising device e.g.</w:t>
      </w:r>
      <w:r>
        <w:t xml:space="preserve"> coin flip</w:t>
      </w:r>
      <w:r w:rsidRPr="005E39C4">
        <w:t xml:space="preserve"> and truthfully answer the sensitive</w:t>
      </w:r>
      <w:r w:rsidR="00EF593E">
        <w:t xml:space="preserve"> question only when the randomis</w:t>
      </w:r>
      <w:r w:rsidRPr="005E39C4">
        <w:t>ation results in a certain outcome. In other cases, respondents simply give a pre-determined response.</w:t>
      </w:r>
      <w:r w:rsidRPr="00A95222">
        <w:rPr>
          <w:rFonts w:ascii="Times New Roman" w:hAnsi="Times New Roman"/>
          <w:sz w:val="24"/>
          <w:lang w:eastAsia="en-IE"/>
        </w:rPr>
        <w:t xml:space="preserve"> </w:t>
      </w:r>
      <w:r w:rsidRPr="00A95222">
        <w:t xml:space="preserve">Because enumerators do not </w:t>
      </w:r>
      <w:r w:rsidR="00D11717">
        <w:t>know the outcome of the randomis</w:t>
      </w:r>
      <w:r w:rsidRPr="00A95222">
        <w:t>ation, they have no way of knowing whether respondents are answering the sensitive question or providing a pre-set response.</w:t>
      </w:r>
      <w:r>
        <w:rPr>
          <w:rStyle w:val="FootnoteReference"/>
        </w:rPr>
        <w:footnoteReference w:id="147"/>
      </w:r>
    </w:p>
    <w:p w14:paraId="655DE562" w14:textId="41C9A134" w:rsidR="0098419E" w:rsidRDefault="0098419E" w:rsidP="0098419E">
      <w:pPr>
        <w:pStyle w:val="Heading3"/>
      </w:pPr>
      <w:bookmarkStart w:id="22" w:name="_Toc123809230"/>
      <w:r>
        <w:t>Policy Framing</w:t>
      </w:r>
      <w:bookmarkEnd w:id="22"/>
    </w:p>
    <w:p w14:paraId="6F3A0E19" w14:textId="71DDA87D" w:rsidR="0098419E" w:rsidRPr="0098419E" w:rsidRDefault="0098419E" w:rsidP="0098419E">
      <w:r>
        <w:t xml:space="preserve">A further method of </w:t>
      </w:r>
      <w:r w:rsidR="00CF5C0F">
        <w:t xml:space="preserve">indirectly </w:t>
      </w:r>
      <w:r>
        <w:t xml:space="preserve">assessing attitudes is the use of policy framing questions. In this method, </w:t>
      </w:r>
      <w:r w:rsidR="009E0371">
        <w:t>participants</w:t>
      </w:r>
      <w:r>
        <w:t xml:space="preserve"> are presented with a number of policies </w:t>
      </w:r>
      <w:r>
        <w:lastRenderedPageBreak/>
        <w:t>and asked to indicate their</w:t>
      </w:r>
      <w:r w:rsidR="009E0371">
        <w:t xml:space="preserve"> level of</w:t>
      </w:r>
      <w:r>
        <w:t xml:space="preserve"> support for </w:t>
      </w:r>
      <w:r w:rsidR="009E0371">
        <w:t>each policy.</w:t>
      </w:r>
      <w:r w:rsidR="00EB607D">
        <w:t xml:space="preserve"> The policies differ slightly</w:t>
      </w:r>
      <w:r w:rsidR="00CF5C0F">
        <w:t xml:space="preserve"> in terms of the trade-offs that would be required. For example, participants could be asked: 1) to indicate their support on a policy to increase </w:t>
      </w:r>
      <w:r w:rsidR="00C22E32">
        <w:t xml:space="preserve">social </w:t>
      </w:r>
      <w:r w:rsidR="00CF5C0F">
        <w:t>welfare payments</w:t>
      </w:r>
      <w:r w:rsidR="00C22E32">
        <w:t xml:space="preserve"> for disabled people</w:t>
      </w:r>
      <w:r w:rsidR="00CF5C0F">
        <w:t xml:space="preserve"> with </w:t>
      </w:r>
      <w:r w:rsidR="00EF593E">
        <w:t>no explicit trade-off mentioned;</w:t>
      </w:r>
      <w:r w:rsidR="00CF5C0F">
        <w:t xml:space="preserve"> 2) to indicate their support for increased social welfare payments</w:t>
      </w:r>
      <w:r w:rsidR="00C22E32">
        <w:t xml:space="preserve"> for disabled people</w:t>
      </w:r>
      <w:r w:rsidR="00CF5C0F">
        <w:t xml:space="preserve"> that would be</w:t>
      </w:r>
      <w:r w:rsidR="00EF593E">
        <w:t xml:space="preserve"> funded by budget re-allocation;</w:t>
      </w:r>
      <w:r w:rsidR="00CF5C0F">
        <w:t xml:space="preserve"> or 3) to indicate their support for increased social welfare payments </w:t>
      </w:r>
      <w:r w:rsidR="00C22E32">
        <w:t xml:space="preserve">for disabled people that would be </w:t>
      </w:r>
      <w:r w:rsidR="00CF5C0F">
        <w:t>funded by increased general taxation.</w:t>
      </w:r>
      <w:r w:rsidR="00984DD1">
        <w:t xml:space="preserve"> It could be expected that most people would indicate support for the first policy, but that less support might be elicited whe</w:t>
      </w:r>
      <w:r w:rsidR="001D3BFC">
        <w:t xml:space="preserve">n </w:t>
      </w:r>
      <w:r w:rsidR="00CB22B4">
        <w:t xml:space="preserve">trade-offs, that would impact the respondent, </w:t>
      </w:r>
      <w:r w:rsidR="00C22E32">
        <w:t>are made ex</w:t>
      </w:r>
      <w:r w:rsidR="00EF593E">
        <w:t xml:space="preserve">plicit. </w:t>
      </w:r>
      <w:r w:rsidR="00CB22B4">
        <w:t xml:space="preserve">Thus, </w:t>
      </w:r>
      <w:r w:rsidR="009F4B96">
        <w:t>revealing attitudes that may otherwise may have been concealed.</w:t>
      </w:r>
      <w:r w:rsidR="00C22E32">
        <w:t xml:space="preserve"> The NDA have recently commissioned the ESRI to indirectly examine attitudes towards disabled people in Ireland. Policy framing questions were incorporated into the experiment and the results will be </w:t>
      </w:r>
      <w:r w:rsidR="00EF593E">
        <w:t>reported elsewhere</w:t>
      </w:r>
      <w:r w:rsidR="00C22E32">
        <w:t>.</w:t>
      </w:r>
      <w:r w:rsidR="00984DD1">
        <w:t xml:space="preserve"> </w:t>
      </w:r>
      <w:r w:rsidR="00CF5C0F">
        <w:t xml:space="preserve"> </w:t>
      </w:r>
    </w:p>
    <w:p w14:paraId="4EE1C686" w14:textId="4561C855" w:rsidR="00BA1C93" w:rsidRDefault="001206AF" w:rsidP="00256A36">
      <w:pPr>
        <w:pStyle w:val="Heading3"/>
      </w:pPr>
      <w:bookmarkStart w:id="23" w:name="_Toc123809231"/>
      <w:r>
        <w:t xml:space="preserve">Threats to validity </w:t>
      </w:r>
      <w:r w:rsidR="007563ED">
        <w:t>associated with</w:t>
      </w:r>
      <w:r w:rsidR="00BA1C93">
        <w:t xml:space="preserve"> indirect </w:t>
      </w:r>
      <w:r w:rsidR="004976A6">
        <w:t>measures</w:t>
      </w:r>
      <w:bookmarkEnd w:id="23"/>
    </w:p>
    <w:p w14:paraId="2456E0A3" w14:textId="19CBC646" w:rsidR="002949C8" w:rsidRDefault="00BA1C93" w:rsidP="00BA1C93">
      <w:r>
        <w:t>Although indirect measures have the potential to address some of the threats to validity associated with direct measures,</w:t>
      </w:r>
      <w:r w:rsidR="009E38C9">
        <w:t xml:space="preserve"> such as reducing the occurrence of socially desirable responding,</w:t>
      </w:r>
      <w:r>
        <w:t xml:space="preserve"> they are not without </w:t>
      </w:r>
      <w:r w:rsidR="009E38C9">
        <w:t>criti</w:t>
      </w:r>
      <w:r w:rsidR="00B81045">
        <w:t>ci</w:t>
      </w:r>
      <w:r w:rsidR="009E38C9">
        <w:t>sm</w:t>
      </w:r>
      <w:r>
        <w:t>.</w:t>
      </w:r>
      <w:r w:rsidR="00DA3FBB">
        <w:t xml:space="preserve"> Although earlier work found that the IAT demonstrated high test-retest validity</w:t>
      </w:r>
      <w:r w:rsidR="00EF593E">
        <w:t>,</w:t>
      </w:r>
      <w:r w:rsidR="00DA3FBB">
        <w:rPr>
          <w:rStyle w:val="FootnoteReference"/>
        </w:rPr>
        <w:footnoteReference w:id="148"/>
      </w:r>
      <w:r w:rsidR="00DA3FBB">
        <w:t xml:space="preserve"> later work has challenged this.</w:t>
      </w:r>
      <w:r w:rsidR="00751574">
        <w:rPr>
          <w:rStyle w:val="FootnoteReference"/>
        </w:rPr>
        <w:footnoteReference w:id="149"/>
      </w:r>
      <w:r w:rsidR="00DA3FBB">
        <w:t xml:space="preserve"> </w:t>
      </w:r>
      <w:r w:rsidR="004F0BF6">
        <w:t>Indirect</w:t>
      </w:r>
      <w:r w:rsidR="007F04DA">
        <w:t xml:space="preserve"> measures of</w:t>
      </w:r>
      <w:r w:rsidR="004F0BF6">
        <w:t xml:space="preserve"> attitudes have since been shown to have low test-re-test reliability, exhibit low predictive validity</w:t>
      </w:r>
      <w:r w:rsidR="004E516B">
        <w:t xml:space="preserve"> and</w:t>
      </w:r>
      <w:r w:rsidR="004F0BF6">
        <w:t xml:space="preserve"> </w:t>
      </w:r>
      <w:r w:rsidR="00301DF1">
        <w:t>scores can vary due t</w:t>
      </w:r>
      <w:r w:rsidR="004F0BF6">
        <w:t>o context or situation</w:t>
      </w:r>
      <w:r w:rsidR="00CA2AC2">
        <w:t>al</w:t>
      </w:r>
      <w:r w:rsidR="004F0BF6">
        <w:t xml:space="preserve"> factors</w:t>
      </w:r>
      <w:r w:rsidR="004E516B">
        <w:t xml:space="preserve">. In addition, </w:t>
      </w:r>
      <w:r w:rsidR="00AF0E3C">
        <w:t xml:space="preserve">various </w:t>
      </w:r>
      <w:r w:rsidR="00EF593E">
        <w:t>in</w:t>
      </w:r>
      <w:r w:rsidR="00AF0E3C">
        <w:t xml:space="preserve">direct measures </w:t>
      </w:r>
      <w:r w:rsidR="004F0BF6">
        <w:t>often correlate</w:t>
      </w:r>
      <w:r w:rsidR="00AF0E3C">
        <w:t xml:space="preserve"> weak</w:t>
      </w:r>
      <w:r w:rsidR="004F0BF6">
        <w:t>ly with one another</w:t>
      </w:r>
      <w:r w:rsidR="00717D42">
        <w:t>.</w:t>
      </w:r>
      <w:r w:rsidR="00717D42">
        <w:rPr>
          <w:rStyle w:val="FootnoteReference"/>
        </w:rPr>
        <w:footnoteReference w:id="150"/>
      </w:r>
      <w:r w:rsidRPr="00BA1C93">
        <w:t xml:space="preserve"> This may be a result of issues with reliability within the instruments used, or it may be the result of different task demands</w:t>
      </w:r>
      <w:r w:rsidR="00EF593E">
        <w:t>;</w:t>
      </w:r>
      <w:r w:rsidRPr="00BA1C93">
        <w:t xml:space="preserve"> </w:t>
      </w:r>
      <w:r w:rsidR="00CA2AC2">
        <w:t xml:space="preserve">lending </w:t>
      </w:r>
      <w:r w:rsidRPr="00BA1C93">
        <w:t>some researchers</w:t>
      </w:r>
      <w:r w:rsidR="00EF593E">
        <w:t xml:space="preserve"> to</w:t>
      </w:r>
      <w:r w:rsidRPr="00BA1C93">
        <w:t xml:space="preserve"> recommend that any conclusions about implicit attitudes should be based on multiple indirect measures</w:t>
      </w:r>
      <w:r w:rsidR="009A3744">
        <w:t>.</w:t>
      </w:r>
      <w:r w:rsidR="00717D42">
        <w:rPr>
          <w:rStyle w:val="FootnoteReference"/>
        </w:rPr>
        <w:footnoteReference w:id="151"/>
      </w:r>
      <w:r w:rsidR="00A27741">
        <w:t xml:space="preserve"> </w:t>
      </w:r>
      <w:r w:rsidR="009A3744">
        <w:t>O</w:t>
      </w:r>
      <w:r w:rsidR="00A27741">
        <w:t>ther researchers question the</w:t>
      </w:r>
      <w:r w:rsidR="00496CEC">
        <w:t xml:space="preserve"> overall</w:t>
      </w:r>
      <w:r w:rsidR="00EF593E">
        <w:t xml:space="preserve"> value of indirect measures</w:t>
      </w:r>
      <w:r w:rsidR="00A27741">
        <w:t xml:space="preserve"> </w:t>
      </w:r>
      <w:r w:rsidR="002964FD">
        <w:t>as, in some cases,</w:t>
      </w:r>
      <w:r w:rsidR="00A27741">
        <w:t xml:space="preserve"> they have </w:t>
      </w:r>
      <w:r w:rsidR="002964FD">
        <w:t>demonstrated</w:t>
      </w:r>
      <w:r w:rsidR="00A27741">
        <w:t xml:space="preserve"> </w:t>
      </w:r>
      <w:r w:rsidR="002949C8">
        <w:t>similar, or poorer</w:t>
      </w:r>
      <w:r w:rsidR="00A27741">
        <w:t xml:space="preserve"> abilities to predict discriminatory behaviours than direct </w:t>
      </w:r>
      <w:r w:rsidR="00090F97">
        <w:t>measures</w:t>
      </w:r>
      <w:r w:rsidR="00EF593E">
        <w:t>.</w:t>
      </w:r>
      <w:r w:rsidR="00EF593E">
        <w:rPr>
          <w:rStyle w:val="FootnoteReference"/>
        </w:rPr>
        <w:footnoteReference w:id="152"/>
      </w:r>
      <w:r w:rsidR="00A27741">
        <w:t xml:space="preserve"> </w:t>
      </w:r>
      <w:r w:rsidR="002949C8">
        <w:t>Some researchers have also argued</w:t>
      </w:r>
      <w:r w:rsidR="00EF593E">
        <w:t xml:space="preserve"> that</w:t>
      </w:r>
      <w:r w:rsidR="00AD78BD">
        <w:t xml:space="preserve"> no</w:t>
      </w:r>
      <w:r w:rsidR="002949C8">
        <w:t xml:space="preserve"> indirect measures </w:t>
      </w:r>
      <w:r w:rsidR="00AD78BD">
        <w:t>are complete</w:t>
      </w:r>
      <w:r w:rsidR="009131FD">
        <w:t>ly</w:t>
      </w:r>
      <w:r w:rsidR="00AD78BD">
        <w:t xml:space="preserve"> free of a</w:t>
      </w:r>
      <w:r w:rsidR="00C02E90">
        <w:t xml:space="preserve"> conscious component</w:t>
      </w:r>
      <w:r w:rsidR="009131FD">
        <w:t xml:space="preserve"> and may be amenable to voluntary control</w:t>
      </w:r>
      <w:r w:rsidR="00EF593E">
        <w:t>.</w:t>
      </w:r>
      <w:r w:rsidR="009131FD">
        <w:rPr>
          <w:rStyle w:val="FootnoteReference"/>
        </w:rPr>
        <w:footnoteReference w:id="153"/>
      </w:r>
      <w:r w:rsidR="00C02E90">
        <w:t xml:space="preserve"> Faz</w:t>
      </w:r>
      <w:r w:rsidR="002949C8">
        <w:t xml:space="preserve">io and Olsen (2003) state: </w:t>
      </w:r>
    </w:p>
    <w:p w14:paraId="1CEBBB45" w14:textId="4223C753" w:rsidR="009C66A8" w:rsidRDefault="002949C8" w:rsidP="00BC6485">
      <w:pPr>
        <w:pStyle w:val="BlockQuote"/>
      </w:pPr>
      <w:r>
        <w:lastRenderedPageBreak/>
        <w:t>Nothing about our current implicit measurement procedures, be it a priming method, the IAT, or one of the other techniques mentioned earlier, guarantees that participants are unaware of their attitudes. p 9.</w:t>
      </w:r>
    </w:p>
    <w:p w14:paraId="61FDADAA" w14:textId="49EDECF8" w:rsidR="003D11ED" w:rsidRDefault="003D11ED" w:rsidP="003D11ED">
      <w:pPr>
        <w:pStyle w:val="Heading1"/>
      </w:pPr>
      <w:bookmarkStart w:id="24" w:name="_Toc123809232"/>
      <w:r>
        <w:t>Comparison of indirect and direct measures</w:t>
      </w:r>
      <w:bookmarkEnd w:id="24"/>
    </w:p>
    <w:p w14:paraId="54236B80" w14:textId="3FE226F7" w:rsidR="00436B29" w:rsidRDefault="009D386F" w:rsidP="00436B29">
      <w:pPr>
        <w:pStyle w:val="Heading2"/>
      </w:pPr>
      <w:bookmarkStart w:id="25" w:name="_Toc123809233"/>
      <w:r>
        <w:t>E</w:t>
      </w:r>
      <w:r w:rsidR="00436B29">
        <w:t>valuation of the List Method compared to other</w:t>
      </w:r>
      <w:r w:rsidR="00436B29">
        <w:rPr>
          <w:rStyle w:val="CommentReference"/>
          <w:rFonts w:ascii="Arial" w:hAnsi="Arial" w:cs="Times New Roman"/>
        </w:rPr>
        <w:t xml:space="preserve"> </w:t>
      </w:r>
      <w:r w:rsidR="00436B29" w:rsidRPr="00436B29">
        <w:rPr>
          <w:rStyle w:val="CommentReference"/>
          <w:rFonts w:cs="Times New Roman"/>
          <w:sz w:val="28"/>
          <w:szCs w:val="28"/>
        </w:rPr>
        <w:t>indirect t</w:t>
      </w:r>
      <w:r w:rsidR="00436B29" w:rsidRPr="00436B29">
        <w:t>echniques</w:t>
      </w:r>
      <w:bookmarkEnd w:id="25"/>
      <w:r w:rsidR="00436B29">
        <w:t xml:space="preserve"> </w:t>
      </w:r>
    </w:p>
    <w:p w14:paraId="4327D5DA" w14:textId="075817BC" w:rsidR="00436B29" w:rsidRDefault="00436B29" w:rsidP="00436B29">
      <w:r>
        <w:t xml:space="preserve">A 2016 </w:t>
      </w:r>
      <w:r w:rsidRPr="00A97ECA">
        <w:t xml:space="preserve">study </w:t>
      </w:r>
      <w:r w:rsidRPr="00A5284E">
        <w:t xml:space="preserve">empirically </w:t>
      </w:r>
      <w:r>
        <w:t>evaluated</w:t>
      </w:r>
      <w:r w:rsidRPr="00A5284E">
        <w:t xml:space="preserve"> </w:t>
      </w:r>
      <w:r>
        <w:t xml:space="preserve">the performance </w:t>
      </w:r>
      <w:r w:rsidRPr="00A97ECA">
        <w:t xml:space="preserve">of </w:t>
      </w:r>
      <w:r>
        <w:t xml:space="preserve">the list experiment, the randomised response method, the endorsement method and the direct questioning method </w:t>
      </w:r>
      <w:r w:rsidRPr="00A5284E">
        <w:t>against true information</w:t>
      </w:r>
      <w:r>
        <w:t xml:space="preserve"> available by county for the </w:t>
      </w:r>
      <w:r w:rsidRPr="00C50564">
        <w:t>20</w:t>
      </w:r>
      <w:r>
        <w:t>11 Mississippi General Election,</w:t>
      </w:r>
      <w:r w:rsidRPr="008A0CDA">
        <w:t xml:space="preserve"> </w:t>
      </w:r>
      <w:r>
        <w:t>which included a sensitive personhood amendment</w:t>
      </w:r>
      <w:r w:rsidRPr="00C55296">
        <w:t>.</w:t>
      </w:r>
      <w:r w:rsidRPr="00C55296">
        <w:rPr>
          <w:vertAlign w:val="superscript"/>
        </w:rPr>
        <w:footnoteReference w:id="154"/>
      </w:r>
      <w:r w:rsidRPr="00C55296">
        <w:t xml:space="preserve"> </w:t>
      </w:r>
      <w:r w:rsidRPr="00125BF8">
        <w:t>The Mississippi study found that direct questioning led to underestimation of casting a “no” vote, which was the socially undesirable behaviour in the context of that referendum, by more than 20 percentage points in most counties. In contrast, all three indirect techniques provided estimates closer to the actual vote count. The</w:t>
      </w:r>
      <w:r w:rsidR="009D386F">
        <w:t xml:space="preserve"> randomis</w:t>
      </w:r>
      <w:r w:rsidRPr="00125BF8">
        <w:t>ed response method yielded a higher non-response rate than other indirect meth</w:t>
      </w:r>
      <w:r w:rsidR="009D386F">
        <w:t>ods but was lower than the non-</w:t>
      </w:r>
      <w:r w:rsidRPr="00125BF8">
        <w:t>response rate with direct questioning, which is consistent with previous studies.</w:t>
      </w:r>
      <w:r>
        <w:t xml:space="preserve"> While i</w:t>
      </w:r>
      <w:r w:rsidRPr="00C4258E">
        <w:t xml:space="preserve">ndirect methods </w:t>
      </w:r>
      <w:r w:rsidRPr="00D51DFC">
        <w:t>reduced non-response and social desirability</w:t>
      </w:r>
      <w:r w:rsidRPr="00C4258E">
        <w:t xml:space="preserve"> bias relative to the direct question</w:t>
      </w:r>
      <w:r>
        <w:t xml:space="preserve">, it </w:t>
      </w:r>
      <w:r w:rsidRPr="00271485">
        <w:t>produce</w:t>
      </w:r>
      <w:r>
        <w:t>d estimates that were</w:t>
      </w:r>
      <w:r w:rsidRPr="00271485">
        <w:t xml:space="preserve"> less efficient than direct questioning.</w:t>
      </w:r>
      <w:r>
        <w:t xml:space="preserve"> </w:t>
      </w:r>
      <w:r w:rsidRPr="00271485">
        <w:t>Recent research has sought to address this issue by developing models that combine experimental techniques, such as list and endorsement, in order to recoup this loss of efficiency</w:t>
      </w:r>
      <w:r>
        <w:t xml:space="preserve">. </w:t>
      </w:r>
    </w:p>
    <w:p w14:paraId="37332AC5" w14:textId="77777777" w:rsidR="009D386F" w:rsidRDefault="009D386F" w:rsidP="009D386F">
      <w:r>
        <w:t>The research highlighted</w:t>
      </w:r>
      <w:r w:rsidRPr="00D51DFC">
        <w:t xml:space="preserve"> </w:t>
      </w:r>
      <w:r>
        <w:t xml:space="preserve">some of the strengths and weaknesses of each method and </w:t>
      </w:r>
      <w:r w:rsidRPr="00D51DFC">
        <w:t xml:space="preserve">trade-offs </w:t>
      </w:r>
      <w:r>
        <w:t xml:space="preserve">to be </w:t>
      </w:r>
      <w:r w:rsidRPr="00D51DFC">
        <w:t>consider</w:t>
      </w:r>
      <w:r>
        <w:t>ed</w:t>
      </w:r>
      <w:r w:rsidRPr="00D51DFC">
        <w:t xml:space="preserve"> </w:t>
      </w:r>
      <w:r>
        <w:t>when</w:t>
      </w:r>
      <w:r w:rsidRPr="00D51DFC">
        <w:t xml:space="preserve"> choosing </w:t>
      </w:r>
      <w:r>
        <w:t>a survey method</w:t>
      </w:r>
      <w:r w:rsidRPr="00D51DFC">
        <w:t xml:space="preserve"> for eliciting r</w:t>
      </w:r>
      <w:r>
        <w:t>esponses to sensitive questions might include the following:</w:t>
      </w:r>
      <w:r>
        <w:rPr>
          <w:rStyle w:val="FootnoteReference"/>
        </w:rPr>
        <w:footnoteReference w:id="155"/>
      </w:r>
      <w:r w:rsidRPr="00D51DFC">
        <w:t xml:space="preserve"> </w:t>
      </w:r>
    </w:p>
    <w:p w14:paraId="40FC96C4" w14:textId="2A29F536" w:rsidR="009D386F" w:rsidRDefault="009D386F" w:rsidP="009D386F">
      <w:pPr>
        <w:pStyle w:val="ListBullet"/>
      </w:pPr>
      <w:r>
        <w:t>Cost considerations/resource constraints:</w:t>
      </w:r>
      <w:r w:rsidRPr="00705764">
        <w:t xml:space="preserve"> indirect questions involve using more space on a survey than a simple direct question. In applied work, the endorsement experiment is likely to be the most expensive, as gaining statistical power requires offering each respondent</w:t>
      </w:r>
      <w:r>
        <w:t xml:space="preserve"> multiple endorsement questions. </w:t>
      </w:r>
      <w:r w:rsidR="00A56C44">
        <w:t>Both randomis</w:t>
      </w:r>
      <w:r w:rsidRPr="00705764">
        <w:t xml:space="preserve">ed response methods and list experiments require </w:t>
      </w:r>
      <w:r w:rsidRPr="00705764">
        <w:lastRenderedPageBreak/>
        <w:t>explanatory time, though each is more efficient than the endorsement experiment in terms of total responses for a given level of power.</w:t>
      </w:r>
    </w:p>
    <w:p w14:paraId="3530B6D1" w14:textId="77777777" w:rsidR="009D386F" w:rsidRDefault="009D386F" w:rsidP="009D386F">
      <w:pPr>
        <w:pStyle w:val="ListBullet"/>
      </w:pPr>
      <w:r>
        <w:t>A randomised controlled study</w:t>
      </w:r>
      <w:r w:rsidRPr="00271485">
        <w:t xml:space="preserve"> </w:t>
      </w:r>
      <w:r>
        <w:t xml:space="preserve">on </w:t>
      </w:r>
      <w:r w:rsidRPr="00271485">
        <w:t>the</w:t>
      </w:r>
      <w:r>
        <w:t xml:space="preserve"> impact of interventions on sensitive attitudes </w:t>
      </w:r>
      <w:r w:rsidRPr="00271485">
        <w:t xml:space="preserve">may be less interested in bias than in statistical efficiency, because, under the assumption that the response bias is identical across treatment arms (and not so large that floor or ceiling effects interfere with </w:t>
      </w:r>
      <w:r>
        <w:t>estimates of attitudes in each group), the study</w:t>
      </w:r>
      <w:r w:rsidRPr="00271485">
        <w:t xml:space="preserve"> will still recover a valid estimate of the treatment effect. They might therefore choose direct questions even though the levels will be biased on sensitive traits.</w:t>
      </w:r>
    </w:p>
    <w:p w14:paraId="28E2530F" w14:textId="3ED0460A" w:rsidR="009D386F" w:rsidRDefault="009D386F" w:rsidP="009D386F">
      <w:pPr>
        <w:pStyle w:val="ListBullet"/>
      </w:pPr>
      <w:r w:rsidRPr="00271485">
        <w:t>Researchers seeking to measure attitudes to evaluate claims about the prevalence of sensitive attitudes and behaviou</w:t>
      </w:r>
      <w:r>
        <w:t xml:space="preserve">rs </w:t>
      </w:r>
      <w:r w:rsidRPr="00271485">
        <w:t>may be more concerned with avoiding</w:t>
      </w:r>
      <w:r w:rsidR="00091EEB">
        <w:t xml:space="preserve"> any bias and so choose randomis</w:t>
      </w:r>
      <w:r w:rsidRPr="00271485">
        <w:t>ed response.</w:t>
      </w:r>
    </w:p>
    <w:p w14:paraId="4BDC61EC" w14:textId="25373DF1" w:rsidR="00436B29" w:rsidRDefault="009D386F" w:rsidP="009D386F">
      <w:pPr>
        <w:pStyle w:val="ListBullet"/>
      </w:pPr>
      <w:r>
        <w:t>C</w:t>
      </w:r>
      <w:r w:rsidRPr="00705764">
        <w:t>ognitive difficulties for minimally educated populations may make some modes of indirect questioning less efficacious. Endorsement experiments have worked well with such populations in Afgha</w:t>
      </w:r>
      <w:r w:rsidR="00091EEB">
        <w:t>nistan and Pakistan and the randomis</w:t>
      </w:r>
      <w:r w:rsidRPr="00705764">
        <w:t xml:space="preserve">ed response </w:t>
      </w:r>
      <w:r>
        <w:t xml:space="preserve">technique </w:t>
      </w:r>
      <w:r w:rsidRPr="00705764">
        <w:t xml:space="preserve">was successfully applied to an environment where gambling </w:t>
      </w:r>
      <w:r>
        <w:t>with dice is common</w:t>
      </w:r>
      <w:r w:rsidRPr="00705764">
        <w:t>.</w:t>
      </w:r>
    </w:p>
    <w:p w14:paraId="2E8ECAA6" w14:textId="62743636" w:rsidR="00436B29" w:rsidRDefault="00436B29" w:rsidP="00436B29">
      <w:r w:rsidRPr="003B39D9">
        <w:t>Even with a common statistical framework, the relative performance of these indirect approaches may be context specific, in terms of the bias-efficiency trade-off as well as their ability to limit the influence of experimenter demand effects on survey responses. Ideally, applied researchers would have a body of validation studies to consult in choosing the method to use for their own research in a specific context.</w:t>
      </w:r>
      <w:r w:rsidRPr="003B39D9">
        <w:rPr>
          <w:rFonts w:ascii="Gill Sans" w:hAnsi="Gill Sans"/>
          <w:sz w:val="22"/>
          <w:vertAlign w:val="superscript"/>
        </w:rPr>
        <w:footnoteReference w:id="156"/>
      </w:r>
    </w:p>
    <w:p w14:paraId="5C9BD5C9" w14:textId="1A73CB44" w:rsidR="00CD4830" w:rsidRDefault="009D386F" w:rsidP="00CD4830">
      <w:pPr>
        <w:pStyle w:val="Heading2"/>
      </w:pPr>
      <w:bookmarkStart w:id="26" w:name="_Toc123809234"/>
      <w:r>
        <w:t>Relationship between indirect and direct measures</w:t>
      </w:r>
      <w:bookmarkEnd w:id="26"/>
      <w:r w:rsidR="00CD4830">
        <w:t xml:space="preserve"> </w:t>
      </w:r>
    </w:p>
    <w:p w14:paraId="2253D107" w14:textId="33F68674" w:rsidR="007A78E2" w:rsidRDefault="007A78E2" w:rsidP="00D51313">
      <w:pPr>
        <w:pStyle w:val="ListBullet"/>
        <w:numPr>
          <w:ilvl w:val="0"/>
          <w:numId w:val="0"/>
        </w:numPr>
      </w:pPr>
      <w:r>
        <w:t xml:space="preserve">Many studies have examined </w:t>
      </w:r>
      <w:r w:rsidR="0096142E">
        <w:t xml:space="preserve">both </w:t>
      </w:r>
      <w:r>
        <w:t>implicit and explicit biases towards people with disabilities</w:t>
      </w:r>
      <w:r w:rsidR="00C2659F">
        <w:t xml:space="preserve"> in tandem</w:t>
      </w:r>
      <w:r>
        <w:t xml:space="preserve"> </w:t>
      </w:r>
      <w:r w:rsidR="0096142E">
        <w:t xml:space="preserve">to assess </w:t>
      </w:r>
      <w:r>
        <w:t>whether</w:t>
      </w:r>
      <w:r w:rsidR="00541215">
        <w:t xml:space="preserve"> </w:t>
      </w:r>
      <w:r w:rsidR="00883E52">
        <w:t xml:space="preserve">or not </w:t>
      </w:r>
      <w:r w:rsidR="00541215">
        <w:t xml:space="preserve">they align and if and how </w:t>
      </w:r>
      <w:r>
        <w:t>they interact</w:t>
      </w:r>
      <w:r w:rsidR="00717D42">
        <w:t>.</w:t>
      </w:r>
      <w:r w:rsidR="00717D42">
        <w:rPr>
          <w:rStyle w:val="FootnoteReference"/>
        </w:rPr>
        <w:footnoteReference w:id="157"/>
      </w:r>
      <w:r>
        <w:t xml:space="preserve"> </w:t>
      </w:r>
      <w:r w:rsidR="00717D42">
        <w:t>Research</w:t>
      </w:r>
      <w:r w:rsidR="008E5CBD">
        <w:t xml:space="preserve"> has consistently found</w:t>
      </w:r>
      <w:r w:rsidR="00883E52">
        <w:t xml:space="preserve"> that r</w:t>
      </w:r>
      <w:r w:rsidR="00922066">
        <w:t>espondents tend to report positi</w:t>
      </w:r>
      <w:r w:rsidR="00B81045">
        <w:t>ve attitudes</w:t>
      </w:r>
      <w:r w:rsidR="00883E52" w:rsidRPr="00883E52">
        <w:t xml:space="preserve"> towards people with disabilities</w:t>
      </w:r>
      <w:r w:rsidR="00B81045">
        <w:t xml:space="preserve"> on direct measures</w:t>
      </w:r>
      <w:r w:rsidR="00922066">
        <w:t xml:space="preserve"> while their scores on indirect measures indicate more </w:t>
      </w:r>
      <w:r w:rsidR="0041655C">
        <w:t>negative</w:t>
      </w:r>
      <w:r w:rsidR="00922066">
        <w:t xml:space="preserve"> attitudes. </w:t>
      </w:r>
      <w:r w:rsidR="00794821">
        <w:t xml:space="preserve">For example, </w:t>
      </w:r>
      <w:r w:rsidR="00C505B2">
        <w:t xml:space="preserve">Ferrarea </w:t>
      </w:r>
      <w:r w:rsidR="00F9532B">
        <w:t>et al.</w:t>
      </w:r>
      <w:r w:rsidR="00F44020">
        <w:t xml:space="preserve"> (2015) compared scores on an indirect measure to scores on a direct measure</w:t>
      </w:r>
      <w:r w:rsidR="005A6E8B">
        <w:t xml:space="preserve"> </w:t>
      </w:r>
      <w:r w:rsidR="00F44020">
        <w:t>to a</w:t>
      </w:r>
      <w:r w:rsidR="0041655C">
        <w:t>ssess attitudes to people with I</w:t>
      </w:r>
      <w:r w:rsidR="00C2659F">
        <w:t xml:space="preserve">ntellectual </w:t>
      </w:r>
      <w:r w:rsidR="00F8568C">
        <w:t>Disability</w:t>
      </w:r>
      <w:r w:rsidR="0041655C">
        <w:t>. Overall, p</w:t>
      </w:r>
      <w:r w:rsidR="00F44020">
        <w:t xml:space="preserve">articipants (college students) exhibited very positive attitudes </w:t>
      </w:r>
      <w:r w:rsidR="00C2659F">
        <w:t xml:space="preserve">towards disabled people </w:t>
      </w:r>
      <w:r w:rsidR="0041655C">
        <w:t>on the direct measure</w:t>
      </w:r>
      <w:r w:rsidR="00F44020">
        <w:t xml:space="preserve"> but scores on the indirect measure indicated a bias </w:t>
      </w:r>
      <w:r w:rsidR="00BE51F2">
        <w:t>in favour of</w:t>
      </w:r>
      <w:r w:rsidR="00F44020">
        <w:t xml:space="preserve"> </w:t>
      </w:r>
      <w:r w:rsidR="00177719">
        <w:t>non-disabled people</w:t>
      </w:r>
      <w:r w:rsidR="00F44020">
        <w:t xml:space="preserve">. </w:t>
      </w:r>
      <w:r w:rsidR="005E5EAC">
        <w:t>I</w:t>
      </w:r>
      <w:r w:rsidR="0041655C">
        <w:t>n another study, Friedman et al.</w:t>
      </w:r>
      <w:r w:rsidR="005521E3">
        <w:t xml:space="preserve"> (2019) examined explicit and implicit attitudes of family member</w:t>
      </w:r>
      <w:r w:rsidR="00177719">
        <w:t>s</w:t>
      </w:r>
      <w:r w:rsidR="005521E3">
        <w:t xml:space="preserve"> of people with </w:t>
      </w:r>
      <w:r w:rsidR="005521E3">
        <w:lastRenderedPageBreak/>
        <w:t>disabilities and also found that</w:t>
      </w:r>
      <w:r w:rsidR="00C2659F">
        <w:t>,</w:t>
      </w:r>
      <w:r w:rsidR="005521E3">
        <w:t xml:space="preserve"> although family members reported no preference between disabled and non-disabled people</w:t>
      </w:r>
      <w:r w:rsidR="00C2659F">
        <w:t xml:space="preserve"> on the </w:t>
      </w:r>
      <w:r w:rsidR="005A6E8B">
        <w:t xml:space="preserve">direct </w:t>
      </w:r>
      <w:r w:rsidR="00C2659F">
        <w:t>measures</w:t>
      </w:r>
      <w:r w:rsidR="005521E3">
        <w:t>,</w:t>
      </w:r>
      <w:r w:rsidR="00C2659F">
        <w:t xml:space="preserve"> scores on the i</w:t>
      </w:r>
      <w:r w:rsidR="005A6E8B">
        <w:t>ndirect</w:t>
      </w:r>
      <w:r w:rsidR="00C2659F">
        <w:t xml:space="preserve"> measures</w:t>
      </w:r>
      <w:r w:rsidR="005521E3">
        <w:t xml:space="preserve"> indicated a strong pref</w:t>
      </w:r>
      <w:r w:rsidR="00BE51F2">
        <w:t xml:space="preserve">erence for non-disabled people. </w:t>
      </w:r>
      <w:r w:rsidR="00431146">
        <w:t>S</w:t>
      </w:r>
      <w:r w:rsidR="00BE51F2">
        <w:t>imilar findings</w:t>
      </w:r>
      <w:r w:rsidR="00431146">
        <w:t xml:space="preserve"> have been observed elsewhere in relation to, for example, </w:t>
      </w:r>
      <w:r w:rsidR="00BE51F2">
        <w:t>people on the autism spectrum</w:t>
      </w:r>
      <w:r w:rsidR="00054357">
        <w:t>,</w:t>
      </w:r>
      <w:r w:rsidR="00BE51F2">
        <w:rPr>
          <w:rStyle w:val="FootnoteReference"/>
        </w:rPr>
        <w:footnoteReference w:id="158"/>
      </w:r>
      <w:r w:rsidR="00BE51F2">
        <w:t xml:space="preserve"> </w:t>
      </w:r>
      <w:r w:rsidR="00F9532B">
        <w:t xml:space="preserve">and </w:t>
      </w:r>
      <w:r w:rsidR="00054357">
        <w:t>people with mental illness</w:t>
      </w:r>
      <w:r w:rsidR="00F9532B">
        <w:t>.</w:t>
      </w:r>
      <w:r w:rsidR="00054357">
        <w:rPr>
          <w:rStyle w:val="FootnoteReference"/>
        </w:rPr>
        <w:footnoteReference w:id="159"/>
      </w:r>
    </w:p>
    <w:p w14:paraId="12428E8C" w14:textId="16348A30" w:rsidR="00B66AA7" w:rsidRDefault="00C2659F" w:rsidP="00174704">
      <w:pPr>
        <w:pStyle w:val="ListBullet"/>
        <w:numPr>
          <w:ilvl w:val="0"/>
          <w:numId w:val="0"/>
        </w:numPr>
      </w:pPr>
      <w:r>
        <w:t xml:space="preserve">In addition to </w:t>
      </w:r>
      <w:r w:rsidR="009F11EC">
        <w:t>how people score</w:t>
      </w:r>
      <w:r w:rsidR="00DE6C8F">
        <w:t xml:space="preserve"> on direct and indirect measures, many studies have assessed whether statistical correlati</w:t>
      </w:r>
      <w:r w:rsidR="002D5530">
        <w:t>ons exist between measures</w:t>
      </w:r>
      <w:r w:rsidR="00913825">
        <w:t>.</w:t>
      </w:r>
      <w:r w:rsidR="00B91DE0">
        <w:rPr>
          <w:rStyle w:val="FootnoteReference"/>
        </w:rPr>
        <w:footnoteReference w:id="160"/>
      </w:r>
      <w:r w:rsidR="00913825">
        <w:t xml:space="preserve"> </w:t>
      </w:r>
      <w:r w:rsidR="00CA2AC2">
        <w:t xml:space="preserve">A majority of studies report weak or non-existent </w:t>
      </w:r>
      <w:r w:rsidR="00B30137">
        <w:t xml:space="preserve">correlations </w:t>
      </w:r>
      <w:r w:rsidR="00CA2AC2">
        <w:t>between direct and indirect measures</w:t>
      </w:r>
      <w:r w:rsidR="005E5EAC">
        <w:t xml:space="preserve">. </w:t>
      </w:r>
      <w:r w:rsidR="0046636C" w:rsidRPr="0046636C">
        <w:t xml:space="preserve">In a systematic review, </w:t>
      </w:r>
      <w:r w:rsidR="00CA2AC2">
        <w:t xml:space="preserve">for example, </w:t>
      </w:r>
      <w:r w:rsidR="00CA2AC2" w:rsidRPr="0046636C">
        <w:t xml:space="preserve">Wilson and Scior (2014) found that, of the 11 studies </w:t>
      </w:r>
      <w:r w:rsidR="00CA2AC2">
        <w:t xml:space="preserve">that </w:t>
      </w:r>
      <w:r w:rsidR="00CA2AC2" w:rsidRPr="0046636C">
        <w:t>assessed relationships between scores on the IAT and scores on direct measures, five found no correlations while the remaining s</w:t>
      </w:r>
      <w:r w:rsidR="00CA2AC2">
        <w:t>ix found only weak correlations</w:t>
      </w:r>
      <w:r w:rsidR="0046636C" w:rsidRPr="0046636C">
        <w:t>.</w:t>
      </w:r>
      <w:r w:rsidR="005E5EAC" w:rsidRPr="005E5EAC">
        <w:t xml:space="preserve"> </w:t>
      </w:r>
      <w:r w:rsidR="00B66AA7">
        <w:t xml:space="preserve">Potential reasons for weak and non-existent correlations include: </w:t>
      </w:r>
    </w:p>
    <w:p w14:paraId="32DAC137" w14:textId="14F3970A" w:rsidR="0046636C" w:rsidRDefault="00035447" w:rsidP="00B66AA7">
      <w:pPr>
        <w:pStyle w:val="ListBullet"/>
      </w:pPr>
      <w:r>
        <w:t>t</w:t>
      </w:r>
      <w:r w:rsidR="00B66AA7">
        <w:t xml:space="preserve">hat </w:t>
      </w:r>
      <w:r w:rsidR="005E5EAC">
        <w:t>implicit and explicit attitudes are two distinct but related constructs</w:t>
      </w:r>
      <w:r w:rsidR="008E5CBD">
        <w:rPr>
          <w:rStyle w:val="FootnoteReference"/>
        </w:rPr>
        <w:footnoteReference w:id="161"/>
      </w:r>
    </w:p>
    <w:p w14:paraId="3D709C63" w14:textId="7250F4AD" w:rsidR="00B66AA7" w:rsidRDefault="00035447" w:rsidP="00B66AA7">
      <w:pPr>
        <w:pStyle w:val="ListBullet"/>
      </w:pPr>
      <w:r>
        <w:t>f</w:t>
      </w:r>
      <w:r w:rsidR="00B10913">
        <w:t>actors rel</w:t>
      </w:r>
      <w:r w:rsidR="00B542A7">
        <w:t xml:space="preserve">ated to the task procedure; for example, </w:t>
      </w:r>
      <w:r w:rsidR="00743B67">
        <w:t xml:space="preserve">presenting </w:t>
      </w:r>
      <w:r>
        <w:t>direct</w:t>
      </w:r>
      <w:r w:rsidR="00743B67">
        <w:t xml:space="preserve"> </w:t>
      </w:r>
      <w:r w:rsidR="00053B64">
        <w:t>measures</w:t>
      </w:r>
      <w:r>
        <w:t xml:space="preserve"> before indirect</w:t>
      </w:r>
      <w:r w:rsidR="00743B67">
        <w:t xml:space="preserve"> </w:t>
      </w:r>
      <w:r w:rsidR="00053B64">
        <w:t>measures</w:t>
      </w:r>
      <w:r w:rsidR="00743B67">
        <w:t xml:space="preserve"> have been found to produce higher correlations</w:t>
      </w:r>
      <w:r>
        <w:t>, p</w:t>
      </w:r>
      <w:r w:rsidR="00B542A7">
        <w:t>otentially</w:t>
      </w:r>
      <w:r>
        <w:t xml:space="preserve"> because people are primed by the answering question on the direct measure</w:t>
      </w:r>
      <w:r w:rsidR="00B542A7">
        <w:t>.</w:t>
      </w:r>
      <w:r w:rsidR="00743B67">
        <w:rPr>
          <w:rStyle w:val="FootnoteReference"/>
        </w:rPr>
        <w:footnoteReference w:id="162"/>
      </w:r>
      <w:r w:rsidR="00743B67">
        <w:t xml:space="preserve"> </w:t>
      </w:r>
    </w:p>
    <w:p w14:paraId="64D93B92" w14:textId="7CA0A34D" w:rsidR="009131FD" w:rsidRDefault="009131FD" w:rsidP="009131FD">
      <w:pPr>
        <w:pStyle w:val="ListBullet"/>
      </w:pPr>
      <w:r>
        <w:t xml:space="preserve">The social sensitivity of </w:t>
      </w:r>
      <w:r w:rsidR="00B10913">
        <w:t>the topic – less sensitive topics tend to demonstrate larger correlations between direct and indirect measures</w:t>
      </w:r>
      <w:r w:rsidR="008E5CBD">
        <w:t xml:space="preserve"> than more sensitive </w:t>
      </w:r>
      <w:r w:rsidR="00035447">
        <w:t>topics</w:t>
      </w:r>
      <w:r>
        <w:t>.</w:t>
      </w:r>
      <w:r w:rsidR="00B542A7">
        <w:rPr>
          <w:rStyle w:val="FootnoteReference"/>
        </w:rPr>
        <w:footnoteReference w:id="163"/>
      </w:r>
    </w:p>
    <w:p w14:paraId="6C0A848D" w14:textId="57B7924D" w:rsidR="00B10913" w:rsidRDefault="00954199" w:rsidP="009131FD">
      <w:pPr>
        <w:pStyle w:val="ListBullet"/>
      </w:pPr>
      <w:r>
        <w:t>T</w:t>
      </w:r>
      <w:r w:rsidR="00B10913">
        <w:t>he type of i</w:t>
      </w:r>
      <w:r w:rsidR="008E5CBD">
        <w:t>ndirect</w:t>
      </w:r>
      <w:r w:rsidR="00B10913">
        <w:t xml:space="preserve"> and </w:t>
      </w:r>
      <w:r w:rsidR="008E5CBD">
        <w:t xml:space="preserve">direct </w:t>
      </w:r>
      <w:r w:rsidR="00B10913">
        <w:t>measures</w:t>
      </w:r>
      <w:r w:rsidR="008E5CBD">
        <w:t xml:space="preserve"> used -</w:t>
      </w:r>
      <w:r w:rsidR="00B10913">
        <w:t xml:space="preserve"> some may correlate more highly with each other than others.</w:t>
      </w:r>
      <w:r>
        <w:t xml:space="preserve"> For example, </w:t>
      </w:r>
      <w:r w:rsidR="001F25D3">
        <w:t>explicit</w:t>
      </w:r>
      <w:r>
        <w:t xml:space="preserve"> affective </w:t>
      </w:r>
      <w:r w:rsidR="001F25D3">
        <w:t>measures</w:t>
      </w:r>
      <w:r>
        <w:t xml:space="preserve"> have been found to have stronger </w:t>
      </w:r>
      <w:r w:rsidR="001F25D3">
        <w:t>correlations</w:t>
      </w:r>
      <w:r>
        <w:t xml:space="preserve"> with the IAT than other types of </w:t>
      </w:r>
      <w:r w:rsidR="001F25D3">
        <w:t>measures</w:t>
      </w:r>
      <w:r>
        <w:rPr>
          <w:rStyle w:val="FootnoteReference"/>
        </w:rPr>
        <w:footnoteReference w:id="164"/>
      </w:r>
    </w:p>
    <w:p w14:paraId="7CCF47D9" w14:textId="6881C2D2" w:rsidR="009131FD" w:rsidRDefault="009131FD" w:rsidP="009131FD">
      <w:pPr>
        <w:pStyle w:val="ListBullet"/>
      </w:pPr>
      <w:r>
        <w:t>The extent to which people have thought about the concepts</w:t>
      </w:r>
      <w:r w:rsidR="00B542A7">
        <w:t>.</w:t>
      </w:r>
      <w:r w:rsidR="008E5CBD">
        <w:rPr>
          <w:rStyle w:val="FootnoteReference"/>
        </w:rPr>
        <w:footnoteReference w:id="165"/>
      </w:r>
    </w:p>
    <w:p w14:paraId="6FC24C7B" w14:textId="0DF29895" w:rsidR="003B39D9" w:rsidRDefault="009131FD" w:rsidP="003D11ED">
      <w:pPr>
        <w:pStyle w:val="ListBullet"/>
      </w:pPr>
      <w:r>
        <w:lastRenderedPageBreak/>
        <w:t>The degree to which people view their opinions about the concepts to be distinct from others</w:t>
      </w:r>
      <w:r w:rsidR="00B542A7">
        <w:t>.</w:t>
      </w:r>
      <w:r w:rsidR="00E140D0">
        <w:rPr>
          <w:rStyle w:val="FootnoteReference"/>
        </w:rPr>
        <w:footnoteReference w:id="166"/>
      </w:r>
    </w:p>
    <w:p w14:paraId="422FB1B1" w14:textId="77777777" w:rsidR="00CD4830" w:rsidRDefault="00CD4830" w:rsidP="00CD4830">
      <w:pPr>
        <w:pStyle w:val="Heading2"/>
      </w:pPr>
      <w:bookmarkStart w:id="27" w:name="_Toc123809235"/>
      <w:r>
        <w:t>Predictive value of direct and indirect measures</w:t>
      </w:r>
      <w:bookmarkEnd w:id="27"/>
    </w:p>
    <w:p w14:paraId="73C924B6" w14:textId="1821BEE3" w:rsidR="005E43FB" w:rsidRDefault="00CE6C7A" w:rsidP="00A52C7C">
      <w:pPr>
        <w:pStyle w:val="ListBullet"/>
        <w:numPr>
          <w:ilvl w:val="0"/>
          <w:numId w:val="0"/>
        </w:numPr>
      </w:pPr>
      <w:r>
        <w:t>Some evidence suggests that indirect measures may be better</w:t>
      </w:r>
      <w:r w:rsidR="00786BC2">
        <w:t xml:space="preserve"> than direct measures</w:t>
      </w:r>
      <w:r>
        <w:t xml:space="preserve"> at predicting unconscious, spontaneous, and automatic behaviours such as eye contac</w:t>
      </w:r>
      <w:r w:rsidR="00680DF9">
        <w:t xml:space="preserve">t </w:t>
      </w:r>
      <w:r>
        <w:t>or verbal slips</w:t>
      </w:r>
      <w:r w:rsidR="00680DF9">
        <w:t>,</w:t>
      </w:r>
      <w:r w:rsidR="00680DF9">
        <w:rPr>
          <w:rStyle w:val="FootnoteReference"/>
        </w:rPr>
        <w:footnoteReference w:id="167"/>
      </w:r>
      <w:r>
        <w:t xml:space="preserve"> </w:t>
      </w:r>
      <w:r w:rsidR="003B0CA7">
        <w:t>particularly in relation to socially sensitive topics.</w:t>
      </w:r>
      <w:r w:rsidR="003B0CA7">
        <w:rPr>
          <w:rStyle w:val="FootnoteReference"/>
        </w:rPr>
        <w:footnoteReference w:id="168"/>
      </w:r>
      <w:r w:rsidR="003B0CA7">
        <w:t xml:space="preserve"> Direct</w:t>
      </w:r>
      <w:r>
        <w:t xml:space="preserve"> measures</w:t>
      </w:r>
      <w:r w:rsidR="003B0CA7">
        <w:t>, on the other hand,</w:t>
      </w:r>
      <w:r>
        <w:t xml:space="preserve"> may be better </w:t>
      </w:r>
      <w:r w:rsidR="00287368">
        <w:t xml:space="preserve">than indirect measures </w:t>
      </w:r>
      <w:r>
        <w:t>at predicting more deliberate, controlled behaviours</w:t>
      </w:r>
      <w:r w:rsidR="00680DF9">
        <w:t>.</w:t>
      </w:r>
      <w:r w:rsidR="00680DF9">
        <w:rPr>
          <w:rStyle w:val="FootnoteReference"/>
        </w:rPr>
        <w:footnoteReference w:id="169"/>
      </w:r>
      <w:r w:rsidR="00680DF9">
        <w:t xml:space="preserve"> This may be because when </w:t>
      </w:r>
      <w:r w:rsidR="00786BC2">
        <w:t>assessing</w:t>
      </w:r>
      <w:r w:rsidR="00680DF9">
        <w:t xml:space="preserve"> more sensitive topics</w:t>
      </w:r>
      <w:r w:rsidR="00786BC2">
        <w:t xml:space="preserve"> using direct measures</w:t>
      </w:r>
      <w:r w:rsidR="00680DF9">
        <w:t xml:space="preserve">, there is a greater likelihood </w:t>
      </w:r>
      <w:r w:rsidR="00BA4A77">
        <w:t>that motivational factors (e.g.</w:t>
      </w:r>
      <w:r w:rsidR="00680DF9">
        <w:t xml:space="preserve"> self-preservation) will exert some influence on responses.</w:t>
      </w:r>
      <w:r w:rsidR="003B0CA7">
        <w:rPr>
          <w:rStyle w:val="FootnoteReference"/>
        </w:rPr>
        <w:footnoteReference w:id="170"/>
      </w:r>
      <w:r w:rsidR="00680DF9">
        <w:t xml:space="preserve"> </w:t>
      </w:r>
    </w:p>
    <w:p w14:paraId="1997BAE7" w14:textId="72F6E35F" w:rsidR="00C92F84" w:rsidRDefault="0040576A" w:rsidP="00C92F84">
      <w:r>
        <w:t>Greenwald and colleagu</w:t>
      </w:r>
      <w:r w:rsidR="00C92F84">
        <w:t>es (2009), found that racially discriminatory behaviour was better predicted by scores on an indirect measu</w:t>
      </w:r>
      <w:r w:rsidR="00DA5970">
        <w:t>re (i.e.</w:t>
      </w:r>
      <w:r w:rsidR="00C92F84">
        <w:t xml:space="preserve"> the IAT) compared to self-report measures. Similarly, Green et al</w:t>
      </w:r>
      <w:r w:rsidR="00717D42">
        <w:t>. (2007)</w:t>
      </w:r>
      <w:r w:rsidR="00C92F84">
        <w:t xml:space="preserve"> found that while explicit measures of prejudice had no impact on doctors’ behaviours towards Black patients, the more strongly the clinicians held implicit prejudices against Black people, the less likely they were to recommend a preferred treatment to their Black patients compared to White patients who presented the same symptoms. </w:t>
      </w:r>
    </w:p>
    <w:p w14:paraId="2500B5C8" w14:textId="69FC3ED0" w:rsidR="00C92F84" w:rsidRDefault="00C92F84" w:rsidP="009805A0">
      <w:r>
        <w:t>Later research has challenged some of these finding</w:t>
      </w:r>
      <w:r w:rsidR="00423EA6">
        <w:t>s</w:t>
      </w:r>
      <w:r>
        <w:t xml:space="preserve"> however. In a meta-analysis of the predictive value of the IAT and direct measures, both were found, on average, to be weak predict</w:t>
      </w:r>
      <w:r w:rsidR="00BA4A77">
        <w:t>ors of various behaviours (e.g.</w:t>
      </w:r>
      <w:r>
        <w:t xml:space="preserve"> micro</w:t>
      </w:r>
      <w:r w:rsidR="004E516B">
        <w:t>-</w:t>
      </w:r>
      <w:r>
        <w:t>behavio</w:t>
      </w:r>
      <w:r w:rsidR="004E516B">
        <w:t>u</w:t>
      </w:r>
      <w:r>
        <w:t xml:space="preserve">r, interpersonal behaviour, person perceptions, and reaction times) in relation to race and ethnicity. </w:t>
      </w:r>
      <w:r w:rsidR="001F5C98">
        <w:t xml:space="preserve">While in some cases, the </w:t>
      </w:r>
      <w:r>
        <w:t>explicit measures performed similarly, and sometimes better than, the IATs on these criteria</w:t>
      </w:r>
      <w:r w:rsidR="001F5C98">
        <w:t>.</w:t>
      </w:r>
      <w:r w:rsidR="009805A0">
        <w:rPr>
          <w:rStyle w:val="FootnoteReference"/>
        </w:rPr>
        <w:footnoteReference w:id="171"/>
      </w:r>
      <w:r>
        <w:t xml:space="preserve"> </w:t>
      </w:r>
      <w:r w:rsidR="001F5C98">
        <w:t>The authors concluded that had</w:t>
      </w:r>
      <w:r w:rsidR="00DB6DB5">
        <w:t xml:space="preserve"> the researchers in the analysed</w:t>
      </w:r>
      <w:r w:rsidR="001F5C98">
        <w:t xml:space="preserve"> studies taken certain steps, such as minimising reactivity bias, then the </w:t>
      </w:r>
      <w:r w:rsidR="00DB6DB5">
        <w:t>direct</w:t>
      </w:r>
      <w:r w:rsidR="001F5C98">
        <w:t xml:space="preserve"> measure</w:t>
      </w:r>
      <w:r w:rsidR="00DB6DB5">
        <w:t>s</w:t>
      </w:r>
      <w:r w:rsidR="001F5C98">
        <w:t xml:space="preserve"> </w:t>
      </w:r>
      <w:r w:rsidR="004F0A92">
        <w:t>may</w:t>
      </w:r>
      <w:r w:rsidR="008A1333">
        <w:t xml:space="preserve"> </w:t>
      </w:r>
      <w:r w:rsidR="001F5C98">
        <w:t xml:space="preserve">have performed much better than the indirect </w:t>
      </w:r>
      <w:r w:rsidR="00C31C18">
        <w:t>measures</w:t>
      </w:r>
      <w:r w:rsidR="00DB6DB5">
        <w:t xml:space="preserve"> at predicting behaviours</w:t>
      </w:r>
      <w:r w:rsidR="00717D42">
        <w:t>.</w:t>
      </w:r>
      <w:r w:rsidR="001F5C98">
        <w:rPr>
          <w:rStyle w:val="FootnoteReference"/>
        </w:rPr>
        <w:footnoteReference w:id="172"/>
      </w:r>
      <w:r w:rsidR="001F5C98">
        <w:t xml:space="preserve"> </w:t>
      </w:r>
    </w:p>
    <w:p w14:paraId="271EC589" w14:textId="4572EB4A" w:rsidR="007C0281" w:rsidRDefault="005F7996" w:rsidP="005F7996">
      <w:pPr>
        <w:pStyle w:val="ListBullet"/>
        <w:numPr>
          <w:ilvl w:val="0"/>
          <w:numId w:val="0"/>
        </w:numPr>
      </w:pPr>
      <w:r>
        <w:lastRenderedPageBreak/>
        <w:t>Examining the predictive value of direct and indirect measures on behaviour towards people with disabilities has also produced mi</w:t>
      </w:r>
      <w:r w:rsidR="001B1530">
        <w:t>x</w:t>
      </w:r>
      <w:r>
        <w:t xml:space="preserve">ed results. </w:t>
      </w:r>
      <w:r w:rsidR="009805A0">
        <w:t>In a recent study</w:t>
      </w:r>
      <w:r w:rsidR="00717D42">
        <w:rPr>
          <w:rStyle w:val="FootnoteReference"/>
        </w:rPr>
        <w:footnoteReference w:id="173"/>
      </w:r>
      <w:r w:rsidR="009805A0">
        <w:t xml:space="preserve"> examining </w:t>
      </w:r>
      <w:r w:rsidR="00A52C7C">
        <w:t xml:space="preserve">employers’ </w:t>
      </w:r>
      <w:r w:rsidR="009805A0">
        <w:t xml:space="preserve">attitudes towards hiring people with disabilities, </w:t>
      </w:r>
      <w:r w:rsidR="00A52C7C">
        <w:t xml:space="preserve">implicit attitudes towards disabled people were depicted as automatic and unconscious, while explicit attitudes were linked to controllability and self-reflectiveness. </w:t>
      </w:r>
      <w:r w:rsidR="009805A0">
        <w:t xml:space="preserve">Similar to previous research, the authors </w:t>
      </w:r>
      <w:r w:rsidR="00A52C7C">
        <w:t>argue</w:t>
      </w:r>
      <w:r w:rsidR="009805A0">
        <w:t>d</w:t>
      </w:r>
      <w:r w:rsidR="00A52C7C">
        <w:t xml:space="preserve"> that implicit at</w:t>
      </w:r>
      <w:r w:rsidR="009805A0">
        <w:t>titudes we</w:t>
      </w:r>
      <w:r w:rsidR="00A52C7C">
        <w:t>re more sensitive for assessing negative beliefs or veiled prejudice that people would not explicitly endorse or would prefer not to reveal.</w:t>
      </w:r>
      <w:r>
        <w:t xml:space="preserve"> </w:t>
      </w:r>
    </w:p>
    <w:p w14:paraId="42674C33" w14:textId="117F7367" w:rsidR="009C66A8" w:rsidRDefault="00EE700A" w:rsidP="00036ADB">
      <w:pPr>
        <w:pStyle w:val="ListBullet"/>
        <w:numPr>
          <w:ilvl w:val="0"/>
          <w:numId w:val="0"/>
        </w:numPr>
      </w:pPr>
      <w:r>
        <w:t xml:space="preserve">In </w:t>
      </w:r>
      <w:r w:rsidR="00C31C18">
        <w:t>another study</w:t>
      </w:r>
      <w:r w:rsidR="00717D42">
        <w:rPr>
          <w:rStyle w:val="FootnoteReference"/>
        </w:rPr>
        <w:footnoteReference w:id="174"/>
      </w:r>
      <w:r w:rsidR="007C0281">
        <w:t>,</w:t>
      </w:r>
      <w:r>
        <w:t xml:space="preserve"> which</w:t>
      </w:r>
      <w:r w:rsidR="00C31C18">
        <w:t xml:space="preserve"> </w:t>
      </w:r>
      <w:r>
        <w:t>examined</w:t>
      </w:r>
      <w:r w:rsidR="00D841E8">
        <w:t xml:space="preserve"> non-autistic college students</w:t>
      </w:r>
      <w:r>
        <w:t>’</w:t>
      </w:r>
      <w:r w:rsidR="00D841E8">
        <w:t xml:space="preserve"> </w:t>
      </w:r>
      <w:r w:rsidR="007C2813">
        <w:t xml:space="preserve">face-to-face interactions with </w:t>
      </w:r>
      <w:r w:rsidR="00D841E8">
        <w:t xml:space="preserve">a </w:t>
      </w:r>
      <w:r>
        <w:t>confederate who</w:t>
      </w:r>
      <w:r w:rsidR="00D841E8">
        <w:t xml:space="preserve"> they believed to be </w:t>
      </w:r>
      <w:r>
        <w:t>either autistic or non-autistic</w:t>
      </w:r>
      <w:r w:rsidR="004F0A92">
        <w:t xml:space="preserve"> depending on the experimental condition</w:t>
      </w:r>
      <w:r>
        <w:t>, scores on indirect measures were associated with some non-verbal behaviours</w:t>
      </w:r>
      <w:r w:rsidR="001B1530">
        <w:t>.</w:t>
      </w:r>
      <w:r w:rsidR="00F07A9B">
        <w:t xml:space="preserve"> For example, participants</w:t>
      </w:r>
      <w:r w:rsidR="00DB6DB5">
        <w:t xml:space="preserve"> who demonstrated more implicit bias on the indirect measure</w:t>
      </w:r>
      <w:r w:rsidR="00F07A9B">
        <w:t xml:space="preserve"> smiled more when </w:t>
      </w:r>
      <w:r w:rsidR="007C2813">
        <w:t xml:space="preserve">the confederate was labelled autistic </w:t>
      </w:r>
      <w:r w:rsidR="004F0A92">
        <w:t>but</w:t>
      </w:r>
      <w:r w:rsidR="007C0281">
        <w:t xml:space="preserve"> </w:t>
      </w:r>
      <w:r w:rsidR="007C2813">
        <w:t xml:space="preserve">behaved in ways that were </w:t>
      </w:r>
      <w:r w:rsidR="00D3701F">
        <w:t>perceived to be neurotypical</w:t>
      </w:r>
      <w:r w:rsidR="007C0281">
        <w:t xml:space="preserve">, </w:t>
      </w:r>
      <w:r w:rsidR="00F07A9B">
        <w:t>and smiled less when</w:t>
      </w:r>
      <w:r w:rsidR="007C0281">
        <w:t xml:space="preserve"> </w:t>
      </w:r>
      <w:r w:rsidR="001B1530">
        <w:t xml:space="preserve">the </w:t>
      </w:r>
      <w:r w:rsidR="007C0281">
        <w:t xml:space="preserve">label and </w:t>
      </w:r>
      <w:r w:rsidR="00F07A9B">
        <w:t>behaviour w</w:t>
      </w:r>
      <w:r w:rsidR="007C0281">
        <w:t xml:space="preserve">ere </w:t>
      </w:r>
      <w:r w:rsidR="00F07A9B">
        <w:t>associated with autism.</w:t>
      </w:r>
      <w:r>
        <w:t xml:space="preserve"> </w:t>
      </w:r>
      <w:r w:rsidR="00F07A9B">
        <w:t xml:space="preserve">Additionally, participants </w:t>
      </w:r>
      <w:r w:rsidR="005F7996">
        <w:t>who</w:t>
      </w:r>
      <w:r w:rsidR="00F07A9B">
        <w:t xml:space="preserve"> demonstrated more bias on indirect measures leaned away from the confederate when the label and behav</w:t>
      </w:r>
      <w:r w:rsidR="00DB6DB5">
        <w:t>iour was associated with autism</w:t>
      </w:r>
      <w:r w:rsidR="00DF4DCF">
        <w:t>.</w:t>
      </w:r>
      <w:r w:rsidR="00D3701F">
        <w:t xml:space="preserve"> No associations were found between scores on direct measure</w:t>
      </w:r>
      <w:r w:rsidR="001B1530">
        <w:t>s</w:t>
      </w:r>
      <w:r w:rsidR="00B06721">
        <w:t xml:space="preserve"> and any of the assessed behaviours</w:t>
      </w:r>
      <w:r w:rsidR="00D3701F">
        <w:t>.</w:t>
      </w:r>
    </w:p>
    <w:p w14:paraId="1F95B8C0" w14:textId="7D69628A" w:rsidR="00425F77" w:rsidRDefault="00425F77" w:rsidP="0040063E">
      <w:pPr>
        <w:pStyle w:val="Heading1"/>
      </w:pPr>
      <w:bookmarkStart w:id="28" w:name="_Toc123809236"/>
      <w:r>
        <w:t xml:space="preserve">Modes of </w:t>
      </w:r>
      <w:r w:rsidR="0009778C">
        <w:t xml:space="preserve">survey </w:t>
      </w:r>
      <w:r>
        <w:t>data collection</w:t>
      </w:r>
      <w:bookmarkEnd w:id="28"/>
      <w:r>
        <w:t xml:space="preserve"> </w:t>
      </w:r>
    </w:p>
    <w:p w14:paraId="4F060814" w14:textId="4B2B556E" w:rsidR="00133117" w:rsidRDefault="00190896" w:rsidP="0066661B">
      <w:r>
        <w:t>Various survey modes are used to measure attitudes towards disabilities. These include fact-to-face</w:t>
      </w:r>
      <w:r w:rsidR="0009778C">
        <w:t xml:space="preserve"> interviews</w:t>
      </w:r>
      <w:r>
        <w:t xml:space="preserve">, telephone </w:t>
      </w:r>
      <w:r w:rsidR="0009778C">
        <w:t>surveys, paper and pen surveys</w:t>
      </w:r>
      <w:r>
        <w:t>, computerised surveys, and web-based surveys.</w:t>
      </w:r>
      <w:r w:rsidR="00061079" w:rsidRPr="00061079">
        <w:t xml:space="preserve"> </w:t>
      </w:r>
      <w:r w:rsidR="00061079">
        <w:t xml:space="preserve">A </w:t>
      </w:r>
      <w:r w:rsidR="0009778C">
        <w:t xml:space="preserve">wealth of literature examining the </w:t>
      </w:r>
      <w:r w:rsidR="006F42DB">
        <w:t>effect</w:t>
      </w:r>
      <w:r w:rsidR="0009778C">
        <w:t xml:space="preserve"> </w:t>
      </w:r>
      <w:r w:rsidR="00061079">
        <w:t xml:space="preserve">of </w:t>
      </w:r>
      <w:r w:rsidR="0009778C">
        <w:t xml:space="preserve">the mode of data collection </w:t>
      </w:r>
      <w:r w:rsidR="00061079">
        <w:t>i</w:t>
      </w:r>
      <w:r w:rsidR="0009778C">
        <w:t xml:space="preserve">n survey research </w:t>
      </w:r>
      <w:r>
        <w:t xml:space="preserve">has shown that the mode </w:t>
      </w:r>
      <w:r w:rsidR="001B1530">
        <w:t xml:space="preserve">can </w:t>
      </w:r>
      <w:r>
        <w:t xml:space="preserve">impact </w:t>
      </w:r>
      <w:r w:rsidR="00E5415E">
        <w:t>on the quality or accuracy of the data</w:t>
      </w:r>
      <w:r>
        <w:t xml:space="preserve"> </w:t>
      </w:r>
      <w:r w:rsidR="00E5415E">
        <w:t>gathered</w:t>
      </w:r>
      <w:r w:rsidR="00DA58B4">
        <w:t>, particularly</w:t>
      </w:r>
      <w:r w:rsidR="00E5415E">
        <w:t xml:space="preserve"> in relation to </w:t>
      </w:r>
      <w:r>
        <w:t>sensitive topics</w:t>
      </w:r>
      <w:r w:rsidR="00E65639">
        <w:t xml:space="preserve">, </w:t>
      </w:r>
      <w:r w:rsidR="00DA58B4">
        <w:t>often</w:t>
      </w:r>
      <w:r w:rsidR="00D8014D">
        <w:t xml:space="preserve"> due to misreporting.</w:t>
      </w:r>
      <w:r w:rsidR="004F40A4">
        <w:rPr>
          <w:rStyle w:val="FootnoteReference"/>
        </w:rPr>
        <w:footnoteReference w:id="175"/>
      </w:r>
      <w:r>
        <w:t xml:space="preserve"> </w:t>
      </w:r>
      <w:r w:rsidR="00061079" w:rsidRPr="00061079">
        <w:t xml:space="preserve"> </w:t>
      </w:r>
      <w:r w:rsidR="003347DC">
        <w:t>Misreporting had been shown to increase as the questions become more sensitive and decrease as the method of data collection become</w:t>
      </w:r>
      <w:r w:rsidR="0009778C">
        <w:t>s</w:t>
      </w:r>
      <w:r w:rsidR="003347DC">
        <w:t xml:space="preserve"> more private</w:t>
      </w:r>
      <w:r w:rsidR="00C01EC6">
        <w:t>.</w:t>
      </w:r>
      <w:r w:rsidR="00C01EC6">
        <w:rPr>
          <w:rStyle w:val="FootnoteReference"/>
        </w:rPr>
        <w:footnoteReference w:id="176"/>
      </w:r>
      <w:r w:rsidR="00C01EC6">
        <w:t xml:space="preserve"> </w:t>
      </w:r>
      <w:r w:rsidR="00364557" w:rsidRPr="00D95DDC">
        <w:t>The main distinction</w:t>
      </w:r>
      <w:r w:rsidR="00D8014D">
        <w:t xml:space="preserve"> b</w:t>
      </w:r>
      <w:r w:rsidR="00C425D1">
        <w:t>etween different modes of</w:t>
      </w:r>
      <w:r w:rsidR="00D8014D">
        <w:t xml:space="preserve"> data collection is</w:t>
      </w:r>
      <w:r w:rsidR="00364557" w:rsidRPr="00D95DDC">
        <w:t xml:space="preserve"> whether the </w:t>
      </w:r>
      <w:r w:rsidR="000D77CF">
        <w:t>survey is administered by an</w:t>
      </w:r>
      <w:r w:rsidR="00364557">
        <w:t xml:space="preserve"> </w:t>
      </w:r>
      <w:r w:rsidR="000D77CF">
        <w:t>interviewer</w:t>
      </w:r>
      <w:r w:rsidR="00364557" w:rsidRPr="000B452A">
        <w:t xml:space="preserve"> or </w:t>
      </w:r>
      <w:r w:rsidR="00E65639">
        <w:t xml:space="preserve">is </w:t>
      </w:r>
      <w:r w:rsidR="00364557" w:rsidRPr="000B452A">
        <w:t>self-administered</w:t>
      </w:r>
      <w:r w:rsidR="00364557">
        <w:t>.</w:t>
      </w:r>
      <w:r w:rsidR="000D77CF" w:rsidRPr="000D77CF">
        <w:t xml:space="preserve"> </w:t>
      </w:r>
    </w:p>
    <w:p w14:paraId="7A995D1C" w14:textId="4EDD8FBD" w:rsidR="00A521C3" w:rsidRDefault="000D77CF" w:rsidP="0066661B">
      <w:r w:rsidRPr="000D77CF">
        <w:lastRenderedPageBreak/>
        <w:t xml:space="preserve">Surveys that are delivered </w:t>
      </w:r>
      <w:r w:rsidR="00D8014D">
        <w:t>by an interviewer</w:t>
      </w:r>
      <w:r w:rsidRPr="000D77CF">
        <w:t xml:space="preserve"> can be subject to </w:t>
      </w:r>
      <w:r w:rsidR="00D47158">
        <w:t>a number of interviewer effects, which are</w:t>
      </w:r>
      <w:r w:rsidR="00612ABD" w:rsidRPr="00612ABD">
        <w:t xml:space="preserve"> </w:t>
      </w:r>
      <w:r w:rsidR="00612ABD">
        <w:t>the undesirable active or passive influences of an interviewer on the answers obtained</w:t>
      </w:r>
      <w:r w:rsidR="00133117">
        <w:t>.</w:t>
      </w:r>
      <w:r w:rsidR="00612ABD">
        <w:rPr>
          <w:rStyle w:val="FootnoteReference"/>
        </w:rPr>
        <w:footnoteReference w:id="177"/>
      </w:r>
      <w:r w:rsidR="00612ABD">
        <w:t xml:space="preserve"> </w:t>
      </w:r>
      <w:r w:rsidR="0057032F">
        <w:t>Passive influences include</w:t>
      </w:r>
      <w:r w:rsidR="00D8014D">
        <w:t xml:space="preserve"> t</w:t>
      </w:r>
      <w:r w:rsidRPr="000D77CF">
        <w:t>he inte</w:t>
      </w:r>
      <w:r w:rsidR="00D8014D">
        <w:t>rviewer’s characteristics (e.g.</w:t>
      </w:r>
      <w:r w:rsidRPr="000D77CF">
        <w:t xml:space="preserve"> g</w:t>
      </w:r>
      <w:r w:rsidR="00D8014D">
        <w:t>ender, ethnicity, socio-economic status</w:t>
      </w:r>
      <w:r w:rsidRPr="000D77CF">
        <w:t xml:space="preserve">) and </w:t>
      </w:r>
      <w:r w:rsidR="0057032F">
        <w:t xml:space="preserve">their </w:t>
      </w:r>
      <w:r w:rsidRPr="000D77CF">
        <w:t xml:space="preserve">assumed </w:t>
      </w:r>
      <w:r w:rsidR="0057032F">
        <w:t xml:space="preserve">or perceived </w:t>
      </w:r>
      <w:r w:rsidRPr="000D77CF">
        <w:t>expect</w:t>
      </w:r>
      <w:r w:rsidR="004911D2">
        <w:t xml:space="preserve">ations. For example, if the </w:t>
      </w:r>
      <w:r w:rsidRPr="000D77CF">
        <w:t xml:space="preserve">respondent thinks that some of the response alternatives would be insulting, offensive or </w:t>
      </w:r>
      <w:r w:rsidR="004911D2">
        <w:t>embarrassing to the interviewer they</w:t>
      </w:r>
      <w:r w:rsidRPr="000D77CF">
        <w:t xml:space="preserve"> may adjust their answers </w:t>
      </w:r>
      <w:r w:rsidR="004911D2">
        <w:t>to avoid this</w:t>
      </w:r>
      <w:r w:rsidR="00C01EC6">
        <w:t>.</w:t>
      </w:r>
      <w:r w:rsidR="00C01EC6">
        <w:rPr>
          <w:rStyle w:val="FootnoteReference"/>
        </w:rPr>
        <w:footnoteReference w:id="178"/>
      </w:r>
      <w:r w:rsidR="00645AC8">
        <w:t xml:space="preserve"> </w:t>
      </w:r>
      <w:r w:rsidR="0057032F">
        <w:t xml:space="preserve">Active influences </w:t>
      </w:r>
      <w:r w:rsidR="007A0057">
        <w:t xml:space="preserve">include </w:t>
      </w:r>
      <w:r w:rsidR="0057032F">
        <w:t xml:space="preserve">instances when an </w:t>
      </w:r>
      <w:r w:rsidRPr="000D77CF">
        <w:t>interviewer</w:t>
      </w:r>
      <w:r w:rsidR="0057032F">
        <w:t xml:space="preserve"> might skip</w:t>
      </w:r>
      <w:r w:rsidRPr="000D77CF">
        <w:t xml:space="preserve"> a questions or changes the wording because they feel uncomfortable asking it</w:t>
      </w:r>
      <w:r w:rsidR="006F42DB">
        <w:t>.</w:t>
      </w:r>
      <w:r w:rsidR="0057032F">
        <w:rPr>
          <w:rStyle w:val="FootnoteReference"/>
        </w:rPr>
        <w:footnoteReference w:id="179"/>
      </w:r>
      <w:r w:rsidR="004872C7">
        <w:t xml:space="preserve"> </w:t>
      </w:r>
      <w:r w:rsidR="0057032F">
        <w:t>Similarly, an interviewer m</w:t>
      </w:r>
      <w:r w:rsidR="00645AC8">
        <w:t>ight</w:t>
      </w:r>
      <w:r w:rsidR="00DA28FB">
        <w:t xml:space="preserve"> </w:t>
      </w:r>
      <w:r w:rsidR="004872C7">
        <w:t xml:space="preserve">suggest </w:t>
      </w:r>
      <w:r w:rsidR="00645AC8">
        <w:t xml:space="preserve">a particular response alternative </w:t>
      </w:r>
      <w:r w:rsidR="004872C7">
        <w:t xml:space="preserve">to a respondent </w:t>
      </w:r>
      <w:r w:rsidR="00645AC8">
        <w:t>who asks for clarification</w:t>
      </w:r>
      <w:r w:rsidR="00DA28FB">
        <w:t>.</w:t>
      </w:r>
      <w:r w:rsidR="0057032F">
        <w:rPr>
          <w:rStyle w:val="FootnoteReference"/>
        </w:rPr>
        <w:footnoteReference w:id="180"/>
      </w:r>
      <w:r w:rsidR="00612ABD">
        <w:t xml:space="preserve"> </w:t>
      </w:r>
      <w:r w:rsidR="00860F16">
        <w:t xml:space="preserve">Interviewer effects can be variable (i.e. the effect </w:t>
      </w:r>
      <w:r w:rsidR="007A0057">
        <w:t>differs</w:t>
      </w:r>
      <w:r w:rsidR="00860F16">
        <w:t xml:space="preserve"> within and between interviewers) or systematic (i.e.</w:t>
      </w:r>
      <w:r w:rsidR="007A0057" w:rsidRPr="007A0057">
        <w:t xml:space="preserve"> there is no difference between the interviewers in how they influence the data</w:t>
      </w:r>
      <w:r w:rsidR="007A0057">
        <w:t xml:space="preserve">). </w:t>
      </w:r>
      <w:r w:rsidR="00A91588">
        <w:t>T</w:t>
      </w:r>
      <w:r w:rsidR="007A0057">
        <w:t>wo types of systematic effects can be identified</w:t>
      </w:r>
      <w:r w:rsidR="00F52642">
        <w:t>:</w:t>
      </w:r>
      <w:r w:rsidR="007A0057">
        <w:t xml:space="preserve"> </w:t>
      </w:r>
      <w:r w:rsidR="00F52642">
        <w:t>1)</w:t>
      </w:r>
      <w:r w:rsidR="0031791B">
        <w:t xml:space="preserve"> all</w:t>
      </w:r>
      <w:r w:rsidR="007A0057">
        <w:t xml:space="preserve"> interviewers</w:t>
      </w:r>
      <w:r w:rsidR="00A91588">
        <w:t xml:space="preserve"> alter </w:t>
      </w:r>
      <w:r w:rsidR="00F52642">
        <w:t>the same</w:t>
      </w:r>
      <w:r w:rsidR="00A91588">
        <w:t xml:space="preserve"> aspect of the interview with all re</w:t>
      </w:r>
      <w:r w:rsidR="00BA4A77">
        <w:t>spondents in the same way (i.e.</w:t>
      </w:r>
      <w:r w:rsidR="00A91588">
        <w:t xml:space="preserve"> pure bias)</w:t>
      </w:r>
      <w:r w:rsidR="00F52642">
        <w:t>; and 2)</w:t>
      </w:r>
      <w:r w:rsidR="00A91588">
        <w:t xml:space="preserve"> </w:t>
      </w:r>
      <w:r w:rsidR="00133117">
        <w:t>a</w:t>
      </w:r>
      <w:r w:rsidR="00F52642">
        <w:t xml:space="preserve">ll interviewers </w:t>
      </w:r>
      <w:r w:rsidR="00B32EDF">
        <w:t xml:space="preserve">alter </w:t>
      </w:r>
      <w:r w:rsidR="00F52642">
        <w:t>the same</w:t>
      </w:r>
      <w:r w:rsidR="00B32EDF">
        <w:t xml:space="preserve"> aspect of the interview for all respondents but </w:t>
      </w:r>
      <w:r w:rsidR="00133117">
        <w:t>in various ways</w:t>
      </w:r>
      <w:r w:rsidR="00B32EDF">
        <w:t>.</w:t>
      </w:r>
      <w:r w:rsidR="00B32EDF">
        <w:rPr>
          <w:rStyle w:val="FootnoteReference"/>
        </w:rPr>
        <w:footnoteReference w:id="181"/>
      </w:r>
      <w:r w:rsidR="00F52642">
        <w:t xml:space="preserve"> I</w:t>
      </w:r>
      <w:r w:rsidR="0066661B">
        <w:t xml:space="preserve">n a recent analysis of the impact of interviewer effects </w:t>
      </w:r>
      <w:r w:rsidR="0066661B" w:rsidRPr="0066661B">
        <w:t xml:space="preserve">using data from several rounds of the </w:t>
      </w:r>
      <w:r w:rsidR="0066661B">
        <w:t>European Social Survey</w:t>
      </w:r>
      <w:r w:rsidR="00860F16">
        <w:t>, Loosdvelt (2022) found that interviewers ha</w:t>
      </w:r>
      <w:r w:rsidR="006F42DB">
        <w:t>d</w:t>
      </w:r>
      <w:r w:rsidR="0066661B">
        <w:t xml:space="preserve"> systematic </w:t>
      </w:r>
      <w:r w:rsidR="00587155">
        <w:t>effects on the answers and that some of the variance was explained by difference</w:t>
      </w:r>
      <w:r w:rsidR="002E3413">
        <w:t>s between interviewers. A cross-</w:t>
      </w:r>
      <w:r w:rsidR="00587155">
        <w:t>nation</w:t>
      </w:r>
      <w:r w:rsidR="002E3413">
        <w:t>al</w:t>
      </w:r>
      <w:r w:rsidR="00587155">
        <w:t xml:space="preserve"> analysis </w:t>
      </w:r>
      <w:r w:rsidR="002E3413">
        <w:t xml:space="preserve">also </w:t>
      </w:r>
      <w:r w:rsidR="00587155">
        <w:t>indicated that interviewer effects were higher in some countries than others.</w:t>
      </w:r>
      <w:r w:rsidR="00C602A6">
        <w:t xml:space="preserve"> T</w:t>
      </w:r>
      <w:r w:rsidR="002E3413">
        <w:t xml:space="preserve">he authors argue </w:t>
      </w:r>
      <w:r w:rsidR="00C602A6">
        <w:t>that such was the impact on the quality of data obtained</w:t>
      </w:r>
      <w:r w:rsidR="0031791B">
        <w:t>, including on questions assessing attitudes,</w:t>
      </w:r>
      <w:r w:rsidR="00C602A6">
        <w:t xml:space="preserve"> that evaluations of interviewer impact </w:t>
      </w:r>
      <w:r w:rsidR="006040A5">
        <w:t xml:space="preserve">should be </w:t>
      </w:r>
      <w:r w:rsidR="00C602A6">
        <w:t xml:space="preserve">an essential part of data quality assessments and should be routinely reported along with other elements such as sampling design and response rates. </w:t>
      </w:r>
    </w:p>
    <w:p w14:paraId="64A0FCEB" w14:textId="17A00D93" w:rsidR="006A4F5B" w:rsidRDefault="00364557" w:rsidP="0062101A">
      <w:r>
        <w:t>Methods of self-administration</w:t>
      </w:r>
      <w:r w:rsidR="003347DC">
        <w:t xml:space="preserve"> which minimize</w:t>
      </w:r>
      <w:r>
        <w:t xml:space="preserve"> the presence of the interviewer, seem to </w:t>
      </w:r>
      <w:r w:rsidR="000D77CF">
        <w:t xml:space="preserve">reduce feelings of jeopardy, </w:t>
      </w:r>
      <w:r>
        <w:t xml:space="preserve">decrease </w:t>
      </w:r>
      <w:r w:rsidR="003347DC">
        <w:t xml:space="preserve">the potential for </w:t>
      </w:r>
      <w:r>
        <w:t>emotio</w:t>
      </w:r>
      <w:r w:rsidR="003347DC">
        <w:t>ns like shame and embarrassment,</w:t>
      </w:r>
      <w:r w:rsidR="000D77CF" w:rsidRPr="000D77CF">
        <w:t xml:space="preserve"> </w:t>
      </w:r>
      <w:r w:rsidR="0011785A">
        <w:t xml:space="preserve">and </w:t>
      </w:r>
      <w:r w:rsidR="000D77CF" w:rsidRPr="000D77CF">
        <w:t xml:space="preserve">increase respondents’ </w:t>
      </w:r>
      <w:r w:rsidR="0011785A">
        <w:t xml:space="preserve">sense of </w:t>
      </w:r>
      <w:r w:rsidR="000D77CF" w:rsidRPr="000D77CF">
        <w:t xml:space="preserve">privacy, </w:t>
      </w:r>
      <w:r w:rsidR="003347DC">
        <w:t>which may lead to</w:t>
      </w:r>
      <w:r>
        <w:t xml:space="preserve"> more honest answers to sensitive questions</w:t>
      </w:r>
      <w:r w:rsidR="00C425D1">
        <w:t xml:space="preserve"> such as discriminatory attitudes</w:t>
      </w:r>
      <w:r w:rsidR="00C01EC6">
        <w:t>.</w:t>
      </w:r>
      <w:r w:rsidR="00C01EC6">
        <w:rPr>
          <w:rStyle w:val="FootnoteReference"/>
        </w:rPr>
        <w:footnoteReference w:id="182"/>
      </w:r>
      <w:r w:rsidR="00A804F5">
        <w:t xml:space="preserve"> Computerised and web-based surveys have become a popular mode of self-administration over recent decade</w:t>
      </w:r>
      <w:r w:rsidR="00C74378">
        <w:t>s</w:t>
      </w:r>
      <w:r w:rsidR="00274E99">
        <w:t>, with a number of reviews highlighting</w:t>
      </w:r>
      <w:r>
        <w:t xml:space="preserve"> the advantages of computerised surveys on sensitive issues such as sexual</w:t>
      </w:r>
      <w:r w:rsidR="00E65639">
        <w:t xml:space="preserve"> </w:t>
      </w:r>
      <w:r>
        <w:t xml:space="preserve">or </w:t>
      </w:r>
      <w:r>
        <w:lastRenderedPageBreak/>
        <w:t xml:space="preserve">delinquent </w:t>
      </w:r>
      <w:r w:rsidR="003978AE">
        <w:t>behaviours.</w:t>
      </w:r>
      <w:r w:rsidR="003978AE">
        <w:rPr>
          <w:rStyle w:val="FootnoteReference"/>
        </w:rPr>
        <w:footnoteReference w:id="183"/>
      </w:r>
      <w:r w:rsidRPr="00492DAC">
        <w:t xml:space="preserve"> </w:t>
      </w:r>
      <w:r w:rsidR="00094491">
        <w:t xml:space="preserve">Web-based surveys are becoming ever more popular </w:t>
      </w:r>
      <w:r w:rsidR="00F606AB">
        <w:t xml:space="preserve">in </w:t>
      </w:r>
      <w:r w:rsidR="00094491">
        <w:t>social science research due to increasing internet usage and declining response rates to other survey modes.</w:t>
      </w:r>
      <w:r w:rsidR="00094491">
        <w:rPr>
          <w:rStyle w:val="FootnoteReference"/>
        </w:rPr>
        <w:footnoteReference w:id="184"/>
      </w:r>
      <w:r w:rsidR="00094491">
        <w:t xml:space="preserve"> Compared to other survey modes, they have many advantages including being cheaper and faster to conduct and </w:t>
      </w:r>
      <w:r w:rsidR="00E65639">
        <w:t>being</w:t>
      </w:r>
      <w:r w:rsidR="00094491">
        <w:t xml:space="preserve"> less susceptible to social desirability bias than other modes such as face-to-face and telephone surveys.</w:t>
      </w:r>
      <w:r w:rsidR="00094491">
        <w:rPr>
          <w:rStyle w:val="FootnoteReference"/>
        </w:rPr>
        <w:footnoteReference w:id="185"/>
      </w:r>
      <w:r w:rsidR="00094491">
        <w:t xml:space="preserve"> </w:t>
      </w:r>
      <w:r w:rsidR="003978AE">
        <w:rPr>
          <w:rStyle w:val="FootnoteReference"/>
        </w:rPr>
        <w:footnoteReference w:id="186"/>
      </w:r>
      <w:r w:rsidR="003978AE">
        <w:t xml:space="preserve"> </w:t>
      </w:r>
    </w:p>
    <w:p w14:paraId="56014182" w14:textId="477FA3D5" w:rsidR="00A61E30" w:rsidRDefault="0045163C" w:rsidP="00AC4994">
      <w:r>
        <w:t>I</w:t>
      </w:r>
      <w:r w:rsidR="0040576A">
        <w:t>n addition to the growth of</w:t>
      </w:r>
      <w:r w:rsidR="000158DA">
        <w:t xml:space="preserve"> the internet, </w:t>
      </w:r>
      <w:r w:rsidR="000158DA" w:rsidRPr="00061079">
        <w:t xml:space="preserve">the advent of the Covid-19 pandemic, </w:t>
      </w:r>
      <w:r w:rsidR="000158DA">
        <w:t>has encouraged some researchers to investigate the advantages and trade-offs of moving from a face-to-face interview survey to a web-based survey.</w:t>
      </w:r>
      <w:r w:rsidR="000158DA">
        <w:rPr>
          <w:rStyle w:val="FootnoteReference"/>
        </w:rPr>
        <w:footnoteReference w:id="187"/>
      </w:r>
      <w:r w:rsidR="000158DA">
        <w:t xml:space="preserve"> </w:t>
      </w:r>
      <w:r w:rsidR="00AC4994">
        <w:t>In a recent study, May et al. (2022) investigated the psychometric properties of a new survey for measuring attitudes to people with Epilepsy and compared results from a web-based and face-to-face survey. The face-to-face survey was performed as part of a representa</w:t>
      </w:r>
      <w:r w:rsidR="00120623">
        <w:t>tive Omnibus Survey in Germany and</w:t>
      </w:r>
      <w:r w:rsidR="00AC4994">
        <w:t xml:space="preserve"> was conducted as a Computer Assisted Personal Interview (CAPI) with a stratified, multi-level random sample of participants. The web-based survey was performed as Computer </w:t>
      </w:r>
      <w:r w:rsidR="00120623">
        <w:t>Assisted Web Interviews (CAWI) and</w:t>
      </w:r>
      <w:r w:rsidR="00AC4994">
        <w:t xml:space="preserve"> participants were recruited through a</w:t>
      </w:r>
      <w:r w:rsidR="00120623">
        <w:t>n online survey</w:t>
      </w:r>
      <w:r w:rsidR="00AC4994">
        <w:t xml:space="preserve"> panel. The results found that the psychometric properties of the scales used varied only slightly by mode and that, in both surveys, fears and concerns were more pronounced than stereotypes and social distance. </w:t>
      </w:r>
    </w:p>
    <w:p w14:paraId="2C9268F5" w14:textId="556E59E7" w:rsidR="00BC6485" w:rsidRDefault="00A61E30" w:rsidP="00AC4994">
      <w:r>
        <w:t>Researchers from NatCen Social Research</w:t>
      </w:r>
      <w:r w:rsidR="00E22469">
        <w:rPr>
          <w:rStyle w:val="FootnoteReference"/>
        </w:rPr>
        <w:footnoteReference w:id="188"/>
      </w:r>
      <w:r>
        <w:t xml:space="preserve"> have also investigated the </w:t>
      </w:r>
      <w:r w:rsidR="00A57A51">
        <w:t>advantages and trade</w:t>
      </w:r>
      <w:r w:rsidR="00455079">
        <w:t>-</w:t>
      </w:r>
      <w:r w:rsidR="00A57A51">
        <w:t>offs associated with</w:t>
      </w:r>
      <w:r>
        <w:t xml:space="preserve"> moving from a face-to-face interview survey to a push-to-web or mixed modes</w:t>
      </w:r>
      <w:r w:rsidR="001E7B96">
        <w:rPr>
          <w:rStyle w:val="FootnoteReference"/>
        </w:rPr>
        <w:footnoteReference w:id="189"/>
      </w:r>
      <w:r>
        <w:t>.</w:t>
      </w:r>
      <w:r w:rsidR="00197CCC">
        <w:t xml:space="preserve"> </w:t>
      </w:r>
      <w:r w:rsidR="00A57A51">
        <w:t>They</w:t>
      </w:r>
      <w:r w:rsidR="00D0502F">
        <w:t xml:space="preserve"> assessed </w:t>
      </w:r>
      <w:r w:rsidR="00A57A51">
        <w:t xml:space="preserve">the sample </w:t>
      </w:r>
      <w:r w:rsidR="00D0502F">
        <w:t xml:space="preserve">quality by comparing the achieved sample </w:t>
      </w:r>
      <w:r w:rsidR="00A57A51">
        <w:t>profile, the response rates</w:t>
      </w:r>
      <w:r w:rsidR="00D0502F">
        <w:rPr>
          <w:rStyle w:val="FootnoteReference"/>
        </w:rPr>
        <w:footnoteReference w:id="190"/>
      </w:r>
      <w:r w:rsidR="00A57A51">
        <w:t xml:space="preserve"> and the weight</w:t>
      </w:r>
      <w:r w:rsidR="00104286">
        <w:t>ing efficienc</w:t>
      </w:r>
      <w:r w:rsidR="00D0502F">
        <w:t>y</w:t>
      </w:r>
      <w:r w:rsidR="00E74DBC">
        <w:t xml:space="preserve">. </w:t>
      </w:r>
      <w:r w:rsidR="00455079">
        <w:t xml:space="preserve">Little difference was observed between the two modes in terms of age, </w:t>
      </w:r>
      <w:r w:rsidR="00455079">
        <w:lastRenderedPageBreak/>
        <w:t>sex and region</w:t>
      </w:r>
      <w:r w:rsidR="009007E4">
        <w:t xml:space="preserve"> of the prespondents</w:t>
      </w:r>
      <w:r w:rsidR="00455079">
        <w:t xml:space="preserve">. </w:t>
      </w:r>
      <w:r w:rsidR="00E74DBC">
        <w:t>The web-based</w:t>
      </w:r>
      <w:r w:rsidR="00E47AFA">
        <w:t xml:space="preserve"> survey was found to be scalable, reduced respondent burden due to shorter time required to complete the survey, reduced fieldwork time by about 10 weeks and reduced the cost by about 50%.</w:t>
      </w:r>
      <w:r w:rsidR="00793292">
        <w:t xml:space="preserve"> </w:t>
      </w:r>
      <w:r w:rsidR="00E74DBC">
        <w:t>A number of trade-off were observed, however. P</w:t>
      </w:r>
      <w:r w:rsidR="009A0946">
        <w:t xml:space="preserve">eople with </w:t>
      </w:r>
      <w:r w:rsidR="00E74DBC">
        <w:t>higher education and those who we</w:t>
      </w:r>
      <w:r w:rsidR="009A0946">
        <w:t>re more poli</w:t>
      </w:r>
      <w:r w:rsidR="00E47AFA">
        <w:t>ti</w:t>
      </w:r>
      <w:r w:rsidR="009A0946">
        <w:t xml:space="preserve">cally </w:t>
      </w:r>
      <w:r w:rsidR="00E47AFA">
        <w:t>engaged</w:t>
      </w:r>
      <w:r w:rsidR="009A0946">
        <w:t xml:space="preserve"> were over-</w:t>
      </w:r>
      <w:r w:rsidR="00E74DBC">
        <w:t>represented</w:t>
      </w:r>
      <w:r w:rsidR="009A0946">
        <w:t xml:space="preserve"> in the web-based survey and under-</w:t>
      </w:r>
      <w:r w:rsidR="00FD2950">
        <w:t>represent</w:t>
      </w:r>
      <w:r w:rsidR="00E74DBC">
        <w:t>ed</w:t>
      </w:r>
      <w:r w:rsidR="009A0946">
        <w:t xml:space="preserve"> in the face-to-face survey. </w:t>
      </w:r>
      <w:r w:rsidR="00E74DBC">
        <w:t>The face-to-</w:t>
      </w:r>
      <w:r w:rsidR="009A0946">
        <w:t>face survey was better at reaching harder to reach groups such as ethnic minorities, people wit</w:t>
      </w:r>
      <w:r w:rsidR="00E74DBC">
        <w:t xml:space="preserve">h no qualifications, those who were economically inactive and </w:t>
      </w:r>
      <w:r w:rsidR="009A0946">
        <w:t xml:space="preserve">social renters. </w:t>
      </w:r>
      <w:r w:rsidR="00E74DBC">
        <w:t>The web-based survey achieved a much lower</w:t>
      </w:r>
      <w:r w:rsidR="009007E4">
        <w:t xml:space="preserve"> response rate and although the</w:t>
      </w:r>
      <w:r w:rsidR="00E74DBC">
        <w:t xml:space="preserve"> researchers suggest that</w:t>
      </w:r>
      <w:r w:rsidR="00E74DBC" w:rsidRPr="00E74DBC">
        <w:t xml:space="preserve"> the </w:t>
      </w:r>
      <w:r w:rsidR="00E74DBC">
        <w:t>demographic representativeness wa</w:t>
      </w:r>
      <w:r w:rsidR="00E74DBC" w:rsidRPr="00E74DBC">
        <w:t>s unlikely to have been unduly damaged</w:t>
      </w:r>
      <w:r w:rsidR="00E74DBC">
        <w:t xml:space="preserve">, there were </w:t>
      </w:r>
      <w:r w:rsidR="00040220">
        <w:t>concerns</w:t>
      </w:r>
      <w:r w:rsidR="009A0946">
        <w:t xml:space="preserve"> </w:t>
      </w:r>
      <w:r w:rsidR="00040220">
        <w:t>related to</w:t>
      </w:r>
      <w:r w:rsidR="00E74DBC">
        <w:t xml:space="preserve"> </w:t>
      </w:r>
      <w:r w:rsidR="00040220">
        <w:t>the representativeness of behaviour or attitudes</w:t>
      </w:r>
      <w:r w:rsidR="00E74DBC">
        <w:t xml:space="preserve"> </w:t>
      </w:r>
      <w:r w:rsidR="00E8570D">
        <w:t xml:space="preserve">of respondents compared to </w:t>
      </w:r>
      <w:r w:rsidR="009A0946">
        <w:t>the population</w:t>
      </w:r>
      <w:r w:rsidR="00E47AFA">
        <w:t>. The web-based survey</w:t>
      </w:r>
      <w:r w:rsidR="00F12581">
        <w:t xml:space="preserve"> was also found to have</w:t>
      </w:r>
      <w:r w:rsidR="00E47AFA">
        <w:t xml:space="preserve"> lower levels of </w:t>
      </w:r>
      <w:r w:rsidR="00F12581">
        <w:t>‘</w:t>
      </w:r>
      <w:r w:rsidR="00E47AFA">
        <w:t>don’t know</w:t>
      </w:r>
      <w:r w:rsidR="00F12581">
        <w:t>’</w:t>
      </w:r>
      <w:r w:rsidR="00E47AFA">
        <w:t xml:space="preserve"> and </w:t>
      </w:r>
      <w:r w:rsidR="00F12581">
        <w:t>‘</w:t>
      </w:r>
      <w:r w:rsidR="00E47AFA">
        <w:t>prefer not to say</w:t>
      </w:r>
      <w:r w:rsidR="00F12581">
        <w:t>’</w:t>
      </w:r>
      <w:r w:rsidR="00E47AFA">
        <w:t xml:space="preserve"> responses, especially for sensitive questions</w:t>
      </w:r>
      <w:r w:rsidR="00793292">
        <w:t>. The researchers conclude</w:t>
      </w:r>
      <w:r w:rsidR="00F12581">
        <w:t>d</w:t>
      </w:r>
      <w:r w:rsidR="00793292">
        <w:t xml:space="preserve"> that the web-based survey provided a robust sample with comparable estimate</w:t>
      </w:r>
      <w:r w:rsidR="00F606AB">
        <w:t>s</w:t>
      </w:r>
      <w:r w:rsidR="00793292">
        <w:t xml:space="preserve"> at a lower cost and shorter time period to conduct</w:t>
      </w:r>
      <w:r w:rsidR="00CF30CF">
        <w:t>.</w:t>
      </w:r>
    </w:p>
    <w:p w14:paraId="65F77360" w14:textId="0DDA194E" w:rsidR="000E090F" w:rsidRDefault="000E090F" w:rsidP="0040063E">
      <w:pPr>
        <w:pStyle w:val="Heading1"/>
      </w:pPr>
      <w:bookmarkStart w:id="29" w:name="_Toc123809237"/>
      <w:r>
        <w:t>Conclusion</w:t>
      </w:r>
      <w:bookmarkEnd w:id="29"/>
      <w:r>
        <w:t xml:space="preserve"> </w:t>
      </w:r>
    </w:p>
    <w:p w14:paraId="6294C810" w14:textId="78454C40" w:rsidR="00995A77" w:rsidRDefault="00ED29FF" w:rsidP="000E090F">
      <w:r w:rsidRPr="00ED29FF">
        <w:t>There now exist</w:t>
      </w:r>
      <w:r w:rsidR="00B01DDB">
        <w:t>s</w:t>
      </w:r>
      <w:r w:rsidRPr="00ED29FF">
        <w:t xml:space="preserve"> an abundance of methods for measuring attitudes</w:t>
      </w:r>
      <w:r w:rsidR="00B01DDB">
        <w:t xml:space="preserve"> towards people with disabilities, both direct and indirect. This review has indicated, however, that no s</w:t>
      </w:r>
      <w:r w:rsidRPr="00ED29FF">
        <w:t>ingle approach is wholly reliable or uncontested.</w:t>
      </w:r>
      <w:r>
        <w:t xml:space="preserve"> M</w:t>
      </w:r>
      <w:r w:rsidR="00120623">
        <w:t xml:space="preserve">easuring attitudes towards people with disabilities is not a straightforward task due to the complexity of </w:t>
      </w:r>
      <w:r w:rsidR="00555BD8">
        <w:t>the</w:t>
      </w:r>
      <w:r w:rsidR="00120623">
        <w:t xml:space="preserve"> concept. </w:t>
      </w:r>
      <w:r w:rsidR="00ED013A">
        <w:t>A general consensus is that a</w:t>
      </w:r>
      <w:r w:rsidR="00120623">
        <w:t>pproaching the measurement of attitudes in a simplistic mann</w:t>
      </w:r>
      <w:r w:rsidR="00995A77">
        <w:t>e</w:t>
      </w:r>
      <w:r w:rsidR="00120623">
        <w:t xml:space="preserve">r will not produce </w:t>
      </w:r>
      <w:r w:rsidR="00104286">
        <w:t>a holistic picture</w:t>
      </w:r>
      <w:r w:rsidR="00FD6D15">
        <w:t xml:space="preserve"> of</w:t>
      </w:r>
      <w:r w:rsidR="00104286">
        <w:t xml:space="preserve"> attitudes</w:t>
      </w:r>
      <w:r w:rsidR="00120623">
        <w:t xml:space="preserve">. Antonak &amp; Liveneh (2000) </w:t>
      </w:r>
      <w:r w:rsidR="00995A77">
        <w:t>recommend</w:t>
      </w:r>
      <w:r w:rsidR="003D11ED">
        <w:t>ed</w:t>
      </w:r>
      <w:r w:rsidR="00120623">
        <w:t xml:space="preserve"> that measuring attitudes towards people with disabilities</w:t>
      </w:r>
      <w:r w:rsidR="00995A77">
        <w:t xml:space="preserve">: </w:t>
      </w:r>
    </w:p>
    <w:p w14:paraId="4CB31F09" w14:textId="2D739E17" w:rsidR="003D11ED" w:rsidRDefault="00995A77" w:rsidP="00A963E0">
      <w:pPr>
        <w:pStyle w:val="BlockQuote"/>
      </w:pPr>
      <w:r>
        <w:t>r</w:t>
      </w:r>
      <w:r w:rsidR="000E090F">
        <w:t>equires innovative experimental methods and psychometrically sound instruments that are reliable, valid and multi-dimensional.</w:t>
      </w:r>
      <w:r w:rsidR="000E090F" w:rsidRPr="000E090F">
        <w:t xml:space="preserve"> </w:t>
      </w:r>
      <w:r w:rsidR="000E090F">
        <w:t>Without such instruments, it will not be possible to obtain conclusive answers to important research questions concerning the relationship between these attitudes and the acceptance and integration of persons with disabilities into society</w:t>
      </w:r>
      <w:r>
        <w:t>.</w:t>
      </w:r>
    </w:p>
    <w:p w14:paraId="74E84FF8" w14:textId="043FE2D5" w:rsidR="00B01DDB" w:rsidRDefault="00B01DDB" w:rsidP="00256A36">
      <w:r w:rsidRPr="00B01DDB">
        <w:t xml:space="preserve">Self-report survey research remains the most common method of assessing attitudes to disability as it is the most accessible and straightforward approach for many researchers. The main issues with self-report surveys and other direct measures, however, are the threats to validity such as social desirability bias. </w:t>
      </w:r>
      <w:r w:rsidR="00FD6D15">
        <w:t>Thus, r</w:t>
      </w:r>
      <w:r w:rsidR="002F4480">
        <w:t>elying on direct measure</w:t>
      </w:r>
      <w:r w:rsidR="00FD6D15">
        <w:t xml:space="preserve">s </w:t>
      </w:r>
      <w:r w:rsidR="002F4480">
        <w:t>alone may only provide information around how a person thinks they should feel</w:t>
      </w:r>
      <w:r w:rsidR="00FD6D15">
        <w:t xml:space="preserve"> and behave</w:t>
      </w:r>
      <w:r w:rsidR="002F4480">
        <w:t xml:space="preserve"> but may not necessarily reflect how </w:t>
      </w:r>
      <w:r w:rsidR="002F4480">
        <w:lastRenderedPageBreak/>
        <w:t xml:space="preserve">they </w:t>
      </w:r>
      <w:r w:rsidR="00FD6D15">
        <w:t xml:space="preserve">actually </w:t>
      </w:r>
      <w:r w:rsidR="002F4480">
        <w:t>behave or intend to behave.</w:t>
      </w:r>
      <w:r w:rsidR="002F4480">
        <w:rPr>
          <w:rStyle w:val="FootnoteReference"/>
        </w:rPr>
        <w:footnoteReference w:id="191"/>
      </w:r>
      <w:r w:rsidR="002F4480">
        <w:t xml:space="preserve"> </w:t>
      </w:r>
      <w:r w:rsidRPr="00B01DDB">
        <w:t>An examination of the modes of data collection indicates, however, that self-administered survey modes may help with eliciting more honest responses on direct measures regarding sensitive topics. Recent research investigating the trade-offs between the various survey modes has shown promising results, however</w:t>
      </w:r>
      <w:r w:rsidR="00FD6D15">
        <w:t>,</w:t>
      </w:r>
      <w:r w:rsidRPr="00B01DDB">
        <w:t xml:space="preserve"> there are important caveats that need to be considered, particularly in terms of response rates and overall representativeness of the sample achieved. </w:t>
      </w:r>
    </w:p>
    <w:p w14:paraId="2135815F" w14:textId="36420D3D" w:rsidR="00715CD0" w:rsidRDefault="00C17BCA" w:rsidP="00256A36">
      <w:r>
        <w:t>Indirect measures may address some of the threats to validity associated with direct measures but they only provide part of the picture and are subject to their own challenges.</w:t>
      </w:r>
      <w:r>
        <w:rPr>
          <w:rStyle w:val="FootnoteReference"/>
        </w:rPr>
        <w:footnoteReference w:id="192"/>
      </w:r>
      <w:r w:rsidR="00A804F5">
        <w:t xml:space="preserve"> </w:t>
      </w:r>
      <w:r w:rsidR="00D07A31">
        <w:t>For example, s</w:t>
      </w:r>
      <w:r w:rsidR="0085146E">
        <w:t>ome</w:t>
      </w:r>
      <w:r w:rsidR="00BA2F93">
        <w:t xml:space="preserve"> </w:t>
      </w:r>
      <w:r w:rsidR="003D11ED">
        <w:t xml:space="preserve">traditional </w:t>
      </w:r>
      <w:r w:rsidR="00BA2F93">
        <w:t>indirect me</w:t>
      </w:r>
      <w:r w:rsidR="00EA34BE">
        <w:t>asures</w:t>
      </w:r>
      <w:r w:rsidR="002A255E">
        <w:t xml:space="preserve"> are</w:t>
      </w:r>
      <w:r w:rsidR="00BA2F93">
        <w:t xml:space="preserve"> lab-based an</w:t>
      </w:r>
      <w:r w:rsidR="002A255E">
        <w:t>d</w:t>
      </w:r>
      <w:r w:rsidR="00BA2F93">
        <w:t xml:space="preserve"> require specific equipment or computer programmes</w:t>
      </w:r>
      <w:r w:rsidR="00EA34BE">
        <w:t xml:space="preserve">, making them less practical, especially if the aim </w:t>
      </w:r>
      <w:r w:rsidR="002015C2">
        <w:t>is to</w:t>
      </w:r>
      <w:r w:rsidR="00EA34BE">
        <w:t xml:space="preserve"> conduct a nationally representative </w:t>
      </w:r>
      <w:r w:rsidR="00FC3B3C">
        <w:t>study</w:t>
      </w:r>
      <w:r w:rsidR="00EA34BE">
        <w:t xml:space="preserve">. </w:t>
      </w:r>
      <w:r w:rsidR="00A963E0">
        <w:t xml:space="preserve">List experiments have shown promising results for the </w:t>
      </w:r>
      <w:r w:rsidR="00AE1B60">
        <w:t xml:space="preserve">indirect </w:t>
      </w:r>
      <w:r w:rsidR="00A963E0">
        <w:t>measurement of attitudes and this method is appropriate for conducting nationally representative studies</w:t>
      </w:r>
      <w:r w:rsidR="00AE1B60">
        <w:t xml:space="preserve"> with large samples</w:t>
      </w:r>
      <w:r w:rsidR="00A963E0">
        <w:t>.</w:t>
      </w:r>
      <w:r w:rsidR="00AE1B60">
        <w:t xml:space="preserve"> No studies were identified in which list experiments were used to examine attitudes towards people with disabilities, </w:t>
      </w:r>
      <w:r w:rsidR="00715CD0">
        <w:t xml:space="preserve">however, </w:t>
      </w:r>
      <w:r w:rsidR="00AE1B60">
        <w:t xml:space="preserve">which is a clear gap in the </w:t>
      </w:r>
      <w:r w:rsidR="00715CD0">
        <w:t>literature</w:t>
      </w:r>
      <w:r w:rsidR="00AE1B60">
        <w:t xml:space="preserve">. The NDA has commissioned the ESRI to conduct research which examines attitudes towards </w:t>
      </w:r>
      <w:r w:rsidR="00715CD0">
        <w:t>disabled</w:t>
      </w:r>
      <w:r w:rsidR="00AE1B60">
        <w:t xml:space="preserve"> people in Ireland</w:t>
      </w:r>
      <w:r w:rsidR="00715CD0">
        <w:t xml:space="preserve"> using indirect methods including a list experiment which be a valuable addition to the evidence-base. </w:t>
      </w:r>
    </w:p>
    <w:p w14:paraId="30E01547" w14:textId="5201A86C" w:rsidR="002E176C" w:rsidRDefault="00715CD0" w:rsidP="002E176C">
      <w:r>
        <w:t>T</w:t>
      </w:r>
      <w:r w:rsidR="00AE1B60">
        <w:t xml:space="preserve">his literature review has indicated that there are various </w:t>
      </w:r>
      <w:r>
        <w:t xml:space="preserve">useful methods and approaches that can be </w:t>
      </w:r>
      <w:r w:rsidR="0085146E">
        <w:t>used to measure attitudes towards people with disabilities. The</w:t>
      </w:r>
      <w:r w:rsidR="0085146E" w:rsidRPr="0085146E">
        <w:t xml:space="preserve"> measurement</w:t>
      </w:r>
      <w:r w:rsidR="0085146E">
        <w:t xml:space="preserve"> of attitudes is complex, however, </w:t>
      </w:r>
      <w:r w:rsidR="00A513FC">
        <w:t xml:space="preserve">and each methodology has advantages and drawbacks, </w:t>
      </w:r>
      <w:r w:rsidR="0085146E">
        <w:t xml:space="preserve">so careful consideration should be given to the type of measurement that would be most suitable in various contexts. </w:t>
      </w:r>
    </w:p>
    <w:p w14:paraId="618E2A8E" w14:textId="375F87BB" w:rsidR="007F7DEA" w:rsidRDefault="007F7DEA">
      <w:pPr>
        <w:spacing w:after="0"/>
      </w:pPr>
      <w:r>
        <w:br w:type="page"/>
      </w:r>
    </w:p>
    <w:p w14:paraId="15B97677" w14:textId="488F9A2F" w:rsidR="005110BF" w:rsidRDefault="00C859A5" w:rsidP="00C859A5">
      <w:pPr>
        <w:pStyle w:val="Heading1"/>
      </w:pPr>
      <w:bookmarkStart w:id="30" w:name="_Toc123809238"/>
      <w:r>
        <w:lastRenderedPageBreak/>
        <w:t>References</w:t>
      </w:r>
      <w:bookmarkEnd w:id="30"/>
    </w:p>
    <w:p w14:paraId="2927E54E" w14:textId="02B9F86C"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 xml:space="preserve">Aaberg, V.A. </w:t>
      </w:r>
      <w:r w:rsidR="00FE679D" w:rsidRPr="00842A52">
        <w:rPr>
          <w:rFonts w:eastAsia="SimSun" w:cs="Helvetica Neue"/>
          <w:color w:val="000000"/>
          <w:szCs w:val="26"/>
          <w:lang w:val="en-GB" w:eastAsia="en-IE"/>
        </w:rPr>
        <w:t>(</w:t>
      </w:r>
      <w:r w:rsidRPr="00842A52">
        <w:rPr>
          <w:rFonts w:eastAsia="SimSun" w:cs="Helvetica Neue"/>
          <w:color w:val="000000"/>
          <w:szCs w:val="26"/>
          <w:lang w:val="en-GB" w:eastAsia="en-IE"/>
        </w:rPr>
        <w:t>2012</w:t>
      </w:r>
      <w:r w:rsidR="00FE679D" w:rsidRPr="00842A52">
        <w:rPr>
          <w:rFonts w:eastAsia="SimSun" w:cs="Helvetica Neue"/>
          <w:color w:val="000000"/>
          <w:szCs w:val="26"/>
          <w:lang w:val="en-GB" w:eastAsia="en-IE"/>
        </w:rPr>
        <w:t>)</w:t>
      </w:r>
      <w:r w:rsidR="005F7D4B"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 xml:space="preserve">A path to greater inclusivity through understanding implicit attitudes toward disability. </w:t>
      </w:r>
      <w:r w:rsidRPr="00842A52">
        <w:rPr>
          <w:rFonts w:eastAsia="SimSun" w:cs="Helvetica Neue"/>
          <w:b/>
          <w:bCs/>
          <w:color w:val="000000"/>
          <w:szCs w:val="26"/>
          <w:lang w:val="en-GB" w:eastAsia="en-IE"/>
        </w:rPr>
        <w:t>Journal of Nursing Education</w:t>
      </w:r>
      <w:r w:rsidRPr="00842A52">
        <w:rPr>
          <w:rFonts w:eastAsia="SimSun" w:cs="Helvetica Neue"/>
          <w:color w:val="000000"/>
          <w:szCs w:val="26"/>
          <w:lang w:val="en-GB" w:eastAsia="en-IE"/>
        </w:rPr>
        <w:t>, 51(9), pp.505-510.</w:t>
      </w:r>
      <w:r w:rsidRPr="00842A52">
        <w:rPr>
          <w:szCs w:val="26"/>
        </w:rPr>
        <w:t xml:space="preserve"> </w:t>
      </w:r>
      <w:hyperlink r:id="rId11" w:history="1">
        <w:r w:rsidRPr="00842A52">
          <w:rPr>
            <w:rStyle w:val="Hyperlink"/>
            <w:rFonts w:eastAsia="SimSun" w:cs="Helvetica Neue"/>
            <w:szCs w:val="26"/>
            <w:lang w:val="en-GB" w:eastAsia="en-IE"/>
          </w:rPr>
          <w:t>https://doi.org/10.3928/01484834-20120706-02</w:t>
        </w:r>
      </w:hyperlink>
      <w:r w:rsidRPr="00842A52">
        <w:rPr>
          <w:rFonts w:eastAsia="SimSun" w:cs="Helvetica Neue"/>
          <w:color w:val="000000"/>
          <w:szCs w:val="26"/>
          <w:lang w:val="en-GB" w:eastAsia="en-IE"/>
        </w:rPr>
        <w:t xml:space="preserve"> </w:t>
      </w:r>
    </w:p>
    <w:p w14:paraId="7A94A5BE" w14:textId="337C0188" w:rsidR="00C23C76" w:rsidRPr="00842A52" w:rsidRDefault="00C23C76" w:rsidP="00FE679D">
      <w:pPr>
        <w:spacing w:after="0"/>
        <w:rPr>
          <w:szCs w:val="26"/>
          <w:lang w:eastAsia="en-GB"/>
        </w:rPr>
      </w:pPr>
      <w:r w:rsidRPr="00842A52">
        <w:rPr>
          <w:rFonts w:eastAsia="SimSun" w:cs="Helvetica Neue"/>
          <w:color w:val="000000"/>
          <w:szCs w:val="26"/>
          <w:lang w:val="en-GB" w:eastAsia="en-IE"/>
        </w:rPr>
        <w:t>Adderley, H.</w:t>
      </w:r>
      <w:r w:rsidR="00FE679D"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2020</w:t>
      </w:r>
      <w:r w:rsidR="00FE679D"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Adult mental health practitioner beliefs about psychosis, parenting, and the role of the practitioner: A</w:t>
      </w:r>
      <w:r w:rsidR="00FE679D"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 xml:space="preserve">Q methodological investigation. </w:t>
      </w:r>
      <w:r w:rsidRPr="00842A52">
        <w:rPr>
          <w:rFonts w:eastAsia="SimSun" w:cs="Helvetica Neue"/>
          <w:b/>
          <w:bCs/>
          <w:color w:val="000000"/>
          <w:szCs w:val="26"/>
          <w:lang w:val="en-GB" w:eastAsia="en-IE"/>
        </w:rPr>
        <w:t>Psychology and Psychotherapy: Theory, Research and Practice</w:t>
      </w:r>
      <w:r w:rsidRPr="00842A52">
        <w:rPr>
          <w:rFonts w:eastAsia="SimSun" w:cs="Helvetica Neue"/>
          <w:color w:val="000000"/>
          <w:szCs w:val="26"/>
          <w:lang w:val="en-GB" w:eastAsia="en-IE"/>
        </w:rPr>
        <w:t>, 93(4), pp.657-673.</w:t>
      </w:r>
      <w:r w:rsidR="00FE679D" w:rsidRPr="00842A52">
        <w:rPr>
          <w:szCs w:val="26"/>
        </w:rPr>
        <w:t xml:space="preserve"> </w:t>
      </w:r>
      <w:hyperlink r:id="rId12" w:history="1">
        <w:r w:rsidR="00FE679D" w:rsidRPr="002F4480">
          <w:rPr>
            <w:rStyle w:val="Hyperlink"/>
            <w:rFonts w:cs="Open Sans"/>
            <w:bCs/>
            <w:color w:val="005274"/>
            <w:szCs w:val="26"/>
            <w:u w:val="none"/>
            <w:shd w:val="clear" w:color="auto" w:fill="FFFFFF"/>
          </w:rPr>
          <w:t>https://doi.org/10.1111/papt.12249</w:t>
        </w:r>
      </w:hyperlink>
    </w:p>
    <w:p w14:paraId="2291B7CB" w14:textId="77777777" w:rsidR="00FE679D" w:rsidRPr="00842A52" w:rsidRDefault="00FE679D" w:rsidP="00FE679D">
      <w:pPr>
        <w:spacing w:after="0"/>
        <w:rPr>
          <w:szCs w:val="26"/>
          <w:lang w:eastAsia="en-GB"/>
        </w:rPr>
      </w:pPr>
    </w:p>
    <w:p w14:paraId="33A76402" w14:textId="37538985"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themeColor="text1"/>
          <w:szCs w:val="26"/>
          <w:lang w:val="en-GB" w:eastAsia="en-IE"/>
        </w:rPr>
      </w:pPr>
      <w:r w:rsidRPr="00842A52">
        <w:rPr>
          <w:rFonts w:eastAsia="SimSun" w:cs="Helvetica Neue"/>
          <w:color w:val="000000" w:themeColor="text1"/>
          <w:szCs w:val="26"/>
          <w:lang w:val="en-GB" w:eastAsia="en-IE"/>
        </w:rPr>
        <w:t>Ahadinezhad, B.</w:t>
      </w:r>
      <w:r w:rsidR="00FE679D" w:rsidRPr="00842A52">
        <w:rPr>
          <w:rFonts w:eastAsia="SimSun" w:cs="Helvetica Neue"/>
          <w:color w:val="000000" w:themeColor="text1"/>
          <w:szCs w:val="26"/>
          <w:lang w:val="en-GB" w:eastAsia="en-IE"/>
        </w:rPr>
        <w:t xml:space="preserve"> et al. (</w:t>
      </w:r>
      <w:r w:rsidRPr="00842A52">
        <w:rPr>
          <w:rFonts w:eastAsia="SimSun" w:cs="Helvetica Neue"/>
          <w:color w:val="000000" w:themeColor="text1"/>
          <w:szCs w:val="26"/>
          <w:lang w:val="en-GB" w:eastAsia="en-IE"/>
        </w:rPr>
        <w:t>2021</w:t>
      </w:r>
      <w:r w:rsidR="00FE679D" w:rsidRPr="00842A52">
        <w:rPr>
          <w:rFonts w:eastAsia="SimSun" w:cs="Helvetica Neue"/>
          <w:color w:val="000000" w:themeColor="text1"/>
          <w:szCs w:val="26"/>
          <w:lang w:val="en-GB" w:eastAsia="en-IE"/>
        </w:rPr>
        <w:t>)</w:t>
      </w:r>
      <w:r w:rsidRPr="00842A52">
        <w:rPr>
          <w:rFonts w:eastAsia="SimSun" w:cs="Helvetica Neue"/>
          <w:color w:val="000000" w:themeColor="text1"/>
          <w:szCs w:val="26"/>
          <w:lang w:val="en-GB" w:eastAsia="en-IE"/>
        </w:rPr>
        <w:t xml:space="preserve"> Implicit racial bias among medical graduates and students by an IAT measure: a systematic review and meta-analysis. </w:t>
      </w:r>
      <w:r w:rsidRPr="00842A52">
        <w:rPr>
          <w:rFonts w:eastAsia="SimSun" w:cs="Helvetica Neue"/>
          <w:b/>
          <w:bCs/>
          <w:color w:val="000000" w:themeColor="text1"/>
          <w:szCs w:val="26"/>
          <w:lang w:val="en-GB" w:eastAsia="en-IE"/>
        </w:rPr>
        <w:t>Irish Journal of Medical Science</w:t>
      </w:r>
      <w:r w:rsidRPr="00842A52">
        <w:rPr>
          <w:rFonts w:eastAsia="SimSun" w:cs="Helvetica Neue"/>
          <w:color w:val="000000" w:themeColor="text1"/>
          <w:szCs w:val="26"/>
          <w:lang w:val="en-GB" w:eastAsia="en-IE"/>
        </w:rPr>
        <w:t xml:space="preserve"> (1971-), </w:t>
      </w:r>
      <w:r w:rsidR="00FE679D" w:rsidRPr="00842A52">
        <w:rPr>
          <w:rFonts w:eastAsia="SimSun" w:cs="Helvetica Neue"/>
          <w:color w:val="000000" w:themeColor="text1"/>
          <w:szCs w:val="26"/>
          <w:lang w:val="en-GB" w:eastAsia="en-IE"/>
        </w:rPr>
        <w:t xml:space="preserve">191, </w:t>
      </w:r>
      <w:r w:rsidRPr="00842A52">
        <w:rPr>
          <w:rFonts w:eastAsia="SimSun" w:cs="Helvetica Neue"/>
          <w:color w:val="000000" w:themeColor="text1"/>
          <w:szCs w:val="26"/>
          <w:lang w:val="en-GB" w:eastAsia="en-IE"/>
        </w:rPr>
        <w:t>pp.1</w:t>
      </w:r>
      <w:r w:rsidR="00FE679D" w:rsidRPr="00842A52">
        <w:rPr>
          <w:rFonts w:eastAsia="SimSun" w:cs="Helvetica Neue"/>
          <w:color w:val="000000" w:themeColor="text1"/>
          <w:szCs w:val="26"/>
          <w:lang w:val="en-GB" w:eastAsia="en-IE"/>
        </w:rPr>
        <w:t>941</w:t>
      </w:r>
      <w:r w:rsidRPr="00842A52">
        <w:rPr>
          <w:rFonts w:eastAsia="SimSun" w:cs="Helvetica Neue"/>
          <w:color w:val="000000" w:themeColor="text1"/>
          <w:szCs w:val="26"/>
          <w:lang w:val="en-GB" w:eastAsia="en-IE"/>
        </w:rPr>
        <w:t>-</w:t>
      </w:r>
      <w:r w:rsidR="00FE679D" w:rsidRPr="00842A52">
        <w:rPr>
          <w:rFonts w:eastAsia="SimSun" w:cs="Helvetica Neue"/>
          <w:color w:val="000000" w:themeColor="text1"/>
          <w:szCs w:val="26"/>
          <w:lang w:val="en-GB" w:eastAsia="en-IE"/>
        </w:rPr>
        <w:t>1949</w:t>
      </w:r>
      <w:r w:rsidRPr="00842A52">
        <w:rPr>
          <w:rFonts w:eastAsia="SimSun" w:cs="Helvetica Neue"/>
          <w:color w:val="000000" w:themeColor="text1"/>
          <w:szCs w:val="26"/>
          <w:lang w:val="en-GB" w:eastAsia="en-IE"/>
        </w:rPr>
        <w:t xml:space="preserve">. </w:t>
      </w:r>
      <w:hyperlink r:id="rId13" w:history="1">
        <w:r w:rsidRPr="00842A52">
          <w:rPr>
            <w:rStyle w:val="Hyperlink"/>
            <w:rFonts w:eastAsia="SimSun" w:cs="Helvetica Neue"/>
            <w:szCs w:val="26"/>
            <w:lang w:val="en-GB" w:eastAsia="en-IE"/>
          </w:rPr>
          <w:t>https://doi.org/10.1007/s11845-021-02756-3</w:t>
        </w:r>
      </w:hyperlink>
      <w:r w:rsidRPr="00842A52">
        <w:rPr>
          <w:rFonts w:eastAsia="SimSun" w:cs="Helvetica Neue"/>
          <w:color w:val="000000" w:themeColor="text1"/>
          <w:szCs w:val="26"/>
          <w:lang w:val="en-GB" w:eastAsia="en-IE"/>
        </w:rPr>
        <w:t xml:space="preserve"> </w:t>
      </w:r>
    </w:p>
    <w:p w14:paraId="37B46F7A"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themeColor="text1"/>
          <w:szCs w:val="26"/>
          <w:lang w:val="en-GB" w:eastAsia="en-IE"/>
        </w:rPr>
      </w:pPr>
    </w:p>
    <w:p w14:paraId="2025717D" w14:textId="6A961A40" w:rsidR="00C23C76" w:rsidRPr="00842A52" w:rsidRDefault="00C23C76" w:rsidP="00767ADB">
      <w:pPr>
        <w:spacing w:after="0"/>
        <w:rPr>
          <w:szCs w:val="26"/>
          <w:lang w:eastAsia="en-GB"/>
        </w:rPr>
      </w:pPr>
      <w:r w:rsidRPr="00842A52">
        <w:rPr>
          <w:rFonts w:eastAsia="SimSun" w:cs="Helvetica Neue"/>
          <w:color w:val="000000"/>
          <w:szCs w:val="26"/>
          <w:lang w:val="en-GB" w:eastAsia="en-IE"/>
        </w:rPr>
        <w:t>Andersson, J.</w:t>
      </w:r>
      <w:r w:rsidR="005F7D4B"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2015</w:t>
      </w:r>
      <w:r w:rsidR="005F7D4B"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Employer attitudes toward hiring persons with disabilities: A vignette study in Sweden. </w:t>
      </w:r>
      <w:r w:rsidRPr="00842A52">
        <w:rPr>
          <w:rFonts w:eastAsia="SimSun" w:cs="Helvetica Neue"/>
          <w:b/>
          <w:bCs/>
          <w:color w:val="000000"/>
          <w:szCs w:val="26"/>
          <w:lang w:val="en-GB" w:eastAsia="en-IE"/>
        </w:rPr>
        <w:t>Journal of Vocational Rehabilitation</w:t>
      </w:r>
      <w:r w:rsidRPr="00842A52">
        <w:rPr>
          <w:rFonts w:eastAsia="SimSun" w:cs="Helvetica Neue"/>
          <w:color w:val="000000"/>
          <w:szCs w:val="26"/>
          <w:lang w:val="en-GB" w:eastAsia="en-IE"/>
        </w:rPr>
        <w:t>, 43(1), pp.41-50.</w:t>
      </w:r>
      <w:r w:rsidR="00767ADB" w:rsidRPr="00842A52">
        <w:rPr>
          <w:rFonts w:eastAsia="SimSun" w:cs="Helvetica Neue"/>
          <w:color w:val="000000"/>
          <w:szCs w:val="26"/>
          <w:lang w:val="en-GB" w:eastAsia="en-IE"/>
        </w:rPr>
        <w:t xml:space="preserve"> </w:t>
      </w:r>
      <w:hyperlink r:id="rId14" w:history="1">
        <w:r w:rsidR="00767ADB" w:rsidRPr="00842A52">
          <w:rPr>
            <w:rStyle w:val="Hyperlink"/>
            <w:color w:val="067499"/>
            <w:szCs w:val="26"/>
            <w:shd w:val="clear" w:color="auto" w:fill="FFFFFF"/>
          </w:rPr>
          <w:t> https://doi.org/10.3233/jvr-150753 </w:t>
        </w:r>
      </w:hyperlink>
    </w:p>
    <w:p w14:paraId="1B79E9FC" w14:textId="77777777" w:rsidR="00767ADB" w:rsidRPr="00842A52" w:rsidRDefault="00767ADB" w:rsidP="00767ADB">
      <w:pPr>
        <w:spacing w:after="0"/>
        <w:rPr>
          <w:szCs w:val="26"/>
          <w:lang w:eastAsia="en-GB"/>
        </w:rPr>
      </w:pPr>
    </w:p>
    <w:p w14:paraId="15A03378" w14:textId="211673F5" w:rsidR="00C23C76" w:rsidRPr="00842A52" w:rsidRDefault="00C23C76" w:rsidP="00DE259B">
      <w:pPr>
        <w:rPr>
          <w:rFonts w:eastAsia="SimSun" w:cs="Helvetica Neue"/>
          <w:color w:val="000000"/>
          <w:szCs w:val="26"/>
          <w:lang w:val="en-GB" w:eastAsia="en-IE"/>
        </w:rPr>
      </w:pPr>
      <w:r w:rsidRPr="00842A52">
        <w:rPr>
          <w:rFonts w:eastAsia="SimSun" w:cs="Helvetica Neue"/>
          <w:color w:val="000000"/>
          <w:szCs w:val="26"/>
          <w:lang w:val="en-GB" w:eastAsia="en-IE"/>
        </w:rPr>
        <w:t>Antonak, R</w:t>
      </w:r>
      <w:r w:rsidR="00DE259B"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F. and Livneh, H. (1988) </w:t>
      </w:r>
      <w:r w:rsidRPr="00842A52">
        <w:rPr>
          <w:rFonts w:eastAsia="SimSun" w:cs="Helvetica Neue"/>
          <w:b/>
          <w:bCs/>
          <w:color w:val="000000"/>
          <w:szCs w:val="26"/>
          <w:lang w:val="en-GB" w:eastAsia="en-IE"/>
        </w:rPr>
        <w:t xml:space="preserve">The measurement of attitudes toward people with disabilities: </w:t>
      </w:r>
      <w:r w:rsidR="00DE259B" w:rsidRPr="00842A52">
        <w:rPr>
          <w:rFonts w:eastAsia="SimSun" w:cs="Helvetica Neue"/>
          <w:b/>
          <w:bCs/>
          <w:color w:val="000000"/>
          <w:szCs w:val="26"/>
          <w:lang w:val="en-GB" w:eastAsia="en-IE"/>
        </w:rPr>
        <w:t>m</w:t>
      </w:r>
      <w:r w:rsidRPr="00842A52">
        <w:rPr>
          <w:rFonts w:eastAsia="SimSun" w:cs="Helvetica Neue"/>
          <w:b/>
          <w:bCs/>
          <w:color w:val="000000"/>
          <w:szCs w:val="26"/>
          <w:lang w:val="en-GB" w:eastAsia="en-IE"/>
        </w:rPr>
        <w:t xml:space="preserve">ethods, psychometrics and </w:t>
      </w:r>
      <w:r w:rsidR="00DE259B" w:rsidRPr="00842A52">
        <w:rPr>
          <w:rFonts w:eastAsia="SimSun" w:cs="Helvetica Neue"/>
          <w:b/>
          <w:bCs/>
          <w:color w:val="000000"/>
          <w:szCs w:val="26"/>
          <w:lang w:val="en-GB" w:eastAsia="en-IE"/>
        </w:rPr>
        <w:t>s</w:t>
      </w:r>
      <w:r w:rsidRPr="00842A52">
        <w:rPr>
          <w:rFonts w:eastAsia="SimSun" w:cs="Helvetica Neue"/>
          <w:b/>
          <w:bCs/>
          <w:color w:val="000000"/>
          <w:szCs w:val="26"/>
          <w:lang w:val="en-GB" w:eastAsia="en-IE"/>
        </w:rPr>
        <w:t>cales.</w:t>
      </w:r>
      <w:r w:rsidRPr="00842A52">
        <w:rPr>
          <w:rFonts w:eastAsia="SimSun" w:cs="Helvetica Neue"/>
          <w:color w:val="000000"/>
          <w:szCs w:val="26"/>
          <w:lang w:val="en-GB" w:eastAsia="en-IE"/>
        </w:rPr>
        <w:t xml:space="preserve"> Springfield, IL: Thomas.</w:t>
      </w:r>
    </w:p>
    <w:p w14:paraId="162389BD" w14:textId="10310D84" w:rsidR="00664FF7" w:rsidRPr="009B4A5B" w:rsidRDefault="009B4A5B" w:rsidP="009B4A5B">
      <w:pPr>
        <w:pStyle w:val="dx-doi"/>
        <w:spacing w:before="0" w:after="0"/>
        <w:rPr>
          <w:rFonts w:ascii="Gill Sans MT" w:hAnsi="Gill Sans MT" w:cs="Open Sans"/>
          <w:color w:val="333333"/>
          <w:sz w:val="26"/>
          <w:szCs w:val="26"/>
        </w:rPr>
      </w:pPr>
      <w:r w:rsidRPr="009B4A5B">
        <w:rPr>
          <w:rFonts w:ascii="Gill Sans MT" w:hAnsi="Gill Sans MT" w:cs="Arial"/>
          <w:color w:val="000000" w:themeColor="text1"/>
          <w:sz w:val="26"/>
          <w:szCs w:val="26"/>
          <w:shd w:val="clear" w:color="auto" w:fill="FFFFFF"/>
        </w:rPr>
        <w:t>Antonak, F.R. and Livneh, H., 2000. Measurement of attitudes towards persons with disabilities. </w:t>
      </w:r>
      <w:r w:rsidRPr="009B4A5B">
        <w:rPr>
          <w:rFonts w:ascii="Gill Sans MT" w:hAnsi="Gill Sans MT" w:cs="Arial"/>
          <w:i/>
          <w:iCs/>
          <w:color w:val="000000" w:themeColor="text1"/>
          <w:sz w:val="26"/>
          <w:szCs w:val="26"/>
          <w:shd w:val="clear" w:color="auto" w:fill="FFFFFF"/>
        </w:rPr>
        <w:t>Disability and rehabilitation</w:t>
      </w:r>
      <w:r w:rsidRPr="009B4A5B">
        <w:rPr>
          <w:rFonts w:ascii="Gill Sans MT" w:hAnsi="Gill Sans MT" w:cs="Arial"/>
          <w:color w:val="000000" w:themeColor="text1"/>
          <w:sz w:val="26"/>
          <w:szCs w:val="26"/>
          <w:shd w:val="clear" w:color="auto" w:fill="FFFFFF"/>
        </w:rPr>
        <w:t>, </w:t>
      </w:r>
      <w:r w:rsidRPr="009B4A5B">
        <w:rPr>
          <w:rFonts w:ascii="Gill Sans MT" w:hAnsi="Gill Sans MT" w:cs="Arial"/>
          <w:i/>
          <w:iCs/>
          <w:color w:val="000000" w:themeColor="text1"/>
          <w:sz w:val="26"/>
          <w:szCs w:val="26"/>
          <w:shd w:val="clear" w:color="auto" w:fill="FFFFFF"/>
        </w:rPr>
        <w:t>22</w:t>
      </w:r>
      <w:r w:rsidRPr="009B4A5B">
        <w:rPr>
          <w:rFonts w:ascii="Gill Sans MT" w:hAnsi="Gill Sans MT" w:cs="Arial"/>
          <w:color w:val="000000" w:themeColor="text1"/>
          <w:sz w:val="26"/>
          <w:szCs w:val="26"/>
          <w:shd w:val="clear" w:color="auto" w:fill="FFFFFF"/>
        </w:rPr>
        <w:t>(5), pp.211-224.</w:t>
      </w:r>
      <w:r w:rsidRPr="009B4A5B">
        <w:rPr>
          <w:rFonts w:ascii="Gill Sans MT" w:hAnsi="Gill Sans MT" w:cs="Open Sans"/>
          <w:color w:val="333333"/>
          <w:sz w:val="26"/>
          <w:szCs w:val="26"/>
        </w:rPr>
        <w:t xml:space="preserve"> </w:t>
      </w:r>
      <w:hyperlink r:id="rId15" w:history="1">
        <w:r w:rsidRPr="009B4A5B">
          <w:rPr>
            <w:rStyle w:val="Hyperlink"/>
            <w:rFonts w:ascii="Gill Sans MT" w:hAnsi="Gill Sans MT" w:cs="Open Sans"/>
            <w:color w:val="006DB4"/>
            <w:sz w:val="26"/>
            <w:szCs w:val="26"/>
          </w:rPr>
          <w:t>https://doi.org/10.1080/096382800296782</w:t>
        </w:r>
      </w:hyperlink>
    </w:p>
    <w:p w14:paraId="388AC128" w14:textId="50B948FD" w:rsidR="00664FF7" w:rsidRPr="00842A52" w:rsidRDefault="00664FF7" w:rsidP="00664FF7">
      <w:pPr>
        <w:spacing w:after="0"/>
        <w:rPr>
          <w:szCs w:val="26"/>
        </w:rPr>
      </w:pPr>
      <w:r w:rsidRPr="00842A52">
        <w:rPr>
          <w:szCs w:val="26"/>
        </w:rPr>
        <w:t xml:space="preserve">Aronow P.M. et al (2015) Combining List Experiment and Direct Question Estimates of Sensitive Behaviour Prevalence. </w:t>
      </w:r>
      <w:r w:rsidRPr="00842A52">
        <w:rPr>
          <w:b/>
          <w:bCs/>
          <w:iCs/>
          <w:szCs w:val="26"/>
        </w:rPr>
        <w:t>Journal Survey Statistics and Methodology</w:t>
      </w:r>
      <w:r w:rsidRPr="00842A52">
        <w:rPr>
          <w:szCs w:val="26"/>
        </w:rPr>
        <w:t xml:space="preserve"> 3(1):43-66. </w:t>
      </w:r>
      <w:hyperlink r:id="rId16" w:history="1">
        <w:r w:rsidRPr="00842A52">
          <w:rPr>
            <w:rStyle w:val="Hyperlink"/>
            <w:color w:val="067499"/>
            <w:szCs w:val="26"/>
            <w:shd w:val="clear" w:color="auto" w:fill="FFFFFF"/>
          </w:rPr>
          <w:t> https://doi.org/10.1093/jssam/smu023 </w:t>
        </w:r>
      </w:hyperlink>
    </w:p>
    <w:p w14:paraId="6F31E1B5" w14:textId="67ACC7C0" w:rsidR="00FD66C3" w:rsidRPr="00842A52" w:rsidRDefault="00FD66C3" w:rsidP="00664FF7">
      <w:pPr>
        <w:spacing w:after="0"/>
        <w:rPr>
          <w:szCs w:val="26"/>
        </w:rPr>
      </w:pPr>
    </w:p>
    <w:p w14:paraId="6A77F946" w14:textId="17A2DB2F" w:rsidR="00FD66C3" w:rsidRPr="00842A52" w:rsidRDefault="00FD66C3" w:rsidP="00664FF7">
      <w:pPr>
        <w:spacing w:after="0"/>
        <w:rPr>
          <w:szCs w:val="26"/>
          <w:lang w:eastAsia="en-GB"/>
        </w:rPr>
      </w:pPr>
      <w:r w:rsidRPr="00842A52">
        <w:rPr>
          <w:rFonts w:eastAsia="SimSun" w:cs="Helvetica Neue"/>
          <w:color w:val="000000"/>
          <w:szCs w:val="26"/>
          <w:lang w:val="en-GB" w:eastAsia="en-IE"/>
        </w:rPr>
        <w:t xml:space="preserve">Arora, A., Sandhu, H.S. and Brasch, J. (2019) The potential effect of the psychiatric clerkship and contact-based hypothesis on explicit and implicit stigmatizing attitudes of Canadian medical students towards mental illness. </w:t>
      </w:r>
      <w:r w:rsidRPr="00842A52">
        <w:rPr>
          <w:rFonts w:eastAsia="SimSun" w:cs="Helvetica Neue"/>
          <w:b/>
          <w:bCs/>
          <w:color w:val="000000"/>
          <w:szCs w:val="26"/>
          <w:lang w:val="en-GB" w:eastAsia="en-IE"/>
        </w:rPr>
        <w:t>Academic Psychiatry</w:t>
      </w:r>
      <w:r w:rsidRPr="00842A52">
        <w:rPr>
          <w:rFonts w:eastAsia="SimSun" w:cs="Helvetica Neue"/>
          <w:color w:val="000000"/>
          <w:szCs w:val="26"/>
          <w:lang w:val="en-GB" w:eastAsia="en-IE"/>
        </w:rPr>
        <w:t>, 43(6), pp.605-609.</w:t>
      </w:r>
      <w:r w:rsidRPr="00842A52">
        <w:rPr>
          <w:szCs w:val="26"/>
        </w:rPr>
        <w:t xml:space="preserve"> </w:t>
      </w:r>
      <w:hyperlink r:id="rId17" w:history="1">
        <w:r w:rsidRPr="00842A52">
          <w:rPr>
            <w:rStyle w:val="Hyperlink"/>
            <w:rFonts w:eastAsia="SimSun" w:cs="Helvetica Neue"/>
            <w:szCs w:val="26"/>
            <w:lang w:val="en-GB" w:eastAsia="en-IE"/>
          </w:rPr>
          <w:t>https://doi.org/10.1007/s40596-019-01090-2</w:t>
        </w:r>
      </w:hyperlink>
    </w:p>
    <w:p w14:paraId="515EB98C"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7079BF43" w14:textId="77777777" w:rsidR="00FD66C3" w:rsidRPr="00842A52" w:rsidRDefault="00FD66C3" w:rsidP="00FD6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Avramidis, E. (2013) Self-concept, social position, and social participation of pupils with SEN in mainstream primary schools. </w:t>
      </w:r>
      <w:r w:rsidRPr="00842A52">
        <w:rPr>
          <w:rFonts w:eastAsia="SimSun" w:cs="Helvetica Neue"/>
          <w:b/>
          <w:bCs/>
          <w:color w:val="000000"/>
          <w:szCs w:val="26"/>
          <w:lang w:val="en-GB" w:eastAsia="en-IE"/>
        </w:rPr>
        <w:t>Research Papers in Education</w:t>
      </w:r>
      <w:r w:rsidRPr="00842A52">
        <w:rPr>
          <w:rFonts w:eastAsia="SimSun" w:cs="Helvetica Neue"/>
          <w:color w:val="000000"/>
          <w:szCs w:val="26"/>
          <w:lang w:val="en-GB" w:eastAsia="en-IE"/>
        </w:rPr>
        <w:t>, 28(4), pp.421-442.</w:t>
      </w:r>
      <w:r w:rsidRPr="00842A52">
        <w:rPr>
          <w:szCs w:val="26"/>
        </w:rPr>
        <w:t xml:space="preserve"> </w:t>
      </w:r>
      <w:hyperlink r:id="rId18" w:history="1">
        <w:r w:rsidRPr="00842A52">
          <w:rPr>
            <w:rStyle w:val="Hyperlink"/>
            <w:rFonts w:eastAsia="SimSun" w:cs="Helvetica Neue"/>
            <w:szCs w:val="26"/>
            <w:lang w:val="en-GB" w:eastAsia="en-IE"/>
          </w:rPr>
          <w:t>https://doi.org/10.1080/02671522.2012.673006</w:t>
        </w:r>
      </w:hyperlink>
      <w:r w:rsidRPr="00842A52">
        <w:rPr>
          <w:rFonts w:eastAsia="SimSun" w:cs="Helvetica Neue"/>
          <w:color w:val="000000"/>
          <w:szCs w:val="26"/>
          <w:lang w:val="en-GB" w:eastAsia="en-IE"/>
        </w:rPr>
        <w:t xml:space="preserve"> </w:t>
      </w:r>
    </w:p>
    <w:p w14:paraId="1003A5C4" w14:textId="77777777" w:rsidR="00FD66C3" w:rsidRPr="00842A52" w:rsidRDefault="00FD66C3" w:rsidP="00C23C76">
      <w:pPr>
        <w:rPr>
          <w:rFonts w:eastAsia="SimSun" w:cs="Helvetica Neue"/>
          <w:color w:val="000000"/>
          <w:szCs w:val="26"/>
          <w:lang w:val="en-GB" w:eastAsia="en-IE"/>
        </w:rPr>
      </w:pPr>
    </w:p>
    <w:p w14:paraId="3A0101AF" w14:textId="09AB69B9"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lastRenderedPageBreak/>
        <w:t>Avramidis E</w:t>
      </w:r>
      <w:r w:rsidR="000D4EC8" w:rsidRPr="00842A52">
        <w:rPr>
          <w:rFonts w:eastAsia="SimSun" w:cs="Helvetica Neue"/>
          <w:color w:val="000000"/>
          <w:szCs w:val="26"/>
          <w:lang w:val="en-GB" w:eastAsia="en-IE"/>
        </w:rPr>
        <w:t>. et al. (</w:t>
      </w:r>
      <w:r w:rsidRPr="00842A52">
        <w:rPr>
          <w:rFonts w:eastAsia="SimSun" w:cs="Helvetica Neue"/>
          <w:color w:val="000000"/>
          <w:szCs w:val="26"/>
          <w:lang w:val="en-GB" w:eastAsia="en-IE"/>
        </w:rPr>
        <w:t>2017</w:t>
      </w:r>
      <w:r w:rsidR="000D4EC8"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Using sociometric techniques to assess the social impacts of inclusion: Some methodological considerations. </w:t>
      </w:r>
      <w:r w:rsidRPr="00842A52">
        <w:rPr>
          <w:rFonts w:eastAsia="SimSun" w:cs="Helvetica Neue"/>
          <w:b/>
          <w:bCs/>
          <w:color w:val="000000"/>
          <w:szCs w:val="26"/>
          <w:lang w:val="en-GB" w:eastAsia="en-IE"/>
        </w:rPr>
        <w:t>Educational Research Review</w:t>
      </w:r>
      <w:r w:rsidR="000D4EC8"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w:t>
      </w:r>
      <w:r w:rsidR="000D4EC8" w:rsidRPr="00842A52">
        <w:rPr>
          <w:rFonts w:eastAsia="SimSun" w:cs="Helvetica Neue"/>
          <w:color w:val="000000"/>
          <w:szCs w:val="26"/>
          <w:lang w:val="en-GB" w:eastAsia="en-IE"/>
        </w:rPr>
        <w:t>, pp.</w:t>
      </w:r>
      <w:r w:rsidRPr="00842A52">
        <w:rPr>
          <w:rFonts w:eastAsia="SimSun" w:cs="Helvetica Neue"/>
          <w:color w:val="000000"/>
          <w:szCs w:val="26"/>
          <w:lang w:val="en-GB" w:eastAsia="en-IE"/>
        </w:rPr>
        <w:t>68-80.</w:t>
      </w:r>
      <w:r w:rsidRPr="00842A52">
        <w:rPr>
          <w:szCs w:val="26"/>
        </w:rPr>
        <w:t xml:space="preserve"> </w:t>
      </w:r>
      <w:hyperlink r:id="rId19" w:history="1">
        <w:r w:rsidRPr="00842A52">
          <w:rPr>
            <w:rStyle w:val="Hyperlink"/>
            <w:rFonts w:eastAsia="SimSun" w:cs="Helvetica Neue"/>
            <w:szCs w:val="26"/>
            <w:lang w:val="en-GB" w:eastAsia="en-IE"/>
          </w:rPr>
          <w:t>https://doi.org/10.1016/j.edurev.2016.11.004</w:t>
        </w:r>
      </w:hyperlink>
      <w:r w:rsidRPr="00842A52">
        <w:rPr>
          <w:rFonts w:eastAsia="SimSun" w:cs="Helvetica Neue"/>
          <w:color w:val="000000"/>
          <w:szCs w:val="26"/>
          <w:lang w:val="en-GB" w:eastAsia="en-IE"/>
        </w:rPr>
        <w:t xml:space="preserve"> </w:t>
      </w:r>
    </w:p>
    <w:p w14:paraId="48ED0F1E" w14:textId="7CECCCD4" w:rsidR="00C23C76" w:rsidRPr="00842A52" w:rsidRDefault="00FD66C3"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Ball, P. et al. (2005) Disability as diversity in Fortune 100 companies. </w:t>
      </w:r>
      <w:r w:rsidRPr="00842A52">
        <w:rPr>
          <w:rFonts w:eastAsia="SimSun" w:cs="Helvetica Neue"/>
          <w:b/>
          <w:bCs/>
          <w:color w:val="000000"/>
          <w:szCs w:val="26"/>
          <w:lang w:val="en-GB" w:eastAsia="en-IE"/>
        </w:rPr>
        <w:t>Behavioral Sciences &amp; the Law</w:t>
      </w:r>
      <w:r w:rsidRPr="00842A52">
        <w:rPr>
          <w:rFonts w:eastAsia="SimSun" w:cs="Helvetica Neue"/>
          <w:color w:val="000000"/>
          <w:szCs w:val="26"/>
          <w:lang w:val="en-GB" w:eastAsia="en-IE"/>
        </w:rPr>
        <w:t>, 23(1), pp.97-121.</w:t>
      </w:r>
      <w:r w:rsidRPr="00842A52">
        <w:rPr>
          <w:szCs w:val="26"/>
        </w:rPr>
        <w:t xml:space="preserve"> </w:t>
      </w:r>
      <w:hyperlink r:id="rId20" w:history="1">
        <w:r w:rsidRPr="00842A52">
          <w:rPr>
            <w:rStyle w:val="Hyperlink"/>
            <w:rFonts w:eastAsia="SimSun" w:cs="Helvetica Neue"/>
            <w:szCs w:val="26"/>
            <w:lang w:val="en-GB" w:eastAsia="en-IE"/>
          </w:rPr>
          <w:t>https://doi.org/10.1002/bsl.629</w:t>
        </w:r>
      </w:hyperlink>
    </w:p>
    <w:p w14:paraId="089FFE56" w14:textId="77777777" w:rsidR="00FD66C3" w:rsidRPr="00842A52" w:rsidRDefault="00FD66C3"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4969BE66" w14:textId="2B30C270"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Barnes-Holmes, D.</w:t>
      </w:r>
      <w:r w:rsidR="00C83D95"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2006</w:t>
      </w:r>
      <w:r w:rsidR="00C83D9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Do you really know what you believe? Developing the Implicit Relational Assessment Procedure (IRAP) as a direct measure of implicit beliefs. </w:t>
      </w:r>
      <w:r w:rsidRPr="00842A52">
        <w:rPr>
          <w:rFonts w:eastAsia="SimSun" w:cs="Helvetica Neue"/>
          <w:b/>
          <w:bCs/>
          <w:color w:val="000000"/>
          <w:szCs w:val="26"/>
          <w:lang w:val="en-GB" w:eastAsia="en-IE"/>
        </w:rPr>
        <w:t>The Irish Psychologist</w:t>
      </w:r>
      <w:r w:rsidRPr="00842A52">
        <w:rPr>
          <w:rFonts w:eastAsia="SimSun" w:cs="Helvetica Neue"/>
          <w:color w:val="000000"/>
          <w:szCs w:val="26"/>
          <w:lang w:val="en-GB" w:eastAsia="en-IE"/>
        </w:rPr>
        <w:t>, 32(7), pp.169-177.</w:t>
      </w:r>
    </w:p>
    <w:p w14:paraId="78BA3A59"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1B5D6CBC" w14:textId="4959AFD2"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 xml:space="preserve">Barr, J.J. and Bracchitta, K. </w:t>
      </w:r>
      <w:r w:rsidR="00C83D95" w:rsidRPr="00842A52">
        <w:rPr>
          <w:rFonts w:eastAsia="SimSun" w:cs="Helvetica Neue"/>
          <w:color w:val="000000"/>
          <w:szCs w:val="26"/>
          <w:lang w:val="en-GB" w:eastAsia="en-IE"/>
        </w:rPr>
        <w:t>(</w:t>
      </w:r>
      <w:r w:rsidRPr="00842A52">
        <w:rPr>
          <w:rFonts w:eastAsia="SimSun" w:cs="Helvetica Neue"/>
          <w:color w:val="000000"/>
          <w:szCs w:val="26"/>
          <w:lang w:val="en-GB" w:eastAsia="en-IE"/>
        </w:rPr>
        <w:t>2015</w:t>
      </w:r>
      <w:r w:rsidR="00C83D9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Attitudes toward individuals with disabilities: The effects of contact with different disability types. </w:t>
      </w:r>
      <w:r w:rsidRPr="00842A52">
        <w:rPr>
          <w:rFonts w:eastAsia="SimSun" w:cs="Helvetica Neue"/>
          <w:b/>
          <w:bCs/>
          <w:color w:val="000000"/>
          <w:szCs w:val="26"/>
          <w:lang w:val="en-GB" w:eastAsia="en-IE"/>
        </w:rPr>
        <w:t>Current Psychology</w:t>
      </w:r>
      <w:r w:rsidRPr="00842A52">
        <w:rPr>
          <w:rFonts w:eastAsia="SimSun" w:cs="Helvetica Neue"/>
          <w:color w:val="000000"/>
          <w:szCs w:val="26"/>
          <w:lang w:val="en-GB" w:eastAsia="en-IE"/>
        </w:rPr>
        <w:t>, 34(2), pp.223-238.</w:t>
      </w:r>
      <w:r w:rsidRPr="00842A52">
        <w:rPr>
          <w:szCs w:val="26"/>
        </w:rPr>
        <w:t xml:space="preserve"> </w:t>
      </w:r>
      <w:hyperlink r:id="rId21" w:history="1">
        <w:r w:rsidRPr="00842A52">
          <w:rPr>
            <w:rStyle w:val="Hyperlink"/>
            <w:rFonts w:eastAsia="SimSun" w:cs="Helvetica Neue"/>
            <w:szCs w:val="26"/>
            <w:lang w:val="en-GB" w:eastAsia="en-IE"/>
          </w:rPr>
          <w:t>https://doi.org/10.1007/s12144-014-9253-2</w:t>
        </w:r>
      </w:hyperlink>
      <w:r w:rsidRPr="00842A52">
        <w:rPr>
          <w:rFonts w:eastAsia="SimSun" w:cs="Helvetica Neue"/>
          <w:color w:val="000000"/>
          <w:szCs w:val="26"/>
          <w:lang w:val="en-GB" w:eastAsia="en-IE"/>
        </w:rPr>
        <w:t xml:space="preserve"> </w:t>
      </w:r>
    </w:p>
    <w:p w14:paraId="6A211A46" w14:textId="600FD38C" w:rsidR="00C23C76" w:rsidRPr="00842A52" w:rsidRDefault="00C23C76" w:rsidP="00036018">
      <w:pPr>
        <w:spacing w:after="0"/>
        <w:rPr>
          <w:szCs w:val="26"/>
          <w:lang w:eastAsia="en-GB"/>
        </w:rPr>
      </w:pPr>
      <w:r w:rsidRPr="00842A52">
        <w:rPr>
          <w:rFonts w:eastAsia="SimSun" w:cs="Helvetica Neue"/>
          <w:color w:val="000000"/>
          <w:szCs w:val="26"/>
          <w:lang w:val="en-GB" w:eastAsia="en-IE"/>
        </w:rPr>
        <w:t>Bast, D.F.</w:t>
      </w:r>
      <w:r w:rsidR="00C83D95"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2020</w:t>
      </w:r>
      <w:r w:rsidR="00C83D95" w:rsidRPr="00842A52">
        <w:rPr>
          <w:rFonts w:eastAsia="SimSun" w:cs="Helvetica Neue"/>
          <w:color w:val="000000"/>
          <w:szCs w:val="26"/>
          <w:lang w:val="en-GB" w:eastAsia="en-IE"/>
        </w:rPr>
        <w:t>)</w:t>
      </w:r>
      <w:r w:rsidR="00021E15"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 xml:space="preserve">The effect of educational messages on implicit and explicit attitudes towards individuals on the autism spectrum versus normally developing individuals. </w:t>
      </w:r>
      <w:r w:rsidRPr="00842A52">
        <w:rPr>
          <w:rFonts w:eastAsia="SimSun" w:cs="Helvetica Neue"/>
          <w:b/>
          <w:bCs/>
          <w:color w:val="000000"/>
          <w:szCs w:val="26"/>
          <w:lang w:val="en-GB" w:eastAsia="en-IE"/>
        </w:rPr>
        <w:t>The Psychological Record</w:t>
      </w:r>
      <w:r w:rsidRPr="00842A52">
        <w:rPr>
          <w:rFonts w:eastAsia="SimSun" w:cs="Helvetica Neue"/>
          <w:color w:val="000000"/>
          <w:szCs w:val="26"/>
          <w:lang w:val="en-GB" w:eastAsia="en-IE"/>
        </w:rPr>
        <w:t>, 70(1), pp.123-145.</w:t>
      </w:r>
      <w:r w:rsidR="00036018" w:rsidRPr="00842A52">
        <w:rPr>
          <w:szCs w:val="26"/>
        </w:rPr>
        <w:t xml:space="preserve"> </w:t>
      </w:r>
      <w:hyperlink r:id="rId22" w:history="1">
        <w:r w:rsidR="00036018" w:rsidRPr="00842A52">
          <w:rPr>
            <w:rStyle w:val="Hyperlink"/>
            <w:color w:val="067499"/>
            <w:szCs w:val="26"/>
            <w:shd w:val="clear" w:color="auto" w:fill="FFFFFF"/>
          </w:rPr>
          <w:t> https://doi.org/10.1007/s40732-019-00363-4 </w:t>
        </w:r>
      </w:hyperlink>
    </w:p>
    <w:p w14:paraId="148E4386"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30C1326A" w14:textId="2448828B" w:rsidR="00C23C76" w:rsidRPr="00842A52" w:rsidRDefault="00C23C76" w:rsidP="00021E15">
      <w:pPr>
        <w:spacing w:after="0"/>
        <w:rPr>
          <w:szCs w:val="26"/>
          <w:lang w:eastAsia="en-GB"/>
        </w:rPr>
      </w:pPr>
      <w:r w:rsidRPr="00842A52">
        <w:rPr>
          <w:rFonts w:eastAsia="SimSun" w:cs="Helvetica Neue"/>
          <w:color w:val="000000"/>
          <w:szCs w:val="26"/>
          <w:lang w:val="en-GB" w:eastAsia="en-IE"/>
        </w:rPr>
        <w:t>Benedetti, A., Jackson, J. and Luo, L.</w:t>
      </w:r>
      <w:r w:rsidR="00021E15"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2018</w:t>
      </w:r>
      <w:r w:rsidR="00021E1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Vignettes: Implications for LIS research. </w:t>
      </w:r>
      <w:r w:rsidRPr="00842A52">
        <w:rPr>
          <w:rFonts w:eastAsia="SimSun" w:cs="Helvetica Neue"/>
          <w:b/>
          <w:bCs/>
          <w:color w:val="000000"/>
          <w:szCs w:val="26"/>
          <w:lang w:val="en-GB" w:eastAsia="en-IE"/>
        </w:rPr>
        <w:t>College &amp; Research Libraries</w:t>
      </w:r>
      <w:r w:rsidRPr="00842A52">
        <w:rPr>
          <w:rFonts w:eastAsia="SimSun" w:cs="Helvetica Neue"/>
          <w:color w:val="000000"/>
          <w:szCs w:val="26"/>
          <w:lang w:val="en-GB" w:eastAsia="en-IE"/>
        </w:rPr>
        <w:t>, 79(2), p.222.</w:t>
      </w:r>
      <w:hyperlink r:id="rId23" w:history="1">
        <w:r w:rsidR="00021E15" w:rsidRPr="00842A52">
          <w:rPr>
            <w:rStyle w:val="Hyperlink"/>
            <w:szCs w:val="26"/>
            <w:shd w:val="clear" w:color="auto" w:fill="FFFFFF"/>
          </w:rPr>
          <w:t> https://doi.org/10.5860/crl.79.2.222 </w:t>
        </w:r>
      </w:hyperlink>
    </w:p>
    <w:p w14:paraId="7EB7D1F6"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0C5A8D15" w14:textId="2E6AD135" w:rsidR="00021E15" w:rsidRPr="00842A52" w:rsidRDefault="00C23C76" w:rsidP="00021E15">
      <w:pPr>
        <w:spacing w:after="0"/>
        <w:rPr>
          <w:rStyle w:val="Hyperlink"/>
          <w:color w:val="067499"/>
          <w:szCs w:val="26"/>
          <w:shd w:val="clear" w:color="auto" w:fill="FFFFFF"/>
        </w:rPr>
      </w:pPr>
      <w:r w:rsidRPr="00842A52">
        <w:rPr>
          <w:rFonts w:eastAsia="SimSun" w:cs="Helvetica Neue"/>
          <w:color w:val="000000"/>
          <w:szCs w:val="26"/>
          <w:lang w:val="en-GB" w:eastAsia="en-IE"/>
        </w:rPr>
        <w:t>Besika, A., Collard, P.C. and Coogan, J.</w:t>
      </w:r>
      <w:r w:rsidR="00021E15"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2018</w:t>
      </w:r>
      <w:r w:rsidR="00021E1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Attitudes of therapists towards people with learning disabilities. </w:t>
      </w:r>
      <w:r w:rsidRPr="00842A52">
        <w:rPr>
          <w:rFonts w:eastAsia="SimSun" w:cs="Helvetica Neue"/>
          <w:b/>
          <w:bCs/>
          <w:color w:val="000000"/>
          <w:szCs w:val="26"/>
          <w:lang w:val="en-GB" w:eastAsia="en-IE"/>
        </w:rPr>
        <w:t>Counselling and Psychotherapy Research</w:t>
      </w:r>
      <w:r w:rsidRPr="00842A52">
        <w:rPr>
          <w:rFonts w:eastAsia="SimSun" w:cs="Helvetica Neue"/>
          <w:color w:val="000000"/>
          <w:szCs w:val="26"/>
          <w:lang w:val="en-GB" w:eastAsia="en-IE"/>
        </w:rPr>
        <w:t>, 18(1), pp.89-101.</w:t>
      </w:r>
      <w:r w:rsidR="00021E15" w:rsidRPr="00842A52">
        <w:rPr>
          <w:szCs w:val="26"/>
        </w:rPr>
        <w:t xml:space="preserve"> </w:t>
      </w:r>
      <w:hyperlink r:id="rId24" w:history="1">
        <w:r w:rsidR="00021E15" w:rsidRPr="00842A52">
          <w:rPr>
            <w:rStyle w:val="Hyperlink"/>
            <w:color w:val="067499"/>
            <w:szCs w:val="26"/>
            <w:shd w:val="clear" w:color="auto" w:fill="FFFFFF"/>
          </w:rPr>
          <w:t> https://doi.org/10.1002/capr.12139 </w:t>
        </w:r>
      </w:hyperlink>
    </w:p>
    <w:p w14:paraId="07DE9BA5"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0205CC02" w14:textId="561A62A5" w:rsidR="00C23C76" w:rsidRPr="00842A52" w:rsidRDefault="00C23C76" w:rsidP="00021E15">
      <w:pPr>
        <w:spacing w:after="0"/>
        <w:rPr>
          <w:szCs w:val="26"/>
          <w:lang w:eastAsia="en-GB"/>
        </w:rPr>
      </w:pPr>
      <w:r w:rsidRPr="00842A52">
        <w:rPr>
          <w:rFonts w:eastAsia="SimSun" w:cs="Helvetica Neue"/>
          <w:color w:val="000000"/>
          <w:szCs w:val="26"/>
          <w:lang w:val="en-GB" w:eastAsia="en-IE"/>
        </w:rPr>
        <w:t xml:space="preserve">Blair, G., Imai, K., </w:t>
      </w:r>
      <w:r w:rsidR="00021E15" w:rsidRPr="00842A52">
        <w:rPr>
          <w:rFonts w:eastAsia="SimSun" w:cs="Helvetica Neue"/>
          <w:color w:val="000000"/>
          <w:szCs w:val="26"/>
          <w:lang w:val="en-GB" w:eastAsia="en-IE"/>
        </w:rPr>
        <w:t xml:space="preserve">and </w:t>
      </w:r>
      <w:r w:rsidRPr="00842A52">
        <w:rPr>
          <w:rFonts w:eastAsia="SimSun" w:cs="Helvetica Neue"/>
          <w:color w:val="000000"/>
          <w:szCs w:val="26"/>
          <w:lang w:val="en-GB" w:eastAsia="en-IE"/>
        </w:rPr>
        <w:t>Lyall, J</w:t>
      </w:r>
      <w:r w:rsidR="00021E1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(2014) Comparing and Combining List and Endorsement Experiments: Evidence from Afghanistan</w:t>
      </w:r>
      <w:r w:rsidR="00021E15" w:rsidRPr="00842A52">
        <w:rPr>
          <w:rFonts w:eastAsia="SimSun" w:cs="Helvetica Neue"/>
          <w:color w:val="000000"/>
          <w:szCs w:val="26"/>
          <w:lang w:val="en-GB" w:eastAsia="en-IE"/>
        </w:rPr>
        <w:t xml:space="preserve">. </w:t>
      </w:r>
      <w:r w:rsidRPr="00842A52">
        <w:rPr>
          <w:rFonts w:eastAsia="SimSun" w:cs="Helvetica Neue"/>
          <w:b/>
          <w:bCs/>
          <w:color w:val="000000"/>
          <w:szCs w:val="26"/>
          <w:lang w:val="en-GB" w:eastAsia="en-IE"/>
        </w:rPr>
        <w:t>American Journal of Political Science</w:t>
      </w:r>
      <w:r w:rsidRPr="00842A52">
        <w:rPr>
          <w:rFonts w:eastAsia="SimSun" w:cs="Helvetica Neue"/>
          <w:color w:val="000000"/>
          <w:szCs w:val="26"/>
          <w:lang w:val="en-GB" w:eastAsia="en-IE"/>
        </w:rPr>
        <w:t>, 58 (4), 1043-1063.</w:t>
      </w:r>
      <w:r w:rsidR="00021E15" w:rsidRPr="00842A52">
        <w:rPr>
          <w:szCs w:val="26"/>
        </w:rPr>
        <w:t xml:space="preserve"> </w:t>
      </w:r>
      <w:hyperlink r:id="rId25" w:history="1">
        <w:r w:rsidR="00021E15" w:rsidRPr="00842A52">
          <w:rPr>
            <w:rStyle w:val="Hyperlink"/>
            <w:color w:val="067499"/>
            <w:szCs w:val="26"/>
            <w:shd w:val="clear" w:color="auto" w:fill="FFFFFF"/>
          </w:rPr>
          <w:t> https://doi.org/10.1111/ajps.12086 </w:t>
        </w:r>
      </w:hyperlink>
    </w:p>
    <w:p w14:paraId="33700BA5"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6C7B8525" w14:textId="13D65A19"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Bollier et al. </w:t>
      </w:r>
      <w:r w:rsidR="00021E15" w:rsidRPr="00842A52">
        <w:rPr>
          <w:rFonts w:eastAsia="SimSun" w:cs="Helvetica Neue"/>
          <w:color w:val="000000"/>
          <w:szCs w:val="26"/>
          <w:lang w:val="en-GB" w:eastAsia="en-IE"/>
        </w:rPr>
        <w:t>(</w:t>
      </w:r>
      <w:r w:rsidRPr="00842A52">
        <w:rPr>
          <w:rFonts w:eastAsia="SimSun" w:cs="Helvetica Neue"/>
          <w:color w:val="000000"/>
          <w:szCs w:val="26"/>
          <w:lang w:val="en-GB" w:eastAsia="en-IE"/>
        </w:rPr>
        <w:t>2021</w:t>
      </w:r>
      <w:r w:rsidR="00021E1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Attitudes Matter. Findings from a national survey</w:t>
      </w:r>
    </w:p>
    <w:p w14:paraId="59AFC2DE"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of community attitudes toward people with disability in Australia. Available from:   </w:t>
      </w:r>
      <w:hyperlink r:id="rId26" w:history="1">
        <w:r w:rsidRPr="00842A52">
          <w:rPr>
            <w:rStyle w:val="Hyperlink"/>
            <w:rFonts w:eastAsia="SimSun" w:cs="Helvetica Neue"/>
            <w:szCs w:val="26"/>
            <w:lang w:val="en-GB" w:eastAsia="en-IE"/>
          </w:rPr>
          <w:t>https://mspgh.unimelb.edu.au/research-groups/centre-for-health-equity/disability-and-health-unit/community-attitudes</w:t>
        </w:r>
      </w:hyperlink>
      <w:r w:rsidRPr="00842A52">
        <w:rPr>
          <w:rFonts w:eastAsia="SimSun" w:cs="Helvetica Neue"/>
          <w:color w:val="000000"/>
          <w:szCs w:val="26"/>
          <w:lang w:val="en-GB" w:eastAsia="en-IE"/>
        </w:rPr>
        <w:t xml:space="preserve"> [last accessed November, 2022].</w:t>
      </w:r>
    </w:p>
    <w:p w14:paraId="46D3A42D"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404E30E8" w14:textId="77BC5958" w:rsidR="00C23C76" w:rsidRPr="00842A52" w:rsidRDefault="00C23C76" w:rsidP="004C12E2">
      <w:pPr>
        <w:spacing w:after="0"/>
        <w:rPr>
          <w:szCs w:val="26"/>
          <w:lang w:eastAsia="en-GB"/>
        </w:rPr>
      </w:pPr>
      <w:r w:rsidRPr="00842A52">
        <w:rPr>
          <w:rFonts w:eastAsia="SimSun" w:cs="Helvetica Neue"/>
          <w:color w:val="000000"/>
          <w:szCs w:val="26"/>
          <w:lang w:val="en-GB" w:eastAsia="en-IE"/>
        </w:rPr>
        <w:t>Breen, J.S.</w:t>
      </w:r>
      <w:r w:rsidR="00021E15"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2018</w:t>
      </w:r>
      <w:r w:rsidR="00021E1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Attitudes toward employees with disabilities: A systematic review of self-report measures. </w:t>
      </w:r>
      <w:r w:rsidRPr="00842A52">
        <w:rPr>
          <w:rFonts w:eastAsia="SimSun" w:cs="Helvetica Neue"/>
          <w:b/>
          <w:bCs/>
          <w:color w:val="000000"/>
          <w:szCs w:val="26"/>
          <w:lang w:val="en-GB" w:eastAsia="en-IE"/>
        </w:rPr>
        <w:t>The Australian Journal of Rehabilitation Counselling</w:t>
      </w:r>
      <w:r w:rsidRPr="00842A52">
        <w:rPr>
          <w:rFonts w:eastAsia="SimSun" w:cs="Helvetica Neue"/>
          <w:color w:val="000000"/>
          <w:szCs w:val="26"/>
          <w:lang w:val="en-GB" w:eastAsia="en-IE"/>
        </w:rPr>
        <w:t>, 24(2), pp.67-87.</w:t>
      </w:r>
      <w:r w:rsidR="004C12E2" w:rsidRPr="00842A52">
        <w:rPr>
          <w:szCs w:val="26"/>
        </w:rPr>
        <w:t xml:space="preserve"> </w:t>
      </w:r>
      <w:hyperlink r:id="rId27" w:history="1">
        <w:r w:rsidR="004C12E2" w:rsidRPr="00842A52">
          <w:rPr>
            <w:rStyle w:val="Hyperlink"/>
            <w:color w:val="067499"/>
            <w:szCs w:val="26"/>
            <w:shd w:val="clear" w:color="auto" w:fill="FFFFFF"/>
          </w:rPr>
          <w:t> https://doi.org/10.1017/jrc.2018.8 </w:t>
        </w:r>
      </w:hyperlink>
    </w:p>
    <w:p w14:paraId="12B716F7"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5382B222" w14:textId="7CDD0278"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Style w:val="Hyperlink"/>
          <w:rFonts w:eastAsia="SimSun" w:cs="Helvetica Neue"/>
          <w:szCs w:val="26"/>
          <w:lang w:val="en-GB" w:eastAsia="en-IE"/>
        </w:rPr>
      </w:pPr>
      <w:r w:rsidRPr="00842A52">
        <w:rPr>
          <w:rFonts w:eastAsia="SimSun" w:cs="Helvetica Neue"/>
          <w:color w:val="000000"/>
          <w:szCs w:val="26"/>
          <w:lang w:val="en-GB" w:eastAsia="en-IE"/>
        </w:rPr>
        <w:t>Brown, T.</w:t>
      </w:r>
      <w:r w:rsidR="004C12E2"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2020</w:t>
      </w:r>
      <w:r w:rsidR="004C12E2" w:rsidRPr="00842A52">
        <w:rPr>
          <w:rFonts w:eastAsia="SimSun" w:cs="Helvetica Neue"/>
          <w:color w:val="000000"/>
          <w:szCs w:val="26"/>
          <w:lang w:val="en-GB" w:eastAsia="en-IE"/>
        </w:rPr>
        <w:t>) ‘</w:t>
      </w:r>
      <w:r w:rsidRPr="00842A52">
        <w:rPr>
          <w:rFonts w:eastAsia="SimSun" w:cs="Helvetica Neue"/>
          <w:color w:val="000000"/>
          <w:szCs w:val="26"/>
          <w:lang w:val="en-GB" w:eastAsia="en-IE"/>
        </w:rPr>
        <w:t>Measuring Attitudes: Current Practices in Health Professional Education</w:t>
      </w:r>
      <w:r w:rsidR="004C12E2"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in Nestel, D. et al. (eds.), </w:t>
      </w:r>
      <w:r w:rsidRPr="00842A52">
        <w:rPr>
          <w:rFonts w:eastAsia="SimSun" w:cs="Helvetica Neue"/>
          <w:b/>
          <w:bCs/>
          <w:color w:val="000000"/>
          <w:szCs w:val="26"/>
          <w:lang w:val="en-GB" w:eastAsia="en-IE"/>
        </w:rPr>
        <w:t xml:space="preserve">Clinical Education for the </w:t>
      </w:r>
      <w:r w:rsidRPr="00842A52">
        <w:rPr>
          <w:rFonts w:eastAsia="SimSun" w:cs="Helvetica Neue"/>
          <w:b/>
          <w:bCs/>
          <w:color w:val="000000"/>
          <w:szCs w:val="26"/>
          <w:lang w:val="en-GB" w:eastAsia="en-IE"/>
        </w:rPr>
        <w:lastRenderedPageBreak/>
        <w:t>Health Professions</w:t>
      </w:r>
      <w:r w:rsidRPr="00842A52">
        <w:rPr>
          <w:rFonts w:eastAsia="SimSun" w:cs="Helvetica Neue"/>
          <w:color w:val="000000"/>
          <w:szCs w:val="26"/>
          <w:lang w:val="en-GB" w:eastAsia="en-IE"/>
        </w:rPr>
        <w:t>, Springer Nature Singapore Pte Ltd.</w:t>
      </w:r>
      <w:r w:rsidR="004C12E2" w:rsidRPr="00842A52">
        <w:rPr>
          <w:szCs w:val="26"/>
        </w:rPr>
        <w:t xml:space="preserve"> </w:t>
      </w:r>
      <w:hyperlink r:id="rId28" w:history="1">
        <w:r w:rsidR="004C12E2" w:rsidRPr="00842A52">
          <w:rPr>
            <w:rStyle w:val="Hyperlink"/>
            <w:rFonts w:eastAsia="SimSun" w:cs="Helvetica Neue"/>
            <w:szCs w:val="26"/>
            <w:lang w:val="en-GB" w:eastAsia="en-IE"/>
          </w:rPr>
          <w:t>https://doi.org/10.1007/978-981-13-6106-7_76-1</w:t>
        </w:r>
      </w:hyperlink>
    </w:p>
    <w:p w14:paraId="45B4A397" w14:textId="3DF4A435" w:rsidR="00FD66C3" w:rsidRPr="00842A52" w:rsidRDefault="00FD66C3"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Style w:val="Hyperlink"/>
          <w:rFonts w:eastAsia="SimSun" w:cs="Helvetica Neue"/>
          <w:szCs w:val="26"/>
          <w:lang w:val="en-GB" w:eastAsia="en-IE"/>
        </w:rPr>
      </w:pPr>
    </w:p>
    <w:p w14:paraId="6D4C629D" w14:textId="3EC37078" w:rsidR="00FD66C3" w:rsidRPr="00842A52" w:rsidRDefault="00FD66C3"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Bryant, L.D., Green, J.M. and Hewison, J. 2006. Understandings of Down's Syndrome: A Q methodological investigation. </w:t>
      </w:r>
      <w:r w:rsidRPr="00842A52">
        <w:rPr>
          <w:rFonts w:eastAsia="SimSun" w:cs="Helvetica Neue"/>
          <w:b/>
          <w:bCs/>
          <w:color w:val="000000"/>
          <w:szCs w:val="26"/>
          <w:lang w:val="en-GB" w:eastAsia="en-IE"/>
        </w:rPr>
        <w:t>Social Science &amp; Medicine</w:t>
      </w:r>
      <w:r w:rsidRPr="00842A52">
        <w:rPr>
          <w:rFonts w:eastAsia="SimSun" w:cs="Helvetica Neue"/>
          <w:color w:val="000000"/>
          <w:szCs w:val="26"/>
          <w:lang w:val="en-GB" w:eastAsia="en-IE"/>
        </w:rPr>
        <w:t>, 63(5), pp.1188-1200.</w:t>
      </w:r>
      <w:r w:rsidRPr="00842A52">
        <w:rPr>
          <w:szCs w:val="26"/>
        </w:rPr>
        <w:t xml:space="preserve"> </w:t>
      </w:r>
      <w:hyperlink r:id="rId29" w:history="1">
        <w:r w:rsidRPr="00842A52">
          <w:rPr>
            <w:rFonts w:eastAsia="SimSun" w:cs="Helvetica Neue"/>
            <w:color w:val="0000FF"/>
            <w:szCs w:val="26"/>
            <w:u w:val="single"/>
            <w:lang w:val="en-GB" w:eastAsia="en-IE"/>
          </w:rPr>
          <w:t>https://doi.org/10.1016/j.socscimed.2006.03.004</w:t>
        </w:r>
      </w:hyperlink>
      <w:r w:rsidRPr="00842A52">
        <w:rPr>
          <w:rFonts w:eastAsia="SimSun" w:cs="Helvetica Neue"/>
          <w:color w:val="000000"/>
          <w:szCs w:val="26"/>
          <w:lang w:val="en-GB" w:eastAsia="en-IE"/>
        </w:rPr>
        <w:t xml:space="preserve"> </w:t>
      </w:r>
    </w:p>
    <w:p w14:paraId="57F8948C"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7667A2A9" w14:textId="5CB028CB" w:rsidR="00C23C76" w:rsidRPr="00842A52" w:rsidRDefault="00C23C76" w:rsidP="002D2EDE">
      <w:pPr>
        <w:spacing w:after="0"/>
        <w:rPr>
          <w:szCs w:val="26"/>
          <w:lang w:eastAsia="en-GB"/>
        </w:rPr>
      </w:pPr>
      <w:r w:rsidRPr="00842A52">
        <w:rPr>
          <w:rFonts w:eastAsia="SimSun" w:cs="Helvetica Neue"/>
          <w:color w:val="000000"/>
          <w:szCs w:val="26"/>
          <w:lang w:val="en-GB" w:eastAsia="en-IE"/>
        </w:rPr>
        <w:t>Cabrera, I.</w:t>
      </w:r>
      <w:r w:rsidR="002D2EDE"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2021</w:t>
      </w:r>
      <w:r w:rsidR="002D2EDE"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 xml:space="preserve">Development and validation of an Implicit Relational Assessment Procedure (IRAP) to measure implicit dysfunctional beliefs about caregiving in dementia family caregivers. </w:t>
      </w:r>
      <w:r w:rsidRPr="00842A52">
        <w:rPr>
          <w:rFonts w:eastAsia="SimSun" w:cs="Helvetica Neue"/>
          <w:b/>
          <w:bCs/>
          <w:color w:val="000000"/>
          <w:szCs w:val="26"/>
          <w:lang w:val="en-GB" w:eastAsia="en-IE"/>
        </w:rPr>
        <w:t>The Psychological Record</w:t>
      </w:r>
      <w:r w:rsidRPr="00842A52">
        <w:rPr>
          <w:rFonts w:eastAsia="SimSun" w:cs="Helvetica Neue"/>
          <w:color w:val="000000"/>
          <w:szCs w:val="26"/>
          <w:lang w:val="en-GB" w:eastAsia="en-IE"/>
        </w:rPr>
        <w:t>, 71(1), pp.41-54.</w:t>
      </w:r>
      <w:r w:rsidR="002D2EDE" w:rsidRPr="00842A52">
        <w:rPr>
          <w:szCs w:val="26"/>
        </w:rPr>
        <w:t xml:space="preserve"> </w:t>
      </w:r>
      <w:hyperlink r:id="rId30" w:history="1">
        <w:r w:rsidR="002D2EDE" w:rsidRPr="00842A52">
          <w:rPr>
            <w:rStyle w:val="Hyperlink"/>
            <w:color w:val="067499"/>
            <w:szCs w:val="26"/>
            <w:shd w:val="clear" w:color="auto" w:fill="FFFFFF"/>
          </w:rPr>
          <w:t> https://doi.org/10.1007/s40732-020-00445-8 </w:t>
        </w:r>
      </w:hyperlink>
    </w:p>
    <w:p w14:paraId="00D82B81"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00099BF4" w14:textId="7B9BAE2A"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Campbell, J</w:t>
      </w:r>
      <w:r w:rsidR="002D2EDE"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M. </w:t>
      </w:r>
      <w:r w:rsidR="002D2EDE" w:rsidRPr="00842A52">
        <w:rPr>
          <w:rFonts w:eastAsia="SimSun" w:cs="Helvetica Neue"/>
          <w:color w:val="000000"/>
          <w:szCs w:val="26"/>
          <w:lang w:val="en-GB" w:eastAsia="en-IE"/>
        </w:rPr>
        <w:t>(</w:t>
      </w:r>
      <w:r w:rsidRPr="00842A52">
        <w:rPr>
          <w:rFonts w:eastAsia="SimSun" w:cs="Helvetica Neue"/>
          <w:color w:val="000000"/>
          <w:szCs w:val="26"/>
          <w:lang w:val="en-GB" w:eastAsia="en-IE"/>
        </w:rPr>
        <w:t>2008</w:t>
      </w:r>
      <w:r w:rsidR="002D2EDE"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Brief report: reliability and validity of the Shared Activities</w:t>
      </w:r>
    </w:p>
    <w:p w14:paraId="0BB099F1"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Questionnaire as a measure of middle school students’ attitudes</w:t>
      </w:r>
    </w:p>
    <w:p w14:paraId="110E574E" w14:textId="4762345E"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toward autism. </w:t>
      </w:r>
      <w:r w:rsidRPr="00842A52">
        <w:rPr>
          <w:rFonts w:eastAsia="SimSun" w:cs="Helvetica Neue"/>
          <w:b/>
          <w:bCs/>
          <w:color w:val="000000"/>
          <w:szCs w:val="26"/>
          <w:lang w:val="en-GB" w:eastAsia="en-IE"/>
        </w:rPr>
        <w:t>Journal of Autism and Developmental Disorders</w:t>
      </w:r>
      <w:r w:rsidRPr="00842A52">
        <w:rPr>
          <w:rFonts w:eastAsia="SimSun" w:cs="Helvetica Neue"/>
          <w:color w:val="000000"/>
          <w:szCs w:val="26"/>
          <w:lang w:val="en-GB" w:eastAsia="en-IE"/>
        </w:rPr>
        <w:t>, 38</w:t>
      </w:r>
      <w:r w:rsidR="002D2EDE" w:rsidRPr="00842A52">
        <w:rPr>
          <w:rFonts w:eastAsia="SimSun" w:cs="Helvetica Neue"/>
          <w:color w:val="000000"/>
          <w:szCs w:val="26"/>
          <w:lang w:val="en-GB" w:eastAsia="en-IE"/>
        </w:rPr>
        <w:t>, pp.</w:t>
      </w:r>
      <w:r w:rsidRPr="00842A52">
        <w:rPr>
          <w:rFonts w:eastAsia="SimSun" w:cs="Helvetica Neue"/>
          <w:color w:val="000000"/>
          <w:szCs w:val="26"/>
          <w:lang w:val="en-GB" w:eastAsia="en-IE"/>
        </w:rPr>
        <w:t>1598</w:t>
      </w:r>
      <w:r w:rsidR="002D2EDE"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1604. </w:t>
      </w:r>
      <w:hyperlink r:id="rId31" w:history="1">
        <w:r w:rsidRPr="00842A52">
          <w:rPr>
            <w:rStyle w:val="Hyperlink"/>
            <w:rFonts w:eastAsia="SimSun" w:cs="Helvetica Neue"/>
            <w:szCs w:val="26"/>
            <w:lang w:val="en-GB" w:eastAsia="en-IE"/>
          </w:rPr>
          <w:t>https://doi.org/10.1007/s10803-007-0534-6</w:t>
        </w:r>
      </w:hyperlink>
      <w:r w:rsidRPr="00842A52">
        <w:rPr>
          <w:rFonts w:eastAsia="SimSun" w:cs="Helvetica Neue"/>
          <w:color w:val="000000"/>
          <w:szCs w:val="26"/>
          <w:lang w:val="en-GB" w:eastAsia="en-IE"/>
        </w:rPr>
        <w:t xml:space="preserve"> </w:t>
      </w:r>
    </w:p>
    <w:p w14:paraId="6E3800C9"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758313D4" w14:textId="7CA77F3A" w:rsidR="00C23C76" w:rsidRPr="00842A52" w:rsidRDefault="00C23C76" w:rsidP="00CE0092">
      <w:pPr>
        <w:spacing w:after="0"/>
        <w:rPr>
          <w:szCs w:val="26"/>
          <w:lang w:eastAsia="en-GB"/>
        </w:rPr>
      </w:pPr>
      <w:r w:rsidRPr="00842A52">
        <w:rPr>
          <w:rFonts w:eastAsia="SimSun" w:cs="Helvetica Neue"/>
          <w:color w:val="000000"/>
          <w:szCs w:val="26"/>
          <w:lang w:val="en-GB" w:eastAsia="en-IE"/>
        </w:rPr>
        <w:t xml:space="preserve">Charlesworth, T.E. and Banaji, M.R. </w:t>
      </w:r>
      <w:r w:rsidR="00CE0092" w:rsidRPr="00842A52">
        <w:rPr>
          <w:rFonts w:eastAsia="SimSun" w:cs="Helvetica Neue"/>
          <w:color w:val="000000"/>
          <w:szCs w:val="26"/>
          <w:lang w:val="en-GB" w:eastAsia="en-IE"/>
        </w:rPr>
        <w:t>(</w:t>
      </w:r>
      <w:r w:rsidRPr="00842A52">
        <w:rPr>
          <w:rFonts w:eastAsia="SimSun" w:cs="Helvetica Neue"/>
          <w:color w:val="000000"/>
          <w:szCs w:val="26"/>
          <w:lang w:val="en-GB" w:eastAsia="en-IE"/>
        </w:rPr>
        <w:t>2019</w:t>
      </w:r>
      <w:r w:rsidR="00CE0092"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Patterns of implicit and explicit attitudes: I. Long-term change and stability from 2007 to 2016. </w:t>
      </w:r>
      <w:r w:rsidRPr="00842A52">
        <w:rPr>
          <w:rFonts w:eastAsia="SimSun" w:cs="Helvetica Neue"/>
          <w:b/>
          <w:bCs/>
          <w:color w:val="000000"/>
          <w:szCs w:val="26"/>
          <w:lang w:val="en-GB" w:eastAsia="en-IE"/>
        </w:rPr>
        <w:t xml:space="preserve">Psychological </w:t>
      </w:r>
      <w:r w:rsidR="00CE0092" w:rsidRPr="00842A52">
        <w:rPr>
          <w:rFonts w:eastAsia="SimSun" w:cs="Helvetica Neue"/>
          <w:b/>
          <w:bCs/>
          <w:color w:val="000000"/>
          <w:szCs w:val="26"/>
          <w:lang w:val="en-GB" w:eastAsia="en-IE"/>
        </w:rPr>
        <w:t>S</w:t>
      </w:r>
      <w:r w:rsidRPr="00842A52">
        <w:rPr>
          <w:rFonts w:eastAsia="SimSun" w:cs="Helvetica Neue"/>
          <w:b/>
          <w:bCs/>
          <w:color w:val="000000"/>
          <w:szCs w:val="26"/>
          <w:lang w:val="en-GB" w:eastAsia="en-IE"/>
        </w:rPr>
        <w:t>cience</w:t>
      </w:r>
      <w:r w:rsidRPr="00842A52">
        <w:rPr>
          <w:rFonts w:eastAsia="SimSun" w:cs="Helvetica Neue"/>
          <w:color w:val="000000"/>
          <w:szCs w:val="26"/>
          <w:lang w:val="en-GB" w:eastAsia="en-IE"/>
        </w:rPr>
        <w:t>, 30(2), pp.174-192.</w:t>
      </w:r>
      <w:r w:rsidR="00CE0092" w:rsidRPr="00842A52">
        <w:rPr>
          <w:szCs w:val="26"/>
        </w:rPr>
        <w:t xml:space="preserve"> </w:t>
      </w:r>
      <w:hyperlink r:id="rId32" w:history="1">
        <w:r w:rsidR="00CE0092" w:rsidRPr="00842A52">
          <w:rPr>
            <w:rStyle w:val="Hyperlink"/>
            <w:color w:val="067499"/>
            <w:szCs w:val="26"/>
            <w:shd w:val="clear" w:color="auto" w:fill="FFFFFF"/>
          </w:rPr>
          <w:t> https://doi.org/10.1177/0956797618813087 </w:t>
        </w:r>
      </w:hyperlink>
    </w:p>
    <w:p w14:paraId="46621414" w14:textId="77777777" w:rsidR="00CE0092" w:rsidRPr="00842A52" w:rsidRDefault="00CE0092"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1F508298" w14:textId="616B5469" w:rsidR="00586545" w:rsidRPr="00842A52" w:rsidRDefault="00586545" w:rsidP="00300F0B">
      <w:pPr>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Child, S. and Nind, M. (2013) Sociometric methods and difference: A force for good–or yet more harm. </w:t>
      </w:r>
      <w:r w:rsidRPr="00842A52">
        <w:rPr>
          <w:rFonts w:eastAsia="SimSun" w:cs="Helvetica Neue"/>
          <w:b/>
          <w:bCs/>
          <w:color w:val="000000"/>
          <w:szCs w:val="26"/>
          <w:lang w:val="en-GB" w:eastAsia="en-IE"/>
        </w:rPr>
        <w:t>Disability &amp; Society</w:t>
      </w:r>
      <w:r w:rsidRPr="00842A52">
        <w:rPr>
          <w:rFonts w:eastAsia="SimSun" w:cs="Helvetica Neue"/>
          <w:color w:val="000000"/>
          <w:szCs w:val="26"/>
          <w:lang w:val="en-GB" w:eastAsia="en-IE"/>
        </w:rPr>
        <w:t>, 28(7), pp.1012-1023.</w:t>
      </w:r>
      <w:r w:rsidRPr="00842A52">
        <w:rPr>
          <w:szCs w:val="26"/>
        </w:rPr>
        <w:t xml:space="preserve"> </w:t>
      </w:r>
      <w:hyperlink r:id="rId33" w:history="1">
        <w:r w:rsidRPr="00842A52">
          <w:rPr>
            <w:rStyle w:val="Hyperlink"/>
            <w:rFonts w:eastAsia="SimSun" w:cs="Helvetica Neue"/>
            <w:szCs w:val="26"/>
            <w:lang w:val="en-GB" w:eastAsia="en-IE"/>
          </w:rPr>
          <w:t>https://doi.org/10.1080/09687599.2012.741517</w:t>
        </w:r>
      </w:hyperlink>
    </w:p>
    <w:p w14:paraId="4139CC9C" w14:textId="77777777" w:rsidR="00586545" w:rsidRPr="00842A52" w:rsidRDefault="00586545" w:rsidP="00300F0B">
      <w:pPr>
        <w:spacing w:after="0"/>
        <w:rPr>
          <w:rFonts w:eastAsia="SimSun" w:cs="Helvetica Neue"/>
          <w:color w:val="000000"/>
          <w:szCs w:val="26"/>
          <w:lang w:val="en-GB" w:eastAsia="en-IE"/>
        </w:rPr>
      </w:pPr>
    </w:p>
    <w:p w14:paraId="409CB31D" w14:textId="6EAEC148" w:rsidR="00C23C76" w:rsidRPr="00842A52" w:rsidRDefault="00C23C76" w:rsidP="00300F0B">
      <w:pPr>
        <w:spacing w:after="0"/>
        <w:rPr>
          <w:szCs w:val="26"/>
          <w:lang w:eastAsia="en-GB"/>
        </w:rPr>
      </w:pPr>
      <w:r w:rsidRPr="00842A52">
        <w:rPr>
          <w:rFonts w:eastAsia="SimSun" w:cs="Helvetica Neue"/>
          <w:color w:val="000000"/>
          <w:szCs w:val="26"/>
          <w:lang w:val="en-GB" w:eastAsia="en-IE"/>
        </w:rPr>
        <w:t>Churruca, K.</w:t>
      </w:r>
      <w:r w:rsidR="00CE0092"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2021</w:t>
      </w:r>
      <w:r w:rsidR="00CE0092"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A scoping review of Q-methodology in healthcare research. </w:t>
      </w:r>
      <w:r w:rsidRPr="00842A52">
        <w:rPr>
          <w:rFonts w:eastAsia="SimSun" w:cs="Helvetica Neue"/>
          <w:b/>
          <w:bCs/>
          <w:color w:val="000000"/>
          <w:szCs w:val="26"/>
          <w:lang w:val="en-GB" w:eastAsia="en-IE"/>
        </w:rPr>
        <w:t xml:space="preserve">BMC </w:t>
      </w:r>
      <w:r w:rsidR="00CE0092" w:rsidRPr="00842A52">
        <w:rPr>
          <w:rFonts w:eastAsia="SimSun" w:cs="Helvetica Neue"/>
          <w:b/>
          <w:bCs/>
          <w:color w:val="000000"/>
          <w:szCs w:val="26"/>
          <w:lang w:val="en-GB" w:eastAsia="en-IE"/>
        </w:rPr>
        <w:t>M</w:t>
      </w:r>
      <w:r w:rsidRPr="00842A52">
        <w:rPr>
          <w:rFonts w:eastAsia="SimSun" w:cs="Helvetica Neue"/>
          <w:b/>
          <w:bCs/>
          <w:color w:val="000000"/>
          <w:szCs w:val="26"/>
          <w:lang w:val="en-GB" w:eastAsia="en-IE"/>
        </w:rPr>
        <w:t xml:space="preserve">edical </w:t>
      </w:r>
      <w:r w:rsidR="00CE0092" w:rsidRPr="00842A52">
        <w:rPr>
          <w:rFonts w:eastAsia="SimSun" w:cs="Helvetica Neue"/>
          <w:b/>
          <w:bCs/>
          <w:color w:val="000000"/>
          <w:szCs w:val="26"/>
          <w:lang w:val="en-GB" w:eastAsia="en-IE"/>
        </w:rPr>
        <w:t>R</w:t>
      </w:r>
      <w:r w:rsidRPr="00842A52">
        <w:rPr>
          <w:rFonts w:eastAsia="SimSun" w:cs="Helvetica Neue"/>
          <w:b/>
          <w:bCs/>
          <w:color w:val="000000"/>
          <w:szCs w:val="26"/>
          <w:lang w:val="en-GB" w:eastAsia="en-IE"/>
        </w:rPr>
        <w:t xml:space="preserve">esearch </w:t>
      </w:r>
      <w:r w:rsidR="00CE0092" w:rsidRPr="00842A52">
        <w:rPr>
          <w:rFonts w:eastAsia="SimSun" w:cs="Helvetica Neue"/>
          <w:b/>
          <w:bCs/>
          <w:color w:val="000000"/>
          <w:szCs w:val="26"/>
          <w:lang w:val="en-GB" w:eastAsia="en-IE"/>
        </w:rPr>
        <w:t>M</w:t>
      </w:r>
      <w:r w:rsidRPr="00842A52">
        <w:rPr>
          <w:rFonts w:eastAsia="SimSun" w:cs="Helvetica Neue"/>
          <w:b/>
          <w:bCs/>
          <w:color w:val="000000"/>
          <w:szCs w:val="26"/>
          <w:lang w:val="en-GB" w:eastAsia="en-IE"/>
        </w:rPr>
        <w:t>ethodology</w:t>
      </w:r>
      <w:r w:rsidRPr="00842A52">
        <w:rPr>
          <w:rFonts w:eastAsia="SimSun" w:cs="Helvetica Neue"/>
          <w:color w:val="000000"/>
          <w:szCs w:val="26"/>
          <w:lang w:val="en-GB" w:eastAsia="en-IE"/>
        </w:rPr>
        <w:t>, 21(1), pp.1-17.</w:t>
      </w:r>
      <w:r w:rsidR="00300F0B" w:rsidRPr="00842A52">
        <w:rPr>
          <w:szCs w:val="26"/>
        </w:rPr>
        <w:t xml:space="preserve"> </w:t>
      </w:r>
      <w:hyperlink r:id="rId34" w:history="1">
        <w:r w:rsidR="00300F0B" w:rsidRPr="00842A52">
          <w:rPr>
            <w:rStyle w:val="Hyperlink"/>
            <w:color w:val="067499"/>
            <w:szCs w:val="26"/>
            <w:shd w:val="clear" w:color="auto" w:fill="FFFFFF"/>
          </w:rPr>
          <w:t> https://doi.org/10.1186/s12874-021-01309-7 </w:t>
        </w:r>
      </w:hyperlink>
    </w:p>
    <w:p w14:paraId="7C6D6D55"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0D085077" w14:textId="6E8D3D3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Cook, D. (1992) </w:t>
      </w:r>
      <w:r w:rsidR="00F05B7D" w:rsidRPr="00842A52">
        <w:rPr>
          <w:rFonts w:eastAsia="SimSun" w:cs="Helvetica Neue"/>
          <w:color w:val="000000"/>
          <w:szCs w:val="26"/>
          <w:lang w:val="en-GB" w:eastAsia="en-IE"/>
        </w:rPr>
        <w:t>‘</w:t>
      </w:r>
      <w:r w:rsidRPr="00842A52">
        <w:rPr>
          <w:rFonts w:eastAsia="SimSun" w:cs="Helvetica Neue"/>
          <w:color w:val="000000"/>
          <w:szCs w:val="26"/>
          <w:lang w:val="en-GB" w:eastAsia="en-IE"/>
        </w:rPr>
        <w:t>Psychological impact of disability</w:t>
      </w:r>
      <w:r w:rsidR="00F05B7D"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w:t>
      </w:r>
      <w:r w:rsidR="00F05B7D" w:rsidRPr="00842A52">
        <w:rPr>
          <w:rFonts w:eastAsia="SimSun" w:cs="Helvetica Neue"/>
          <w:color w:val="000000"/>
          <w:szCs w:val="26"/>
          <w:lang w:val="en-GB" w:eastAsia="en-IE"/>
        </w:rPr>
        <w:t>i</w:t>
      </w:r>
      <w:r w:rsidRPr="00842A52">
        <w:rPr>
          <w:rFonts w:eastAsia="SimSun" w:cs="Helvetica Neue"/>
          <w:color w:val="000000"/>
          <w:szCs w:val="26"/>
          <w:lang w:val="en-GB" w:eastAsia="en-IE"/>
        </w:rPr>
        <w:t xml:space="preserve">n R. M. Parker </w:t>
      </w:r>
      <w:r w:rsidR="00F05B7D" w:rsidRPr="00842A52">
        <w:rPr>
          <w:rFonts w:eastAsia="SimSun" w:cs="Helvetica Neue"/>
          <w:color w:val="000000"/>
          <w:szCs w:val="26"/>
          <w:lang w:val="en-GB" w:eastAsia="en-IE"/>
        </w:rPr>
        <w:t>and</w:t>
      </w:r>
    </w:p>
    <w:p w14:paraId="13039F01" w14:textId="546C575F"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b/>
          <w:bCs/>
          <w:color w:val="000000"/>
          <w:szCs w:val="26"/>
          <w:lang w:val="en-GB" w:eastAsia="en-IE"/>
        </w:rPr>
      </w:pPr>
      <w:r w:rsidRPr="00842A52">
        <w:rPr>
          <w:rFonts w:eastAsia="SimSun" w:cs="Helvetica Neue"/>
          <w:color w:val="000000"/>
          <w:szCs w:val="26"/>
          <w:lang w:val="en-GB" w:eastAsia="en-IE"/>
        </w:rPr>
        <w:t>E.M. Szymanski (</w:t>
      </w:r>
      <w:r w:rsidR="00F05B7D" w:rsidRPr="00842A52">
        <w:rPr>
          <w:rFonts w:eastAsia="SimSun" w:cs="Helvetica Neue"/>
          <w:color w:val="000000"/>
          <w:szCs w:val="26"/>
          <w:lang w:val="en-GB" w:eastAsia="en-IE"/>
        </w:rPr>
        <w:t>e</w:t>
      </w:r>
      <w:r w:rsidRPr="00842A52">
        <w:rPr>
          <w:rFonts w:eastAsia="SimSun" w:cs="Helvetica Neue"/>
          <w:color w:val="000000"/>
          <w:szCs w:val="26"/>
          <w:lang w:val="en-GB" w:eastAsia="en-IE"/>
        </w:rPr>
        <w:t>ds.)</w:t>
      </w:r>
      <w:r w:rsidR="00F05B7D" w:rsidRPr="00842A52">
        <w:rPr>
          <w:rFonts w:eastAsia="SimSun" w:cs="Helvetica Neue"/>
          <w:color w:val="000000"/>
          <w:szCs w:val="26"/>
          <w:lang w:val="en-GB" w:eastAsia="en-IE"/>
        </w:rPr>
        <w:t xml:space="preserve"> </w:t>
      </w:r>
      <w:r w:rsidRPr="00842A52">
        <w:rPr>
          <w:rFonts w:eastAsia="SimSun" w:cs="Helvetica Neue"/>
          <w:b/>
          <w:bCs/>
          <w:color w:val="000000"/>
          <w:szCs w:val="26"/>
          <w:lang w:val="en-GB" w:eastAsia="en-IE"/>
        </w:rPr>
        <w:t xml:space="preserve">Rehabilitation </w:t>
      </w:r>
      <w:r w:rsidR="00F05B7D" w:rsidRPr="00842A52">
        <w:rPr>
          <w:rFonts w:eastAsia="SimSun" w:cs="Helvetica Neue"/>
          <w:b/>
          <w:bCs/>
          <w:color w:val="000000"/>
          <w:szCs w:val="26"/>
          <w:lang w:val="en-GB" w:eastAsia="en-IE"/>
        </w:rPr>
        <w:t>C</w:t>
      </w:r>
      <w:r w:rsidRPr="00842A52">
        <w:rPr>
          <w:rFonts w:eastAsia="SimSun" w:cs="Helvetica Neue"/>
          <w:b/>
          <w:bCs/>
          <w:color w:val="000000"/>
          <w:szCs w:val="26"/>
          <w:lang w:val="en-GB" w:eastAsia="en-IE"/>
        </w:rPr>
        <w:t xml:space="preserve">ounseling </w:t>
      </w:r>
      <w:r w:rsidR="00F05B7D" w:rsidRPr="00842A52">
        <w:rPr>
          <w:rFonts w:eastAsia="SimSun" w:cs="Helvetica Neue"/>
          <w:b/>
          <w:bCs/>
          <w:color w:val="000000"/>
          <w:szCs w:val="26"/>
          <w:lang w:val="en-GB" w:eastAsia="en-IE"/>
        </w:rPr>
        <w:t>B</w:t>
      </w:r>
      <w:r w:rsidRPr="00842A52">
        <w:rPr>
          <w:rFonts w:eastAsia="SimSun" w:cs="Helvetica Neue"/>
          <w:b/>
          <w:bCs/>
          <w:color w:val="000000"/>
          <w:szCs w:val="26"/>
          <w:lang w:val="en-GB" w:eastAsia="en-IE"/>
        </w:rPr>
        <w:t xml:space="preserve">asics and </w:t>
      </w:r>
      <w:r w:rsidR="00F05B7D" w:rsidRPr="00842A52">
        <w:rPr>
          <w:rFonts w:eastAsia="SimSun" w:cs="Helvetica Neue"/>
          <w:b/>
          <w:bCs/>
          <w:color w:val="000000"/>
          <w:szCs w:val="26"/>
          <w:lang w:val="en-GB" w:eastAsia="en-IE"/>
        </w:rPr>
        <w:t>B</w:t>
      </w:r>
      <w:r w:rsidRPr="00842A52">
        <w:rPr>
          <w:rFonts w:eastAsia="SimSun" w:cs="Helvetica Neue"/>
          <w:b/>
          <w:bCs/>
          <w:color w:val="000000"/>
          <w:szCs w:val="26"/>
          <w:lang w:val="en-GB" w:eastAsia="en-IE"/>
        </w:rPr>
        <w:t>eyond</w:t>
      </w:r>
      <w:r w:rsidR="00F05B7D" w:rsidRPr="00842A52">
        <w:rPr>
          <w:rFonts w:eastAsia="SimSun" w:cs="Helvetica Neue"/>
          <w:b/>
          <w:bCs/>
          <w:color w:val="000000"/>
          <w:szCs w:val="26"/>
          <w:lang w:val="en-GB" w:eastAsia="en-IE"/>
        </w:rPr>
        <w:t>.</w:t>
      </w:r>
    </w:p>
    <w:p w14:paraId="0CF79E91" w14:textId="5E10099C"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Austin</w:t>
      </w:r>
      <w:r w:rsidR="00F05B7D"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TX: PRO-ED</w:t>
      </w:r>
      <w:r w:rsidR="00365D88" w:rsidRPr="00842A52">
        <w:rPr>
          <w:rFonts w:eastAsia="SimSun" w:cs="Helvetica Neue"/>
          <w:color w:val="000000"/>
          <w:szCs w:val="26"/>
          <w:lang w:val="en-GB" w:eastAsia="en-IE"/>
        </w:rPr>
        <w:t xml:space="preserve">, </w:t>
      </w:r>
      <w:r w:rsidR="00F05B7D" w:rsidRPr="00842A52">
        <w:rPr>
          <w:rFonts w:eastAsia="SimSun" w:cs="Helvetica Neue"/>
          <w:color w:val="000000"/>
          <w:szCs w:val="26"/>
          <w:lang w:val="en-GB" w:eastAsia="en-IE"/>
        </w:rPr>
        <w:t>pp. 249–272.</w:t>
      </w:r>
    </w:p>
    <w:p w14:paraId="128AD2CE" w14:textId="0D49F7A8" w:rsidR="00C23C76" w:rsidRPr="00842A52" w:rsidRDefault="00C23C76" w:rsidP="001B1AB4">
      <w:pPr>
        <w:spacing w:after="0"/>
        <w:rPr>
          <w:szCs w:val="26"/>
          <w:lang w:eastAsia="en-GB"/>
        </w:rPr>
      </w:pPr>
      <w:r w:rsidRPr="00842A52">
        <w:rPr>
          <w:rFonts w:eastAsia="SimSun" w:cs="Helvetica Neue"/>
          <w:color w:val="000000"/>
          <w:szCs w:val="26"/>
          <w:lang w:val="en-GB" w:eastAsia="en-IE"/>
        </w:rPr>
        <w:t xml:space="preserve">Cooke, R. </w:t>
      </w:r>
      <w:r w:rsidR="00365D88" w:rsidRPr="00842A52">
        <w:rPr>
          <w:rFonts w:eastAsia="SimSun" w:cs="Helvetica Neue"/>
          <w:color w:val="000000"/>
          <w:szCs w:val="26"/>
          <w:lang w:val="en-GB" w:eastAsia="en-IE"/>
        </w:rPr>
        <w:t>et al.</w:t>
      </w:r>
      <w:r w:rsidRPr="00842A52">
        <w:rPr>
          <w:rFonts w:eastAsia="SimSun" w:cs="Helvetica Neue"/>
          <w:color w:val="000000"/>
          <w:szCs w:val="26"/>
          <w:lang w:val="en-GB" w:eastAsia="en-IE"/>
        </w:rPr>
        <w:t xml:space="preserve"> (2016) How well does the theory of planned behaviour predict alcohol consumption? A systematic review and meta-analysis, </w:t>
      </w:r>
      <w:r w:rsidRPr="00842A52">
        <w:rPr>
          <w:rFonts w:eastAsia="SimSun" w:cs="Helvetica Neue"/>
          <w:b/>
          <w:bCs/>
          <w:color w:val="000000"/>
          <w:szCs w:val="26"/>
          <w:lang w:val="en-GB" w:eastAsia="en-IE"/>
        </w:rPr>
        <w:t>Health Psychology Review</w:t>
      </w:r>
      <w:r w:rsidRPr="00842A52">
        <w:rPr>
          <w:rFonts w:eastAsia="SimSun" w:cs="Helvetica Neue"/>
          <w:color w:val="000000"/>
          <w:szCs w:val="26"/>
          <w:lang w:val="en-GB" w:eastAsia="en-IE"/>
        </w:rPr>
        <w:t>, 10</w:t>
      </w:r>
      <w:r w:rsidR="001B1AB4" w:rsidRPr="00842A52">
        <w:rPr>
          <w:rFonts w:eastAsia="SimSun" w:cs="Helvetica Neue"/>
          <w:color w:val="000000"/>
          <w:szCs w:val="26"/>
          <w:lang w:val="en-GB" w:eastAsia="en-IE"/>
        </w:rPr>
        <w:t>(</w:t>
      </w:r>
      <w:r w:rsidRPr="00842A52">
        <w:rPr>
          <w:rFonts w:eastAsia="SimSun" w:cs="Helvetica Neue"/>
          <w:color w:val="000000"/>
          <w:szCs w:val="26"/>
          <w:lang w:val="en-GB" w:eastAsia="en-IE"/>
        </w:rPr>
        <w:t>2</w:t>
      </w:r>
      <w:r w:rsidR="001B1AB4" w:rsidRPr="00842A52">
        <w:rPr>
          <w:rFonts w:eastAsia="SimSun" w:cs="Helvetica Neue"/>
          <w:color w:val="000000"/>
          <w:szCs w:val="26"/>
          <w:lang w:val="en-GB" w:eastAsia="en-IE"/>
        </w:rPr>
        <w:t>), pp.</w:t>
      </w:r>
      <w:r w:rsidRPr="00842A52">
        <w:rPr>
          <w:rFonts w:eastAsia="SimSun" w:cs="Helvetica Neue"/>
          <w:color w:val="000000"/>
          <w:szCs w:val="26"/>
          <w:lang w:val="en-GB" w:eastAsia="en-IE"/>
        </w:rPr>
        <w:t>148-</w:t>
      </w:r>
      <w:r w:rsidR="001B1AB4" w:rsidRPr="00842A52">
        <w:rPr>
          <w:rFonts w:eastAsia="SimSun" w:cs="Helvetica Neue"/>
          <w:color w:val="000000"/>
          <w:szCs w:val="26"/>
          <w:lang w:val="en-GB" w:eastAsia="en-IE"/>
        </w:rPr>
        <w:t>1</w:t>
      </w:r>
      <w:r w:rsidRPr="00842A52">
        <w:rPr>
          <w:rFonts w:eastAsia="SimSun" w:cs="Helvetica Neue"/>
          <w:color w:val="000000"/>
          <w:szCs w:val="26"/>
          <w:lang w:val="en-GB" w:eastAsia="en-IE"/>
        </w:rPr>
        <w:t>67</w:t>
      </w:r>
      <w:r w:rsidR="001B1AB4" w:rsidRPr="00842A52">
        <w:rPr>
          <w:rFonts w:eastAsia="SimSun" w:cs="Helvetica Neue"/>
          <w:color w:val="000000"/>
          <w:szCs w:val="26"/>
          <w:lang w:val="en-GB" w:eastAsia="en-IE"/>
        </w:rPr>
        <w:t xml:space="preserve">. </w:t>
      </w:r>
      <w:r w:rsidR="001B1AB4" w:rsidRPr="00842A52">
        <w:rPr>
          <w:szCs w:val="26"/>
          <w:lang w:eastAsia="en-GB"/>
        </w:rPr>
        <w:t xml:space="preserve"> </w:t>
      </w:r>
      <w:hyperlink r:id="rId35" w:history="1">
        <w:r w:rsidR="001B1AB4" w:rsidRPr="00842A52">
          <w:rPr>
            <w:rStyle w:val="Hyperlink"/>
            <w:color w:val="067499"/>
            <w:szCs w:val="26"/>
            <w:shd w:val="clear" w:color="auto" w:fill="FFFFFF"/>
          </w:rPr>
          <w:t> https://doi.org/10.1080/17437199.2014.947547 </w:t>
        </w:r>
      </w:hyperlink>
    </w:p>
    <w:p w14:paraId="72B65D58" w14:textId="77777777" w:rsidR="001B1AB4" w:rsidRPr="00842A52" w:rsidRDefault="001B1AB4" w:rsidP="001B1AB4">
      <w:pPr>
        <w:spacing w:after="0"/>
        <w:rPr>
          <w:szCs w:val="26"/>
          <w:lang w:eastAsia="en-GB"/>
        </w:rPr>
      </w:pPr>
    </w:p>
    <w:p w14:paraId="72C5F02A" w14:textId="55E9B3B8"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 xml:space="preserve">Cooper, A., Rose, J. and Mason, O. </w:t>
      </w:r>
      <w:r w:rsidR="00000960" w:rsidRPr="00842A52">
        <w:rPr>
          <w:rFonts w:eastAsia="SimSun" w:cs="Helvetica Neue"/>
          <w:color w:val="000000"/>
          <w:szCs w:val="26"/>
          <w:lang w:val="en-GB" w:eastAsia="en-IE"/>
        </w:rPr>
        <w:t>(</w:t>
      </w:r>
      <w:r w:rsidRPr="00842A52">
        <w:rPr>
          <w:rFonts w:eastAsia="SimSun" w:cs="Helvetica Neue"/>
          <w:color w:val="000000"/>
          <w:szCs w:val="26"/>
          <w:lang w:val="en-GB" w:eastAsia="en-IE"/>
        </w:rPr>
        <w:t>2004</w:t>
      </w:r>
      <w:r w:rsidR="00000960"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Measuring the attitudes of human service professionals toward deafness</w:t>
      </w:r>
      <w:r w:rsidR="00000960"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w:t>
      </w:r>
      <w:r w:rsidRPr="00842A52">
        <w:rPr>
          <w:rFonts w:eastAsia="SimSun" w:cs="Helvetica Neue"/>
          <w:b/>
          <w:bCs/>
          <w:color w:val="000000"/>
          <w:szCs w:val="26"/>
          <w:lang w:val="en-GB" w:eastAsia="en-IE"/>
        </w:rPr>
        <w:t>American Annals of the Deaf.</w:t>
      </w:r>
      <w:r w:rsidRPr="00842A52">
        <w:rPr>
          <w:rFonts w:eastAsia="SimSun" w:cs="Helvetica Neue"/>
          <w:color w:val="000000"/>
          <w:szCs w:val="26"/>
          <w:lang w:val="en-GB" w:eastAsia="en-IE"/>
        </w:rPr>
        <w:t xml:space="preserve"> 48(5)</w:t>
      </w:r>
      <w:r w:rsidR="00000960" w:rsidRPr="00842A52">
        <w:rPr>
          <w:rFonts w:eastAsia="SimSun" w:cs="Helvetica Neue"/>
          <w:color w:val="000000"/>
          <w:szCs w:val="26"/>
          <w:lang w:val="en-GB" w:eastAsia="en-IE"/>
        </w:rPr>
        <w:t>. Pp.</w:t>
      </w:r>
      <w:r w:rsidRPr="00842A52">
        <w:rPr>
          <w:rFonts w:eastAsia="SimSun" w:cs="Helvetica Neue"/>
          <w:color w:val="000000"/>
          <w:szCs w:val="26"/>
          <w:lang w:val="en-GB" w:eastAsia="en-IE"/>
        </w:rPr>
        <w:t>385</w:t>
      </w:r>
      <w:r w:rsidR="00000960"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389. </w:t>
      </w:r>
      <w:hyperlink r:id="rId36" w:history="1">
        <w:r w:rsidRPr="00842A52">
          <w:rPr>
            <w:rStyle w:val="Hyperlink"/>
            <w:rFonts w:eastAsia="SimSun" w:cs="Helvetica Neue"/>
            <w:szCs w:val="26"/>
            <w:lang w:val="en-GB" w:eastAsia="en-IE"/>
          </w:rPr>
          <w:t>http://www.ncbi.nlm.nih.gov/pubmed/15132018</w:t>
        </w:r>
      </w:hyperlink>
      <w:r w:rsidRPr="00842A52">
        <w:rPr>
          <w:rFonts w:eastAsia="SimSun" w:cs="Helvetica Neue"/>
          <w:color w:val="000000"/>
          <w:szCs w:val="26"/>
          <w:lang w:val="en-GB" w:eastAsia="en-IE"/>
        </w:rPr>
        <w:t xml:space="preserve"> </w:t>
      </w:r>
    </w:p>
    <w:p w14:paraId="2E9B7877" w14:textId="0F83CD45"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lastRenderedPageBreak/>
        <w:t xml:space="preserve">Corneille, O. and Hütter, M. </w:t>
      </w:r>
      <w:r w:rsidR="00000960" w:rsidRPr="00842A52">
        <w:rPr>
          <w:rFonts w:eastAsia="SimSun" w:cs="Helvetica Neue"/>
          <w:color w:val="000000"/>
          <w:szCs w:val="26"/>
          <w:lang w:val="en-GB" w:eastAsia="en-IE"/>
        </w:rPr>
        <w:t>(</w:t>
      </w:r>
      <w:r w:rsidRPr="00842A52">
        <w:rPr>
          <w:rFonts w:eastAsia="SimSun" w:cs="Helvetica Neue"/>
          <w:color w:val="000000"/>
          <w:szCs w:val="26"/>
          <w:lang w:val="en-GB" w:eastAsia="en-IE"/>
        </w:rPr>
        <w:t>2020</w:t>
      </w:r>
      <w:r w:rsidR="00000960"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Implicit? What do you mean? A comprehensive review of the delusive implicitness construct in attitude research. </w:t>
      </w:r>
      <w:r w:rsidRPr="00842A52">
        <w:rPr>
          <w:rFonts w:eastAsia="SimSun" w:cs="Helvetica Neue"/>
          <w:b/>
          <w:bCs/>
          <w:color w:val="000000"/>
          <w:szCs w:val="26"/>
          <w:lang w:val="en-GB" w:eastAsia="en-IE"/>
        </w:rPr>
        <w:t>Personality and Social Psychology Review</w:t>
      </w:r>
      <w:r w:rsidRPr="00842A52">
        <w:rPr>
          <w:rFonts w:eastAsia="SimSun" w:cs="Helvetica Neue"/>
          <w:color w:val="000000"/>
          <w:szCs w:val="26"/>
          <w:lang w:val="en-GB" w:eastAsia="en-IE"/>
        </w:rPr>
        <w:t>, 24(3), pp.212-232.</w:t>
      </w:r>
      <w:r w:rsidRPr="00842A52">
        <w:rPr>
          <w:szCs w:val="26"/>
        </w:rPr>
        <w:t xml:space="preserve"> </w:t>
      </w:r>
      <w:hyperlink r:id="rId37" w:history="1">
        <w:r w:rsidRPr="00842A52">
          <w:rPr>
            <w:rStyle w:val="Hyperlink"/>
            <w:rFonts w:eastAsia="SimSun" w:cs="Helvetica Neue"/>
            <w:szCs w:val="26"/>
            <w:lang w:val="en-GB" w:eastAsia="en-IE"/>
          </w:rPr>
          <w:t>https://doi.org/10.1177/1088868320911325</w:t>
        </w:r>
      </w:hyperlink>
      <w:r w:rsidRPr="00842A52">
        <w:rPr>
          <w:rFonts w:eastAsia="SimSun" w:cs="Helvetica Neue"/>
          <w:color w:val="000000"/>
          <w:szCs w:val="26"/>
          <w:lang w:val="en-GB" w:eastAsia="en-IE"/>
        </w:rPr>
        <w:t xml:space="preserve"> </w:t>
      </w:r>
    </w:p>
    <w:p w14:paraId="1D6934CA"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7BCD976C" w14:textId="716A98E6" w:rsidR="00000960" w:rsidRPr="00842A52" w:rsidRDefault="00C23C76" w:rsidP="00000960">
      <w:pPr>
        <w:spacing w:after="0"/>
        <w:rPr>
          <w:szCs w:val="26"/>
          <w:lang w:eastAsia="en-GB"/>
        </w:rPr>
      </w:pPr>
      <w:r w:rsidRPr="00842A52">
        <w:rPr>
          <w:rFonts w:eastAsia="SimSun" w:cs="Helvetica Neue"/>
          <w:color w:val="000000"/>
          <w:szCs w:val="26"/>
          <w:lang w:val="en-GB" w:eastAsia="en-IE"/>
        </w:rPr>
        <w:t>Crittenden, S.N.</w:t>
      </w:r>
      <w:r w:rsidR="00000960" w:rsidRPr="00842A52">
        <w:rPr>
          <w:rFonts w:eastAsia="SimSun" w:cs="Helvetica Neue"/>
          <w:color w:val="000000"/>
          <w:szCs w:val="26"/>
          <w:lang w:val="en-GB" w:eastAsia="en-IE"/>
        </w:rPr>
        <w:t>R (</w:t>
      </w:r>
      <w:r w:rsidRPr="00842A52">
        <w:rPr>
          <w:rFonts w:eastAsia="SimSun" w:cs="Helvetica Neue"/>
          <w:color w:val="000000"/>
          <w:szCs w:val="26"/>
          <w:lang w:val="en-GB" w:eastAsia="en-IE"/>
        </w:rPr>
        <w:t>2018</w:t>
      </w:r>
      <w:r w:rsidR="00000960"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The impact of supercrip representations on attitudes towards people with physical disabilities.</w:t>
      </w:r>
      <w:r w:rsidR="00000960" w:rsidRPr="00842A52">
        <w:rPr>
          <w:rFonts w:eastAsia="SimSun" w:cs="Helvetica Neue"/>
          <w:color w:val="000000"/>
          <w:szCs w:val="26"/>
          <w:lang w:val="en-GB" w:eastAsia="en-IE"/>
        </w:rPr>
        <w:t xml:space="preserve"> Undergraduate Honors Thesis, 79. Available from: </w:t>
      </w:r>
      <w:hyperlink r:id="rId38" w:history="1">
        <w:r w:rsidR="00000960" w:rsidRPr="00842A52">
          <w:rPr>
            <w:rStyle w:val="Hyperlink"/>
            <w:rFonts w:cs="Arial"/>
            <w:szCs w:val="26"/>
            <w:shd w:val="clear" w:color="auto" w:fill="FFFFFF"/>
            <w:lang w:eastAsia="en-GB"/>
          </w:rPr>
          <w:t>https://ir.lib.uwo.ca/psychK_uht/79</w:t>
        </w:r>
      </w:hyperlink>
      <w:r w:rsidR="00000960" w:rsidRPr="00842A52">
        <w:rPr>
          <w:rFonts w:cs="Arial"/>
          <w:color w:val="000000"/>
          <w:szCs w:val="26"/>
          <w:shd w:val="clear" w:color="auto" w:fill="FFFFFF"/>
          <w:lang w:eastAsia="en-GB"/>
        </w:rPr>
        <w:t xml:space="preserve"> [last accessed November 2022]</w:t>
      </w:r>
    </w:p>
    <w:p w14:paraId="6C46B6AF"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6FDB3D79" w14:textId="49CBF677" w:rsidR="00C23C76" w:rsidRPr="00842A52" w:rsidRDefault="00C23C76" w:rsidP="00000960">
      <w:pPr>
        <w:spacing w:after="0"/>
        <w:rPr>
          <w:szCs w:val="26"/>
          <w:lang w:eastAsia="en-GB"/>
        </w:rPr>
      </w:pPr>
      <w:r w:rsidRPr="00842A52">
        <w:rPr>
          <w:rFonts w:eastAsia="SimSun" w:cs="Helvetica Neue"/>
          <w:color w:val="000000"/>
          <w:szCs w:val="26"/>
          <w:lang w:val="en-GB" w:eastAsia="en-IE"/>
        </w:rPr>
        <w:t>Cross, R.M.</w:t>
      </w:r>
      <w:r w:rsidR="00000960"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2005</w:t>
      </w:r>
      <w:r w:rsidR="00000960"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Exploring attitudes: the case for Q methodology. </w:t>
      </w:r>
      <w:r w:rsidRPr="00842A52">
        <w:rPr>
          <w:rFonts w:eastAsia="SimSun" w:cs="Helvetica Neue"/>
          <w:b/>
          <w:bCs/>
          <w:color w:val="000000"/>
          <w:szCs w:val="26"/>
          <w:lang w:val="en-GB" w:eastAsia="en-IE"/>
        </w:rPr>
        <w:t xml:space="preserve">Health </w:t>
      </w:r>
      <w:r w:rsidR="00000960" w:rsidRPr="00842A52">
        <w:rPr>
          <w:rFonts w:eastAsia="SimSun" w:cs="Helvetica Neue"/>
          <w:b/>
          <w:bCs/>
          <w:color w:val="000000"/>
          <w:szCs w:val="26"/>
          <w:lang w:val="en-GB" w:eastAsia="en-IE"/>
        </w:rPr>
        <w:t>Education Research</w:t>
      </w:r>
      <w:r w:rsidRPr="00842A52">
        <w:rPr>
          <w:rFonts w:eastAsia="SimSun" w:cs="Helvetica Neue"/>
          <w:color w:val="000000"/>
          <w:szCs w:val="26"/>
          <w:lang w:val="en-GB" w:eastAsia="en-IE"/>
        </w:rPr>
        <w:t>, 20(2), pp.206-213.</w:t>
      </w:r>
      <w:r w:rsidR="00000960" w:rsidRPr="00842A52">
        <w:rPr>
          <w:szCs w:val="26"/>
        </w:rPr>
        <w:t xml:space="preserve"> </w:t>
      </w:r>
      <w:hyperlink r:id="rId39" w:history="1">
        <w:r w:rsidR="00000960" w:rsidRPr="00842A52">
          <w:rPr>
            <w:rStyle w:val="Hyperlink"/>
            <w:color w:val="067499"/>
            <w:szCs w:val="26"/>
            <w:shd w:val="clear" w:color="auto" w:fill="FFFFFF"/>
          </w:rPr>
          <w:t> https://doi.org/10.1093/her/cyg121 </w:t>
        </w:r>
      </w:hyperlink>
    </w:p>
    <w:p w14:paraId="48D24C5C"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46C83392" w14:textId="0AB38ADF"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Cross-Sudworth F, Williams A, and Herron-Marx S. </w:t>
      </w:r>
      <w:r w:rsidR="00000960" w:rsidRPr="00842A52">
        <w:rPr>
          <w:rFonts w:eastAsia="SimSun" w:cs="Helvetica Neue"/>
          <w:color w:val="000000"/>
          <w:szCs w:val="26"/>
          <w:lang w:val="en-GB" w:eastAsia="en-IE"/>
        </w:rPr>
        <w:t>(</w:t>
      </w:r>
      <w:r w:rsidRPr="00842A52">
        <w:rPr>
          <w:rFonts w:eastAsia="SimSun" w:cs="Helvetica Neue"/>
          <w:color w:val="000000"/>
          <w:szCs w:val="26"/>
          <w:lang w:val="en-GB" w:eastAsia="en-IE"/>
        </w:rPr>
        <w:t>2011</w:t>
      </w:r>
      <w:r w:rsidR="00000960"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Maternity services in</w:t>
      </w:r>
    </w:p>
    <w:p w14:paraId="096F5331"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multi-cultural Britain: Using Q methodology to explore the views of</w:t>
      </w:r>
    </w:p>
    <w:p w14:paraId="0ED7288A" w14:textId="2E7C7E8F"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first- and second-generation women of Pakistani origin. </w:t>
      </w:r>
      <w:r w:rsidRPr="00842A52">
        <w:rPr>
          <w:rFonts w:eastAsia="SimSun" w:cs="Helvetica Neue"/>
          <w:b/>
          <w:bCs/>
          <w:color w:val="000000"/>
          <w:szCs w:val="26"/>
          <w:lang w:val="en-GB" w:eastAsia="en-IE"/>
        </w:rPr>
        <w:t>Midwifery</w:t>
      </w:r>
      <w:r w:rsidRPr="00842A52">
        <w:rPr>
          <w:rFonts w:eastAsia="SimSun" w:cs="Helvetica Neue"/>
          <w:color w:val="000000"/>
          <w:szCs w:val="26"/>
          <w:lang w:val="en-GB" w:eastAsia="en-IE"/>
        </w:rPr>
        <w:t>, 27(4)</w:t>
      </w:r>
      <w:r w:rsidR="00000960" w:rsidRPr="00842A52">
        <w:rPr>
          <w:rFonts w:eastAsia="SimSun" w:cs="Helvetica Neue"/>
          <w:color w:val="000000"/>
          <w:szCs w:val="26"/>
          <w:lang w:val="en-GB" w:eastAsia="en-IE"/>
        </w:rPr>
        <w:t>, pp.</w:t>
      </w:r>
      <w:r w:rsidRPr="00842A52">
        <w:rPr>
          <w:rFonts w:eastAsia="SimSun" w:cs="Helvetica Neue"/>
          <w:color w:val="000000"/>
          <w:szCs w:val="26"/>
          <w:lang w:val="en-GB" w:eastAsia="en-IE"/>
        </w:rPr>
        <w:t xml:space="preserve">458–68. </w:t>
      </w:r>
      <w:hyperlink r:id="rId40" w:history="1">
        <w:r w:rsidR="00000960" w:rsidRPr="00842A52">
          <w:rPr>
            <w:rStyle w:val="Hyperlink"/>
            <w:rFonts w:eastAsia="SimSun" w:cs="Helvetica Neue"/>
            <w:szCs w:val="26"/>
            <w:lang w:val="en-GB" w:eastAsia="en-IE"/>
          </w:rPr>
          <w:t>https://doi.org/10.1016/j.midw.2010.03.001</w:t>
        </w:r>
      </w:hyperlink>
      <w:r w:rsidR="00000960"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 xml:space="preserve"> </w:t>
      </w:r>
    </w:p>
    <w:p w14:paraId="790FF62F" w14:textId="746458CA" w:rsidR="00586545" w:rsidRPr="00842A52" w:rsidRDefault="00586545"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04DD80A0" w14:textId="77777777" w:rsidR="00586545" w:rsidRPr="00842A52" w:rsidRDefault="00586545" w:rsidP="005865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Cui, W. et al. (2015) Recent changes in attitudes of US adults toward people with epilepsy - Results from the 2005 SummerStyles and 2013 FallStyles surveys. </w:t>
      </w:r>
      <w:r w:rsidRPr="00842A52">
        <w:rPr>
          <w:rFonts w:eastAsia="SimSun" w:cs="Helvetica Neue"/>
          <w:b/>
          <w:bCs/>
          <w:color w:val="000000"/>
          <w:szCs w:val="26"/>
          <w:lang w:val="en-GB" w:eastAsia="en-IE"/>
        </w:rPr>
        <w:t>Epilepsy &amp; Behavior</w:t>
      </w:r>
      <w:r w:rsidRPr="00842A52">
        <w:rPr>
          <w:rFonts w:eastAsia="SimSun" w:cs="Helvetica Neue"/>
          <w:color w:val="000000"/>
          <w:szCs w:val="26"/>
          <w:lang w:val="en-GB" w:eastAsia="en-IE"/>
        </w:rPr>
        <w:t>, 52(PtA), pp.108–118.</w:t>
      </w:r>
      <w:r w:rsidRPr="00842A52">
        <w:rPr>
          <w:szCs w:val="26"/>
        </w:rPr>
        <w:t xml:space="preserve"> </w:t>
      </w:r>
      <w:hyperlink r:id="rId41" w:history="1">
        <w:r w:rsidRPr="00842A52">
          <w:rPr>
            <w:rStyle w:val="Hyperlink"/>
            <w:rFonts w:eastAsia="SimSun" w:cs="Helvetica Neue"/>
            <w:szCs w:val="26"/>
            <w:lang w:val="en-GB" w:eastAsia="en-IE"/>
          </w:rPr>
          <w:t>https://doi.org/10.1016/j.yebeh.2015.08.040</w:t>
        </w:r>
      </w:hyperlink>
      <w:r w:rsidRPr="00842A52">
        <w:rPr>
          <w:rFonts w:eastAsia="SimSun" w:cs="Helvetica Neue"/>
          <w:color w:val="000000"/>
          <w:szCs w:val="26"/>
          <w:lang w:val="en-GB" w:eastAsia="en-IE"/>
        </w:rPr>
        <w:t xml:space="preserve"> </w:t>
      </w:r>
    </w:p>
    <w:p w14:paraId="6F3AF046"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4320ABD5" w14:textId="45DA3AF0"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Dabby, L., Tranulis, C. and Kirmayer, L.J. </w:t>
      </w:r>
      <w:r w:rsidR="00AE5E10" w:rsidRPr="00842A52">
        <w:rPr>
          <w:rFonts w:eastAsia="SimSun" w:cs="Helvetica Neue"/>
          <w:color w:val="000000"/>
          <w:szCs w:val="26"/>
          <w:lang w:val="en-GB" w:eastAsia="en-IE"/>
        </w:rPr>
        <w:t>(</w:t>
      </w:r>
      <w:r w:rsidRPr="00842A52">
        <w:rPr>
          <w:rFonts w:eastAsia="SimSun" w:cs="Helvetica Neue"/>
          <w:color w:val="000000"/>
          <w:szCs w:val="26"/>
          <w:lang w:val="en-GB" w:eastAsia="en-IE"/>
        </w:rPr>
        <w:t>2015</w:t>
      </w:r>
      <w:r w:rsidR="00AE5E10"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Explicit and implicit attitudes of Canadian psychiatrists toward people with mental illness. </w:t>
      </w:r>
      <w:r w:rsidRPr="00842A52">
        <w:rPr>
          <w:rFonts w:eastAsia="SimSun" w:cs="Helvetica Neue"/>
          <w:b/>
          <w:bCs/>
          <w:color w:val="000000"/>
          <w:szCs w:val="26"/>
          <w:lang w:val="en-GB" w:eastAsia="en-IE"/>
        </w:rPr>
        <w:t>The Canadian Journal of Psychiatry</w:t>
      </w:r>
      <w:r w:rsidRPr="00842A52">
        <w:rPr>
          <w:rFonts w:eastAsia="SimSun" w:cs="Helvetica Neue"/>
          <w:color w:val="000000"/>
          <w:szCs w:val="26"/>
          <w:lang w:val="en-GB" w:eastAsia="en-IE"/>
        </w:rPr>
        <w:t>, 60(10), pp.451-459.</w:t>
      </w:r>
      <w:r w:rsidRPr="00842A52">
        <w:rPr>
          <w:szCs w:val="26"/>
        </w:rPr>
        <w:t xml:space="preserve"> </w:t>
      </w:r>
      <w:hyperlink r:id="rId42" w:history="1">
        <w:r w:rsidRPr="00842A52">
          <w:rPr>
            <w:rStyle w:val="Hyperlink"/>
            <w:rFonts w:eastAsia="SimSun" w:cs="Helvetica Neue"/>
            <w:szCs w:val="26"/>
            <w:lang w:val="en-GB" w:eastAsia="en-IE"/>
          </w:rPr>
          <w:t>https://doi.org/10.1177/070674371506001006</w:t>
        </w:r>
      </w:hyperlink>
      <w:r w:rsidRPr="00842A52">
        <w:rPr>
          <w:rFonts w:eastAsia="SimSun" w:cs="Helvetica Neue"/>
          <w:color w:val="000000"/>
          <w:szCs w:val="26"/>
          <w:lang w:val="en-GB" w:eastAsia="en-IE"/>
        </w:rPr>
        <w:t xml:space="preserve"> </w:t>
      </w:r>
    </w:p>
    <w:p w14:paraId="576CF4B3"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highlight w:val="yellow"/>
          <w:lang w:val="en-GB" w:eastAsia="en-IE"/>
        </w:rPr>
      </w:pPr>
    </w:p>
    <w:p w14:paraId="09F46D91" w14:textId="1A5BDAD4" w:rsidR="00C23C76" w:rsidRPr="00842A52" w:rsidRDefault="00C23C76" w:rsidP="00064ECA">
      <w:pPr>
        <w:spacing w:after="0"/>
        <w:rPr>
          <w:szCs w:val="26"/>
          <w:lang w:eastAsia="en-GB"/>
        </w:rPr>
      </w:pPr>
      <w:r w:rsidRPr="00842A52">
        <w:rPr>
          <w:rFonts w:eastAsia="SimSun" w:cs="Helvetica Neue"/>
          <w:color w:val="000000"/>
          <w:szCs w:val="26"/>
          <w:lang w:val="en-GB" w:eastAsia="en-IE"/>
        </w:rPr>
        <w:t>D'Ancona, M.Á.C.</w:t>
      </w:r>
      <w:r w:rsidR="00AE5E10"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2017</w:t>
      </w:r>
      <w:r w:rsidR="00AE5E10"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Measuring multiple discrimination through a survey-based methodology. </w:t>
      </w:r>
      <w:r w:rsidRPr="00842A52">
        <w:rPr>
          <w:rFonts w:eastAsia="SimSun" w:cs="Helvetica Neue"/>
          <w:b/>
          <w:bCs/>
          <w:color w:val="000000"/>
          <w:szCs w:val="26"/>
          <w:lang w:val="en-GB" w:eastAsia="en-IE"/>
        </w:rPr>
        <w:t xml:space="preserve">Social </w:t>
      </w:r>
      <w:r w:rsidR="00AE5E10" w:rsidRPr="00842A52">
        <w:rPr>
          <w:rFonts w:eastAsia="SimSun" w:cs="Helvetica Neue"/>
          <w:b/>
          <w:bCs/>
          <w:color w:val="000000"/>
          <w:szCs w:val="26"/>
          <w:lang w:val="en-GB" w:eastAsia="en-IE"/>
        </w:rPr>
        <w:t>Science Research</w:t>
      </w:r>
      <w:r w:rsidRPr="00842A52">
        <w:rPr>
          <w:rFonts w:eastAsia="SimSun" w:cs="Helvetica Neue"/>
          <w:color w:val="000000"/>
          <w:szCs w:val="26"/>
          <w:lang w:val="en-GB" w:eastAsia="en-IE"/>
        </w:rPr>
        <w:t>, 67, pp.239-251.</w:t>
      </w:r>
      <w:r w:rsidR="00064ECA" w:rsidRPr="00842A52">
        <w:rPr>
          <w:szCs w:val="26"/>
        </w:rPr>
        <w:t xml:space="preserve"> </w:t>
      </w:r>
      <w:hyperlink r:id="rId43" w:history="1">
        <w:r w:rsidR="00064ECA" w:rsidRPr="00842A52">
          <w:rPr>
            <w:rStyle w:val="Hyperlink"/>
            <w:color w:val="067499"/>
            <w:szCs w:val="26"/>
            <w:shd w:val="clear" w:color="auto" w:fill="FFFFFF"/>
          </w:rPr>
          <w:t> https://doi.org/10.1016/j.ssresearch.2017.04.006 </w:t>
        </w:r>
      </w:hyperlink>
    </w:p>
    <w:p w14:paraId="216531DA" w14:textId="77777777" w:rsidR="00AE5E10" w:rsidRPr="00842A52" w:rsidRDefault="00AE5E10"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011C14CB" w14:textId="758FEE8C"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Dean R, et al. </w:t>
      </w:r>
      <w:r w:rsidR="00064ECA" w:rsidRPr="00842A52">
        <w:rPr>
          <w:rFonts w:eastAsia="SimSun" w:cs="Helvetica Neue"/>
          <w:color w:val="000000"/>
          <w:szCs w:val="26"/>
          <w:lang w:val="en-GB" w:eastAsia="en-IE"/>
        </w:rPr>
        <w:t>(</w:t>
      </w:r>
      <w:r w:rsidRPr="00842A52">
        <w:rPr>
          <w:rFonts w:eastAsia="SimSun" w:cs="Helvetica Neue"/>
          <w:color w:val="000000"/>
          <w:szCs w:val="26"/>
          <w:lang w:val="en-GB" w:eastAsia="en-IE"/>
        </w:rPr>
        <w:t>2018</w:t>
      </w:r>
      <w:r w:rsidR="00064ECA"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Staff perceptions of borderline personality disorder and recovery: A Q-sort method approach. </w:t>
      </w:r>
      <w:r w:rsidRPr="00842A52">
        <w:rPr>
          <w:rFonts w:eastAsia="SimSun" w:cs="Helvetica Neue"/>
          <w:b/>
          <w:bCs/>
          <w:color w:val="000000"/>
          <w:szCs w:val="26"/>
          <w:lang w:val="en-GB" w:eastAsia="en-IE"/>
        </w:rPr>
        <w:t>British Journal of Clinical Psychology</w:t>
      </w:r>
      <w:r w:rsidRPr="00842A52">
        <w:rPr>
          <w:rFonts w:eastAsia="SimSun" w:cs="Helvetica Neue"/>
          <w:color w:val="000000"/>
          <w:szCs w:val="26"/>
          <w:lang w:val="en-GB" w:eastAsia="en-IE"/>
        </w:rPr>
        <w:t xml:space="preserve">. 57(4):473–90. </w:t>
      </w:r>
      <w:hyperlink r:id="rId44" w:history="1">
        <w:r w:rsidRPr="00842A52">
          <w:rPr>
            <w:rStyle w:val="Hyperlink"/>
            <w:rFonts w:eastAsia="SimSun" w:cs="Helvetica Neue"/>
            <w:szCs w:val="26"/>
            <w:lang w:val="en-GB" w:eastAsia="en-IE"/>
          </w:rPr>
          <w:t>https://doi.org/10.1111/bjc.12180</w:t>
        </w:r>
      </w:hyperlink>
      <w:r w:rsidRPr="00842A52">
        <w:rPr>
          <w:rFonts w:eastAsia="SimSun" w:cs="Helvetica Neue"/>
          <w:color w:val="000000"/>
          <w:szCs w:val="26"/>
          <w:lang w:val="en-GB" w:eastAsia="en-IE"/>
        </w:rPr>
        <w:t xml:space="preserve">  </w:t>
      </w:r>
    </w:p>
    <w:p w14:paraId="2D565D4E"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5C81E958" w14:textId="71938F8E"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DeCastellarnau A. </w:t>
      </w:r>
      <w:r w:rsidR="004A52D5" w:rsidRPr="00842A52">
        <w:rPr>
          <w:rFonts w:eastAsia="SimSun" w:cs="Helvetica Neue"/>
          <w:color w:val="000000"/>
          <w:szCs w:val="26"/>
          <w:lang w:val="en-GB" w:eastAsia="en-IE"/>
        </w:rPr>
        <w:t>(</w:t>
      </w:r>
      <w:r w:rsidRPr="00842A52">
        <w:rPr>
          <w:rFonts w:eastAsia="SimSun" w:cs="Helvetica Neue"/>
          <w:color w:val="000000"/>
          <w:szCs w:val="26"/>
          <w:lang w:val="en-GB" w:eastAsia="en-IE"/>
        </w:rPr>
        <w:t>2018</w:t>
      </w:r>
      <w:r w:rsidR="004A52D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A classification of response scale characteristics that affect data quality: a literature review. </w:t>
      </w:r>
      <w:r w:rsidRPr="00842A52">
        <w:rPr>
          <w:rFonts w:eastAsia="SimSun" w:cs="Helvetica Neue"/>
          <w:b/>
          <w:bCs/>
          <w:color w:val="000000"/>
          <w:szCs w:val="26"/>
          <w:lang w:val="en-GB" w:eastAsia="en-IE"/>
        </w:rPr>
        <w:t>Quality and Quantity</w:t>
      </w:r>
      <w:r w:rsidR="004A52D5"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52(4)</w:t>
      </w:r>
      <w:r w:rsidR="004A52D5" w:rsidRPr="00842A52">
        <w:rPr>
          <w:rFonts w:eastAsia="SimSun" w:cs="Helvetica Neue"/>
          <w:color w:val="000000"/>
          <w:szCs w:val="26"/>
          <w:lang w:val="en-GB" w:eastAsia="en-IE"/>
        </w:rPr>
        <w:t>, pp.</w:t>
      </w:r>
      <w:r w:rsidRPr="00842A52">
        <w:rPr>
          <w:rFonts w:eastAsia="SimSun" w:cs="Helvetica Neue"/>
          <w:color w:val="000000"/>
          <w:szCs w:val="26"/>
          <w:lang w:val="en-GB" w:eastAsia="en-IE"/>
        </w:rPr>
        <w:t>1523–59.</w:t>
      </w:r>
      <w:r w:rsidRPr="00842A52">
        <w:rPr>
          <w:szCs w:val="26"/>
        </w:rPr>
        <w:t xml:space="preserve"> </w:t>
      </w:r>
      <w:hyperlink r:id="rId45" w:history="1">
        <w:r w:rsidRPr="00842A52">
          <w:rPr>
            <w:rStyle w:val="Hyperlink"/>
            <w:rFonts w:eastAsia="SimSun" w:cs="Helvetica Neue"/>
            <w:szCs w:val="26"/>
            <w:lang w:val="en-GB" w:eastAsia="en-IE"/>
          </w:rPr>
          <w:t>https://doi.org/10.1007/s11135-017-0533-4</w:t>
        </w:r>
      </w:hyperlink>
      <w:r w:rsidRPr="00842A52">
        <w:rPr>
          <w:rFonts w:eastAsia="SimSun" w:cs="Helvetica Neue"/>
          <w:color w:val="000000"/>
          <w:szCs w:val="26"/>
          <w:lang w:val="en-GB" w:eastAsia="en-IE"/>
        </w:rPr>
        <w:t xml:space="preserve"> </w:t>
      </w:r>
    </w:p>
    <w:p w14:paraId="7EE1B7A5"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344F3D9D" w14:textId="41801F63"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 xml:space="preserve">De Laat, S., Freriksen, E. and Vervloed, M.P. </w:t>
      </w:r>
      <w:r w:rsidR="004A52D5" w:rsidRPr="00842A52">
        <w:rPr>
          <w:rFonts w:eastAsia="SimSun" w:cs="Helvetica Neue"/>
          <w:color w:val="000000"/>
          <w:szCs w:val="26"/>
          <w:lang w:val="en-GB" w:eastAsia="en-IE"/>
        </w:rPr>
        <w:t>(</w:t>
      </w:r>
      <w:r w:rsidRPr="00842A52">
        <w:rPr>
          <w:rFonts w:eastAsia="SimSun" w:cs="Helvetica Neue"/>
          <w:color w:val="000000"/>
          <w:szCs w:val="26"/>
          <w:lang w:val="en-GB" w:eastAsia="en-IE"/>
        </w:rPr>
        <w:t>2013</w:t>
      </w:r>
      <w:r w:rsidR="004A52D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Attitudes of children and adolescents toward persons who are deaf, blind, paralyzed or intellectually </w:t>
      </w:r>
      <w:r w:rsidRPr="00842A52">
        <w:rPr>
          <w:rFonts w:eastAsia="SimSun" w:cs="Helvetica Neue"/>
          <w:color w:val="000000"/>
          <w:szCs w:val="26"/>
          <w:lang w:val="en-GB" w:eastAsia="en-IE"/>
        </w:rPr>
        <w:lastRenderedPageBreak/>
        <w:t xml:space="preserve">disabled. </w:t>
      </w:r>
      <w:r w:rsidRPr="00842A52">
        <w:rPr>
          <w:rFonts w:eastAsia="SimSun" w:cs="Helvetica Neue"/>
          <w:b/>
          <w:bCs/>
          <w:color w:val="000000"/>
          <w:szCs w:val="26"/>
          <w:lang w:val="en-GB" w:eastAsia="en-IE"/>
        </w:rPr>
        <w:t>Research in Developmental Disabilities</w:t>
      </w:r>
      <w:r w:rsidRPr="00842A52">
        <w:rPr>
          <w:rFonts w:eastAsia="SimSun" w:cs="Helvetica Neue"/>
          <w:color w:val="000000"/>
          <w:szCs w:val="26"/>
          <w:lang w:val="en-GB" w:eastAsia="en-IE"/>
        </w:rPr>
        <w:t xml:space="preserve">, 34(2), pp.855-863. </w:t>
      </w:r>
      <w:hyperlink r:id="rId46" w:history="1">
        <w:r w:rsidRPr="00842A52">
          <w:rPr>
            <w:rStyle w:val="Hyperlink"/>
            <w:rFonts w:eastAsia="SimSun" w:cs="Helvetica Neue"/>
            <w:szCs w:val="26"/>
            <w:lang w:val="en-GB" w:eastAsia="en-IE"/>
          </w:rPr>
          <w:t>https://doi.org/10.1016/j.ridd.2012.11.004</w:t>
        </w:r>
      </w:hyperlink>
      <w:r w:rsidRPr="00842A52">
        <w:rPr>
          <w:rFonts w:eastAsia="SimSun" w:cs="Helvetica Neue"/>
          <w:color w:val="000000"/>
          <w:szCs w:val="26"/>
          <w:lang w:val="en-GB" w:eastAsia="en-IE"/>
        </w:rPr>
        <w:t xml:space="preserve"> </w:t>
      </w:r>
    </w:p>
    <w:p w14:paraId="5EFB6F7F" w14:textId="09BB0C1D"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Diseth, R.R., Bøgwald, K.P. and Høglend, P.A.</w:t>
      </w:r>
      <w:r w:rsidR="004A52D5"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2011</w:t>
      </w:r>
      <w:r w:rsidR="004A52D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Attitudes among stakeholders towards compulsory mental health care in Norway. </w:t>
      </w:r>
      <w:r w:rsidRPr="00842A52">
        <w:rPr>
          <w:rFonts w:eastAsia="SimSun" w:cs="Helvetica Neue"/>
          <w:b/>
          <w:bCs/>
          <w:color w:val="000000"/>
          <w:szCs w:val="26"/>
          <w:lang w:val="en-GB" w:eastAsia="en-IE"/>
        </w:rPr>
        <w:t>International Journal of Law and Psychiatry,</w:t>
      </w:r>
      <w:r w:rsidRPr="00842A52">
        <w:rPr>
          <w:rFonts w:eastAsia="SimSun" w:cs="Helvetica Neue"/>
          <w:color w:val="000000"/>
          <w:szCs w:val="26"/>
          <w:lang w:val="en-GB" w:eastAsia="en-IE"/>
        </w:rPr>
        <w:t xml:space="preserve"> 34(1), pp.1-6.</w:t>
      </w:r>
      <w:r w:rsidRPr="00842A52">
        <w:rPr>
          <w:szCs w:val="26"/>
        </w:rPr>
        <w:t xml:space="preserve"> </w:t>
      </w:r>
      <w:hyperlink r:id="rId47" w:history="1">
        <w:r w:rsidRPr="00842A52">
          <w:rPr>
            <w:rStyle w:val="Hyperlink"/>
            <w:rFonts w:eastAsia="SimSun" w:cs="Helvetica Neue"/>
            <w:szCs w:val="26"/>
            <w:lang w:val="en-GB" w:eastAsia="en-IE"/>
          </w:rPr>
          <w:t>https://doi.org/10.1016/j.ijlp.2010.11.001</w:t>
        </w:r>
      </w:hyperlink>
      <w:r w:rsidRPr="00842A52">
        <w:rPr>
          <w:rFonts w:eastAsia="SimSun" w:cs="Helvetica Neue"/>
          <w:color w:val="000000"/>
          <w:szCs w:val="26"/>
          <w:lang w:val="en-GB" w:eastAsia="en-IE"/>
        </w:rPr>
        <w:t xml:space="preserve"> </w:t>
      </w:r>
    </w:p>
    <w:p w14:paraId="6EF15591" w14:textId="3C8E8417" w:rsidR="00C23C76" w:rsidRPr="00842A52" w:rsidRDefault="00C23C76" w:rsidP="004A52D5">
      <w:pPr>
        <w:spacing w:after="0"/>
        <w:rPr>
          <w:szCs w:val="26"/>
          <w:lang w:eastAsia="en-GB"/>
        </w:rPr>
      </w:pPr>
      <w:r w:rsidRPr="00842A52">
        <w:rPr>
          <w:rFonts w:eastAsia="SimSun" w:cs="Helvetica Neue"/>
          <w:color w:val="000000"/>
          <w:szCs w:val="26"/>
          <w:lang w:val="en-GB" w:eastAsia="en-IE"/>
        </w:rPr>
        <w:t xml:space="preserve">Domagała-Zyśk, E. </w:t>
      </w:r>
      <w:r w:rsidR="004A52D5" w:rsidRPr="00842A52">
        <w:rPr>
          <w:rFonts w:eastAsia="SimSun" w:cs="Helvetica Neue"/>
          <w:color w:val="000000"/>
          <w:szCs w:val="26"/>
          <w:lang w:val="en-GB" w:eastAsia="en-IE"/>
        </w:rPr>
        <w:t>(</w:t>
      </w:r>
      <w:r w:rsidRPr="00842A52">
        <w:rPr>
          <w:rFonts w:eastAsia="SimSun" w:cs="Helvetica Neue"/>
          <w:color w:val="000000"/>
          <w:szCs w:val="26"/>
          <w:lang w:val="en-GB" w:eastAsia="en-IE"/>
        </w:rPr>
        <w:t>2021</w:t>
      </w:r>
      <w:r w:rsidR="004A52D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Attitudes of </w:t>
      </w:r>
      <w:r w:rsidR="004A52D5" w:rsidRPr="00842A52">
        <w:rPr>
          <w:rFonts w:eastAsia="SimSun" w:cs="Helvetica Neue"/>
          <w:color w:val="000000"/>
          <w:szCs w:val="26"/>
          <w:lang w:val="en-GB" w:eastAsia="en-IE"/>
        </w:rPr>
        <w:t>different age groups toward people with intellectual disability during t</w:t>
      </w:r>
      <w:r w:rsidRPr="00842A52">
        <w:rPr>
          <w:rFonts w:eastAsia="SimSun" w:cs="Helvetica Neue"/>
          <w:color w:val="000000"/>
          <w:szCs w:val="26"/>
          <w:lang w:val="en-GB" w:eastAsia="en-IE"/>
        </w:rPr>
        <w:t xml:space="preserve">he COVID-19 </w:t>
      </w:r>
      <w:r w:rsidR="004A52D5" w:rsidRPr="00842A52">
        <w:rPr>
          <w:rFonts w:eastAsia="SimSun" w:cs="Helvetica Neue"/>
          <w:color w:val="000000"/>
          <w:szCs w:val="26"/>
          <w:lang w:val="en-GB" w:eastAsia="en-IE"/>
        </w:rPr>
        <w:t>p</w:t>
      </w:r>
      <w:r w:rsidRPr="00842A52">
        <w:rPr>
          <w:rFonts w:eastAsia="SimSun" w:cs="Helvetica Neue"/>
          <w:color w:val="000000"/>
          <w:szCs w:val="26"/>
          <w:lang w:val="en-GB" w:eastAsia="en-IE"/>
        </w:rPr>
        <w:t xml:space="preserve">andemic. </w:t>
      </w:r>
      <w:r w:rsidRPr="00842A52">
        <w:rPr>
          <w:rFonts w:eastAsia="SimSun" w:cs="Helvetica Neue"/>
          <w:b/>
          <w:bCs/>
          <w:color w:val="000000"/>
          <w:szCs w:val="26"/>
          <w:lang w:val="en-GB" w:eastAsia="en-IE"/>
        </w:rPr>
        <w:t>Frontiers in Psychiatry</w:t>
      </w:r>
      <w:r w:rsidRPr="00842A52">
        <w:rPr>
          <w:rFonts w:eastAsia="SimSun" w:cs="Helvetica Neue"/>
          <w:color w:val="000000"/>
          <w:szCs w:val="26"/>
          <w:lang w:val="en-GB" w:eastAsia="en-IE"/>
        </w:rPr>
        <w:t>, p.1121.</w:t>
      </w:r>
      <w:r w:rsidR="004A52D5" w:rsidRPr="00842A52">
        <w:rPr>
          <w:szCs w:val="26"/>
        </w:rPr>
        <w:t xml:space="preserve"> </w:t>
      </w:r>
      <w:hyperlink r:id="rId48" w:history="1">
        <w:r w:rsidR="004A52D5" w:rsidRPr="00842A52">
          <w:rPr>
            <w:rStyle w:val="Hyperlink"/>
            <w:color w:val="067499"/>
            <w:szCs w:val="26"/>
            <w:shd w:val="clear" w:color="auto" w:fill="FFFFFF"/>
          </w:rPr>
          <w:t> https://doi.org/10.3389/fpsyt.2021.591707 </w:t>
        </w:r>
      </w:hyperlink>
    </w:p>
    <w:p w14:paraId="426E29A4" w14:textId="77777777" w:rsidR="004A52D5" w:rsidRPr="00842A52" w:rsidRDefault="004A52D5" w:rsidP="004A52D5">
      <w:pPr>
        <w:spacing w:after="0"/>
        <w:rPr>
          <w:szCs w:val="26"/>
          <w:lang w:eastAsia="en-GB"/>
        </w:rPr>
      </w:pPr>
    </w:p>
    <w:p w14:paraId="3B6C943C" w14:textId="77301E09"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Economou, M.</w:t>
      </w:r>
      <w:r w:rsidR="004A52D5"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2012</w:t>
      </w:r>
      <w:r w:rsidR="004A52D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Medical students' beliefs and attitudes towards schizophrenia before and after undergraduate psychiatric training in Greece. </w:t>
      </w:r>
      <w:r w:rsidRPr="00842A52">
        <w:rPr>
          <w:rFonts w:eastAsia="SimSun" w:cs="Helvetica Neue"/>
          <w:b/>
          <w:bCs/>
          <w:color w:val="000000"/>
          <w:szCs w:val="26"/>
          <w:lang w:val="en-GB" w:eastAsia="en-IE"/>
        </w:rPr>
        <w:t xml:space="preserve">Psychiatry and </w:t>
      </w:r>
      <w:r w:rsidR="004A52D5" w:rsidRPr="00842A52">
        <w:rPr>
          <w:rFonts w:eastAsia="SimSun" w:cs="Helvetica Neue"/>
          <w:b/>
          <w:bCs/>
          <w:color w:val="000000"/>
          <w:szCs w:val="26"/>
          <w:lang w:val="en-GB" w:eastAsia="en-IE"/>
        </w:rPr>
        <w:t>C</w:t>
      </w:r>
      <w:r w:rsidRPr="00842A52">
        <w:rPr>
          <w:rFonts w:eastAsia="SimSun" w:cs="Helvetica Neue"/>
          <w:b/>
          <w:bCs/>
          <w:color w:val="000000"/>
          <w:szCs w:val="26"/>
          <w:lang w:val="en-GB" w:eastAsia="en-IE"/>
        </w:rPr>
        <w:t xml:space="preserve">linical </w:t>
      </w:r>
      <w:r w:rsidR="004A52D5" w:rsidRPr="00842A52">
        <w:rPr>
          <w:rFonts w:eastAsia="SimSun" w:cs="Helvetica Neue"/>
          <w:b/>
          <w:bCs/>
          <w:color w:val="000000"/>
          <w:szCs w:val="26"/>
          <w:lang w:val="en-GB" w:eastAsia="en-IE"/>
        </w:rPr>
        <w:t>N</w:t>
      </w:r>
      <w:r w:rsidRPr="00842A52">
        <w:rPr>
          <w:rFonts w:eastAsia="SimSun" w:cs="Helvetica Neue"/>
          <w:b/>
          <w:bCs/>
          <w:color w:val="000000"/>
          <w:szCs w:val="26"/>
          <w:lang w:val="en-GB" w:eastAsia="en-IE"/>
        </w:rPr>
        <w:t>eurosciences</w:t>
      </w:r>
      <w:r w:rsidRPr="00842A52">
        <w:rPr>
          <w:rFonts w:eastAsia="SimSun" w:cs="Helvetica Neue"/>
          <w:color w:val="000000"/>
          <w:szCs w:val="26"/>
          <w:lang w:val="en-GB" w:eastAsia="en-IE"/>
        </w:rPr>
        <w:t>, 66(1), pp.17-25.</w:t>
      </w:r>
      <w:r w:rsidRPr="00842A52">
        <w:rPr>
          <w:szCs w:val="26"/>
        </w:rPr>
        <w:t xml:space="preserve"> </w:t>
      </w:r>
      <w:hyperlink r:id="rId49" w:history="1">
        <w:r w:rsidRPr="00842A52">
          <w:rPr>
            <w:rStyle w:val="Hyperlink"/>
            <w:rFonts w:eastAsia="SimSun" w:cs="Helvetica Neue"/>
            <w:szCs w:val="26"/>
            <w:lang w:val="en-GB" w:eastAsia="en-IE"/>
          </w:rPr>
          <w:t>https://doi.org/10.1111/j.1440-1819.2011.02282.x</w:t>
        </w:r>
      </w:hyperlink>
      <w:r w:rsidRPr="00842A52">
        <w:rPr>
          <w:rFonts w:eastAsia="SimSun" w:cs="Helvetica Neue"/>
          <w:color w:val="000000"/>
          <w:szCs w:val="26"/>
          <w:lang w:val="en-GB" w:eastAsia="en-IE"/>
        </w:rPr>
        <w:t xml:space="preserve"> </w:t>
      </w:r>
    </w:p>
    <w:p w14:paraId="4F7FA5AD" w14:textId="7FA7CCB5"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Farrimond H. </w:t>
      </w:r>
      <w:r w:rsidR="004A52D5" w:rsidRPr="00842A52">
        <w:rPr>
          <w:rFonts w:eastAsia="SimSun" w:cs="Helvetica Neue"/>
          <w:color w:val="000000"/>
          <w:szCs w:val="26"/>
          <w:lang w:val="en-GB" w:eastAsia="en-IE"/>
        </w:rPr>
        <w:t>(</w:t>
      </w:r>
      <w:r w:rsidRPr="00842A52">
        <w:rPr>
          <w:rFonts w:eastAsia="SimSun" w:cs="Helvetica Neue"/>
          <w:color w:val="000000"/>
          <w:szCs w:val="26"/>
          <w:lang w:val="en-GB" w:eastAsia="en-IE"/>
        </w:rPr>
        <w:t>2017</w:t>
      </w:r>
      <w:r w:rsidR="004A52D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A typology of vaping: Identifying differing beliefs, motivations for use, identity and political interest amongst e-cigarette users. </w:t>
      </w:r>
      <w:r w:rsidRPr="00842A52">
        <w:rPr>
          <w:rFonts w:eastAsia="SimSun" w:cs="Helvetica Neue"/>
          <w:b/>
          <w:bCs/>
          <w:color w:val="000000"/>
          <w:szCs w:val="26"/>
          <w:lang w:val="en-GB" w:eastAsia="en-IE"/>
        </w:rPr>
        <w:t>International Journal of Drug Policy</w:t>
      </w:r>
      <w:r w:rsidRPr="00842A52">
        <w:rPr>
          <w:rFonts w:eastAsia="SimSun" w:cs="Helvetica Neue"/>
          <w:color w:val="000000"/>
          <w:szCs w:val="26"/>
          <w:lang w:val="en-GB" w:eastAsia="en-IE"/>
        </w:rPr>
        <w:t>, 48</w:t>
      </w:r>
      <w:r w:rsidR="004A52D5" w:rsidRPr="00842A52">
        <w:rPr>
          <w:rFonts w:eastAsia="SimSun" w:cs="Helvetica Neue"/>
          <w:color w:val="000000"/>
          <w:szCs w:val="26"/>
          <w:lang w:val="en-GB" w:eastAsia="en-IE"/>
        </w:rPr>
        <w:t>, pp.</w:t>
      </w:r>
      <w:r w:rsidRPr="00842A52">
        <w:rPr>
          <w:rFonts w:eastAsia="SimSun" w:cs="Helvetica Neue"/>
          <w:color w:val="000000"/>
          <w:szCs w:val="26"/>
          <w:lang w:val="en-GB" w:eastAsia="en-IE"/>
        </w:rPr>
        <w:t xml:space="preserve">81–90. </w:t>
      </w:r>
      <w:hyperlink r:id="rId50" w:history="1">
        <w:r w:rsidRPr="00842A52">
          <w:rPr>
            <w:rStyle w:val="Hyperlink"/>
            <w:rFonts w:eastAsia="SimSun" w:cs="Helvetica Neue"/>
            <w:szCs w:val="26"/>
            <w:lang w:val="en-GB" w:eastAsia="en-IE"/>
          </w:rPr>
          <w:t>https://doi.org/10.1016/j.drugpo.2017.07.011</w:t>
        </w:r>
      </w:hyperlink>
      <w:r w:rsidRPr="00842A52">
        <w:rPr>
          <w:rFonts w:eastAsia="SimSun" w:cs="Helvetica Neue"/>
          <w:color w:val="000000"/>
          <w:szCs w:val="26"/>
          <w:lang w:val="en-GB" w:eastAsia="en-IE"/>
        </w:rPr>
        <w:t xml:space="preserve">. </w:t>
      </w:r>
    </w:p>
    <w:p w14:paraId="6F03BC8E"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7D658433" w14:textId="7A48CA44"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Fazio, R.H. and Olson, M.A.</w:t>
      </w:r>
      <w:r w:rsidR="004A52D5"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2003</w:t>
      </w:r>
      <w:r w:rsidR="004A52D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Implicit measures in social cognition research: </w:t>
      </w:r>
      <w:r w:rsidR="004A52D5" w:rsidRPr="00842A52">
        <w:rPr>
          <w:rFonts w:eastAsia="SimSun" w:cs="Helvetica Neue"/>
          <w:color w:val="000000"/>
          <w:szCs w:val="26"/>
          <w:lang w:val="en-GB" w:eastAsia="en-IE"/>
        </w:rPr>
        <w:t>t</w:t>
      </w:r>
      <w:r w:rsidRPr="00842A52">
        <w:rPr>
          <w:rFonts w:eastAsia="SimSun" w:cs="Helvetica Neue"/>
          <w:color w:val="000000"/>
          <w:szCs w:val="26"/>
          <w:lang w:val="en-GB" w:eastAsia="en-IE"/>
        </w:rPr>
        <w:t xml:space="preserve">heir meaning and use. </w:t>
      </w:r>
      <w:r w:rsidRPr="00842A52">
        <w:rPr>
          <w:rFonts w:eastAsia="SimSun" w:cs="Helvetica Neue"/>
          <w:b/>
          <w:bCs/>
          <w:color w:val="000000"/>
          <w:szCs w:val="26"/>
          <w:lang w:val="en-GB" w:eastAsia="en-IE"/>
        </w:rPr>
        <w:t>Annual Review of Psychology</w:t>
      </w:r>
      <w:r w:rsidRPr="00842A52">
        <w:rPr>
          <w:rFonts w:eastAsia="SimSun" w:cs="Helvetica Neue"/>
          <w:color w:val="000000"/>
          <w:szCs w:val="26"/>
          <w:lang w:val="en-GB" w:eastAsia="en-IE"/>
        </w:rPr>
        <w:t>, 54(1), pp.297-327.</w:t>
      </w:r>
      <w:r w:rsidRPr="00842A52">
        <w:rPr>
          <w:szCs w:val="26"/>
        </w:rPr>
        <w:t xml:space="preserve"> </w:t>
      </w:r>
      <w:hyperlink r:id="rId51" w:history="1">
        <w:r w:rsidRPr="00842A52">
          <w:rPr>
            <w:rStyle w:val="Hyperlink"/>
            <w:rFonts w:eastAsia="SimSun" w:cs="Helvetica Neue"/>
            <w:szCs w:val="26"/>
            <w:lang w:val="en-GB" w:eastAsia="en-IE"/>
          </w:rPr>
          <w:t>https://doi.org/10.1146/annurev.psych.54.101601.145225</w:t>
        </w:r>
      </w:hyperlink>
      <w:r w:rsidRPr="00842A52">
        <w:rPr>
          <w:rFonts w:eastAsia="SimSun" w:cs="Helvetica Neue"/>
          <w:color w:val="000000"/>
          <w:szCs w:val="26"/>
          <w:lang w:val="en-GB" w:eastAsia="en-IE"/>
        </w:rPr>
        <w:t xml:space="preserve"> </w:t>
      </w:r>
    </w:p>
    <w:p w14:paraId="3A8D9908"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65348F29" w14:textId="4B5E8E67" w:rsidR="00C23C76" w:rsidRPr="00842A52" w:rsidRDefault="00C23C76" w:rsidP="006B4B72">
      <w:pPr>
        <w:spacing w:after="0"/>
        <w:rPr>
          <w:szCs w:val="26"/>
          <w:lang w:eastAsia="en-GB"/>
        </w:rPr>
      </w:pPr>
      <w:r w:rsidRPr="00842A52">
        <w:rPr>
          <w:rFonts w:eastAsia="SimSun" w:cs="Helvetica Neue"/>
          <w:color w:val="000000"/>
          <w:szCs w:val="26"/>
          <w:lang w:val="en-GB" w:eastAsia="en-IE"/>
        </w:rPr>
        <w:t xml:space="preserve">Findler, L., Vilchinsky, N. and Werner, S. </w:t>
      </w:r>
      <w:r w:rsidR="004B6283" w:rsidRPr="00842A52">
        <w:rPr>
          <w:rFonts w:eastAsia="SimSun" w:cs="Helvetica Neue"/>
          <w:color w:val="000000"/>
          <w:szCs w:val="26"/>
          <w:lang w:val="en-GB" w:eastAsia="en-IE"/>
        </w:rPr>
        <w:t>(</w:t>
      </w:r>
      <w:r w:rsidRPr="00842A52">
        <w:rPr>
          <w:rFonts w:eastAsia="SimSun" w:cs="Helvetica Neue"/>
          <w:color w:val="000000"/>
          <w:szCs w:val="26"/>
          <w:lang w:val="en-GB" w:eastAsia="en-IE"/>
        </w:rPr>
        <w:t>2007</w:t>
      </w:r>
      <w:r w:rsidR="004B6283"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The multidimensional attitudes scale toward persons with disabilities (MAS) construction and validation. </w:t>
      </w:r>
      <w:r w:rsidRPr="00842A52">
        <w:rPr>
          <w:rFonts w:eastAsia="SimSun" w:cs="Helvetica Neue"/>
          <w:b/>
          <w:bCs/>
          <w:color w:val="000000"/>
          <w:szCs w:val="26"/>
          <w:lang w:val="en-GB" w:eastAsia="en-IE"/>
        </w:rPr>
        <w:t>Rehabilitation Counseling Bulletin</w:t>
      </w:r>
      <w:r w:rsidRPr="00842A52">
        <w:rPr>
          <w:rFonts w:eastAsia="SimSun" w:cs="Helvetica Neue"/>
          <w:color w:val="000000"/>
          <w:szCs w:val="26"/>
          <w:lang w:val="en-GB" w:eastAsia="en-IE"/>
        </w:rPr>
        <w:t>, 50(3), pp.166-176.</w:t>
      </w:r>
      <w:r w:rsidR="006B4B72" w:rsidRPr="00842A52">
        <w:rPr>
          <w:szCs w:val="26"/>
        </w:rPr>
        <w:t xml:space="preserve"> </w:t>
      </w:r>
      <w:hyperlink r:id="rId52" w:history="1">
        <w:r w:rsidR="006B4B72" w:rsidRPr="00842A52">
          <w:rPr>
            <w:rStyle w:val="Hyperlink"/>
            <w:color w:val="067499"/>
            <w:szCs w:val="26"/>
            <w:shd w:val="clear" w:color="auto" w:fill="FFFFFF"/>
          </w:rPr>
          <w:t> https://doi.org/10.1257/rct.8944-1.0 </w:t>
        </w:r>
      </w:hyperlink>
    </w:p>
    <w:p w14:paraId="2C650E22"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3BDBF9F4" w14:textId="3D44815D"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FitzGerald, C. and Hurst, S. </w:t>
      </w:r>
      <w:r w:rsidR="006B4B72" w:rsidRPr="00842A52">
        <w:rPr>
          <w:rFonts w:eastAsia="SimSun" w:cs="Helvetica Neue"/>
          <w:color w:val="000000"/>
          <w:szCs w:val="26"/>
          <w:lang w:val="en-GB" w:eastAsia="en-IE"/>
        </w:rPr>
        <w:t>(</w:t>
      </w:r>
      <w:r w:rsidRPr="00842A52">
        <w:rPr>
          <w:rFonts w:eastAsia="SimSun" w:cs="Helvetica Neue"/>
          <w:color w:val="000000"/>
          <w:szCs w:val="26"/>
          <w:lang w:val="en-GB" w:eastAsia="en-IE"/>
        </w:rPr>
        <w:t>2017</w:t>
      </w:r>
      <w:r w:rsidR="006B4B72"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Implicit bias in healthcare professionals: a systematic review. </w:t>
      </w:r>
      <w:r w:rsidRPr="00842A52">
        <w:rPr>
          <w:rFonts w:eastAsia="SimSun" w:cs="Helvetica Neue"/>
          <w:b/>
          <w:bCs/>
          <w:color w:val="000000"/>
          <w:szCs w:val="26"/>
          <w:lang w:val="en-GB" w:eastAsia="en-IE"/>
        </w:rPr>
        <w:t xml:space="preserve">BMC </w:t>
      </w:r>
      <w:r w:rsidR="006B4B72" w:rsidRPr="00842A52">
        <w:rPr>
          <w:rFonts w:eastAsia="SimSun" w:cs="Helvetica Neue"/>
          <w:b/>
          <w:bCs/>
          <w:color w:val="000000"/>
          <w:szCs w:val="26"/>
          <w:lang w:val="en-GB" w:eastAsia="en-IE"/>
        </w:rPr>
        <w:t>M</w:t>
      </w:r>
      <w:r w:rsidRPr="00842A52">
        <w:rPr>
          <w:rFonts w:eastAsia="SimSun" w:cs="Helvetica Neue"/>
          <w:b/>
          <w:bCs/>
          <w:color w:val="000000"/>
          <w:szCs w:val="26"/>
          <w:lang w:val="en-GB" w:eastAsia="en-IE"/>
        </w:rPr>
        <w:t xml:space="preserve">edical </w:t>
      </w:r>
      <w:r w:rsidR="006B4B72" w:rsidRPr="00842A52">
        <w:rPr>
          <w:rFonts w:eastAsia="SimSun" w:cs="Helvetica Neue"/>
          <w:b/>
          <w:bCs/>
          <w:color w:val="000000"/>
          <w:szCs w:val="26"/>
          <w:lang w:val="en-GB" w:eastAsia="en-IE"/>
        </w:rPr>
        <w:t>E</w:t>
      </w:r>
      <w:r w:rsidRPr="00842A52">
        <w:rPr>
          <w:rFonts w:eastAsia="SimSun" w:cs="Helvetica Neue"/>
          <w:b/>
          <w:bCs/>
          <w:color w:val="000000"/>
          <w:szCs w:val="26"/>
          <w:lang w:val="en-GB" w:eastAsia="en-IE"/>
        </w:rPr>
        <w:t>thics</w:t>
      </w:r>
      <w:r w:rsidRPr="00842A52">
        <w:rPr>
          <w:rFonts w:eastAsia="SimSun" w:cs="Helvetica Neue"/>
          <w:color w:val="000000"/>
          <w:szCs w:val="26"/>
          <w:lang w:val="en-GB" w:eastAsia="en-IE"/>
        </w:rPr>
        <w:t>, 18(1), pp.1-18.</w:t>
      </w:r>
      <w:r w:rsidRPr="00842A52">
        <w:rPr>
          <w:szCs w:val="26"/>
        </w:rPr>
        <w:t xml:space="preserve"> </w:t>
      </w:r>
      <w:hyperlink r:id="rId53" w:history="1">
        <w:r w:rsidRPr="00842A52">
          <w:rPr>
            <w:rStyle w:val="Hyperlink"/>
            <w:rFonts w:eastAsia="SimSun" w:cs="Helvetica Neue"/>
            <w:szCs w:val="26"/>
            <w:lang w:val="en-GB" w:eastAsia="en-IE"/>
          </w:rPr>
          <w:t>https://doi.org/10.1186/s12910-017-0179-8</w:t>
        </w:r>
      </w:hyperlink>
      <w:r w:rsidRPr="00842A52">
        <w:rPr>
          <w:rFonts w:eastAsia="SimSun" w:cs="Helvetica Neue"/>
          <w:color w:val="000000"/>
          <w:szCs w:val="26"/>
          <w:lang w:val="en-GB" w:eastAsia="en-IE"/>
        </w:rPr>
        <w:t xml:space="preserve"> </w:t>
      </w:r>
    </w:p>
    <w:p w14:paraId="0110EA0C"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00EF9120" w14:textId="31927D0A"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Florence, Y. and Marc, C.</w:t>
      </w:r>
      <w:r w:rsidR="006B4B72"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2021</w:t>
      </w:r>
      <w:r w:rsidR="006B4B72"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Implicit and explicit attitudes of employers toward hiring people who have experienced depression. </w:t>
      </w:r>
      <w:r w:rsidRPr="00842A52">
        <w:rPr>
          <w:rFonts w:eastAsia="SimSun" w:cs="Helvetica Neue"/>
          <w:b/>
          <w:bCs/>
          <w:color w:val="000000"/>
          <w:szCs w:val="26"/>
          <w:lang w:val="en-GB" w:eastAsia="en-IE"/>
        </w:rPr>
        <w:t>Journal of Occupational Rehabilitation</w:t>
      </w:r>
      <w:r w:rsidRPr="00842A52">
        <w:rPr>
          <w:rFonts w:eastAsia="SimSun" w:cs="Helvetica Neue"/>
          <w:color w:val="000000"/>
          <w:szCs w:val="26"/>
          <w:lang w:val="en-GB" w:eastAsia="en-IE"/>
        </w:rPr>
        <w:t>, 31(4), pp.903-915.</w:t>
      </w:r>
      <w:r w:rsidRPr="00842A52">
        <w:rPr>
          <w:szCs w:val="26"/>
        </w:rPr>
        <w:t xml:space="preserve"> </w:t>
      </w:r>
      <w:hyperlink r:id="rId54" w:history="1">
        <w:r w:rsidRPr="00842A52">
          <w:rPr>
            <w:rStyle w:val="Hyperlink"/>
            <w:rFonts w:eastAsia="SimSun" w:cs="Helvetica Neue"/>
            <w:szCs w:val="26"/>
            <w:lang w:val="en-GB" w:eastAsia="en-IE"/>
          </w:rPr>
          <w:t>https://doi.org/10.1007/s10926-021-09977-4</w:t>
        </w:r>
      </w:hyperlink>
      <w:r w:rsidRPr="00842A52">
        <w:rPr>
          <w:rFonts w:eastAsia="SimSun" w:cs="Helvetica Neue"/>
          <w:color w:val="000000"/>
          <w:szCs w:val="26"/>
          <w:lang w:val="en-GB" w:eastAsia="en-IE"/>
        </w:rPr>
        <w:t xml:space="preserve"> </w:t>
      </w:r>
    </w:p>
    <w:p w14:paraId="019F2609"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5182E917" w14:textId="7EBFD7F5"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Forscher P</w:t>
      </w:r>
      <w:r w:rsidR="006B4B72" w:rsidRPr="00842A52">
        <w:rPr>
          <w:rFonts w:eastAsia="SimSun" w:cs="Helvetica Neue"/>
          <w:color w:val="000000"/>
          <w:szCs w:val="26"/>
          <w:lang w:val="en-GB" w:eastAsia="en-IE"/>
        </w:rPr>
        <w:t>.</w:t>
      </w:r>
      <w:r w:rsidRPr="00842A52">
        <w:rPr>
          <w:rFonts w:eastAsia="SimSun" w:cs="Helvetica Neue"/>
          <w:color w:val="000000"/>
          <w:szCs w:val="26"/>
          <w:lang w:val="en-GB" w:eastAsia="en-IE"/>
        </w:rPr>
        <w:t>S</w:t>
      </w:r>
      <w:r w:rsidR="006B4B72"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et al. (2019) A meta-analysis of procedures to change implicit measures. </w:t>
      </w:r>
      <w:r w:rsidRPr="00842A52">
        <w:rPr>
          <w:rFonts w:eastAsia="SimSun" w:cs="Helvetica Neue"/>
          <w:b/>
          <w:bCs/>
          <w:color w:val="000000"/>
          <w:szCs w:val="26"/>
          <w:lang w:val="en-GB" w:eastAsia="en-IE"/>
        </w:rPr>
        <w:t>Journal Personality and Social Psychology</w:t>
      </w:r>
      <w:r w:rsidR="006B4B72"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117(3)</w:t>
      </w:r>
      <w:r w:rsidR="006B4B72" w:rsidRPr="00842A52">
        <w:rPr>
          <w:rFonts w:eastAsia="SimSun" w:cs="Helvetica Neue"/>
          <w:color w:val="000000"/>
          <w:szCs w:val="26"/>
          <w:lang w:val="en-GB" w:eastAsia="en-IE"/>
        </w:rPr>
        <w:t>, pp.</w:t>
      </w:r>
      <w:r w:rsidRPr="00842A52">
        <w:rPr>
          <w:rFonts w:eastAsia="SimSun" w:cs="Helvetica Neue"/>
          <w:color w:val="000000"/>
          <w:szCs w:val="26"/>
          <w:lang w:val="en-GB" w:eastAsia="en-IE"/>
        </w:rPr>
        <w:t>522-559.</w:t>
      </w:r>
      <w:r w:rsidRPr="00842A52">
        <w:rPr>
          <w:szCs w:val="26"/>
        </w:rPr>
        <w:t xml:space="preserve"> </w:t>
      </w:r>
      <w:hyperlink r:id="rId55" w:history="1">
        <w:r w:rsidRPr="00842A52">
          <w:rPr>
            <w:rStyle w:val="Hyperlink"/>
            <w:rFonts w:eastAsia="SimSun" w:cs="Helvetica Neue"/>
            <w:szCs w:val="26"/>
            <w:lang w:val="en-GB" w:eastAsia="en-IE"/>
          </w:rPr>
          <w:t>https://doi.org/10.1037/pspa0000160</w:t>
        </w:r>
      </w:hyperlink>
      <w:r w:rsidRPr="00842A52">
        <w:rPr>
          <w:rFonts w:eastAsia="SimSun" w:cs="Helvetica Neue"/>
          <w:color w:val="000000"/>
          <w:szCs w:val="26"/>
          <w:lang w:val="en-GB" w:eastAsia="en-IE"/>
        </w:rPr>
        <w:t xml:space="preserve"> </w:t>
      </w:r>
    </w:p>
    <w:p w14:paraId="2635034D"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5ACC5E1D" w14:textId="124C4924" w:rsidR="00C23C76" w:rsidRPr="00842A52" w:rsidRDefault="00C23C76" w:rsidP="00C4550B">
      <w:pPr>
        <w:spacing w:after="0"/>
        <w:rPr>
          <w:szCs w:val="26"/>
          <w:lang w:eastAsia="en-GB"/>
        </w:rPr>
      </w:pPr>
      <w:r w:rsidRPr="00842A52">
        <w:rPr>
          <w:rFonts w:eastAsia="SimSun" w:cs="Helvetica Neue"/>
          <w:color w:val="000000"/>
          <w:szCs w:val="26"/>
          <w:lang w:val="en-GB" w:eastAsia="en-IE"/>
        </w:rPr>
        <w:t xml:space="preserve">Friedman C. </w:t>
      </w:r>
      <w:r w:rsidR="006B4B72" w:rsidRPr="00842A52">
        <w:rPr>
          <w:rFonts w:eastAsia="SimSun" w:cs="Helvetica Neue"/>
          <w:color w:val="000000"/>
          <w:szCs w:val="26"/>
          <w:lang w:val="en-GB" w:eastAsia="en-IE"/>
        </w:rPr>
        <w:t xml:space="preserve">(2019) </w:t>
      </w:r>
      <w:r w:rsidRPr="00842A52">
        <w:rPr>
          <w:rFonts w:eastAsia="SimSun" w:cs="Helvetica Neue"/>
          <w:color w:val="000000"/>
          <w:szCs w:val="26"/>
          <w:lang w:val="en-GB" w:eastAsia="en-IE"/>
        </w:rPr>
        <w:t xml:space="preserve">Family members of people with disabilities’ explicit and implicit disability attitudes. </w:t>
      </w:r>
      <w:r w:rsidRPr="00842A52">
        <w:rPr>
          <w:rFonts w:eastAsia="SimSun" w:cs="Helvetica Neue"/>
          <w:b/>
          <w:bCs/>
          <w:color w:val="000000"/>
          <w:szCs w:val="26"/>
          <w:lang w:val="en-GB" w:eastAsia="en-IE"/>
        </w:rPr>
        <w:t xml:space="preserve">Rehabilitation </w:t>
      </w:r>
      <w:r w:rsidR="006B4B72" w:rsidRPr="00842A52">
        <w:rPr>
          <w:rFonts w:eastAsia="SimSun" w:cs="Helvetica Neue"/>
          <w:b/>
          <w:bCs/>
          <w:color w:val="000000"/>
          <w:szCs w:val="26"/>
          <w:lang w:val="en-GB" w:eastAsia="en-IE"/>
        </w:rPr>
        <w:t>P</w:t>
      </w:r>
      <w:r w:rsidRPr="00842A52">
        <w:rPr>
          <w:rFonts w:eastAsia="SimSun" w:cs="Helvetica Neue"/>
          <w:b/>
          <w:bCs/>
          <w:color w:val="000000"/>
          <w:szCs w:val="26"/>
          <w:lang w:val="en-GB" w:eastAsia="en-IE"/>
        </w:rPr>
        <w:t>sychology</w:t>
      </w:r>
      <w:r w:rsidR="006B4B72"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64(2)</w:t>
      </w:r>
      <w:r w:rsidR="006B4B72" w:rsidRPr="00842A52">
        <w:rPr>
          <w:rFonts w:eastAsia="SimSun" w:cs="Helvetica Neue"/>
          <w:color w:val="000000"/>
          <w:szCs w:val="26"/>
          <w:lang w:val="en-GB" w:eastAsia="en-IE"/>
        </w:rPr>
        <w:t>, pp.</w:t>
      </w:r>
      <w:r w:rsidRPr="00842A52">
        <w:rPr>
          <w:rFonts w:eastAsia="SimSun" w:cs="Helvetica Neue"/>
          <w:color w:val="000000"/>
          <w:szCs w:val="26"/>
          <w:lang w:val="en-GB" w:eastAsia="en-IE"/>
        </w:rPr>
        <w:t>203</w:t>
      </w:r>
      <w:r w:rsidR="00C4550B" w:rsidRPr="00842A52">
        <w:rPr>
          <w:rFonts w:eastAsia="SimSun" w:cs="Helvetica Neue"/>
          <w:color w:val="000000"/>
          <w:szCs w:val="26"/>
          <w:lang w:val="en-GB" w:eastAsia="en-IE"/>
        </w:rPr>
        <w:t xml:space="preserve">-211 </w:t>
      </w:r>
      <w:hyperlink r:id="rId56" w:history="1">
        <w:r w:rsidR="00C4550B" w:rsidRPr="00842A52">
          <w:rPr>
            <w:rStyle w:val="Hyperlink"/>
            <w:color w:val="067499"/>
            <w:szCs w:val="26"/>
            <w:shd w:val="clear" w:color="auto" w:fill="FFFFFF"/>
          </w:rPr>
          <w:t> https://doi.org/10.1037/rep0000265 </w:t>
        </w:r>
      </w:hyperlink>
    </w:p>
    <w:p w14:paraId="6D4360C4"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26C9F06C" w14:textId="79A7BC1C" w:rsidR="00EC64CE" w:rsidRPr="00842A52" w:rsidRDefault="00C23C76" w:rsidP="00EC64CE">
      <w:pPr>
        <w:spacing w:after="0"/>
        <w:rPr>
          <w:szCs w:val="26"/>
          <w:lang w:eastAsia="en-GB"/>
        </w:rPr>
      </w:pPr>
      <w:r w:rsidRPr="00842A52">
        <w:rPr>
          <w:rFonts w:eastAsia="SimSun" w:cs="Helvetica Neue"/>
          <w:color w:val="000000"/>
          <w:szCs w:val="26"/>
          <w:lang w:val="en-GB" w:eastAsia="en-IE"/>
        </w:rPr>
        <w:t>Friedman, C. and VanPuymbrouck, L.</w:t>
      </w:r>
      <w:r w:rsidR="00EC64CE" w:rsidRPr="00842A52">
        <w:rPr>
          <w:rFonts w:eastAsia="SimSun" w:cs="Helvetica Neue"/>
          <w:color w:val="000000"/>
          <w:szCs w:val="26"/>
          <w:lang w:val="en-GB" w:eastAsia="en-IE"/>
        </w:rPr>
        <w:t xml:space="preserve"> (</w:t>
      </w:r>
      <w:r w:rsidR="00D2022B" w:rsidRPr="00D2022B">
        <w:rPr>
          <w:rFonts w:eastAsia="SimSun" w:cs="Helvetica Neue"/>
          <w:color w:val="000000"/>
          <w:szCs w:val="26"/>
          <w:lang w:val="en-GB" w:eastAsia="en-IE"/>
        </w:rPr>
        <w:t>2021</w:t>
      </w:r>
      <w:r w:rsidR="00EC64CE" w:rsidRPr="00D2022B">
        <w:rPr>
          <w:rFonts w:eastAsia="SimSun" w:cs="Helvetica Neue"/>
          <w:color w:val="000000"/>
          <w:szCs w:val="26"/>
          <w:lang w:val="en-GB" w:eastAsia="en-IE"/>
        </w:rPr>
        <w:t>)</w:t>
      </w:r>
      <w:r w:rsidRPr="00D2022B">
        <w:rPr>
          <w:rFonts w:eastAsia="SimSun" w:cs="Helvetica Neue"/>
          <w:color w:val="000000"/>
          <w:szCs w:val="26"/>
          <w:lang w:val="en-GB" w:eastAsia="en-IE"/>
        </w:rPr>
        <w:t>.</w:t>
      </w:r>
      <w:r w:rsidRPr="00842A52">
        <w:rPr>
          <w:rFonts w:eastAsia="SimSun" w:cs="Helvetica Neue"/>
          <w:color w:val="000000"/>
          <w:szCs w:val="26"/>
          <w:lang w:val="en-GB" w:eastAsia="en-IE"/>
        </w:rPr>
        <w:t xml:space="preserve"> Impact of occupational therapy education on students’ disability attitudes: </w:t>
      </w:r>
      <w:r w:rsidR="00EC64CE" w:rsidRPr="00842A52">
        <w:rPr>
          <w:rFonts w:eastAsia="SimSun" w:cs="Helvetica Neue"/>
          <w:color w:val="000000"/>
          <w:szCs w:val="26"/>
          <w:lang w:val="en-GB" w:eastAsia="en-IE"/>
        </w:rPr>
        <w:t xml:space="preserve">a </w:t>
      </w:r>
      <w:r w:rsidRPr="00842A52">
        <w:rPr>
          <w:rFonts w:eastAsia="SimSun" w:cs="Helvetica Neue"/>
          <w:color w:val="000000"/>
          <w:szCs w:val="26"/>
          <w:lang w:val="en-GB" w:eastAsia="en-IE"/>
        </w:rPr>
        <w:t xml:space="preserve">longitudinal study. </w:t>
      </w:r>
      <w:r w:rsidRPr="00842A52">
        <w:rPr>
          <w:rFonts w:eastAsia="SimSun" w:cs="Helvetica Neue"/>
          <w:b/>
          <w:bCs/>
          <w:color w:val="000000"/>
          <w:szCs w:val="26"/>
          <w:lang w:val="en-GB" w:eastAsia="en-IE"/>
        </w:rPr>
        <w:t>The American Journal of Occupational Therapy</w:t>
      </w:r>
      <w:r w:rsidRPr="00842A52">
        <w:rPr>
          <w:rFonts w:eastAsia="SimSun" w:cs="Helvetica Neue"/>
          <w:color w:val="000000"/>
          <w:szCs w:val="26"/>
          <w:lang w:val="en-GB" w:eastAsia="en-IE"/>
        </w:rPr>
        <w:t>, 75(4).</w:t>
      </w:r>
      <w:r w:rsidR="00EC64CE" w:rsidRPr="00842A52">
        <w:rPr>
          <w:szCs w:val="26"/>
        </w:rPr>
        <w:t xml:space="preserve"> </w:t>
      </w:r>
      <w:hyperlink r:id="rId57" w:history="1">
        <w:r w:rsidR="00EC64CE" w:rsidRPr="00842A52">
          <w:rPr>
            <w:rStyle w:val="Hyperlink"/>
            <w:color w:val="067499"/>
            <w:szCs w:val="26"/>
            <w:shd w:val="clear" w:color="auto" w:fill="FFFFFF"/>
          </w:rPr>
          <w:t> https://doi.org/10.5014/ajot.2021.047423 </w:t>
        </w:r>
      </w:hyperlink>
    </w:p>
    <w:p w14:paraId="66622427" w14:textId="2C192884"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3EE24AA5" w14:textId="081D45FC"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Gidman</w:t>
      </w:r>
      <w:r w:rsidR="00EC64CE"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W.</w:t>
      </w:r>
      <w:r w:rsidR="00EC64CE"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2009</w:t>
      </w:r>
      <w:r w:rsidR="00EC64CE"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Delivering health care through</w:t>
      </w:r>
      <w:r w:rsidR="00EC64CE"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community pharmacies: Are working conditions deterring female</w:t>
      </w:r>
      <w:r w:rsidR="00EC64CE"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 xml:space="preserve">pharmacists’ participation? </w:t>
      </w:r>
      <w:r w:rsidRPr="00842A52">
        <w:rPr>
          <w:rFonts w:eastAsia="SimSun" w:cs="Helvetica Neue"/>
          <w:b/>
          <w:bCs/>
          <w:color w:val="000000"/>
          <w:szCs w:val="26"/>
          <w:lang w:val="en-GB" w:eastAsia="en-IE"/>
        </w:rPr>
        <w:t>Journal of Health Services Research and Policy,</w:t>
      </w:r>
      <w:r w:rsidRPr="00842A52">
        <w:rPr>
          <w:rFonts w:eastAsia="SimSun" w:cs="Helvetica Neue"/>
          <w:color w:val="000000"/>
          <w:szCs w:val="26"/>
          <w:lang w:val="en-GB" w:eastAsia="en-IE"/>
        </w:rPr>
        <w:t xml:space="preserve"> 14(3)</w:t>
      </w:r>
      <w:r w:rsidR="00EC64CE" w:rsidRPr="00842A52">
        <w:rPr>
          <w:rFonts w:eastAsia="SimSun" w:cs="Helvetica Neue"/>
          <w:color w:val="000000"/>
          <w:szCs w:val="26"/>
          <w:lang w:val="en-GB" w:eastAsia="en-IE"/>
        </w:rPr>
        <w:t>, pp.</w:t>
      </w:r>
      <w:r w:rsidRPr="00842A52">
        <w:rPr>
          <w:rFonts w:eastAsia="SimSun" w:cs="Helvetica Neue"/>
          <w:color w:val="000000"/>
          <w:szCs w:val="26"/>
          <w:lang w:val="en-GB" w:eastAsia="en-IE"/>
        </w:rPr>
        <w:t>141–</w:t>
      </w:r>
      <w:r w:rsidR="00EC64CE" w:rsidRPr="00842A52">
        <w:rPr>
          <w:rFonts w:eastAsia="SimSun" w:cs="Helvetica Neue"/>
          <w:color w:val="000000"/>
          <w:szCs w:val="26"/>
          <w:lang w:val="en-GB" w:eastAsia="en-IE"/>
        </w:rPr>
        <w:t>14</w:t>
      </w:r>
      <w:r w:rsidRPr="00842A52">
        <w:rPr>
          <w:rFonts w:eastAsia="SimSun" w:cs="Helvetica Neue"/>
          <w:color w:val="000000"/>
          <w:szCs w:val="26"/>
          <w:lang w:val="en-GB" w:eastAsia="en-IE"/>
        </w:rPr>
        <w:t xml:space="preserve">9. </w:t>
      </w:r>
      <w:hyperlink r:id="rId58" w:history="1">
        <w:r w:rsidRPr="00842A52">
          <w:rPr>
            <w:rStyle w:val="Hyperlink"/>
            <w:rFonts w:eastAsia="SimSun" w:cs="Helvetica Neue"/>
            <w:szCs w:val="26"/>
            <w:lang w:val="en-GB" w:eastAsia="en-IE"/>
          </w:rPr>
          <w:t>https://doi.org/10.1258/jhsrp.2009.008077</w:t>
        </w:r>
      </w:hyperlink>
      <w:r w:rsidRPr="00842A52">
        <w:rPr>
          <w:rFonts w:eastAsia="SimSun" w:cs="Helvetica Neue"/>
          <w:color w:val="000000"/>
          <w:szCs w:val="26"/>
          <w:lang w:val="en-GB" w:eastAsia="en-IE"/>
        </w:rPr>
        <w:t xml:space="preserve">. </w:t>
      </w:r>
    </w:p>
    <w:p w14:paraId="0A566680"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2FA6E5B6" w14:textId="110ED85D" w:rsidR="00C23C76" w:rsidRPr="00842A52" w:rsidRDefault="00C23C76" w:rsidP="001266F5">
      <w:pPr>
        <w:spacing w:after="0"/>
        <w:rPr>
          <w:szCs w:val="26"/>
          <w:lang w:eastAsia="en-GB"/>
        </w:rPr>
      </w:pPr>
      <w:r w:rsidRPr="00842A52">
        <w:rPr>
          <w:rFonts w:eastAsia="SimSun" w:cs="Helvetica Neue"/>
          <w:color w:val="000000"/>
          <w:szCs w:val="26"/>
          <w:lang w:val="en-GB" w:eastAsia="en-IE"/>
        </w:rPr>
        <w:t>Girod, R., Thompson, P. and Davis, C.</w:t>
      </w:r>
      <w:r w:rsidR="00942E5B"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2022</w:t>
      </w:r>
      <w:r w:rsidR="00942E5B"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Genetic counseling students' and recent graduates' attitudes toward psychiatric illness. </w:t>
      </w:r>
      <w:r w:rsidRPr="00842A52">
        <w:rPr>
          <w:rFonts w:eastAsia="SimSun" w:cs="Helvetica Neue"/>
          <w:b/>
          <w:bCs/>
          <w:color w:val="000000"/>
          <w:szCs w:val="26"/>
          <w:lang w:val="en-GB" w:eastAsia="en-IE"/>
        </w:rPr>
        <w:t>Journal of Genetic Counseling</w:t>
      </w:r>
      <w:r w:rsidRPr="00842A52">
        <w:rPr>
          <w:rFonts w:eastAsia="SimSun" w:cs="Helvetica Neue"/>
          <w:color w:val="000000"/>
          <w:szCs w:val="26"/>
          <w:lang w:val="en-GB" w:eastAsia="en-IE"/>
        </w:rPr>
        <w:t>, 31(3), pp.713-721.</w:t>
      </w:r>
      <w:r w:rsidR="001266F5" w:rsidRPr="00842A52">
        <w:rPr>
          <w:szCs w:val="26"/>
        </w:rPr>
        <w:t xml:space="preserve"> </w:t>
      </w:r>
      <w:hyperlink r:id="rId59" w:history="1">
        <w:r w:rsidR="001266F5" w:rsidRPr="00842A52">
          <w:rPr>
            <w:rStyle w:val="Hyperlink"/>
            <w:color w:val="067499"/>
            <w:szCs w:val="26"/>
            <w:shd w:val="clear" w:color="auto" w:fill="FFFFFF"/>
          </w:rPr>
          <w:t> https://doi.org/10.1002/jgc4.1538 </w:t>
        </w:r>
      </w:hyperlink>
    </w:p>
    <w:p w14:paraId="30C74D36"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68E9DF24" w14:textId="6BBE86A8" w:rsidR="00C23C76" w:rsidRPr="00842A52" w:rsidRDefault="00C23C76" w:rsidP="001266F5">
      <w:pPr>
        <w:spacing w:after="0"/>
        <w:rPr>
          <w:szCs w:val="26"/>
          <w:lang w:eastAsia="en-GB"/>
        </w:rPr>
      </w:pPr>
      <w:r w:rsidRPr="00842A52">
        <w:rPr>
          <w:rFonts w:eastAsia="SimSun" w:cs="Helvetica Neue"/>
          <w:color w:val="000000"/>
          <w:szCs w:val="26"/>
          <w:lang w:val="en-GB" w:eastAsia="en-IE"/>
        </w:rPr>
        <w:t>Gnambs, T. and Kaspar, K.</w:t>
      </w:r>
      <w:r w:rsidR="001266F5"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2015</w:t>
      </w:r>
      <w:r w:rsidR="001266F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Disclosure of sensitive behaviors across self-administered survey modes: a meta-analysis. </w:t>
      </w:r>
      <w:r w:rsidRPr="00842A52">
        <w:rPr>
          <w:rFonts w:eastAsia="SimSun" w:cs="Helvetica Neue"/>
          <w:b/>
          <w:bCs/>
          <w:color w:val="000000"/>
          <w:szCs w:val="26"/>
          <w:lang w:val="en-GB" w:eastAsia="en-IE"/>
        </w:rPr>
        <w:t xml:space="preserve">Behavior </w:t>
      </w:r>
      <w:r w:rsidR="001266F5" w:rsidRPr="00842A52">
        <w:rPr>
          <w:rFonts w:eastAsia="SimSun" w:cs="Helvetica Neue"/>
          <w:b/>
          <w:bCs/>
          <w:color w:val="000000"/>
          <w:szCs w:val="26"/>
          <w:lang w:val="en-GB" w:eastAsia="en-IE"/>
        </w:rPr>
        <w:t>Research Methods</w:t>
      </w:r>
      <w:r w:rsidRPr="00842A52">
        <w:rPr>
          <w:rFonts w:eastAsia="SimSun" w:cs="Helvetica Neue"/>
          <w:color w:val="000000"/>
          <w:szCs w:val="26"/>
          <w:lang w:val="en-GB" w:eastAsia="en-IE"/>
        </w:rPr>
        <w:t>, 47(4), pp.1237-1259.</w:t>
      </w:r>
      <w:r w:rsidR="001266F5" w:rsidRPr="00842A52">
        <w:rPr>
          <w:szCs w:val="26"/>
        </w:rPr>
        <w:t xml:space="preserve"> </w:t>
      </w:r>
      <w:hyperlink r:id="rId60" w:history="1">
        <w:r w:rsidR="001266F5" w:rsidRPr="00842A52">
          <w:rPr>
            <w:rStyle w:val="Hyperlink"/>
            <w:color w:val="067499"/>
            <w:szCs w:val="26"/>
            <w:shd w:val="clear" w:color="auto" w:fill="FFFFFF"/>
          </w:rPr>
          <w:t> https://doi.org/10.3758/s13428-014-0533-4 </w:t>
        </w:r>
      </w:hyperlink>
    </w:p>
    <w:p w14:paraId="6F224FB4"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12588E40" w14:textId="3127EB52" w:rsidR="00C23C76" w:rsidRPr="00842A52" w:rsidRDefault="00C23C76" w:rsidP="001266F5">
      <w:pPr>
        <w:spacing w:after="0"/>
        <w:rPr>
          <w:szCs w:val="26"/>
          <w:lang w:eastAsia="en-GB"/>
        </w:rPr>
      </w:pPr>
      <w:r w:rsidRPr="00842A52">
        <w:rPr>
          <w:rFonts w:eastAsia="SimSun" w:cs="Helvetica Neue"/>
          <w:color w:val="000000"/>
          <w:szCs w:val="26"/>
          <w:lang w:val="en-GB" w:eastAsia="en-IE"/>
        </w:rPr>
        <w:t>Golijani-Moghaddam, N., Hart, A. and Dawson, D.L.</w:t>
      </w:r>
      <w:r w:rsidR="001266F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w:t>
      </w:r>
      <w:r w:rsidR="001266F5" w:rsidRPr="00842A52">
        <w:rPr>
          <w:rFonts w:eastAsia="SimSun" w:cs="Helvetica Neue"/>
          <w:color w:val="000000"/>
          <w:szCs w:val="26"/>
          <w:lang w:val="en-GB" w:eastAsia="en-IE"/>
        </w:rPr>
        <w:t>(</w:t>
      </w:r>
      <w:r w:rsidRPr="00842A52">
        <w:rPr>
          <w:rFonts w:eastAsia="SimSun" w:cs="Helvetica Neue"/>
          <w:color w:val="000000"/>
          <w:szCs w:val="26"/>
          <w:lang w:val="en-GB" w:eastAsia="en-IE"/>
        </w:rPr>
        <w:t>2013</w:t>
      </w:r>
      <w:r w:rsidR="001266F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The implicit relational assessment procedure: Emerging reliability and validity data. </w:t>
      </w:r>
      <w:r w:rsidRPr="00842A52">
        <w:rPr>
          <w:rFonts w:eastAsia="SimSun" w:cs="Helvetica Neue"/>
          <w:b/>
          <w:bCs/>
          <w:color w:val="000000"/>
          <w:szCs w:val="26"/>
          <w:lang w:val="en-GB" w:eastAsia="en-IE"/>
        </w:rPr>
        <w:t>Journal of Contextual Behavioral Science</w:t>
      </w:r>
      <w:r w:rsidRPr="00842A52">
        <w:rPr>
          <w:rFonts w:eastAsia="SimSun" w:cs="Helvetica Neue"/>
          <w:color w:val="000000"/>
          <w:szCs w:val="26"/>
          <w:lang w:val="en-GB" w:eastAsia="en-IE"/>
        </w:rPr>
        <w:t>, 2(3-4), pp.105-119.</w:t>
      </w:r>
      <w:r w:rsidR="001266F5" w:rsidRPr="00842A52">
        <w:rPr>
          <w:szCs w:val="26"/>
        </w:rPr>
        <w:t xml:space="preserve"> </w:t>
      </w:r>
      <w:hyperlink r:id="rId61" w:history="1">
        <w:r w:rsidR="001266F5" w:rsidRPr="00842A52">
          <w:rPr>
            <w:rStyle w:val="Hyperlink"/>
            <w:color w:val="067499"/>
            <w:szCs w:val="26"/>
            <w:shd w:val="clear" w:color="auto" w:fill="FFFFFF"/>
          </w:rPr>
          <w:t> https://doi.org/10.1016/j.jcbs.2013.05.002 </w:t>
        </w:r>
      </w:hyperlink>
    </w:p>
    <w:p w14:paraId="6A55E96A"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7CE8823D" w14:textId="5E65916A" w:rsidR="00C23C76" w:rsidRPr="00842A52" w:rsidRDefault="00C23C76" w:rsidP="00E21BA0">
      <w:pPr>
        <w:spacing w:after="0"/>
        <w:rPr>
          <w:szCs w:val="26"/>
          <w:lang w:eastAsia="en-GB"/>
        </w:rPr>
      </w:pPr>
      <w:r w:rsidRPr="00842A52">
        <w:rPr>
          <w:rFonts w:eastAsia="SimSun" w:cs="Helvetica Neue"/>
          <w:color w:val="000000"/>
          <w:szCs w:val="26"/>
          <w:lang w:val="en-GB" w:eastAsia="en-IE"/>
        </w:rPr>
        <w:t>Gonzalez-Ocantos, E.</w:t>
      </w:r>
      <w:r w:rsidR="00E21BA0"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et al</w:t>
      </w:r>
      <w:r w:rsidR="00E21BA0" w:rsidRPr="00842A52">
        <w:rPr>
          <w:rFonts w:eastAsia="SimSun" w:cs="Helvetica Neue"/>
          <w:color w:val="000000"/>
          <w:szCs w:val="26"/>
          <w:lang w:val="en-GB" w:eastAsia="en-IE"/>
        </w:rPr>
        <w:t>. (</w:t>
      </w:r>
      <w:r w:rsidRPr="00842A52">
        <w:rPr>
          <w:rFonts w:eastAsia="SimSun" w:cs="Helvetica Neue"/>
          <w:color w:val="000000"/>
          <w:szCs w:val="26"/>
          <w:lang w:val="en-GB" w:eastAsia="en-IE"/>
        </w:rPr>
        <w:t xml:space="preserve">2012) Vote buying and social desirability bias: experimental evidence from Nicaragua, </w:t>
      </w:r>
      <w:r w:rsidRPr="00842A52">
        <w:rPr>
          <w:rFonts w:eastAsia="SimSun" w:cs="Helvetica Neue"/>
          <w:b/>
          <w:bCs/>
          <w:color w:val="000000"/>
          <w:szCs w:val="26"/>
          <w:lang w:val="en-GB" w:eastAsia="en-IE"/>
        </w:rPr>
        <w:t>American Journal Political Science</w:t>
      </w:r>
      <w:r w:rsidRPr="00842A52">
        <w:rPr>
          <w:rFonts w:eastAsia="SimSun" w:cs="Helvetica Neue"/>
          <w:color w:val="000000"/>
          <w:szCs w:val="26"/>
          <w:lang w:val="en-GB" w:eastAsia="en-IE"/>
        </w:rPr>
        <w:t>. 56 (1), 202-217.</w:t>
      </w:r>
      <w:r w:rsidR="00E21BA0" w:rsidRPr="00842A52">
        <w:rPr>
          <w:szCs w:val="26"/>
        </w:rPr>
        <w:t xml:space="preserve"> </w:t>
      </w:r>
      <w:hyperlink r:id="rId62" w:history="1">
        <w:r w:rsidR="00E21BA0" w:rsidRPr="00842A52">
          <w:rPr>
            <w:rStyle w:val="Hyperlink"/>
            <w:color w:val="067499"/>
            <w:szCs w:val="26"/>
            <w:shd w:val="clear" w:color="auto" w:fill="FFFFFF"/>
          </w:rPr>
          <w:t> https://doi.org/10.1111/j.1540-5907.2011.00540.x </w:t>
        </w:r>
      </w:hyperlink>
    </w:p>
    <w:p w14:paraId="7ED94C3A"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714E46D3" w14:textId="4DA6A23B" w:rsidR="00C23C76" w:rsidRPr="00842A52" w:rsidRDefault="00C23C76" w:rsidP="00E21BA0">
      <w:pPr>
        <w:spacing w:after="0"/>
        <w:rPr>
          <w:rStyle w:val="Hyperlink"/>
          <w:color w:val="067499"/>
          <w:szCs w:val="26"/>
          <w:shd w:val="clear" w:color="auto" w:fill="FFFFFF"/>
        </w:rPr>
      </w:pPr>
      <w:r w:rsidRPr="00842A52">
        <w:rPr>
          <w:rFonts w:eastAsia="SimSun" w:cs="Helvetica Neue"/>
          <w:color w:val="000000"/>
          <w:szCs w:val="26"/>
          <w:lang w:val="en-GB" w:eastAsia="en-IE"/>
        </w:rPr>
        <w:t>González-Sanguino, C.</w:t>
      </w:r>
      <w:r w:rsidR="00E21BA0"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2019</w:t>
      </w:r>
      <w:r w:rsidR="00E21BA0"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Study of the relationship between implicit and explicit stigmas associated with mental illness. </w:t>
      </w:r>
      <w:r w:rsidRPr="00842A52">
        <w:rPr>
          <w:rFonts w:eastAsia="SimSun" w:cs="Helvetica Neue"/>
          <w:b/>
          <w:bCs/>
          <w:color w:val="000000"/>
          <w:szCs w:val="26"/>
          <w:lang w:val="en-GB" w:eastAsia="en-IE"/>
        </w:rPr>
        <w:t xml:space="preserve">Psychiatry </w:t>
      </w:r>
      <w:r w:rsidR="00E21BA0" w:rsidRPr="00842A52">
        <w:rPr>
          <w:rFonts w:eastAsia="SimSun" w:cs="Helvetica Neue"/>
          <w:b/>
          <w:bCs/>
          <w:color w:val="000000"/>
          <w:szCs w:val="26"/>
          <w:lang w:val="en-GB" w:eastAsia="en-IE"/>
        </w:rPr>
        <w:t>R</w:t>
      </w:r>
      <w:r w:rsidRPr="00842A52">
        <w:rPr>
          <w:rFonts w:eastAsia="SimSun" w:cs="Helvetica Neue"/>
          <w:b/>
          <w:bCs/>
          <w:color w:val="000000"/>
          <w:szCs w:val="26"/>
          <w:lang w:val="en-GB" w:eastAsia="en-IE"/>
        </w:rPr>
        <w:t>esearch</w:t>
      </w:r>
      <w:r w:rsidRPr="00842A52">
        <w:rPr>
          <w:rFonts w:eastAsia="SimSun" w:cs="Helvetica Neue"/>
          <w:color w:val="000000"/>
          <w:szCs w:val="26"/>
          <w:lang w:val="en-GB" w:eastAsia="en-IE"/>
        </w:rPr>
        <w:t>, 272, pp.663-668.</w:t>
      </w:r>
      <w:r w:rsidR="00E21BA0" w:rsidRPr="00842A52">
        <w:rPr>
          <w:szCs w:val="26"/>
        </w:rPr>
        <w:t xml:space="preserve"> </w:t>
      </w:r>
      <w:hyperlink r:id="rId63" w:history="1">
        <w:r w:rsidR="00E21BA0" w:rsidRPr="00842A52">
          <w:rPr>
            <w:rStyle w:val="Hyperlink"/>
            <w:color w:val="067499"/>
            <w:szCs w:val="26"/>
            <w:shd w:val="clear" w:color="auto" w:fill="FFFFFF"/>
          </w:rPr>
          <w:t> https://doi.org/10.1016/j.psychres.2018.12.172 </w:t>
        </w:r>
      </w:hyperlink>
    </w:p>
    <w:p w14:paraId="0CAA9B16" w14:textId="080C52D1" w:rsidR="00A147F3" w:rsidRPr="00842A52" w:rsidRDefault="00A147F3" w:rsidP="00E21BA0">
      <w:pPr>
        <w:spacing w:after="0"/>
        <w:rPr>
          <w:rStyle w:val="Hyperlink"/>
          <w:color w:val="067499"/>
          <w:szCs w:val="26"/>
          <w:shd w:val="clear" w:color="auto" w:fill="FFFFFF"/>
        </w:rPr>
      </w:pPr>
    </w:p>
    <w:p w14:paraId="5BD1DBC3" w14:textId="1CE8BEC1" w:rsidR="00A147F3" w:rsidRPr="00842A52" w:rsidRDefault="00A147F3" w:rsidP="00E21BA0">
      <w:pPr>
        <w:spacing w:after="0"/>
        <w:rPr>
          <w:rStyle w:val="Hyperlink"/>
          <w:color w:val="067499"/>
          <w:szCs w:val="26"/>
          <w:shd w:val="clear" w:color="auto" w:fill="FFFFFF"/>
        </w:rPr>
      </w:pPr>
      <w:r w:rsidRPr="00842A52">
        <w:rPr>
          <w:rFonts w:eastAsia="SimSun" w:cs="Helvetica Neue"/>
          <w:color w:val="000000"/>
          <w:szCs w:val="26"/>
          <w:lang w:val="en-GB" w:eastAsia="en-IE"/>
        </w:rPr>
        <w:t xml:space="preserve">Gould, R. et al. (2020) Disability, diversity, and corporate social responsibility: learning from recognized leaders in inclusion. </w:t>
      </w:r>
      <w:r w:rsidRPr="00842A52">
        <w:rPr>
          <w:rFonts w:eastAsia="SimSun" w:cs="Helvetica Neue"/>
          <w:b/>
          <w:bCs/>
          <w:color w:val="000000"/>
          <w:szCs w:val="26"/>
          <w:lang w:val="en-GB" w:eastAsia="en-IE"/>
        </w:rPr>
        <w:t>Journal of Vocational Rehabilitation</w:t>
      </w:r>
      <w:r w:rsidRPr="00842A52">
        <w:rPr>
          <w:rFonts w:eastAsia="SimSun" w:cs="Helvetica Neue"/>
          <w:color w:val="000000"/>
          <w:szCs w:val="26"/>
          <w:lang w:val="en-GB" w:eastAsia="en-IE"/>
        </w:rPr>
        <w:t xml:space="preserve">, 52(1), pp.29-42. </w:t>
      </w:r>
      <w:hyperlink r:id="rId64" w:history="1">
        <w:r w:rsidRPr="00842A52">
          <w:rPr>
            <w:rStyle w:val="Hyperlink"/>
            <w:rFonts w:eastAsia="SimSun" w:cs="Helvetica Neue"/>
            <w:szCs w:val="26"/>
            <w:lang w:val="en-GB" w:eastAsia="en-IE"/>
          </w:rPr>
          <w:t>https://doi.org/10.3233/jvr-191058</w:t>
        </w:r>
      </w:hyperlink>
    </w:p>
    <w:p w14:paraId="502E51B9" w14:textId="1C020525" w:rsidR="00A147F3" w:rsidRPr="00842A52" w:rsidRDefault="00A147F3" w:rsidP="00E21BA0">
      <w:pPr>
        <w:spacing w:after="0"/>
        <w:rPr>
          <w:rStyle w:val="Hyperlink"/>
          <w:color w:val="067499"/>
          <w:szCs w:val="26"/>
          <w:shd w:val="clear" w:color="auto" w:fill="FFFFFF"/>
        </w:rPr>
      </w:pPr>
    </w:p>
    <w:p w14:paraId="5D1792DC" w14:textId="77777777" w:rsidR="00A147F3" w:rsidRPr="00842A52" w:rsidRDefault="00A147F3" w:rsidP="00A147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lastRenderedPageBreak/>
        <w:t xml:space="preserve">Green, A.R, et al. (2007) Implicit bias among physicians and its prediction of thrombolysis decisions for black and white patients. </w:t>
      </w:r>
      <w:r w:rsidRPr="00842A52">
        <w:rPr>
          <w:rFonts w:eastAsia="SimSun" w:cs="Helvetica Neue"/>
          <w:b/>
          <w:bCs/>
          <w:color w:val="000000"/>
          <w:szCs w:val="26"/>
          <w:lang w:val="en-GB" w:eastAsia="en-IE"/>
        </w:rPr>
        <w:t>Journal of General Internal Medicine.</w:t>
      </w:r>
      <w:r w:rsidRPr="00842A52">
        <w:rPr>
          <w:rFonts w:eastAsia="SimSun" w:cs="Helvetica Neue"/>
          <w:color w:val="000000"/>
          <w:szCs w:val="26"/>
          <w:lang w:val="en-GB" w:eastAsia="en-IE"/>
        </w:rPr>
        <w:t xml:space="preserve"> 22, pp.1231–8.</w:t>
      </w:r>
      <w:r w:rsidRPr="00842A52">
        <w:rPr>
          <w:szCs w:val="26"/>
        </w:rPr>
        <w:t xml:space="preserve"> </w:t>
      </w:r>
      <w:hyperlink r:id="rId65" w:history="1">
        <w:r w:rsidRPr="00842A52">
          <w:rPr>
            <w:rStyle w:val="Hyperlink"/>
            <w:rFonts w:eastAsia="SimSun" w:cs="Helvetica Neue"/>
            <w:szCs w:val="26"/>
            <w:lang w:val="en-GB" w:eastAsia="en-IE"/>
          </w:rPr>
          <w:t>https://doi.org/10.1007/s11606-007-0258-5</w:t>
        </w:r>
      </w:hyperlink>
      <w:r w:rsidRPr="00842A52">
        <w:rPr>
          <w:rFonts w:eastAsia="SimSun" w:cs="Helvetica Neue"/>
          <w:color w:val="000000"/>
          <w:szCs w:val="26"/>
          <w:lang w:val="en-GB" w:eastAsia="en-IE"/>
        </w:rPr>
        <w:t xml:space="preserve"> </w:t>
      </w:r>
    </w:p>
    <w:p w14:paraId="6C69E99F" w14:textId="77777777" w:rsidR="00A147F3" w:rsidRPr="00842A52" w:rsidRDefault="00A147F3" w:rsidP="00A147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148C153D" w14:textId="4FD0B3CA" w:rsidR="00A147F3" w:rsidRPr="00842A52" w:rsidRDefault="00A147F3" w:rsidP="00A147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Greenwald, A.G., Banaji, M.R., and Nosek, B.A. (2015) Statistically small effects of the Implicit Association Test can have societally large effects. </w:t>
      </w:r>
      <w:r w:rsidRPr="00842A52">
        <w:rPr>
          <w:rFonts w:eastAsia="SimSun" w:cs="Helvetica Neue"/>
          <w:b/>
          <w:bCs/>
          <w:color w:val="000000"/>
          <w:szCs w:val="26"/>
          <w:lang w:val="en-GB" w:eastAsia="en-IE"/>
        </w:rPr>
        <w:t>Journal of Personality and Social Psychology</w:t>
      </w:r>
      <w:r w:rsidRPr="00842A52">
        <w:rPr>
          <w:rFonts w:eastAsia="SimSun" w:cs="Helvetica Neue"/>
          <w:color w:val="000000"/>
          <w:szCs w:val="26"/>
          <w:lang w:val="en-GB" w:eastAsia="en-IE"/>
        </w:rPr>
        <w:t xml:space="preserve">, 108(4), 553–561. </w:t>
      </w:r>
      <w:hyperlink r:id="rId66" w:history="1">
        <w:r w:rsidRPr="00842A52">
          <w:rPr>
            <w:rStyle w:val="Hyperlink"/>
            <w:rFonts w:eastAsia="SimSun" w:cs="Helvetica Neue"/>
            <w:szCs w:val="26"/>
            <w:lang w:val="en-GB" w:eastAsia="en-IE"/>
          </w:rPr>
          <w:t>https://doi.org/10.1037/pspa0000016</w:t>
        </w:r>
      </w:hyperlink>
      <w:r w:rsidRPr="00842A52">
        <w:rPr>
          <w:rFonts w:eastAsia="SimSun" w:cs="Helvetica Neue"/>
          <w:color w:val="000000"/>
          <w:szCs w:val="26"/>
          <w:lang w:val="en-GB" w:eastAsia="en-IE"/>
        </w:rPr>
        <w:t xml:space="preserve"> </w:t>
      </w:r>
    </w:p>
    <w:p w14:paraId="6300134C"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14C5E9E0" w14:textId="77777777" w:rsidR="00FA3602" w:rsidRPr="00842A52" w:rsidRDefault="00FA3602" w:rsidP="00FA36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Grimshaw, P., McGowan, L. and McNichol E. 2017. An extra care community’s perceived priorities for ‘whole system’ relationships: a Q-methodological</w:t>
      </w:r>
    </w:p>
    <w:p w14:paraId="07A9E50F" w14:textId="77777777" w:rsidR="00FA3602" w:rsidRPr="00842A52" w:rsidRDefault="00FA3602" w:rsidP="00FA36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study. </w:t>
      </w:r>
      <w:r w:rsidRPr="00842A52">
        <w:rPr>
          <w:rFonts w:eastAsia="SimSun" w:cs="Helvetica Neue"/>
          <w:b/>
          <w:bCs/>
          <w:color w:val="000000"/>
          <w:szCs w:val="26"/>
          <w:lang w:val="en-GB" w:eastAsia="en-IE"/>
        </w:rPr>
        <w:t>Health and Social Care in the Community</w:t>
      </w:r>
      <w:r w:rsidRPr="00842A52">
        <w:rPr>
          <w:rFonts w:eastAsia="SimSun" w:cs="Helvetica Neue"/>
          <w:color w:val="000000"/>
          <w:szCs w:val="26"/>
          <w:lang w:val="en-GB" w:eastAsia="en-IE"/>
        </w:rPr>
        <w:t xml:space="preserve">, 25(3), pp.1169–80. </w:t>
      </w:r>
      <w:hyperlink r:id="rId67" w:history="1">
        <w:r w:rsidRPr="00842A52">
          <w:rPr>
            <w:rStyle w:val="Hyperlink"/>
            <w:rFonts w:eastAsia="SimSun" w:cs="Helvetica Neue"/>
            <w:szCs w:val="26"/>
            <w:lang w:val="en-GB" w:eastAsia="en-IE"/>
          </w:rPr>
          <w:t>https://doi.org/10.1111/hsc.12417</w:t>
        </w:r>
      </w:hyperlink>
      <w:r w:rsidRPr="00842A52">
        <w:rPr>
          <w:rFonts w:eastAsia="SimSun" w:cs="Helvetica Neue"/>
          <w:color w:val="000000"/>
          <w:szCs w:val="26"/>
          <w:lang w:val="en-GB" w:eastAsia="en-IE"/>
        </w:rPr>
        <w:t xml:space="preserve"> </w:t>
      </w:r>
    </w:p>
    <w:p w14:paraId="1E5A99AB" w14:textId="77777777" w:rsidR="00FA3602" w:rsidRPr="00842A52" w:rsidRDefault="00FA3602" w:rsidP="00FA36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35A2EF35" w14:textId="1819518F" w:rsidR="00C23C76" w:rsidRPr="00842A52" w:rsidRDefault="00C23C76" w:rsidP="00FA36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Groomes, D.A. and Linkowski, D.C.</w:t>
      </w:r>
      <w:r w:rsidR="005F74AA"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2007</w:t>
      </w:r>
      <w:r w:rsidR="005F74AA"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Examining the structure of the revised acceptance disability scale. </w:t>
      </w:r>
      <w:r w:rsidRPr="00842A52">
        <w:rPr>
          <w:rFonts w:eastAsia="SimSun" w:cs="Helvetica Neue"/>
          <w:b/>
          <w:bCs/>
          <w:color w:val="000000"/>
          <w:szCs w:val="26"/>
          <w:lang w:val="en-GB" w:eastAsia="en-IE"/>
        </w:rPr>
        <w:t>Journal of Rehabilitation</w:t>
      </w:r>
      <w:r w:rsidRPr="00842A52">
        <w:rPr>
          <w:rFonts w:eastAsia="SimSun" w:cs="Helvetica Neue"/>
          <w:color w:val="000000"/>
          <w:szCs w:val="26"/>
          <w:lang w:val="en-GB" w:eastAsia="en-IE"/>
        </w:rPr>
        <w:t>, 73(3), p.3.</w:t>
      </w:r>
      <w:r w:rsidR="00CA633D" w:rsidRPr="00842A52">
        <w:rPr>
          <w:szCs w:val="26"/>
        </w:rPr>
        <w:t xml:space="preserve"> </w:t>
      </w:r>
      <w:hyperlink r:id="rId68" w:history="1">
        <w:r w:rsidR="00CA633D" w:rsidRPr="00842A52">
          <w:rPr>
            <w:rStyle w:val="Hyperlink"/>
            <w:rFonts w:eastAsia="SimSun" w:cs="Helvetica Neue"/>
            <w:szCs w:val="26"/>
            <w:lang w:val="en-GB" w:eastAsia="en-IE"/>
          </w:rPr>
          <w:t>https://www.proquest.com/openview/28a49fdc372bb195e73d29ed3fd2a88e/1?pq-origsite=gscholar&amp;cbl=37110</w:t>
        </w:r>
      </w:hyperlink>
      <w:r w:rsidR="00CA633D" w:rsidRPr="00842A52">
        <w:rPr>
          <w:rFonts w:eastAsia="SimSun" w:cs="Helvetica Neue"/>
          <w:color w:val="000000"/>
          <w:szCs w:val="26"/>
          <w:lang w:val="en-GB" w:eastAsia="en-IE"/>
        </w:rPr>
        <w:t xml:space="preserve"> </w:t>
      </w:r>
    </w:p>
    <w:p w14:paraId="335381B1"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020024AB" w14:textId="75EEA208"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Henderson, C.</w:t>
      </w:r>
      <w:r w:rsidR="0063033F" w:rsidRPr="00842A52">
        <w:rPr>
          <w:rFonts w:eastAsia="SimSun" w:cs="Helvetica Neue"/>
          <w:color w:val="000000"/>
          <w:szCs w:val="26"/>
          <w:lang w:val="en-GB" w:eastAsia="en-IE"/>
        </w:rPr>
        <w:t xml:space="preserve"> et al. (2</w:t>
      </w:r>
      <w:r w:rsidRPr="00842A52">
        <w:rPr>
          <w:rFonts w:eastAsia="SimSun" w:cs="Helvetica Neue"/>
          <w:color w:val="000000"/>
          <w:szCs w:val="26"/>
          <w:lang w:val="en-GB" w:eastAsia="en-IE"/>
        </w:rPr>
        <w:t>012</w:t>
      </w:r>
      <w:r w:rsidR="0063033F"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Responses to mental health stigma questions: the importance of social desirability and data</w:t>
      </w:r>
      <w:r w:rsidR="0063033F"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 xml:space="preserve">collection method. </w:t>
      </w:r>
      <w:r w:rsidRPr="00842A52">
        <w:rPr>
          <w:rFonts w:eastAsia="SimSun" w:cs="Helvetica Neue"/>
          <w:b/>
          <w:bCs/>
          <w:color w:val="000000"/>
          <w:szCs w:val="26"/>
          <w:lang w:val="en-GB" w:eastAsia="en-IE"/>
        </w:rPr>
        <w:t>Canadian Journal of Psychiatry</w:t>
      </w:r>
      <w:r w:rsidRPr="00842A52">
        <w:rPr>
          <w:rFonts w:eastAsia="SimSun" w:cs="Helvetica Neue"/>
          <w:color w:val="000000"/>
          <w:szCs w:val="26"/>
          <w:lang w:val="en-GB" w:eastAsia="en-IE"/>
        </w:rPr>
        <w:t xml:space="preserve">, 57(3), pp.152–60. </w:t>
      </w:r>
      <w:hyperlink r:id="rId69" w:history="1">
        <w:r w:rsidRPr="00842A52">
          <w:rPr>
            <w:rStyle w:val="Hyperlink"/>
            <w:rFonts w:eastAsia="SimSun" w:cs="Helvetica Neue"/>
            <w:szCs w:val="26"/>
            <w:lang w:val="en-GB" w:eastAsia="en-IE"/>
          </w:rPr>
          <w:t>https://doi.org/10.1177/070674371205700304</w:t>
        </w:r>
      </w:hyperlink>
      <w:r w:rsidRPr="00842A52">
        <w:rPr>
          <w:rFonts w:eastAsia="SimSun" w:cs="Helvetica Neue"/>
          <w:color w:val="000000"/>
          <w:szCs w:val="26"/>
          <w:lang w:val="en-GB" w:eastAsia="en-IE"/>
        </w:rPr>
        <w:t xml:space="preserve"> </w:t>
      </w:r>
    </w:p>
    <w:p w14:paraId="5ECB0FE1" w14:textId="2F2D180F" w:rsidR="00FA3602" w:rsidRPr="00842A52" w:rsidRDefault="00FA3602"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6A7DF4A6" w14:textId="77777777" w:rsidR="00FA3602" w:rsidRPr="00842A52" w:rsidRDefault="00FA3602" w:rsidP="00FA36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Hofmann, W. et al. (2005) A meta-analysis on the correlation between the implicit association test and explicit self-report measures. </w:t>
      </w:r>
      <w:r w:rsidRPr="00842A52">
        <w:rPr>
          <w:rFonts w:eastAsia="SimSun" w:cs="Helvetica Neue"/>
          <w:b/>
          <w:bCs/>
          <w:color w:val="000000"/>
          <w:szCs w:val="26"/>
          <w:lang w:val="en-GB" w:eastAsia="en-IE"/>
        </w:rPr>
        <w:t>Personality and Socical Psychology Bulletin</w:t>
      </w:r>
      <w:r w:rsidRPr="00842A52">
        <w:rPr>
          <w:rFonts w:eastAsia="SimSun" w:cs="Helvetica Neue"/>
          <w:color w:val="000000"/>
          <w:szCs w:val="26"/>
          <w:lang w:val="en-GB" w:eastAsia="en-IE"/>
        </w:rPr>
        <w:t xml:space="preserve">, 31(10), pp.1369–1385. </w:t>
      </w:r>
      <w:hyperlink r:id="rId70" w:history="1">
        <w:r w:rsidRPr="00842A52">
          <w:rPr>
            <w:rStyle w:val="Hyperlink"/>
            <w:rFonts w:eastAsia="SimSun" w:cs="Helvetica Neue"/>
            <w:szCs w:val="26"/>
            <w:lang w:val="en-GB" w:eastAsia="en-IE"/>
          </w:rPr>
          <w:t>https://doi.org/10.1177/0146167205275613</w:t>
        </w:r>
      </w:hyperlink>
      <w:r w:rsidRPr="00842A52">
        <w:rPr>
          <w:rFonts w:eastAsia="SimSun" w:cs="Helvetica Neue"/>
          <w:color w:val="000000"/>
          <w:szCs w:val="26"/>
          <w:lang w:val="en-GB" w:eastAsia="en-IE"/>
        </w:rPr>
        <w:t xml:space="preserve"> </w:t>
      </w:r>
    </w:p>
    <w:p w14:paraId="22D2D412"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0D1E8930" w14:textId="38CA3356" w:rsidR="00C23C76" w:rsidRPr="00842A52" w:rsidRDefault="00C23C76" w:rsidP="001E6F04">
      <w:pPr>
        <w:spacing w:after="0"/>
        <w:rPr>
          <w:szCs w:val="26"/>
          <w:lang w:eastAsia="en-GB"/>
        </w:rPr>
      </w:pPr>
      <w:r w:rsidRPr="00842A52">
        <w:rPr>
          <w:rFonts w:eastAsia="SimSun" w:cs="Helvetica Neue"/>
          <w:color w:val="000000"/>
          <w:szCs w:val="26"/>
          <w:lang w:val="en-GB" w:eastAsia="en-IE"/>
        </w:rPr>
        <w:t>Hughes, S. and Barnes-Holmes, D.</w:t>
      </w:r>
      <w:r w:rsidR="001E6F04"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2011</w:t>
      </w:r>
      <w:r w:rsidR="001E6F04"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On the formation and persistence of implicit attitudes: New evidence from the Implicit Relational Assessment Procedure (IRAP). </w:t>
      </w:r>
      <w:r w:rsidRPr="00842A52">
        <w:rPr>
          <w:rFonts w:eastAsia="SimSun" w:cs="Helvetica Neue"/>
          <w:b/>
          <w:bCs/>
          <w:color w:val="000000"/>
          <w:szCs w:val="26"/>
          <w:lang w:val="en-GB" w:eastAsia="en-IE"/>
        </w:rPr>
        <w:t>The Psychological Record</w:t>
      </w:r>
      <w:r w:rsidRPr="00842A52">
        <w:rPr>
          <w:rFonts w:eastAsia="SimSun" w:cs="Helvetica Neue"/>
          <w:color w:val="000000"/>
          <w:szCs w:val="26"/>
          <w:lang w:val="en-GB" w:eastAsia="en-IE"/>
        </w:rPr>
        <w:t>, 61(3), pp.391-410.</w:t>
      </w:r>
      <w:r w:rsidR="001E6F04" w:rsidRPr="00842A52">
        <w:rPr>
          <w:szCs w:val="26"/>
        </w:rPr>
        <w:t xml:space="preserve"> </w:t>
      </w:r>
      <w:hyperlink r:id="rId71" w:history="1">
        <w:r w:rsidR="001E6F04" w:rsidRPr="00842A52">
          <w:rPr>
            <w:rStyle w:val="Hyperlink"/>
            <w:color w:val="067499"/>
            <w:szCs w:val="26"/>
            <w:shd w:val="clear" w:color="auto" w:fill="FFFFFF"/>
          </w:rPr>
          <w:t> https://doi.org/10.1007/bf03395768 </w:t>
        </w:r>
      </w:hyperlink>
      <w:r w:rsidR="001E6F04" w:rsidRPr="00842A52">
        <w:rPr>
          <w:szCs w:val="26"/>
          <w:lang w:eastAsia="en-GB"/>
        </w:rPr>
        <w:t xml:space="preserve">  </w:t>
      </w:r>
    </w:p>
    <w:p w14:paraId="40203F96" w14:textId="30343310" w:rsidR="00FA3602" w:rsidRPr="00842A52" w:rsidRDefault="00FA3602" w:rsidP="001E6F04">
      <w:pPr>
        <w:spacing w:after="0"/>
        <w:rPr>
          <w:szCs w:val="26"/>
          <w:lang w:eastAsia="en-GB"/>
        </w:rPr>
      </w:pPr>
    </w:p>
    <w:p w14:paraId="5D97B0EC" w14:textId="6D7DDCB3" w:rsidR="00FA3602" w:rsidRPr="00842A52" w:rsidRDefault="00FA3602" w:rsidP="001E6F04">
      <w:pPr>
        <w:spacing w:after="0"/>
        <w:rPr>
          <w:szCs w:val="26"/>
          <w:lang w:eastAsia="en-GB"/>
        </w:rPr>
      </w:pPr>
      <w:r w:rsidRPr="00842A52">
        <w:rPr>
          <w:rFonts w:eastAsia="SimSun" w:cs="Helvetica Neue"/>
          <w:color w:val="000000"/>
          <w:szCs w:val="26"/>
          <w:lang w:val="en-GB" w:eastAsia="en-IE"/>
        </w:rPr>
        <w:t xml:space="preserve">Hughes, R. and Huby, M. (2002). The application of vignettes in social and nursing research. </w:t>
      </w:r>
      <w:r w:rsidRPr="00842A52">
        <w:rPr>
          <w:rFonts w:eastAsia="SimSun" w:cs="Helvetica Neue"/>
          <w:b/>
          <w:bCs/>
          <w:color w:val="000000"/>
          <w:szCs w:val="26"/>
          <w:lang w:val="en-GB" w:eastAsia="en-IE"/>
        </w:rPr>
        <w:t>Journal of Advanced Nursing</w:t>
      </w:r>
      <w:r w:rsidRPr="00842A52">
        <w:rPr>
          <w:rFonts w:eastAsia="SimSun" w:cs="Helvetica Neue"/>
          <w:color w:val="000000"/>
          <w:szCs w:val="26"/>
          <w:lang w:val="en-GB" w:eastAsia="en-IE"/>
        </w:rPr>
        <w:t>, 37(4), pp.382-386.</w:t>
      </w:r>
      <w:r w:rsidRPr="00842A52">
        <w:rPr>
          <w:szCs w:val="26"/>
        </w:rPr>
        <w:t xml:space="preserve"> </w:t>
      </w:r>
      <w:hyperlink r:id="rId72" w:history="1">
        <w:r w:rsidRPr="00842A52">
          <w:rPr>
            <w:rStyle w:val="Hyperlink"/>
            <w:color w:val="067499"/>
            <w:szCs w:val="26"/>
            <w:shd w:val="clear" w:color="auto" w:fill="FFFFFF"/>
          </w:rPr>
          <w:t> https://doi.org/10.1046/j.1365-2648.2002.02100.x </w:t>
        </w:r>
      </w:hyperlink>
    </w:p>
    <w:p w14:paraId="6781B753"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7662D087" w14:textId="6678C815"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James, J.S.</w:t>
      </w:r>
      <w:r w:rsidR="001E6F04" w:rsidRPr="00842A52">
        <w:rPr>
          <w:rFonts w:eastAsia="SimSun" w:cs="Helvetica Neue"/>
          <w:color w:val="000000"/>
          <w:szCs w:val="26"/>
          <w:lang w:val="en-GB" w:eastAsia="en-IE"/>
        </w:rPr>
        <w:t xml:space="preserve"> (2</w:t>
      </w:r>
      <w:r w:rsidRPr="00842A52">
        <w:rPr>
          <w:rFonts w:eastAsia="SimSun" w:cs="Helvetica Neue"/>
          <w:color w:val="000000"/>
          <w:szCs w:val="26"/>
          <w:lang w:val="en-GB" w:eastAsia="en-IE"/>
        </w:rPr>
        <w:t>018</w:t>
      </w:r>
      <w:r w:rsidR="001E6F04" w:rsidRPr="00842A52">
        <w:rPr>
          <w:rFonts w:eastAsia="SimSun" w:cs="Helvetica Neue"/>
          <w:color w:val="000000"/>
          <w:szCs w:val="26"/>
          <w:lang w:val="en-GB" w:eastAsia="en-IE"/>
        </w:rPr>
        <w:t>)</w:t>
      </w:r>
      <w:r w:rsidRPr="00842A52">
        <w:rPr>
          <w:rFonts w:eastAsia="SimSun" w:cs="Helvetica Neue"/>
          <w:color w:val="000000"/>
          <w:szCs w:val="26"/>
          <w:lang w:val="en-GB" w:eastAsia="en-IE"/>
        </w:rPr>
        <w:t>. Explicit, Implicit, and Behavioral Stigmatization of Mental Illness (Doctoral dissertation, The University of Southern Mississippi).</w:t>
      </w:r>
      <w:r w:rsidR="001E6F04" w:rsidRPr="00842A52">
        <w:rPr>
          <w:szCs w:val="26"/>
        </w:rPr>
        <w:t xml:space="preserve"> </w:t>
      </w:r>
      <w:hyperlink r:id="rId73" w:history="1">
        <w:r w:rsidR="001E6F04" w:rsidRPr="00842A52">
          <w:rPr>
            <w:rStyle w:val="Hyperlink"/>
            <w:rFonts w:eastAsia="SimSun" w:cs="Helvetica Neue"/>
            <w:szCs w:val="26"/>
            <w:lang w:val="en-GB" w:eastAsia="en-IE"/>
          </w:rPr>
          <w:t>https://www.proquest.com/openview/59915191b0f729cf13c4d85d62c02a59/1?pq-origsite=gscholar&amp;cbl=18750</w:t>
        </w:r>
      </w:hyperlink>
      <w:r w:rsidR="001E6F04" w:rsidRPr="00842A52">
        <w:rPr>
          <w:rFonts w:eastAsia="SimSun" w:cs="Helvetica Neue"/>
          <w:color w:val="000000"/>
          <w:szCs w:val="26"/>
          <w:lang w:val="en-GB" w:eastAsia="en-IE"/>
        </w:rPr>
        <w:t xml:space="preserve"> </w:t>
      </w:r>
    </w:p>
    <w:p w14:paraId="47E6C207"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7AAE7176" w14:textId="3DF36D68" w:rsidR="00C23C76" w:rsidRPr="00842A52" w:rsidRDefault="00C23C76" w:rsidP="001E6F04">
      <w:pPr>
        <w:spacing w:after="0"/>
        <w:rPr>
          <w:szCs w:val="26"/>
          <w:lang w:eastAsia="en-GB"/>
        </w:rPr>
      </w:pPr>
      <w:r w:rsidRPr="00842A52">
        <w:rPr>
          <w:rFonts w:eastAsia="SimSun" w:cs="Helvetica Neue"/>
          <w:color w:val="000000"/>
          <w:szCs w:val="26"/>
          <w:lang w:val="en-GB" w:eastAsia="en-IE"/>
        </w:rPr>
        <w:lastRenderedPageBreak/>
        <w:t>Jenaro, C., Flores, N. and López-Lucas, J.</w:t>
      </w:r>
      <w:r w:rsidR="001E6F04"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2018</w:t>
      </w:r>
      <w:r w:rsidR="001E6F04"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Using the semantic differential technique to assess stereotypes toward individuals with disabilities: The relevance of warmth and competence. </w:t>
      </w:r>
      <w:r w:rsidRPr="00842A52">
        <w:rPr>
          <w:rFonts w:eastAsia="SimSun" w:cs="Helvetica Neue"/>
          <w:b/>
          <w:bCs/>
          <w:color w:val="000000"/>
          <w:szCs w:val="26"/>
          <w:lang w:val="en-GB" w:eastAsia="en-IE"/>
        </w:rPr>
        <w:t>Universitas Psychologica</w:t>
      </w:r>
      <w:r w:rsidRPr="00842A52">
        <w:rPr>
          <w:rFonts w:eastAsia="SimSun" w:cs="Helvetica Neue"/>
          <w:color w:val="000000"/>
          <w:szCs w:val="26"/>
          <w:lang w:val="en-GB" w:eastAsia="en-IE"/>
        </w:rPr>
        <w:t>, 17(4)</w:t>
      </w:r>
      <w:r w:rsidR="001E6F04" w:rsidRPr="00842A52">
        <w:rPr>
          <w:rFonts w:eastAsia="SimSun" w:cs="Helvetica Neue"/>
          <w:color w:val="000000"/>
          <w:szCs w:val="26"/>
          <w:lang w:val="en-GB" w:eastAsia="en-IE"/>
        </w:rPr>
        <w:t>, pp.1-12</w:t>
      </w:r>
      <w:r w:rsidRPr="00842A52">
        <w:rPr>
          <w:rFonts w:eastAsia="SimSun" w:cs="Helvetica Neue"/>
          <w:color w:val="000000"/>
          <w:szCs w:val="26"/>
          <w:lang w:val="en-GB" w:eastAsia="en-IE"/>
        </w:rPr>
        <w:t xml:space="preserve"> </w:t>
      </w:r>
      <w:hyperlink r:id="rId74" w:history="1">
        <w:r w:rsidR="001E6F04" w:rsidRPr="00842A52">
          <w:rPr>
            <w:rStyle w:val="Hyperlink"/>
            <w:color w:val="067499"/>
            <w:szCs w:val="26"/>
            <w:shd w:val="clear" w:color="auto" w:fill="FFFFFF"/>
          </w:rPr>
          <w:t> https://doi.org/10.11144/javeriana.upsy17-4.usdt </w:t>
        </w:r>
      </w:hyperlink>
    </w:p>
    <w:p w14:paraId="1143C3CA"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6FBAE30A" w14:textId="21ED0B23"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Kallman, D. </w:t>
      </w:r>
      <w:r w:rsidR="001E6F04" w:rsidRPr="00842A52">
        <w:rPr>
          <w:rFonts w:eastAsia="SimSun" w:cs="Helvetica Neue"/>
          <w:color w:val="000000"/>
          <w:szCs w:val="26"/>
          <w:lang w:val="en-GB" w:eastAsia="en-IE"/>
        </w:rPr>
        <w:t>(</w:t>
      </w:r>
      <w:r w:rsidRPr="00842A52">
        <w:rPr>
          <w:rFonts w:eastAsia="SimSun" w:cs="Helvetica Neue"/>
          <w:color w:val="000000"/>
          <w:szCs w:val="26"/>
          <w:lang w:val="en-GB" w:eastAsia="en-IE"/>
        </w:rPr>
        <w:t>2017</w:t>
      </w:r>
      <w:r w:rsidR="001E6F04"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Integrating disability: Boomerang effects when using positive media exemplars to reduce disability prejudice. </w:t>
      </w:r>
      <w:r w:rsidRPr="00842A52">
        <w:rPr>
          <w:rFonts w:eastAsia="SimSun" w:cs="Helvetica Neue"/>
          <w:b/>
          <w:bCs/>
          <w:color w:val="000000"/>
          <w:szCs w:val="26"/>
          <w:lang w:val="en-GB" w:eastAsia="en-IE"/>
        </w:rPr>
        <w:t>International Journal of Disability, Development and Education,</w:t>
      </w:r>
      <w:r w:rsidRPr="00842A52">
        <w:rPr>
          <w:rFonts w:eastAsia="SimSun" w:cs="Helvetica Neue"/>
          <w:color w:val="000000"/>
          <w:szCs w:val="26"/>
          <w:lang w:val="en-GB" w:eastAsia="en-IE"/>
        </w:rPr>
        <w:t xml:space="preserve"> 64(6), pp.644-662.</w:t>
      </w:r>
      <w:r w:rsidRPr="00842A52">
        <w:rPr>
          <w:szCs w:val="26"/>
        </w:rPr>
        <w:t xml:space="preserve"> </w:t>
      </w:r>
      <w:hyperlink r:id="rId75" w:history="1">
        <w:r w:rsidRPr="00842A52">
          <w:rPr>
            <w:rStyle w:val="Hyperlink"/>
            <w:rFonts w:eastAsia="SimSun" w:cs="Helvetica Neue"/>
            <w:szCs w:val="26"/>
            <w:lang w:val="en-GB" w:eastAsia="en-IE"/>
          </w:rPr>
          <w:t>https://doi.org/10.1080/1034912X.2017.1316012</w:t>
        </w:r>
      </w:hyperlink>
      <w:r w:rsidRPr="00842A52">
        <w:rPr>
          <w:rFonts w:eastAsia="SimSun" w:cs="Helvetica Neue"/>
          <w:color w:val="000000"/>
          <w:szCs w:val="26"/>
          <w:lang w:val="en-GB" w:eastAsia="en-IE"/>
        </w:rPr>
        <w:t xml:space="preserve"> </w:t>
      </w:r>
    </w:p>
    <w:p w14:paraId="1DD10C9E" w14:textId="77DDDE24" w:rsidR="00C31E9A" w:rsidRPr="00842A52" w:rsidRDefault="00C31E9A"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159FF5A1" w14:textId="73A68D08" w:rsidR="00C31E9A" w:rsidRPr="00842A52" w:rsidRDefault="00C31E9A" w:rsidP="00C31E9A">
      <w:pPr>
        <w:pStyle w:val="FootnoteText"/>
        <w:rPr>
          <w:sz w:val="26"/>
          <w:szCs w:val="26"/>
        </w:rPr>
      </w:pPr>
      <w:r w:rsidRPr="00842A52">
        <w:rPr>
          <w:sz w:val="26"/>
          <w:szCs w:val="26"/>
        </w:rPr>
        <w:t>Kao, K. and Lust,</w:t>
      </w:r>
      <w:r w:rsidRPr="00842A52">
        <w:rPr>
          <w:bCs/>
          <w:iCs/>
          <w:sz w:val="26"/>
          <w:szCs w:val="26"/>
        </w:rPr>
        <w:t xml:space="preserve"> E. (2022) </w:t>
      </w:r>
      <w:r w:rsidRPr="00842A52">
        <w:rPr>
          <w:sz w:val="26"/>
          <w:szCs w:val="26"/>
        </w:rPr>
        <w:t xml:space="preserve">Do List Experiments Run as Expected? Examining Implementation Failure in Kenya, Zambia, and Malawi Working Paper No. 57 The Program on Governance and Local Development University of Gothenberg </w:t>
      </w:r>
      <w:hyperlink r:id="rId76" w:history="1">
        <w:r w:rsidRPr="00842A52">
          <w:rPr>
            <w:rStyle w:val="Hyperlink"/>
            <w:sz w:val="26"/>
            <w:szCs w:val="26"/>
          </w:rPr>
          <w:t>https://www.gld.gu.se/media/2684/gld-working-paper-57.pdf</w:t>
        </w:r>
      </w:hyperlink>
    </w:p>
    <w:p w14:paraId="6FA4DB7C"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228510C5" w14:textId="57A89F3D" w:rsidR="00C23C76" w:rsidRPr="00842A52" w:rsidRDefault="00C23C76" w:rsidP="000B1A01">
      <w:pPr>
        <w:spacing w:after="0"/>
        <w:rPr>
          <w:szCs w:val="26"/>
          <w:lang w:eastAsia="en-GB"/>
        </w:rPr>
      </w:pPr>
      <w:r w:rsidRPr="00842A52">
        <w:rPr>
          <w:rFonts w:eastAsia="SimSun" w:cs="Helvetica Neue"/>
          <w:color w:val="000000"/>
          <w:szCs w:val="26"/>
          <w:lang w:val="en-GB" w:eastAsia="en-IE"/>
        </w:rPr>
        <w:t>Karpinski, A., Steinman, R.B. and Hilton, J.L.</w:t>
      </w:r>
      <w:r w:rsidR="000B1A01" w:rsidRPr="00842A52">
        <w:rPr>
          <w:rFonts w:eastAsia="SimSun" w:cs="Helvetica Neue"/>
          <w:color w:val="000000"/>
          <w:szCs w:val="26"/>
          <w:lang w:val="en-GB" w:eastAsia="en-IE"/>
        </w:rPr>
        <w:t>.</w:t>
      </w:r>
      <w:r w:rsidR="00740A70" w:rsidRPr="00842A52">
        <w:rPr>
          <w:rFonts w:eastAsia="SimSun" w:cs="Helvetica Neue"/>
          <w:color w:val="000000"/>
          <w:szCs w:val="26"/>
          <w:lang w:val="en-GB" w:eastAsia="en-IE"/>
        </w:rPr>
        <w:t xml:space="preserve"> </w:t>
      </w:r>
      <w:r w:rsidR="000B1A01" w:rsidRPr="00842A52">
        <w:rPr>
          <w:rFonts w:eastAsia="SimSun" w:cs="Helvetica Neue"/>
          <w:color w:val="000000"/>
          <w:szCs w:val="26"/>
          <w:lang w:val="en-GB" w:eastAsia="en-IE"/>
        </w:rPr>
        <w:t>(</w:t>
      </w:r>
      <w:r w:rsidRPr="00842A52">
        <w:rPr>
          <w:rFonts w:eastAsia="SimSun" w:cs="Helvetica Neue"/>
          <w:color w:val="000000"/>
          <w:szCs w:val="26"/>
          <w:lang w:val="en-GB" w:eastAsia="en-IE"/>
        </w:rPr>
        <w:t>2005</w:t>
      </w:r>
      <w:r w:rsidR="000B1A01"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Attitude importance as a moderator of the relationship between implicit and explicit attitude measures. </w:t>
      </w:r>
      <w:r w:rsidRPr="00842A52">
        <w:rPr>
          <w:rFonts w:eastAsia="SimSun" w:cs="Helvetica Neue"/>
          <w:b/>
          <w:bCs/>
          <w:color w:val="000000"/>
          <w:szCs w:val="26"/>
          <w:lang w:val="en-GB" w:eastAsia="en-IE"/>
        </w:rPr>
        <w:t>Personality and Social Psychology Bulletin</w:t>
      </w:r>
      <w:r w:rsidRPr="00842A52">
        <w:rPr>
          <w:rFonts w:eastAsia="SimSun" w:cs="Helvetica Neue"/>
          <w:color w:val="000000"/>
          <w:szCs w:val="26"/>
          <w:lang w:val="en-GB" w:eastAsia="en-IE"/>
        </w:rPr>
        <w:t>, 31(7), pp.949-962.</w:t>
      </w:r>
      <w:r w:rsidR="000B1A01" w:rsidRPr="00842A52">
        <w:rPr>
          <w:szCs w:val="26"/>
        </w:rPr>
        <w:t xml:space="preserve"> </w:t>
      </w:r>
      <w:hyperlink r:id="rId77" w:history="1">
        <w:r w:rsidR="000B1A01" w:rsidRPr="00842A52">
          <w:rPr>
            <w:rStyle w:val="Hyperlink"/>
            <w:color w:val="067499"/>
            <w:szCs w:val="26"/>
            <w:shd w:val="clear" w:color="auto" w:fill="FFFFFF"/>
          </w:rPr>
          <w:t> https://doi.org/10.1037/e633912013-681 </w:t>
        </w:r>
      </w:hyperlink>
    </w:p>
    <w:p w14:paraId="65E11E9F"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0860976D" w14:textId="6F497462" w:rsidR="00C23C76" w:rsidRPr="00842A52" w:rsidRDefault="00C23C76" w:rsidP="007B067C">
      <w:pPr>
        <w:spacing w:after="0"/>
        <w:rPr>
          <w:rStyle w:val="Hyperlink"/>
          <w:color w:val="067499"/>
          <w:szCs w:val="26"/>
          <w:shd w:val="clear" w:color="auto" w:fill="FFFFFF"/>
        </w:rPr>
      </w:pPr>
      <w:r w:rsidRPr="00842A52">
        <w:rPr>
          <w:rFonts w:eastAsia="SimSun" w:cs="Helvetica Neue"/>
          <w:color w:val="000000"/>
          <w:szCs w:val="26"/>
          <w:lang w:val="en-GB" w:eastAsia="en-IE"/>
        </w:rPr>
        <w:t>Keith, J.M., Bennetto, L. and Rogge, R.D.</w:t>
      </w:r>
      <w:r w:rsidR="000B1A01"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2015</w:t>
      </w:r>
      <w:r w:rsidR="000B1A01"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The relationship between contact and attitudes: Reducing prejudice toward individuals with intellectual and developmental disabilities. </w:t>
      </w:r>
      <w:r w:rsidRPr="00842A52">
        <w:rPr>
          <w:rFonts w:eastAsia="SimSun" w:cs="Helvetica Neue"/>
          <w:b/>
          <w:bCs/>
          <w:color w:val="000000"/>
          <w:szCs w:val="26"/>
          <w:lang w:val="en-GB" w:eastAsia="en-IE"/>
        </w:rPr>
        <w:t xml:space="preserve">Research </w:t>
      </w:r>
      <w:r w:rsidR="007B067C" w:rsidRPr="00842A52">
        <w:rPr>
          <w:rFonts w:eastAsia="SimSun" w:cs="Helvetica Neue"/>
          <w:b/>
          <w:bCs/>
          <w:color w:val="000000"/>
          <w:szCs w:val="26"/>
          <w:lang w:val="en-GB" w:eastAsia="en-IE"/>
        </w:rPr>
        <w:t>In Developmental Disabilities</w:t>
      </w:r>
      <w:r w:rsidRPr="00842A52">
        <w:rPr>
          <w:rFonts w:eastAsia="SimSun" w:cs="Helvetica Neue"/>
          <w:color w:val="000000"/>
          <w:szCs w:val="26"/>
          <w:lang w:val="en-GB" w:eastAsia="en-IE"/>
        </w:rPr>
        <w:t>, 47, pp.14-26.</w:t>
      </w:r>
      <w:r w:rsidR="007B067C" w:rsidRPr="00842A52">
        <w:rPr>
          <w:szCs w:val="26"/>
        </w:rPr>
        <w:t xml:space="preserve"> </w:t>
      </w:r>
      <w:hyperlink r:id="rId78" w:history="1">
        <w:r w:rsidR="007B067C" w:rsidRPr="00842A52">
          <w:rPr>
            <w:rStyle w:val="Hyperlink"/>
            <w:color w:val="067499"/>
            <w:szCs w:val="26"/>
            <w:shd w:val="clear" w:color="auto" w:fill="FFFFFF"/>
          </w:rPr>
          <w:t> https://doi.org/10.1016/j.ridd.2015.07.032 </w:t>
        </w:r>
      </w:hyperlink>
    </w:p>
    <w:p w14:paraId="7002B588" w14:textId="32FB0BD5" w:rsidR="00740A70" w:rsidRPr="00842A52" w:rsidRDefault="00740A70" w:rsidP="007B067C">
      <w:pPr>
        <w:spacing w:after="0"/>
        <w:rPr>
          <w:rStyle w:val="Hyperlink"/>
          <w:color w:val="067499"/>
          <w:szCs w:val="26"/>
          <w:shd w:val="clear" w:color="auto" w:fill="FFFFFF"/>
        </w:rPr>
      </w:pPr>
    </w:p>
    <w:p w14:paraId="6259F4E5" w14:textId="77777777" w:rsidR="00740A70" w:rsidRPr="00842A52" w:rsidRDefault="00740A70" w:rsidP="00740A70">
      <w:pPr>
        <w:rPr>
          <w:rFonts w:eastAsia="SimSun" w:cs="Helvetica Neue"/>
          <w:color w:val="000000"/>
          <w:szCs w:val="26"/>
          <w:lang w:val="en-GB" w:eastAsia="en-IE"/>
        </w:rPr>
      </w:pPr>
      <w:r w:rsidRPr="00842A52">
        <w:rPr>
          <w:rFonts w:eastAsia="SimSun" w:cs="Helvetica Neue"/>
          <w:color w:val="000000"/>
          <w:szCs w:val="26"/>
          <w:lang w:val="en-GB" w:eastAsia="en-IE"/>
        </w:rPr>
        <w:t xml:space="preserve">Kelly, A. and Barnes-Holmes, D. (2013) Implicit attitudes towards children with autism versus normally developing children as predictors of professional burnout and psychopathology. </w:t>
      </w:r>
      <w:r w:rsidRPr="00842A52">
        <w:rPr>
          <w:rFonts w:eastAsia="SimSun" w:cs="Helvetica Neue"/>
          <w:b/>
          <w:bCs/>
          <w:color w:val="000000"/>
          <w:szCs w:val="26"/>
          <w:lang w:val="en-GB" w:eastAsia="en-IE"/>
        </w:rPr>
        <w:t>Research in Developmental Disabilities</w:t>
      </w:r>
      <w:r w:rsidRPr="00842A52">
        <w:rPr>
          <w:rFonts w:eastAsia="SimSun" w:cs="Helvetica Neue"/>
          <w:color w:val="000000"/>
          <w:szCs w:val="26"/>
          <w:lang w:val="en-GB" w:eastAsia="en-IE"/>
        </w:rPr>
        <w:t xml:space="preserve">, 34(1), pp.17-28. </w:t>
      </w:r>
      <w:hyperlink r:id="rId79" w:history="1">
        <w:r w:rsidRPr="00842A52">
          <w:rPr>
            <w:rStyle w:val="Hyperlink"/>
            <w:rFonts w:eastAsia="SimSun" w:cs="Helvetica Neue"/>
            <w:szCs w:val="26"/>
            <w:lang w:val="en-GB" w:eastAsia="en-IE"/>
          </w:rPr>
          <w:t>https://doi.org/10.1016/j.ridd.2012.07.018</w:t>
        </w:r>
      </w:hyperlink>
      <w:r w:rsidRPr="00842A52">
        <w:rPr>
          <w:rFonts w:eastAsia="SimSun" w:cs="Helvetica Neue"/>
          <w:color w:val="000000"/>
          <w:szCs w:val="26"/>
          <w:lang w:val="en-GB" w:eastAsia="en-IE"/>
        </w:rPr>
        <w:t xml:space="preserve"> </w:t>
      </w:r>
    </w:p>
    <w:p w14:paraId="3014E416" w14:textId="77777777" w:rsidR="00740A70" w:rsidRPr="00842A52" w:rsidRDefault="00740A70" w:rsidP="00740A70">
      <w:pPr>
        <w:spacing w:after="0"/>
        <w:rPr>
          <w:rFonts w:eastAsia="SimSun" w:cs="Helvetica Neue"/>
          <w:color w:val="000000"/>
          <w:szCs w:val="26"/>
          <w:lang w:val="en-GB" w:eastAsia="en-IE"/>
        </w:rPr>
      </w:pPr>
      <w:r w:rsidRPr="00842A52">
        <w:rPr>
          <w:rFonts w:eastAsia="SimSun" w:cs="Helvetica Neue"/>
          <w:color w:val="000000"/>
          <w:szCs w:val="26"/>
          <w:lang w:val="en-GB" w:eastAsia="en-IE"/>
        </w:rPr>
        <w:t>Kenward, L. (2019) A literature review to guide novice researchers using Q</w:t>
      </w:r>
    </w:p>
    <w:p w14:paraId="2C7EF33D" w14:textId="77777777" w:rsidR="00740A70" w:rsidRPr="00842A52" w:rsidRDefault="00740A70" w:rsidP="00740A70">
      <w:pPr>
        <w:spacing w:after="0"/>
        <w:rPr>
          <w:rFonts w:eastAsia="SimSun" w:cs="Helvetica Neue"/>
          <w:color w:val="000000"/>
          <w:szCs w:val="26"/>
          <w:lang w:val="en-GB" w:eastAsia="en-IE"/>
        </w:rPr>
      </w:pPr>
      <w:r w:rsidRPr="00842A52">
        <w:rPr>
          <w:rFonts w:eastAsia="SimSun" w:cs="Helvetica Neue"/>
          <w:color w:val="000000"/>
          <w:szCs w:val="26"/>
          <w:lang w:val="en-GB" w:eastAsia="en-IE"/>
        </w:rPr>
        <w:t>methodology in the development of a framework for concourse management.</w:t>
      </w:r>
    </w:p>
    <w:p w14:paraId="6401B3BB" w14:textId="1D463D6F" w:rsidR="00740A70" w:rsidRPr="00842A52" w:rsidRDefault="00740A70" w:rsidP="00740A70">
      <w:pPr>
        <w:spacing w:after="0"/>
        <w:rPr>
          <w:szCs w:val="26"/>
          <w:lang w:eastAsia="en-GB"/>
        </w:rPr>
      </w:pPr>
      <w:r w:rsidRPr="00842A52">
        <w:rPr>
          <w:rFonts w:eastAsia="SimSun" w:cs="Helvetica Neue"/>
          <w:color w:val="000000"/>
          <w:szCs w:val="26"/>
          <w:lang w:val="en-GB" w:eastAsia="en-IE"/>
        </w:rPr>
        <w:t xml:space="preserve">Nurse Researcher, 27 (1). pp. 17-21 </w:t>
      </w:r>
      <w:hyperlink r:id="rId80" w:history="1">
        <w:r w:rsidRPr="00842A52">
          <w:rPr>
            <w:rStyle w:val="Hyperlink"/>
            <w:color w:val="067499"/>
            <w:szCs w:val="26"/>
            <w:shd w:val="clear" w:color="auto" w:fill="FFFFFF"/>
          </w:rPr>
          <w:t> https://doi.org/10.7748/nr.2019.e1616 </w:t>
        </w:r>
      </w:hyperlink>
    </w:p>
    <w:p w14:paraId="7C9DE605"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643506F4" w14:textId="6E0E697C"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Krull, J., Wilbert, J. and Hennemann, T. (2014)</w:t>
      </w:r>
      <w:r w:rsidR="007B067C"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The social and emotional situation of first graders with classroom behavior problems and classroom learning difficulties in inclusive classes</w:t>
      </w:r>
      <w:r w:rsidRPr="00842A52">
        <w:rPr>
          <w:rFonts w:eastAsia="SimSun" w:cs="Helvetica Neue"/>
          <w:b/>
          <w:bCs/>
          <w:color w:val="000000"/>
          <w:szCs w:val="26"/>
          <w:lang w:val="en-GB" w:eastAsia="en-IE"/>
        </w:rPr>
        <w:t>. Learning Disabilities: A Contemporary Journal</w:t>
      </w:r>
      <w:r w:rsidRPr="00842A52">
        <w:rPr>
          <w:rFonts w:eastAsia="SimSun" w:cs="Helvetica Neue"/>
          <w:color w:val="000000"/>
          <w:szCs w:val="26"/>
          <w:lang w:val="en-GB" w:eastAsia="en-IE"/>
        </w:rPr>
        <w:t>, 12(2), 169-190.</w:t>
      </w:r>
      <w:r w:rsidRPr="00842A52">
        <w:rPr>
          <w:szCs w:val="26"/>
        </w:rPr>
        <w:t xml:space="preserve"> </w:t>
      </w:r>
      <w:hyperlink r:id="rId81" w:history="1">
        <w:r w:rsidRPr="00842A52">
          <w:rPr>
            <w:rStyle w:val="Hyperlink"/>
            <w:rFonts w:eastAsia="SimSun" w:cs="Helvetica Neue"/>
            <w:szCs w:val="26"/>
            <w:lang w:val="en-GB" w:eastAsia="en-IE"/>
          </w:rPr>
          <w:t>https://eric.ed.gov/?id=EJ1047460</w:t>
        </w:r>
      </w:hyperlink>
      <w:r w:rsidRPr="00842A52">
        <w:rPr>
          <w:rFonts w:eastAsia="SimSun" w:cs="Helvetica Neue"/>
          <w:color w:val="000000"/>
          <w:szCs w:val="26"/>
          <w:lang w:val="en-GB" w:eastAsia="en-IE"/>
        </w:rPr>
        <w:t xml:space="preserve"> </w:t>
      </w:r>
    </w:p>
    <w:p w14:paraId="615899E7"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1F1515E7" w14:textId="469E0C02"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 xml:space="preserve">Krischler, M., Pit-ten Cate, I.M. and Krolak-Schwerdt, S. </w:t>
      </w:r>
      <w:r w:rsidR="007B067C" w:rsidRPr="00842A52">
        <w:rPr>
          <w:rFonts w:eastAsia="SimSun" w:cs="Helvetica Neue"/>
          <w:color w:val="000000"/>
          <w:szCs w:val="26"/>
          <w:lang w:val="en-GB" w:eastAsia="en-IE"/>
        </w:rPr>
        <w:t>(</w:t>
      </w:r>
      <w:r w:rsidRPr="00842A52">
        <w:rPr>
          <w:rFonts w:eastAsia="SimSun" w:cs="Helvetica Neue"/>
          <w:color w:val="000000"/>
          <w:szCs w:val="26"/>
          <w:lang w:val="en-GB" w:eastAsia="en-IE"/>
        </w:rPr>
        <w:t>2018</w:t>
      </w:r>
      <w:r w:rsidR="007B067C"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Mixed stereotype content and attitudes toward students with special educational needs and their </w:t>
      </w:r>
      <w:r w:rsidRPr="00842A52">
        <w:rPr>
          <w:rFonts w:eastAsia="SimSun" w:cs="Helvetica Neue"/>
          <w:color w:val="000000"/>
          <w:szCs w:val="26"/>
          <w:lang w:val="en-GB" w:eastAsia="en-IE"/>
        </w:rPr>
        <w:lastRenderedPageBreak/>
        <w:t xml:space="preserve">inclusion in regular schools in Luxembourg. </w:t>
      </w:r>
      <w:r w:rsidRPr="00842A52">
        <w:rPr>
          <w:rFonts w:eastAsia="SimSun" w:cs="Helvetica Neue"/>
          <w:b/>
          <w:bCs/>
          <w:color w:val="000000"/>
          <w:szCs w:val="26"/>
          <w:lang w:val="en-GB" w:eastAsia="en-IE"/>
        </w:rPr>
        <w:t>Research in Developmental Disabilities</w:t>
      </w:r>
      <w:r w:rsidRPr="00842A52">
        <w:rPr>
          <w:rFonts w:eastAsia="SimSun" w:cs="Helvetica Neue"/>
          <w:color w:val="000000"/>
          <w:szCs w:val="26"/>
          <w:lang w:val="en-GB" w:eastAsia="en-IE"/>
        </w:rPr>
        <w:t xml:space="preserve">, 75, pp.59-67. </w:t>
      </w:r>
      <w:hyperlink r:id="rId82" w:history="1">
        <w:r w:rsidRPr="00842A52">
          <w:rPr>
            <w:rStyle w:val="Hyperlink"/>
            <w:rFonts w:eastAsia="SimSun" w:cs="Helvetica Neue"/>
            <w:szCs w:val="26"/>
            <w:lang w:val="en-GB" w:eastAsia="en-IE"/>
          </w:rPr>
          <w:t>https://doi.org/10.1016/j.ridd.2018.02.007</w:t>
        </w:r>
      </w:hyperlink>
      <w:r w:rsidRPr="00842A52">
        <w:rPr>
          <w:rFonts w:eastAsia="SimSun" w:cs="Helvetica Neue"/>
          <w:color w:val="000000"/>
          <w:szCs w:val="26"/>
          <w:lang w:val="en-GB" w:eastAsia="en-IE"/>
        </w:rPr>
        <w:t xml:space="preserve"> </w:t>
      </w:r>
    </w:p>
    <w:p w14:paraId="06F5F060" w14:textId="32FC5EDF"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Krumpal, I., 2013. Determinants of social desirability bias in sensitive surveys: a literature review. Quality &amp; quantity, 47(4), pp.2025-2047.</w:t>
      </w:r>
    </w:p>
    <w:p w14:paraId="5BD09460" w14:textId="60BAE2E0" w:rsidR="00B82A05" w:rsidRPr="00842A52" w:rsidRDefault="00B82A05" w:rsidP="00B82A05">
      <w:pPr>
        <w:spacing w:after="0"/>
        <w:rPr>
          <w:szCs w:val="26"/>
          <w:lang w:eastAsia="en-GB"/>
        </w:rPr>
      </w:pPr>
      <w:r w:rsidRPr="00842A52">
        <w:rPr>
          <w:szCs w:val="26"/>
        </w:rPr>
        <w:t xml:space="preserve">Kramon, E., Weghorst, K (2019) (Mis)measuring sensitive attitudes with the list experiment: Solutions to list experiment breakdown in Kenya. </w:t>
      </w:r>
      <w:r w:rsidRPr="00842A52">
        <w:rPr>
          <w:b/>
          <w:bCs/>
          <w:iCs/>
          <w:szCs w:val="26"/>
        </w:rPr>
        <w:t>Public Opinion Quarterly</w:t>
      </w:r>
      <w:r w:rsidRPr="00842A52">
        <w:rPr>
          <w:szCs w:val="26"/>
        </w:rPr>
        <w:t xml:space="preserve"> ,83(S1), pp. 236- 63 </w:t>
      </w:r>
      <w:hyperlink r:id="rId83" w:history="1">
        <w:r w:rsidRPr="00842A52">
          <w:rPr>
            <w:rStyle w:val="Hyperlink"/>
            <w:color w:val="067499"/>
            <w:szCs w:val="26"/>
            <w:shd w:val="clear" w:color="auto" w:fill="FFFFFF"/>
          </w:rPr>
          <w:t> https://doi.org/10.1093/poq/nfz009 </w:t>
        </w:r>
      </w:hyperlink>
    </w:p>
    <w:p w14:paraId="1E127FF1" w14:textId="77777777" w:rsidR="00C23C76" w:rsidRPr="00842A52" w:rsidRDefault="00C23C76" w:rsidP="00C23C76">
      <w:pPr>
        <w:spacing w:after="0"/>
        <w:rPr>
          <w:rFonts w:eastAsia="SimSun" w:cs="Helvetica Neue"/>
          <w:color w:val="000000"/>
          <w:szCs w:val="26"/>
          <w:lang w:val="en-GB" w:eastAsia="en-IE"/>
        </w:rPr>
      </w:pPr>
    </w:p>
    <w:p w14:paraId="46C2FDC4" w14:textId="687A82D9" w:rsidR="00C23C76" w:rsidRPr="00842A52" w:rsidRDefault="00C23C76" w:rsidP="00C23C76">
      <w:pPr>
        <w:spacing w:after="0"/>
        <w:rPr>
          <w:rStyle w:val="Hyperlink"/>
          <w:color w:val="067499"/>
          <w:szCs w:val="26"/>
          <w:shd w:val="clear" w:color="auto" w:fill="FFFFFF"/>
        </w:rPr>
      </w:pPr>
      <w:r w:rsidRPr="00842A52">
        <w:rPr>
          <w:rFonts w:eastAsia="SimSun" w:cs="Helvetica Neue"/>
          <w:color w:val="000000"/>
          <w:szCs w:val="26"/>
          <w:lang w:val="en-GB" w:eastAsia="en-IE"/>
        </w:rPr>
        <w:t>Kopera, M.</w:t>
      </w:r>
      <w:r w:rsidR="007020D1"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2015</w:t>
      </w:r>
      <w:r w:rsidR="007020D1"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Evaluating explicit and implicit stigma of mental illness in mental health professionals and medical students. </w:t>
      </w:r>
      <w:r w:rsidRPr="00842A52">
        <w:rPr>
          <w:rFonts w:eastAsia="SimSun" w:cs="Helvetica Neue"/>
          <w:b/>
          <w:bCs/>
          <w:color w:val="000000"/>
          <w:szCs w:val="26"/>
          <w:lang w:val="en-GB" w:eastAsia="en-IE"/>
        </w:rPr>
        <w:t xml:space="preserve">Community </w:t>
      </w:r>
      <w:r w:rsidR="007020D1" w:rsidRPr="00842A52">
        <w:rPr>
          <w:rFonts w:eastAsia="SimSun" w:cs="Helvetica Neue"/>
          <w:b/>
          <w:bCs/>
          <w:color w:val="000000"/>
          <w:szCs w:val="26"/>
          <w:lang w:val="en-GB" w:eastAsia="en-IE"/>
        </w:rPr>
        <w:t>Mental Health Journal</w:t>
      </w:r>
      <w:r w:rsidRPr="00842A52">
        <w:rPr>
          <w:rFonts w:eastAsia="SimSun" w:cs="Helvetica Neue"/>
          <w:color w:val="000000"/>
          <w:szCs w:val="26"/>
          <w:lang w:val="en-GB" w:eastAsia="en-IE"/>
        </w:rPr>
        <w:t>, 51(5), pp.628-634.</w:t>
      </w:r>
      <w:r w:rsidR="007020D1" w:rsidRPr="00842A52">
        <w:rPr>
          <w:szCs w:val="26"/>
        </w:rPr>
        <w:t xml:space="preserve"> </w:t>
      </w:r>
      <w:hyperlink r:id="rId84" w:history="1">
        <w:r w:rsidR="007020D1" w:rsidRPr="00842A52">
          <w:rPr>
            <w:rStyle w:val="Hyperlink"/>
            <w:color w:val="067499"/>
            <w:szCs w:val="26"/>
            <w:shd w:val="clear" w:color="auto" w:fill="FFFFFF"/>
          </w:rPr>
          <w:t> https://doi.org/10.1007/s10597-014-9796-6 </w:t>
        </w:r>
      </w:hyperlink>
    </w:p>
    <w:p w14:paraId="3EFAA483" w14:textId="3085FBB9" w:rsidR="00740A70" w:rsidRPr="00842A52" w:rsidRDefault="00740A70" w:rsidP="00C23C76">
      <w:pPr>
        <w:spacing w:after="0"/>
        <w:rPr>
          <w:rStyle w:val="Hyperlink"/>
          <w:color w:val="067499"/>
          <w:szCs w:val="26"/>
          <w:shd w:val="clear" w:color="auto" w:fill="FFFFFF"/>
        </w:rPr>
      </w:pPr>
    </w:p>
    <w:p w14:paraId="473616FF" w14:textId="77777777" w:rsidR="00740A70" w:rsidRPr="00842A52" w:rsidRDefault="00740A70" w:rsidP="00740A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Kuhne, M. and Wiener, J. (2000). Stability of social status of children with and without learning disabilities. </w:t>
      </w:r>
      <w:r w:rsidRPr="00842A52">
        <w:rPr>
          <w:rFonts w:eastAsia="SimSun" w:cs="Helvetica Neue"/>
          <w:b/>
          <w:bCs/>
          <w:color w:val="000000"/>
          <w:szCs w:val="26"/>
          <w:lang w:val="en-GB" w:eastAsia="en-IE"/>
        </w:rPr>
        <w:t>Learning Disability Quarterly</w:t>
      </w:r>
      <w:r w:rsidRPr="00842A52">
        <w:rPr>
          <w:rFonts w:eastAsia="SimSun" w:cs="Helvetica Neue"/>
          <w:color w:val="000000"/>
          <w:szCs w:val="26"/>
          <w:lang w:val="en-GB" w:eastAsia="en-IE"/>
        </w:rPr>
        <w:t>, 23(1), pp. 64-75.</w:t>
      </w:r>
    </w:p>
    <w:p w14:paraId="1F16C2A6" w14:textId="6D2048B7" w:rsidR="00740A70" w:rsidRPr="00842A52" w:rsidRDefault="00CC5ACD" w:rsidP="002E63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hyperlink r:id="rId85" w:history="1">
        <w:r w:rsidR="00740A70" w:rsidRPr="00842A52">
          <w:rPr>
            <w:rStyle w:val="Hyperlink"/>
            <w:rFonts w:eastAsia="SimSun" w:cs="Helvetica Neue"/>
            <w:szCs w:val="26"/>
            <w:lang w:val="en-GB" w:eastAsia="en-IE"/>
          </w:rPr>
          <w:t>https://doi.org/10.2307/1511100</w:t>
        </w:r>
      </w:hyperlink>
      <w:r w:rsidR="00740A70" w:rsidRPr="00842A52">
        <w:rPr>
          <w:rFonts w:eastAsia="SimSun" w:cs="Helvetica Neue"/>
          <w:color w:val="000000"/>
          <w:szCs w:val="26"/>
          <w:lang w:val="en-GB" w:eastAsia="en-IE"/>
        </w:rPr>
        <w:t xml:space="preserve"> </w:t>
      </w:r>
    </w:p>
    <w:p w14:paraId="418E3167" w14:textId="77777777" w:rsidR="00C23C76" w:rsidRPr="00842A52" w:rsidRDefault="00C23C76" w:rsidP="00C23C76">
      <w:pPr>
        <w:spacing w:after="0"/>
        <w:rPr>
          <w:rFonts w:eastAsia="SimSun" w:cs="Helvetica Neue"/>
          <w:color w:val="000000"/>
          <w:szCs w:val="26"/>
          <w:lang w:val="en-GB" w:eastAsia="en-IE"/>
        </w:rPr>
      </w:pPr>
    </w:p>
    <w:p w14:paraId="070A1729" w14:textId="450ADAB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Langhaug, L.F., Sherr, L. and Cowan, F.M. </w:t>
      </w:r>
      <w:r w:rsidR="007020D1" w:rsidRPr="00842A52">
        <w:rPr>
          <w:rFonts w:eastAsia="SimSun" w:cs="Helvetica Neue"/>
          <w:color w:val="000000"/>
          <w:szCs w:val="26"/>
          <w:lang w:val="en-GB" w:eastAsia="en-IE"/>
        </w:rPr>
        <w:t>(</w:t>
      </w:r>
      <w:r w:rsidRPr="00842A52">
        <w:rPr>
          <w:rFonts w:eastAsia="SimSun" w:cs="Helvetica Neue"/>
          <w:color w:val="000000"/>
          <w:szCs w:val="26"/>
          <w:lang w:val="en-GB" w:eastAsia="en-IE"/>
        </w:rPr>
        <w:t>2010</w:t>
      </w:r>
      <w:r w:rsidR="007020D1"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How to improve the validity of sexual behaviour reporting: systematic review of questionnaire delivery modes in developing countries. </w:t>
      </w:r>
      <w:r w:rsidRPr="00842A52">
        <w:rPr>
          <w:rFonts w:eastAsia="SimSun" w:cs="Helvetica Neue"/>
          <w:b/>
          <w:bCs/>
          <w:color w:val="000000"/>
          <w:szCs w:val="26"/>
          <w:lang w:val="en-GB" w:eastAsia="en-IE"/>
        </w:rPr>
        <w:t>Tropical Medicine &amp; International Health</w:t>
      </w:r>
      <w:r w:rsidRPr="00842A52">
        <w:rPr>
          <w:rFonts w:eastAsia="SimSun" w:cs="Helvetica Neue"/>
          <w:color w:val="000000"/>
          <w:szCs w:val="26"/>
          <w:lang w:val="en-GB" w:eastAsia="en-IE"/>
        </w:rPr>
        <w:t xml:space="preserve">, 15(3), pp.362-381. </w:t>
      </w:r>
      <w:hyperlink r:id="rId86" w:history="1">
        <w:r w:rsidRPr="00842A52">
          <w:rPr>
            <w:rStyle w:val="Hyperlink"/>
            <w:rFonts w:eastAsia="SimSun" w:cs="Helvetica Neue"/>
            <w:szCs w:val="26"/>
            <w:lang w:val="en-GB" w:eastAsia="en-IE"/>
          </w:rPr>
          <w:t>https://doi.org/10.1111/j.1365-3156.2009.02464.x</w:t>
        </w:r>
      </w:hyperlink>
      <w:r w:rsidRPr="00842A52">
        <w:rPr>
          <w:rFonts w:eastAsia="SimSun" w:cs="Helvetica Neue"/>
          <w:color w:val="000000"/>
          <w:szCs w:val="26"/>
          <w:lang w:val="en-GB" w:eastAsia="en-IE"/>
        </w:rPr>
        <w:t xml:space="preserve"> </w:t>
      </w:r>
    </w:p>
    <w:p w14:paraId="29273219"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5FB9B761" w14:textId="65C242FF" w:rsidR="00C23C76" w:rsidRPr="00842A52" w:rsidRDefault="00C23C76" w:rsidP="00B53681">
      <w:pPr>
        <w:spacing w:after="0"/>
        <w:rPr>
          <w:szCs w:val="26"/>
          <w:lang w:eastAsia="en-GB"/>
        </w:rPr>
      </w:pPr>
      <w:r w:rsidRPr="00842A52">
        <w:rPr>
          <w:rFonts w:eastAsia="SimSun" w:cs="Helvetica Neue"/>
          <w:color w:val="000000"/>
          <w:szCs w:val="26"/>
          <w:lang w:val="en-GB" w:eastAsia="en-IE"/>
        </w:rPr>
        <w:t>Lépine, A., Treibich, C.</w:t>
      </w:r>
      <w:r w:rsidR="00461652" w:rsidRPr="00842A52">
        <w:rPr>
          <w:rFonts w:eastAsia="SimSun" w:cs="Helvetica Neue"/>
          <w:color w:val="000000"/>
          <w:szCs w:val="26"/>
          <w:lang w:val="en-GB" w:eastAsia="en-IE"/>
        </w:rPr>
        <w:t xml:space="preserve"> and </w:t>
      </w:r>
      <w:r w:rsidRPr="00842A52">
        <w:rPr>
          <w:rFonts w:eastAsia="SimSun" w:cs="Helvetica Neue"/>
          <w:color w:val="000000"/>
          <w:szCs w:val="26"/>
          <w:lang w:val="en-GB" w:eastAsia="en-IE"/>
        </w:rPr>
        <w:t xml:space="preserve">D’Exelle, </w:t>
      </w:r>
      <w:r w:rsidR="00461652" w:rsidRPr="00842A52">
        <w:rPr>
          <w:rFonts w:eastAsia="SimSun" w:cs="Helvetica Neue"/>
          <w:color w:val="000000"/>
          <w:szCs w:val="26"/>
          <w:lang w:val="en-GB" w:eastAsia="en-IE"/>
        </w:rPr>
        <w:t>B.</w:t>
      </w:r>
      <w:r w:rsidRPr="00842A52">
        <w:rPr>
          <w:rFonts w:eastAsia="SimSun" w:cs="Helvetica Neue"/>
          <w:color w:val="000000"/>
          <w:szCs w:val="26"/>
          <w:lang w:val="en-GB" w:eastAsia="en-IE"/>
        </w:rPr>
        <w:t xml:space="preserve"> (2020) Nothing but the truth: Consistency and efficiency of the list experiment method for the measurement of sensitive health behaviours, </w:t>
      </w:r>
      <w:r w:rsidRPr="00842A52">
        <w:rPr>
          <w:rFonts w:eastAsia="SimSun" w:cs="Helvetica Neue"/>
          <w:b/>
          <w:bCs/>
          <w:color w:val="000000"/>
          <w:szCs w:val="26"/>
          <w:lang w:val="en-GB" w:eastAsia="en-IE"/>
        </w:rPr>
        <w:t>Social Science &amp; Medicine</w:t>
      </w:r>
      <w:r w:rsidRPr="00842A52">
        <w:rPr>
          <w:rFonts w:eastAsia="SimSun" w:cs="Helvetica Neue"/>
          <w:color w:val="000000"/>
          <w:szCs w:val="26"/>
          <w:lang w:val="en-GB" w:eastAsia="en-IE"/>
        </w:rPr>
        <w:t>, 266, 1-10</w:t>
      </w:r>
      <w:r w:rsidR="00B53681" w:rsidRPr="00842A52">
        <w:rPr>
          <w:szCs w:val="26"/>
        </w:rPr>
        <w:t xml:space="preserve"> </w:t>
      </w:r>
      <w:hyperlink r:id="rId87" w:history="1">
        <w:r w:rsidR="00B53681" w:rsidRPr="00842A52">
          <w:rPr>
            <w:rStyle w:val="Hyperlink"/>
            <w:color w:val="067499"/>
            <w:szCs w:val="26"/>
            <w:shd w:val="clear" w:color="auto" w:fill="FFFFFF"/>
          </w:rPr>
          <w:t> https://doi.org/10.1016/j.socscimed.2020.113326 </w:t>
        </w:r>
      </w:hyperlink>
    </w:p>
    <w:p w14:paraId="72BCFD52"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574F2102" w14:textId="73F463DF" w:rsidR="00C23C76" w:rsidRPr="00842A52" w:rsidRDefault="00C23C76" w:rsidP="00B53681">
      <w:pPr>
        <w:spacing w:after="0"/>
        <w:rPr>
          <w:szCs w:val="26"/>
          <w:lang w:eastAsia="en-GB"/>
        </w:rPr>
      </w:pPr>
      <w:r w:rsidRPr="00842A52">
        <w:rPr>
          <w:rFonts w:eastAsia="SimSun" w:cs="Helvetica Neue"/>
          <w:color w:val="000000"/>
          <w:szCs w:val="26"/>
          <w:lang w:val="en-GB" w:eastAsia="en-IE"/>
        </w:rPr>
        <w:t>Lipson, J.</w:t>
      </w:r>
      <w:r w:rsidR="007020D1"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2020</w:t>
      </w:r>
      <w:r w:rsidR="007020D1"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Perceptions of and behavior toward university students with autism. </w:t>
      </w:r>
      <w:r w:rsidRPr="00842A52">
        <w:rPr>
          <w:rFonts w:eastAsia="SimSun" w:cs="Helvetica Neue"/>
          <w:b/>
          <w:bCs/>
          <w:color w:val="000000"/>
          <w:szCs w:val="26"/>
          <w:lang w:val="en-GB" w:eastAsia="en-IE"/>
        </w:rPr>
        <w:t>Basic and Applied Social Psychology,</w:t>
      </w:r>
      <w:r w:rsidRPr="00842A52">
        <w:rPr>
          <w:rFonts w:eastAsia="SimSun" w:cs="Helvetica Neue"/>
          <w:color w:val="000000"/>
          <w:szCs w:val="26"/>
          <w:lang w:val="en-GB" w:eastAsia="en-IE"/>
        </w:rPr>
        <w:t xml:space="preserve"> 42(5), pp.354-368.</w:t>
      </w:r>
      <w:r w:rsidR="00B53681" w:rsidRPr="00842A52">
        <w:rPr>
          <w:szCs w:val="26"/>
        </w:rPr>
        <w:t xml:space="preserve"> </w:t>
      </w:r>
      <w:hyperlink r:id="rId88" w:history="1">
        <w:r w:rsidR="00B53681" w:rsidRPr="00842A52">
          <w:rPr>
            <w:rStyle w:val="Hyperlink"/>
            <w:color w:val="067499"/>
            <w:szCs w:val="26"/>
            <w:shd w:val="clear" w:color="auto" w:fill="FFFFFF"/>
          </w:rPr>
          <w:t> https://doi.org/10.1080/01973533.2020.1785468 </w:t>
        </w:r>
      </w:hyperlink>
    </w:p>
    <w:p w14:paraId="11B22B10"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7B2AB669" w14:textId="7261B8F1"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Loch, A.A.</w:t>
      </w:r>
      <w:r w:rsidR="00B53681"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2014</w:t>
      </w:r>
      <w:r w:rsidR="00B53681"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Patterns of stigma toward schizophrenia among the general population: a latent profile analysis. </w:t>
      </w:r>
      <w:r w:rsidRPr="00842A52">
        <w:rPr>
          <w:rFonts w:eastAsia="SimSun" w:cs="Helvetica Neue"/>
          <w:b/>
          <w:bCs/>
          <w:color w:val="000000"/>
          <w:szCs w:val="26"/>
          <w:lang w:val="en-GB" w:eastAsia="en-IE"/>
        </w:rPr>
        <w:t>International Journal of Social Psychiatry,</w:t>
      </w:r>
      <w:r w:rsidRPr="00842A52">
        <w:rPr>
          <w:rFonts w:eastAsia="SimSun" w:cs="Helvetica Neue"/>
          <w:color w:val="000000"/>
          <w:szCs w:val="26"/>
          <w:lang w:val="en-GB" w:eastAsia="en-IE"/>
        </w:rPr>
        <w:t xml:space="preserve"> 60(6), pp.595-605. </w:t>
      </w:r>
      <w:hyperlink r:id="rId89" w:history="1">
        <w:r w:rsidRPr="00842A52">
          <w:rPr>
            <w:rStyle w:val="Hyperlink"/>
            <w:rFonts w:eastAsia="SimSun" w:cs="Helvetica Neue"/>
            <w:szCs w:val="26"/>
            <w:lang w:val="en-GB" w:eastAsia="en-IE"/>
          </w:rPr>
          <w:t>https://doi.org/10.1177/0020764013507248</w:t>
        </w:r>
      </w:hyperlink>
      <w:r w:rsidRPr="00842A52">
        <w:rPr>
          <w:rFonts w:eastAsia="SimSun" w:cs="Helvetica Neue"/>
          <w:color w:val="000000"/>
          <w:szCs w:val="26"/>
          <w:lang w:val="en-GB" w:eastAsia="en-IE"/>
        </w:rPr>
        <w:t xml:space="preserve"> </w:t>
      </w:r>
    </w:p>
    <w:p w14:paraId="30A4E3CA"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40C389C9" w14:textId="76B759D7" w:rsidR="00C23C76" w:rsidRPr="00842A52" w:rsidRDefault="00C23C76" w:rsidP="008B43AC">
      <w:pPr>
        <w:spacing w:after="0"/>
        <w:rPr>
          <w:szCs w:val="26"/>
          <w:lang w:eastAsia="en-GB"/>
        </w:rPr>
      </w:pPr>
      <w:r w:rsidRPr="00842A52">
        <w:rPr>
          <w:rFonts w:cs="Calibri"/>
          <w:color w:val="000000"/>
          <w:szCs w:val="26"/>
          <w:shd w:val="clear" w:color="auto" w:fill="FFFFFF"/>
        </w:rPr>
        <w:t xml:space="preserve">Loosveldt, G. </w:t>
      </w:r>
      <w:r w:rsidR="008B43AC" w:rsidRPr="00842A52">
        <w:rPr>
          <w:rFonts w:cs="Calibri"/>
          <w:color w:val="000000"/>
          <w:szCs w:val="26"/>
          <w:shd w:val="clear" w:color="auto" w:fill="FFFFFF"/>
        </w:rPr>
        <w:t>(</w:t>
      </w:r>
      <w:r w:rsidRPr="00842A52">
        <w:rPr>
          <w:rFonts w:cs="Calibri"/>
          <w:color w:val="000000"/>
          <w:szCs w:val="26"/>
          <w:shd w:val="clear" w:color="auto" w:fill="FFFFFF"/>
        </w:rPr>
        <w:t>2022</w:t>
      </w:r>
      <w:r w:rsidR="008B43AC" w:rsidRPr="00842A52">
        <w:rPr>
          <w:rFonts w:cs="Calibri"/>
          <w:color w:val="000000"/>
          <w:szCs w:val="26"/>
          <w:shd w:val="clear" w:color="auto" w:fill="FFFFFF"/>
        </w:rPr>
        <w:t>)</w:t>
      </w:r>
      <w:r w:rsidRPr="00842A52">
        <w:rPr>
          <w:rFonts w:cs="Calibri"/>
          <w:color w:val="000000"/>
          <w:szCs w:val="26"/>
          <w:shd w:val="clear" w:color="auto" w:fill="FFFFFF"/>
        </w:rPr>
        <w:t xml:space="preserve"> Interviewers and their impact on survey quality: lessons for EU-SILC from the European Social Survey.</w:t>
      </w:r>
      <w:r w:rsidR="008B43AC" w:rsidRPr="00842A52">
        <w:rPr>
          <w:rFonts w:cs="Calibri"/>
          <w:color w:val="000000"/>
          <w:szCs w:val="26"/>
          <w:shd w:val="clear" w:color="auto" w:fill="FFFFFF"/>
        </w:rPr>
        <w:t xml:space="preserve"> Available from: </w:t>
      </w:r>
      <w:hyperlink r:id="rId90" w:tgtFrame="_blank" w:history="1">
        <w:r w:rsidR="008B43AC" w:rsidRPr="00842A52">
          <w:rPr>
            <w:rStyle w:val="Hyperlink"/>
            <w:rFonts w:cs="Arial"/>
            <w:color w:val="1A0DAB"/>
            <w:szCs w:val="26"/>
            <w:shd w:val="clear" w:color="auto" w:fill="FFFFFF"/>
          </w:rPr>
          <w:t>https://lirias.kuleuven.be/retrieve/670504</w:t>
        </w:r>
      </w:hyperlink>
      <w:r w:rsidR="008B43AC" w:rsidRPr="00842A52">
        <w:rPr>
          <w:szCs w:val="26"/>
        </w:rPr>
        <w:t xml:space="preserve"> [last accessed November 2022]</w:t>
      </w:r>
    </w:p>
    <w:p w14:paraId="72FE74F4" w14:textId="77777777" w:rsidR="008B43AC" w:rsidRPr="00842A52" w:rsidRDefault="008B43AC" w:rsidP="008B43AC">
      <w:pPr>
        <w:spacing w:after="0"/>
        <w:rPr>
          <w:szCs w:val="26"/>
          <w:lang w:eastAsia="en-GB"/>
        </w:rPr>
      </w:pPr>
    </w:p>
    <w:p w14:paraId="2889AFD9" w14:textId="0DF032BF" w:rsidR="00C23C76" w:rsidRPr="00842A52" w:rsidRDefault="00C23C76" w:rsidP="008B43AC">
      <w:pPr>
        <w:spacing w:after="0"/>
        <w:rPr>
          <w:szCs w:val="26"/>
          <w:lang w:eastAsia="en-GB"/>
        </w:rPr>
      </w:pPr>
      <w:r w:rsidRPr="00842A52">
        <w:rPr>
          <w:rFonts w:cs="Calibri"/>
          <w:color w:val="000000"/>
          <w:szCs w:val="26"/>
          <w:shd w:val="clear" w:color="auto" w:fill="FFFFFF"/>
        </w:rPr>
        <w:t>Lum, J.</w:t>
      </w:r>
      <w:r w:rsidR="008B43AC" w:rsidRPr="00842A52">
        <w:rPr>
          <w:rFonts w:cs="Calibri"/>
          <w:color w:val="000000"/>
          <w:szCs w:val="26"/>
          <w:shd w:val="clear" w:color="auto" w:fill="FFFFFF"/>
        </w:rPr>
        <w:t xml:space="preserve"> et al. (</w:t>
      </w:r>
      <w:r w:rsidRPr="00842A52">
        <w:rPr>
          <w:rFonts w:cs="Calibri"/>
          <w:color w:val="000000"/>
          <w:szCs w:val="26"/>
          <w:shd w:val="clear" w:color="auto" w:fill="FFFFFF"/>
        </w:rPr>
        <w:t>2021</w:t>
      </w:r>
      <w:r w:rsidR="008B43AC" w:rsidRPr="00842A52">
        <w:rPr>
          <w:rFonts w:cs="Calibri"/>
          <w:color w:val="000000"/>
          <w:szCs w:val="26"/>
          <w:shd w:val="clear" w:color="auto" w:fill="FFFFFF"/>
        </w:rPr>
        <w:t>)</w:t>
      </w:r>
      <w:r w:rsidRPr="00842A52">
        <w:rPr>
          <w:rFonts w:cs="Calibri"/>
          <w:color w:val="000000"/>
          <w:szCs w:val="26"/>
          <w:shd w:val="clear" w:color="auto" w:fill="FFFFFF"/>
        </w:rPr>
        <w:t xml:space="preserve"> Implicit associations related to physical disability among nursing students. </w:t>
      </w:r>
      <w:r w:rsidRPr="00842A52">
        <w:rPr>
          <w:rFonts w:cs="Calibri"/>
          <w:b/>
          <w:bCs/>
          <w:color w:val="000000"/>
          <w:szCs w:val="26"/>
          <w:shd w:val="clear" w:color="auto" w:fill="FFFFFF"/>
        </w:rPr>
        <w:t>Disability and Health Journal</w:t>
      </w:r>
      <w:r w:rsidRPr="00842A52">
        <w:rPr>
          <w:rFonts w:cs="Calibri"/>
          <w:color w:val="000000"/>
          <w:szCs w:val="26"/>
          <w:shd w:val="clear" w:color="auto" w:fill="FFFFFF"/>
        </w:rPr>
        <w:t>, 14(4), p.101150.</w:t>
      </w:r>
      <w:r w:rsidR="008B43AC" w:rsidRPr="00842A52">
        <w:rPr>
          <w:rFonts w:cs="Calibri"/>
          <w:color w:val="000000"/>
          <w:szCs w:val="26"/>
          <w:shd w:val="clear" w:color="auto" w:fill="FFFFFF"/>
        </w:rPr>
        <w:t xml:space="preserve"> </w:t>
      </w:r>
      <w:hyperlink r:id="rId91" w:history="1">
        <w:r w:rsidR="008B43AC" w:rsidRPr="00842A52">
          <w:rPr>
            <w:rStyle w:val="Hyperlink"/>
            <w:color w:val="067499"/>
            <w:szCs w:val="26"/>
            <w:shd w:val="clear" w:color="auto" w:fill="FFFFFF"/>
          </w:rPr>
          <w:t> https://doi.org/10.1016/j.dhjo.2021.101150 </w:t>
        </w:r>
      </w:hyperlink>
    </w:p>
    <w:p w14:paraId="52D78ACC" w14:textId="77777777" w:rsidR="008B43AC" w:rsidRPr="00842A52" w:rsidRDefault="008B43AC" w:rsidP="008B43AC">
      <w:pPr>
        <w:spacing w:after="0"/>
        <w:rPr>
          <w:szCs w:val="26"/>
          <w:lang w:eastAsia="en-GB"/>
        </w:rPr>
      </w:pPr>
    </w:p>
    <w:p w14:paraId="452BEAC7" w14:textId="50E6508C" w:rsidR="00C23C76" w:rsidRPr="00842A52" w:rsidRDefault="00C23C76" w:rsidP="00C23C76">
      <w:pPr>
        <w:rPr>
          <w:rFonts w:cs="Calibri"/>
          <w:color w:val="000000"/>
          <w:szCs w:val="26"/>
          <w:shd w:val="clear" w:color="auto" w:fill="FFFFFF"/>
        </w:rPr>
      </w:pPr>
      <w:r w:rsidRPr="00842A52">
        <w:rPr>
          <w:rFonts w:cs="Calibri"/>
          <w:color w:val="000000"/>
          <w:szCs w:val="26"/>
          <w:shd w:val="clear" w:color="auto" w:fill="FFFFFF"/>
        </w:rPr>
        <w:t xml:space="preserve">Lundy, C. </w:t>
      </w:r>
      <w:r w:rsidR="002C1CB0" w:rsidRPr="00842A52">
        <w:rPr>
          <w:rFonts w:cs="Calibri"/>
          <w:color w:val="000000"/>
          <w:szCs w:val="26"/>
          <w:shd w:val="clear" w:color="auto" w:fill="FFFFFF"/>
        </w:rPr>
        <w:t>(</w:t>
      </w:r>
      <w:r w:rsidRPr="00842A52">
        <w:rPr>
          <w:rFonts w:cs="Calibri"/>
          <w:color w:val="000000"/>
          <w:szCs w:val="26"/>
          <w:shd w:val="clear" w:color="auto" w:fill="FFFFFF"/>
        </w:rPr>
        <w:t>2019</w:t>
      </w:r>
      <w:r w:rsidR="002C1CB0" w:rsidRPr="00842A52">
        <w:rPr>
          <w:rFonts w:cs="Calibri"/>
          <w:color w:val="000000"/>
          <w:szCs w:val="26"/>
          <w:shd w:val="clear" w:color="auto" w:fill="FFFFFF"/>
        </w:rPr>
        <w:t>)</w:t>
      </w:r>
      <w:r w:rsidRPr="00842A52">
        <w:rPr>
          <w:rFonts w:cs="Calibri"/>
          <w:color w:val="000000"/>
          <w:szCs w:val="26"/>
          <w:shd w:val="clear" w:color="auto" w:fill="FFFFFF"/>
        </w:rPr>
        <w:t xml:space="preserve"> </w:t>
      </w:r>
      <w:r w:rsidRPr="00842A52">
        <w:rPr>
          <w:rFonts w:cs="Calibri"/>
          <w:b/>
          <w:bCs/>
          <w:color w:val="000000"/>
          <w:szCs w:val="26"/>
          <w:shd w:val="clear" w:color="auto" w:fill="FFFFFF"/>
        </w:rPr>
        <w:t>The Stigmatization of Concealable and Apparent Intellectual Disabilities</w:t>
      </w:r>
      <w:r w:rsidRPr="00842A52">
        <w:rPr>
          <w:rFonts w:cs="Calibri"/>
          <w:color w:val="000000"/>
          <w:szCs w:val="26"/>
          <w:shd w:val="clear" w:color="auto" w:fill="FFFFFF"/>
        </w:rPr>
        <w:t>.</w:t>
      </w:r>
      <w:r w:rsidR="002C1CB0" w:rsidRPr="00842A52">
        <w:rPr>
          <w:rFonts w:cs="Calibri"/>
          <w:color w:val="000000"/>
          <w:szCs w:val="26"/>
          <w:shd w:val="clear" w:color="auto" w:fill="FFFFFF"/>
        </w:rPr>
        <w:t xml:space="preserve"> Unpublished PhD thesis. University of Mississippi. Available from: </w:t>
      </w:r>
      <w:hyperlink r:id="rId92" w:history="1">
        <w:r w:rsidR="002C1CB0" w:rsidRPr="00842A52">
          <w:rPr>
            <w:rStyle w:val="Hyperlink"/>
            <w:rFonts w:cs="Calibri"/>
            <w:szCs w:val="26"/>
            <w:shd w:val="clear" w:color="auto" w:fill="FFFFFF"/>
          </w:rPr>
          <w:t>https://egrove.olemiss.edu/hon_thesis/1090/</w:t>
        </w:r>
      </w:hyperlink>
      <w:r w:rsidR="002C1CB0" w:rsidRPr="00842A52">
        <w:rPr>
          <w:rFonts w:cs="Calibri"/>
          <w:color w:val="000000"/>
          <w:szCs w:val="26"/>
          <w:shd w:val="clear" w:color="auto" w:fill="FFFFFF"/>
        </w:rPr>
        <w:t xml:space="preserve"> [last accessed November 2022]</w:t>
      </w:r>
    </w:p>
    <w:p w14:paraId="2EACFCAD" w14:textId="5A006EC1" w:rsidR="009E4680" w:rsidRPr="00842A52" w:rsidRDefault="009E4680" w:rsidP="009E4680">
      <w:pPr>
        <w:pStyle w:val="FootnoteText"/>
        <w:rPr>
          <w:sz w:val="26"/>
          <w:szCs w:val="26"/>
        </w:rPr>
      </w:pPr>
      <w:r w:rsidRPr="00842A52">
        <w:rPr>
          <w:sz w:val="26"/>
          <w:szCs w:val="26"/>
        </w:rPr>
        <w:t xml:space="preserve">Lust, E. et al. (2019) ‘The Local Governance and Performance Index (LGPI) 2019: Kenya, Malawi, Zambia”’The Program on Governance and Local Development, University of Gothenburg. Available from: </w:t>
      </w:r>
      <w:hyperlink r:id="rId93" w:history="1">
        <w:r w:rsidRPr="00842A52">
          <w:rPr>
            <w:rStyle w:val="Hyperlink"/>
            <w:sz w:val="26"/>
            <w:szCs w:val="26"/>
          </w:rPr>
          <w:t>https://gld.gu.se/media/2265/lgpi-concept-note.pdf</w:t>
        </w:r>
      </w:hyperlink>
      <w:r w:rsidRPr="00842A52">
        <w:rPr>
          <w:sz w:val="26"/>
          <w:szCs w:val="26"/>
        </w:rPr>
        <w:t xml:space="preserve"> [last accessed November 2022]</w:t>
      </w:r>
    </w:p>
    <w:p w14:paraId="15FAA6CF" w14:textId="77777777" w:rsidR="00A22F73" w:rsidRPr="00842A52" w:rsidRDefault="00A22F73" w:rsidP="00A2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48E4D7E0" w14:textId="0063F6AB" w:rsidR="00A22F73" w:rsidRPr="00842A52" w:rsidRDefault="00A22F73" w:rsidP="00A2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Machery, E. (2016) ‘De-Freuding implicit attitudes’ in M. Browstein and J.</w:t>
      </w:r>
    </w:p>
    <w:p w14:paraId="0E3A83D2" w14:textId="77777777" w:rsidR="00A22F73" w:rsidRPr="00842A52" w:rsidRDefault="00A22F73" w:rsidP="00A2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b/>
          <w:bCs/>
          <w:color w:val="000000"/>
          <w:szCs w:val="26"/>
          <w:lang w:val="en-GB" w:eastAsia="en-IE"/>
        </w:rPr>
      </w:pPr>
      <w:r w:rsidRPr="00842A52">
        <w:rPr>
          <w:rFonts w:eastAsia="SimSun" w:cs="Helvetica Neue"/>
          <w:color w:val="000000"/>
          <w:szCs w:val="26"/>
          <w:lang w:val="en-GB" w:eastAsia="en-IE"/>
        </w:rPr>
        <w:t xml:space="preserve">Saul (eds.), </w:t>
      </w:r>
      <w:r w:rsidRPr="00842A52">
        <w:rPr>
          <w:rFonts w:eastAsia="SimSun" w:cs="Helvetica Neue"/>
          <w:b/>
          <w:bCs/>
          <w:color w:val="000000"/>
          <w:szCs w:val="26"/>
          <w:lang w:val="en-GB" w:eastAsia="en-IE"/>
        </w:rPr>
        <w:t>Implicit Bias and Philosophy: Metaphysics and Epistemology</w:t>
      </w:r>
    </w:p>
    <w:p w14:paraId="77606A8F" w14:textId="4BDE1EE1" w:rsidR="00A22F73" w:rsidRPr="00842A52" w:rsidRDefault="00A22F73" w:rsidP="00A22F73">
      <w:pPr>
        <w:rPr>
          <w:rFonts w:eastAsia="SimSun" w:cs="Helvetica Neue"/>
          <w:color w:val="000000"/>
          <w:szCs w:val="26"/>
          <w:lang w:val="en-GB" w:eastAsia="en-IE"/>
        </w:rPr>
      </w:pPr>
      <w:r w:rsidRPr="00842A52">
        <w:rPr>
          <w:rFonts w:eastAsia="SimSun" w:cs="Helvetica Neue"/>
          <w:color w:val="000000"/>
          <w:szCs w:val="26"/>
          <w:lang w:val="en-GB" w:eastAsia="en-IE"/>
        </w:rPr>
        <w:t>Oxford, UK: Oxford University Press, pp. 104–129</w:t>
      </w:r>
    </w:p>
    <w:p w14:paraId="32025C2C" w14:textId="20C2D4A7" w:rsidR="00A22F73" w:rsidRPr="0093481B" w:rsidRDefault="00A22F73" w:rsidP="00C23C76">
      <w:pPr>
        <w:rPr>
          <w:rFonts w:eastAsia="SimSun" w:cs="Helvetica Neue"/>
          <w:color w:val="000000"/>
          <w:szCs w:val="26"/>
          <w:lang w:val="en-GB" w:eastAsia="en-IE"/>
        </w:rPr>
      </w:pPr>
      <w:r w:rsidRPr="00842A52">
        <w:rPr>
          <w:rFonts w:eastAsia="SimSun" w:cs="Helvetica Neue"/>
          <w:color w:val="000000"/>
          <w:szCs w:val="26"/>
          <w:lang w:val="en-GB" w:eastAsia="en-IE"/>
        </w:rPr>
        <w:t xml:space="preserve">Matthews, N.L., Ly, A.R., and Goldberg, W.A. (2015) College students’ perceptions of peers with autism spectrum disorder. </w:t>
      </w:r>
      <w:r w:rsidRPr="00842A52">
        <w:rPr>
          <w:rFonts w:eastAsia="SimSun" w:cs="Helvetica Neue"/>
          <w:b/>
          <w:bCs/>
          <w:color w:val="000000"/>
          <w:szCs w:val="26"/>
          <w:lang w:val="en-GB" w:eastAsia="en-IE"/>
        </w:rPr>
        <w:t>Journal of Autism and Developmental Disorders</w:t>
      </w:r>
      <w:r w:rsidRPr="00842A52">
        <w:rPr>
          <w:rFonts w:eastAsia="SimSun" w:cs="Helvetica Neue"/>
          <w:color w:val="000000"/>
          <w:szCs w:val="26"/>
          <w:lang w:val="en-GB" w:eastAsia="en-IE"/>
        </w:rPr>
        <w:t xml:space="preserve">, 45(1), 90-99. </w:t>
      </w:r>
      <w:hyperlink r:id="rId94" w:history="1">
        <w:r w:rsidRPr="00842A52">
          <w:rPr>
            <w:rStyle w:val="Hyperlink"/>
            <w:rFonts w:eastAsia="SimSun" w:cs="Helvetica Neue"/>
            <w:szCs w:val="26"/>
            <w:lang w:val="en-GB" w:eastAsia="en-IE"/>
          </w:rPr>
          <w:t>https://doi.org/10.1007/s10803-014-2195-6</w:t>
        </w:r>
      </w:hyperlink>
      <w:r w:rsidR="0093481B">
        <w:rPr>
          <w:rFonts w:eastAsia="SimSun" w:cs="Helvetica Neue"/>
          <w:color w:val="000000"/>
          <w:szCs w:val="26"/>
          <w:lang w:val="en-GB" w:eastAsia="en-IE"/>
        </w:rPr>
        <w:t xml:space="preserve"> </w:t>
      </w:r>
    </w:p>
    <w:p w14:paraId="40DAB10E" w14:textId="143D5691" w:rsidR="00C23C76" w:rsidRPr="00842A52" w:rsidRDefault="00C23C76" w:rsidP="00C23C76">
      <w:pPr>
        <w:rPr>
          <w:rFonts w:cs="Calibri"/>
          <w:color w:val="000000"/>
          <w:szCs w:val="26"/>
          <w:shd w:val="clear" w:color="auto" w:fill="FFFFFF"/>
        </w:rPr>
      </w:pPr>
      <w:r w:rsidRPr="00842A52">
        <w:rPr>
          <w:rFonts w:cs="Calibri"/>
          <w:color w:val="000000"/>
          <w:szCs w:val="26"/>
          <w:shd w:val="clear" w:color="auto" w:fill="FFFFFF"/>
        </w:rPr>
        <w:t>Marquis, L</w:t>
      </w:r>
      <w:r w:rsidR="002C1CB0" w:rsidRPr="00842A52">
        <w:rPr>
          <w:rFonts w:cs="Calibri"/>
          <w:color w:val="000000"/>
          <w:szCs w:val="26"/>
          <w:shd w:val="clear" w:color="auto" w:fill="FFFFFF"/>
        </w:rPr>
        <w:t>.</w:t>
      </w:r>
      <w:r w:rsidRPr="00842A52">
        <w:rPr>
          <w:rFonts w:cs="Calibri"/>
          <w:color w:val="000000"/>
          <w:szCs w:val="26"/>
          <w:shd w:val="clear" w:color="auto" w:fill="FFFFFF"/>
        </w:rPr>
        <w:t xml:space="preserve"> (2017) Conformism in opinions about the welfare state in Switzerland: results from a List Experiment no. 69 IEPHI (Institute of Political, Historical and International Studies, University of Lausanne) Working Paper Series</w:t>
      </w:r>
      <w:r w:rsidR="002C1CB0" w:rsidRPr="00842A52">
        <w:rPr>
          <w:rFonts w:cs="Calibri"/>
          <w:color w:val="000000"/>
          <w:szCs w:val="26"/>
          <w:shd w:val="clear" w:color="auto" w:fill="FFFFFF"/>
        </w:rPr>
        <w:t>.</w:t>
      </w:r>
      <w:r w:rsidRPr="00842A52">
        <w:rPr>
          <w:rFonts w:cs="Calibri"/>
          <w:color w:val="000000"/>
          <w:szCs w:val="26"/>
          <w:shd w:val="clear" w:color="auto" w:fill="FFFFFF"/>
        </w:rPr>
        <w:t xml:space="preserve"> </w:t>
      </w:r>
      <w:r w:rsidR="002C1CB0" w:rsidRPr="00842A52">
        <w:rPr>
          <w:rFonts w:cs="Calibri"/>
          <w:color w:val="000000"/>
          <w:szCs w:val="26"/>
          <w:shd w:val="clear" w:color="auto" w:fill="FFFFFF"/>
        </w:rPr>
        <w:t>Available from:</w:t>
      </w:r>
      <w:r w:rsidRPr="00842A52">
        <w:rPr>
          <w:rFonts w:cs="Calibri"/>
          <w:color w:val="000000"/>
          <w:szCs w:val="26"/>
          <w:shd w:val="clear" w:color="auto" w:fill="FFFFFF"/>
        </w:rPr>
        <w:t xml:space="preserve"> </w:t>
      </w:r>
      <w:hyperlink r:id="rId95" w:history="1">
        <w:r w:rsidR="002C1CB0" w:rsidRPr="00842A52">
          <w:rPr>
            <w:rStyle w:val="Hyperlink"/>
            <w:rFonts w:cs="Calibri"/>
            <w:szCs w:val="26"/>
            <w:shd w:val="clear" w:color="auto" w:fill="FFFFFF"/>
          </w:rPr>
          <w:t>https://isidore.science/document/10670/1.obltne</w:t>
        </w:r>
      </w:hyperlink>
      <w:r w:rsidR="002C1CB0" w:rsidRPr="00842A52">
        <w:rPr>
          <w:rFonts w:cs="Calibri"/>
          <w:color w:val="000000"/>
          <w:szCs w:val="26"/>
          <w:shd w:val="clear" w:color="auto" w:fill="FFFFFF"/>
        </w:rPr>
        <w:t xml:space="preserve"> [last accessed November 2022]</w:t>
      </w:r>
    </w:p>
    <w:p w14:paraId="69F8F0D2" w14:textId="77777777" w:rsidR="00A22F73" w:rsidRPr="00842A52" w:rsidRDefault="00A22F73" w:rsidP="00A22F73">
      <w:pPr>
        <w:spacing w:after="0"/>
        <w:rPr>
          <w:szCs w:val="26"/>
          <w:lang w:eastAsia="en-GB"/>
        </w:rPr>
      </w:pPr>
      <w:r w:rsidRPr="00842A52">
        <w:rPr>
          <w:rFonts w:eastAsia="SimSun" w:cs="Helvetica Neue"/>
          <w:color w:val="000000"/>
          <w:szCs w:val="26"/>
          <w:lang w:val="en-GB" w:eastAsia="en-IE"/>
        </w:rPr>
        <w:t xml:space="preserve">May, T.W. et al. (2022) Attitudes toward epilepsy assessed by the SAPE questionnaire in Germany–Comparison of its psychometric properties and results in a web-based vs. face-to-face survey. </w:t>
      </w:r>
      <w:r w:rsidRPr="00842A52">
        <w:rPr>
          <w:rFonts w:eastAsia="SimSun" w:cs="Helvetica Neue"/>
          <w:b/>
          <w:bCs/>
          <w:color w:val="000000"/>
          <w:szCs w:val="26"/>
          <w:lang w:val="en-GB" w:eastAsia="en-IE"/>
        </w:rPr>
        <w:t>Epilepsy &amp; Behavior</w:t>
      </w:r>
      <w:r w:rsidRPr="00842A52">
        <w:rPr>
          <w:rFonts w:eastAsia="SimSun" w:cs="Helvetica Neue"/>
          <w:color w:val="000000"/>
          <w:szCs w:val="26"/>
          <w:lang w:val="en-GB" w:eastAsia="en-IE"/>
        </w:rPr>
        <w:t>, 130, p.108665.</w:t>
      </w:r>
      <w:r w:rsidRPr="00842A52">
        <w:rPr>
          <w:szCs w:val="26"/>
        </w:rPr>
        <w:t xml:space="preserve"> </w:t>
      </w:r>
      <w:hyperlink r:id="rId96" w:history="1">
        <w:r w:rsidRPr="00842A52">
          <w:rPr>
            <w:rStyle w:val="Hyperlink"/>
            <w:color w:val="067499"/>
            <w:szCs w:val="26"/>
            <w:shd w:val="clear" w:color="auto" w:fill="FFFFFF"/>
          </w:rPr>
          <w:t> https://doi.org/10.1016/j.yebeh.2022.108665 </w:t>
        </w:r>
      </w:hyperlink>
    </w:p>
    <w:p w14:paraId="1D90C357" w14:textId="77777777" w:rsidR="00A22F73" w:rsidRPr="00842A52" w:rsidRDefault="00A22F73" w:rsidP="00A2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27685E5E" w14:textId="1B9C40DB" w:rsidR="00A22F73" w:rsidRPr="00842A52" w:rsidRDefault="00A22F73" w:rsidP="00A22F73">
      <w:pPr>
        <w:spacing w:after="0"/>
        <w:rPr>
          <w:szCs w:val="26"/>
          <w:lang w:eastAsia="en-GB"/>
        </w:rPr>
      </w:pPr>
      <w:r w:rsidRPr="00842A52">
        <w:rPr>
          <w:rFonts w:eastAsia="SimSun" w:cs="Helvetica Neue"/>
          <w:color w:val="000000"/>
          <w:szCs w:val="26"/>
          <w:lang w:val="en-GB" w:eastAsia="en-IE"/>
        </w:rPr>
        <w:t xml:space="preserve">McCaughey, T.J. and Strohmer, D.C. (2005) Prototypes as an indirect measure of attitudes toward disability groups. </w:t>
      </w:r>
      <w:r w:rsidRPr="00842A52">
        <w:rPr>
          <w:rFonts w:eastAsia="SimSun" w:cs="Helvetica Neue"/>
          <w:b/>
          <w:bCs/>
          <w:color w:val="000000"/>
          <w:szCs w:val="26"/>
          <w:lang w:val="en-GB" w:eastAsia="en-IE"/>
        </w:rPr>
        <w:t>Rehabilitation Counseling Bulletin</w:t>
      </w:r>
      <w:r w:rsidRPr="00842A52">
        <w:rPr>
          <w:rFonts w:eastAsia="SimSun" w:cs="Helvetica Neue"/>
          <w:color w:val="000000"/>
          <w:szCs w:val="26"/>
          <w:lang w:val="en-GB" w:eastAsia="en-IE"/>
        </w:rPr>
        <w:t>, 48(2), pp.89-99.</w:t>
      </w:r>
      <w:r w:rsidRPr="00842A52">
        <w:rPr>
          <w:szCs w:val="26"/>
        </w:rPr>
        <w:t xml:space="preserve"> </w:t>
      </w:r>
      <w:hyperlink r:id="rId97" w:history="1">
        <w:r w:rsidRPr="00842A52">
          <w:rPr>
            <w:rStyle w:val="Hyperlink"/>
            <w:color w:val="067499"/>
            <w:szCs w:val="26"/>
            <w:shd w:val="clear" w:color="auto" w:fill="FFFFFF"/>
          </w:rPr>
          <w:t> https://doi.org/10.1177/00343552050480020301 </w:t>
        </w:r>
      </w:hyperlink>
    </w:p>
    <w:p w14:paraId="5470E39B" w14:textId="77777777" w:rsidR="00A22F73" w:rsidRPr="00842A52" w:rsidRDefault="00A22F73" w:rsidP="00A22F73">
      <w:pPr>
        <w:spacing w:after="0"/>
        <w:rPr>
          <w:szCs w:val="26"/>
          <w:lang w:eastAsia="en-GB"/>
        </w:rPr>
      </w:pPr>
    </w:p>
    <w:p w14:paraId="00A7800E" w14:textId="77777777" w:rsidR="00A22F73" w:rsidRPr="00842A52" w:rsidRDefault="00A22F73" w:rsidP="00A2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McDonnall, M.C., Crudden, A. and O'Mally, J. (2015) Predictors of employer attitudes toward people who are blind or visually impaired as employees. </w:t>
      </w:r>
      <w:r w:rsidRPr="00842A52">
        <w:rPr>
          <w:rFonts w:eastAsia="SimSun" w:cs="Helvetica Neue"/>
          <w:b/>
          <w:bCs/>
          <w:color w:val="000000"/>
          <w:szCs w:val="26"/>
          <w:lang w:val="en-GB" w:eastAsia="en-IE"/>
        </w:rPr>
        <w:t>Journal of Vocational Rehabilitation,</w:t>
      </w:r>
      <w:r w:rsidRPr="00842A52">
        <w:rPr>
          <w:rFonts w:eastAsia="SimSun" w:cs="Helvetica Neue"/>
          <w:color w:val="000000"/>
          <w:szCs w:val="26"/>
          <w:lang w:val="en-GB" w:eastAsia="en-IE"/>
        </w:rPr>
        <w:t xml:space="preserve"> 42(1), pp.41-50. </w:t>
      </w:r>
      <w:hyperlink r:id="rId98" w:history="1">
        <w:r w:rsidRPr="00842A52">
          <w:rPr>
            <w:rStyle w:val="Hyperlink"/>
            <w:rFonts w:eastAsia="SimSun" w:cs="Helvetica Neue"/>
            <w:szCs w:val="26"/>
            <w:lang w:val="en-GB" w:eastAsia="en-IE"/>
          </w:rPr>
          <w:t>https://doi.org/10.3233/jvr-140722</w:t>
        </w:r>
      </w:hyperlink>
      <w:r w:rsidRPr="00842A52">
        <w:rPr>
          <w:rFonts w:eastAsia="SimSun" w:cs="Helvetica Neue"/>
          <w:color w:val="000000"/>
          <w:szCs w:val="26"/>
          <w:lang w:val="en-GB" w:eastAsia="en-IE"/>
        </w:rPr>
        <w:t xml:space="preserve"> </w:t>
      </w:r>
    </w:p>
    <w:p w14:paraId="387BCE56" w14:textId="77777777" w:rsidR="00A22F73" w:rsidRPr="00842A52" w:rsidRDefault="00A22F73" w:rsidP="00C23C76">
      <w:pPr>
        <w:rPr>
          <w:rFonts w:cs="Calibri"/>
          <w:color w:val="000000"/>
          <w:szCs w:val="26"/>
          <w:shd w:val="clear" w:color="auto" w:fill="FFFFFF"/>
        </w:rPr>
      </w:pPr>
    </w:p>
    <w:p w14:paraId="728D9C29" w14:textId="1B7E9D26" w:rsidR="00A22F73" w:rsidRPr="00842A52" w:rsidRDefault="00C23C76" w:rsidP="00C23C76">
      <w:pPr>
        <w:rPr>
          <w:rFonts w:cs="Calibri"/>
          <w:color w:val="000000"/>
          <w:szCs w:val="26"/>
          <w:shd w:val="clear" w:color="auto" w:fill="FFFFFF"/>
        </w:rPr>
      </w:pPr>
      <w:r w:rsidRPr="00842A52">
        <w:rPr>
          <w:rFonts w:cs="Calibri"/>
          <w:color w:val="000000"/>
          <w:szCs w:val="26"/>
          <w:shd w:val="clear" w:color="auto" w:fill="FFFFFF"/>
        </w:rPr>
        <w:lastRenderedPageBreak/>
        <w:t>McDonnall, M.C.</w:t>
      </w:r>
      <w:r w:rsidR="00541159" w:rsidRPr="00842A52">
        <w:rPr>
          <w:rFonts w:cs="Calibri"/>
          <w:color w:val="000000"/>
          <w:szCs w:val="26"/>
          <w:shd w:val="clear" w:color="auto" w:fill="FFFFFF"/>
        </w:rPr>
        <w:t xml:space="preserve"> et al. (</w:t>
      </w:r>
      <w:r w:rsidRPr="00842A52">
        <w:rPr>
          <w:rFonts w:cs="Calibri"/>
          <w:color w:val="000000"/>
          <w:szCs w:val="26"/>
          <w:shd w:val="clear" w:color="auto" w:fill="FFFFFF"/>
        </w:rPr>
        <w:t>2019</w:t>
      </w:r>
      <w:r w:rsidR="00541159" w:rsidRPr="00842A52">
        <w:rPr>
          <w:rFonts w:cs="Calibri"/>
          <w:color w:val="000000"/>
          <w:szCs w:val="26"/>
          <w:shd w:val="clear" w:color="auto" w:fill="FFFFFF"/>
        </w:rPr>
        <w:t>)</w:t>
      </w:r>
      <w:r w:rsidRPr="00842A52">
        <w:rPr>
          <w:rFonts w:cs="Calibri"/>
          <w:color w:val="000000"/>
          <w:szCs w:val="26"/>
          <w:shd w:val="clear" w:color="auto" w:fill="FFFFFF"/>
        </w:rPr>
        <w:t xml:space="preserve"> Professionals’ implicit attitudes about the competence of people who are blind. </w:t>
      </w:r>
      <w:r w:rsidRPr="00842A52">
        <w:rPr>
          <w:rFonts w:cs="Calibri"/>
          <w:b/>
          <w:bCs/>
          <w:color w:val="000000"/>
          <w:szCs w:val="26"/>
          <w:shd w:val="clear" w:color="auto" w:fill="FFFFFF"/>
        </w:rPr>
        <w:t>Journal of Visual Impairment &amp; Blindness</w:t>
      </w:r>
      <w:r w:rsidRPr="00842A52">
        <w:rPr>
          <w:rFonts w:cs="Calibri"/>
          <w:color w:val="000000"/>
          <w:szCs w:val="26"/>
          <w:shd w:val="clear" w:color="auto" w:fill="FFFFFF"/>
        </w:rPr>
        <w:t xml:space="preserve">, 113(4), pp.341-354. </w:t>
      </w:r>
      <w:hyperlink r:id="rId99" w:history="1">
        <w:r w:rsidRPr="00842A52">
          <w:rPr>
            <w:rStyle w:val="Hyperlink"/>
            <w:rFonts w:cs="Calibri"/>
            <w:szCs w:val="26"/>
            <w:shd w:val="clear" w:color="auto" w:fill="FFFFFF"/>
          </w:rPr>
          <w:t>https://doi.org/10.1177/0145482X19865391</w:t>
        </w:r>
      </w:hyperlink>
      <w:r w:rsidR="0093481B">
        <w:rPr>
          <w:rFonts w:cs="Calibri"/>
          <w:color w:val="000000"/>
          <w:szCs w:val="26"/>
          <w:shd w:val="clear" w:color="auto" w:fill="FFFFFF"/>
        </w:rPr>
        <w:t xml:space="preserve"> </w:t>
      </w:r>
    </w:p>
    <w:p w14:paraId="162E814F" w14:textId="7740717D" w:rsidR="00C23C76" w:rsidRPr="00842A52" w:rsidRDefault="00C23C76" w:rsidP="00541159">
      <w:pPr>
        <w:spacing w:after="0"/>
        <w:rPr>
          <w:rStyle w:val="Hyperlink"/>
          <w:color w:val="067499"/>
          <w:szCs w:val="26"/>
          <w:shd w:val="clear" w:color="auto" w:fill="FFFFFF"/>
        </w:rPr>
      </w:pPr>
      <w:r w:rsidRPr="00842A52">
        <w:rPr>
          <w:rFonts w:cs="Calibri"/>
          <w:color w:val="000000"/>
          <w:szCs w:val="26"/>
          <w:shd w:val="clear" w:color="auto" w:fill="FFFFFF"/>
        </w:rPr>
        <w:t>Mckenzie, J.</w:t>
      </w:r>
      <w:r w:rsidR="00541159" w:rsidRPr="00842A52">
        <w:rPr>
          <w:rFonts w:cs="Calibri"/>
          <w:color w:val="000000"/>
          <w:szCs w:val="26"/>
          <w:shd w:val="clear" w:color="auto" w:fill="FFFFFF"/>
        </w:rPr>
        <w:t xml:space="preserve"> et al. (</w:t>
      </w:r>
      <w:r w:rsidRPr="00842A52">
        <w:rPr>
          <w:rFonts w:cs="Calibri"/>
          <w:color w:val="000000"/>
          <w:szCs w:val="26"/>
          <w:shd w:val="clear" w:color="auto" w:fill="FFFFFF"/>
        </w:rPr>
        <w:t>2011</w:t>
      </w:r>
      <w:r w:rsidR="00541159" w:rsidRPr="00842A52">
        <w:rPr>
          <w:rFonts w:cs="Calibri"/>
          <w:color w:val="000000"/>
          <w:szCs w:val="26"/>
          <w:shd w:val="clear" w:color="auto" w:fill="FFFFFF"/>
        </w:rPr>
        <w:t>)</w:t>
      </w:r>
      <w:r w:rsidRPr="00842A52">
        <w:rPr>
          <w:rFonts w:cs="Calibri"/>
          <w:color w:val="000000"/>
          <w:szCs w:val="26"/>
          <w:shd w:val="clear" w:color="auto" w:fill="FFFFFF"/>
        </w:rPr>
        <w:t xml:space="preserve"> A case for the use of Q-methodology in disability research: lessons learned from a training workshop. </w:t>
      </w:r>
      <w:r w:rsidRPr="00842A52">
        <w:rPr>
          <w:rFonts w:cs="Calibri"/>
          <w:b/>
          <w:bCs/>
          <w:color w:val="000000"/>
          <w:szCs w:val="26"/>
          <w:shd w:val="clear" w:color="auto" w:fill="FFFFFF"/>
        </w:rPr>
        <w:t>Disability and Rehabilitation</w:t>
      </w:r>
      <w:r w:rsidRPr="00842A52">
        <w:rPr>
          <w:rFonts w:cs="Calibri"/>
          <w:color w:val="000000"/>
          <w:szCs w:val="26"/>
          <w:shd w:val="clear" w:color="auto" w:fill="FFFFFF"/>
        </w:rPr>
        <w:t>, 33(21-22), pp.2134-2141.</w:t>
      </w:r>
      <w:r w:rsidR="00541159" w:rsidRPr="00842A52">
        <w:rPr>
          <w:szCs w:val="26"/>
        </w:rPr>
        <w:t xml:space="preserve"> </w:t>
      </w:r>
      <w:hyperlink r:id="rId100" w:history="1">
        <w:r w:rsidR="00541159" w:rsidRPr="00842A52">
          <w:rPr>
            <w:rStyle w:val="Hyperlink"/>
            <w:color w:val="067499"/>
            <w:szCs w:val="26"/>
            <w:shd w:val="clear" w:color="auto" w:fill="FFFFFF"/>
          </w:rPr>
          <w:t> https://doi.org/10.3109/09638288.2011.560327 </w:t>
        </w:r>
      </w:hyperlink>
    </w:p>
    <w:p w14:paraId="7E4EC40A" w14:textId="77777777" w:rsidR="00A22F73" w:rsidRPr="00842A52" w:rsidRDefault="00A22F73" w:rsidP="00541159">
      <w:pPr>
        <w:spacing w:after="0"/>
        <w:rPr>
          <w:szCs w:val="26"/>
          <w:lang w:eastAsia="en-GB"/>
        </w:rPr>
      </w:pPr>
    </w:p>
    <w:p w14:paraId="11236A2D" w14:textId="233965F4" w:rsidR="00C23C76" w:rsidRPr="00842A52" w:rsidRDefault="00A22F73" w:rsidP="00A2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Meza, J.I. et al. (2019) Stigma and attention-deficit/hyperactivity disorder: negative perceptions and anger emotional reactions mediate the link between active symptoms and social distance. </w:t>
      </w:r>
      <w:r w:rsidRPr="00842A52">
        <w:rPr>
          <w:rFonts w:eastAsia="SimSun" w:cs="Helvetica Neue"/>
          <w:b/>
          <w:bCs/>
          <w:color w:val="000000"/>
          <w:szCs w:val="26"/>
          <w:lang w:val="en-GB" w:eastAsia="en-IE"/>
        </w:rPr>
        <w:t>ADHD Attention Deficit and Hyperactivity Disorders,</w:t>
      </w:r>
      <w:r w:rsidRPr="00842A52">
        <w:rPr>
          <w:rFonts w:eastAsia="SimSun" w:cs="Helvetica Neue"/>
          <w:color w:val="000000"/>
          <w:szCs w:val="26"/>
          <w:lang w:val="en-GB" w:eastAsia="en-IE"/>
        </w:rPr>
        <w:t xml:space="preserve"> 11(4), pp.373-382.</w:t>
      </w:r>
      <w:r w:rsidR="00C23C76" w:rsidRPr="00842A52">
        <w:rPr>
          <w:rFonts w:cs="Calibri"/>
          <w:color w:val="000000"/>
          <w:szCs w:val="26"/>
          <w:shd w:val="clear" w:color="auto" w:fill="FFFFFF"/>
        </w:rPr>
        <w:t xml:space="preserve">. </w:t>
      </w:r>
      <w:hyperlink r:id="rId101" w:history="1">
        <w:r w:rsidR="00C23C76" w:rsidRPr="00842A52">
          <w:rPr>
            <w:rFonts w:cs="Calibri"/>
            <w:color w:val="0000FF"/>
            <w:szCs w:val="26"/>
            <w:u w:val="single"/>
            <w:shd w:val="clear" w:color="auto" w:fill="FFFFFF"/>
          </w:rPr>
          <w:t>https://doi.org/10.1007/s12402-019-00302-x</w:t>
        </w:r>
      </w:hyperlink>
      <w:r w:rsidR="00C23C76" w:rsidRPr="00842A52">
        <w:rPr>
          <w:rFonts w:cs="Calibri"/>
          <w:color w:val="000000"/>
          <w:szCs w:val="26"/>
          <w:shd w:val="clear" w:color="auto" w:fill="FFFFFF"/>
        </w:rPr>
        <w:t xml:space="preserve"> </w:t>
      </w:r>
    </w:p>
    <w:p w14:paraId="46859AB5" w14:textId="4FA1531B" w:rsidR="00A22F73" w:rsidRPr="00842A52" w:rsidRDefault="00A22F73" w:rsidP="00A22F73">
      <w:pPr>
        <w:rPr>
          <w:rFonts w:eastAsia="SimSun" w:cs="Helvetica Neue"/>
          <w:color w:val="000000"/>
          <w:szCs w:val="26"/>
          <w:lang w:val="en-GB" w:eastAsia="en-IE"/>
        </w:rPr>
      </w:pPr>
      <w:r w:rsidRPr="00842A52">
        <w:rPr>
          <w:rFonts w:eastAsia="SimSun" w:cs="Helvetica Neue"/>
          <w:color w:val="000000"/>
          <w:szCs w:val="26"/>
          <w:lang w:val="en-GB" w:eastAsia="en-IE"/>
        </w:rPr>
        <w:t xml:space="preserve">Morin, D. et al. (2013) Public attitudes towards intellectual disability: A multidimensional perspective. </w:t>
      </w:r>
      <w:r w:rsidRPr="00842A52">
        <w:rPr>
          <w:rFonts w:eastAsia="SimSun" w:cs="Helvetica Neue"/>
          <w:b/>
          <w:bCs/>
          <w:color w:val="000000"/>
          <w:szCs w:val="26"/>
          <w:lang w:val="en-GB" w:eastAsia="en-IE"/>
        </w:rPr>
        <w:t>Journal of Intellectual Disability Research</w:t>
      </w:r>
      <w:r w:rsidRPr="00842A52">
        <w:rPr>
          <w:rFonts w:eastAsia="SimSun" w:cs="Helvetica Neue"/>
          <w:color w:val="000000"/>
          <w:szCs w:val="26"/>
          <w:lang w:val="en-GB" w:eastAsia="en-IE"/>
        </w:rPr>
        <w:t xml:space="preserve">, 57(3), pp.279-292. </w:t>
      </w:r>
      <w:hyperlink r:id="rId102" w:history="1">
        <w:r w:rsidRPr="00842A52">
          <w:rPr>
            <w:rStyle w:val="Hyperlink"/>
            <w:rFonts w:eastAsia="SimSun" w:cs="Helvetica Neue"/>
            <w:szCs w:val="26"/>
            <w:lang w:val="en-GB" w:eastAsia="en-IE"/>
          </w:rPr>
          <w:t>https://doi.org/10.1111/jir.12008</w:t>
        </w:r>
      </w:hyperlink>
      <w:r w:rsidRPr="00842A52">
        <w:rPr>
          <w:rFonts w:eastAsia="SimSun" w:cs="Helvetica Neue"/>
          <w:color w:val="000000"/>
          <w:szCs w:val="26"/>
          <w:lang w:val="en-GB" w:eastAsia="en-IE"/>
        </w:rPr>
        <w:t xml:space="preserve"> </w:t>
      </w:r>
    </w:p>
    <w:p w14:paraId="440BF746" w14:textId="38BF9082"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Morin, D., Crocker, A.G., Beaulieu</w:t>
      </w:r>
      <w:r w:rsidRPr="00842A52">
        <w:rPr>
          <w:rFonts w:ascii="Cambria Math" w:eastAsia="SimSun" w:hAnsi="Cambria Math" w:cs="Cambria Math"/>
          <w:color w:val="000000"/>
          <w:szCs w:val="26"/>
          <w:lang w:val="en-GB" w:eastAsia="en-IE"/>
        </w:rPr>
        <w:t>‐</w:t>
      </w:r>
      <w:r w:rsidRPr="00842A52">
        <w:rPr>
          <w:rFonts w:eastAsia="SimSun" w:cs="Helvetica Neue"/>
          <w:color w:val="000000"/>
          <w:szCs w:val="26"/>
          <w:lang w:val="en-GB" w:eastAsia="en-IE"/>
        </w:rPr>
        <w:t xml:space="preserve">Bergeron, R. and Caron, J. </w:t>
      </w:r>
      <w:r w:rsidR="00461652" w:rsidRPr="00842A52">
        <w:rPr>
          <w:rFonts w:eastAsia="SimSun" w:cs="Helvetica Neue"/>
          <w:color w:val="000000"/>
          <w:szCs w:val="26"/>
          <w:lang w:val="en-GB" w:eastAsia="en-IE"/>
        </w:rPr>
        <w:t>(</w:t>
      </w:r>
      <w:r w:rsidRPr="00842A52">
        <w:rPr>
          <w:rFonts w:eastAsia="SimSun" w:cs="Helvetica Neue"/>
          <w:color w:val="000000"/>
          <w:szCs w:val="26"/>
          <w:lang w:val="en-GB" w:eastAsia="en-IE"/>
        </w:rPr>
        <w:t>2013</w:t>
      </w:r>
      <w:r w:rsidR="00461652"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Validation of the attitudes toward intellectual disability–ATTID questionnaire. </w:t>
      </w:r>
      <w:r w:rsidRPr="00842A52">
        <w:rPr>
          <w:rFonts w:eastAsia="SimSun" w:cs="Helvetica Neue"/>
          <w:b/>
          <w:bCs/>
          <w:color w:val="000000"/>
          <w:szCs w:val="26"/>
          <w:lang w:val="en-GB" w:eastAsia="en-IE"/>
        </w:rPr>
        <w:t>Journal of Intellectual Disability Research</w:t>
      </w:r>
      <w:r w:rsidRPr="00842A52">
        <w:rPr>
          <w:rFonts w:eastAsia="SimSun" w:cs="Helvetica Neue"/>
          <w:color w:val="000000"/>
          <w:szCs w:val="26"/>
          <w:lang w:val="en-GB" w:eastAsia="en-IE"/>
        </w:rPr>
        <w:t xml:space="preserve">, 57(3), pp.268-278. </w:t>
      </w:r>
      <w:hyperlink r:id="rId103" w:history="1">
        <w:r w:rsidRPr="00842A52">
          <w:rPr>
            <w:rStyle w:val="Hyperlink"/>
            <w:rFonts w:eastAsia="SimSun" w:cs="Helvetica Neue"/>
            <w:szCs w:val="26"/>
            <w:lang w:val="en-GB" w:eastAsia="en-IE"/>
          </w:rPr>
          <w:t>https://doi.org/10.1111/j.1365-2788.2012.01559.x</w:t>
        </w:r>
      </w:hyperlink>
      <w:r w:rsidRPr="00842A52">
        <w:rPr>
          <w:rFonts w:eastAsia="SimSun" w:cs="Helvetica Neue"/>
          <w:color w:val="000000"/>
          <w:szCs w:val="26"/>
          <w:lang w:val="en-GB" w:eastAsia="en-IE"/>
        </w:rPr>
        <w:t xml:space="preserve"> </w:t>
      </w:r>
    </w:p>
    <w:p w14:paraId="72E2EDC4"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06C862E8" w14:textId="3CA1FB5A"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Morin, D.</w:t>
      </w:r>
      <w:r w:rsidR="0060713F"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2013</w:t>
      </w:r>
      <w:r w:rsidR="0060713F"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Public attitudes towards intellectual disability: A multidimensional perspective. </w:t>
      </w:r>
      <w:r w:rsidRPr="00842A52">
        <w:rPr>
          <w:rFonts w:eastAsia="SimSun" w:cs="Helvetica Neue"/>
          <w:b/>
          <w:bCs/>
          <w:color w:val="000000"/>
          <w:szCs w:val="26"/>
          <w:lang w:val="en-GB" w:eastAsia="en-IE"/>
        </w:rPr>
        <w:t>Journal of Intellectual Disability Research</w:t>
      </w:r>
      <w:r w:rsidRPr="00842A52">
        <w:rPr>
          <w:rFonts w:eastAsia="SimSun" w:cs="Helvetica Neue"/>
          <w:color w:val="000000"/>
          <w:szCs w:val="26"/>
          <w:lang w:val="en-GB" w:eastAsia="en-IE"/>
        </w:rPr>
        <w:t>, 57(3), pp.279-292.</w:t>
      </w:r>
      <w:r w:rsidRPr="00842A52">
        <w:rPr>
          <w:szCs w:val="26"/>
        </w:rPr>
        <w:t xml:space="preserve"> </w:t>
      </w:r>
      <w:hyperlink r:id="rId104" w:history="1">
        <w:r w:rsidRPr="00842A52">
          <w:rPr>
            <w:rStyle w:val="Hyperlink"/>
            <w:rFonts w:eastAsia="SimSun" w:cs="Helvetica Neue"/>
            <w:szCs w:val="26"/>
            <w:lang w:val="en-GB" w:eastAsia="en-IE"/>
          </w:rPr>
          <w:t>https://doi.org/10.1111/jir.12008</w:t>
        </w:r>
      </w:hyperlink>
      <w:r w:rsidRPr="00842A52">
        <w:rPr>
          <w:rFonts w:eastAsia="SimSun" w:cs="Helvetica Neue"/>
          <w:color w:val="000000"/>
          <w:szCs w:val="26"/>
          <w:lang w:val="en-GB" w:eastAsia="en-IE"/>
        </w:rPr>
        <w:t xml:space="preserve"> </w:t>
      </w:r>
    </w:p>
    <w:p w14:paraId="50870492"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66C727E8" w14:textId="015A6B72"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Murch, A.J</w:t>
      </w:r>
      <w:r w:rsidR="0060713F" w:rsidRPr="00842A52">
        <w:rPr>
          <w:rFonts w:eastAsia="SimSun" w:cs="Helvetica Neue"/>
          <w:color w:val="000000"/>
          <w:szCs w:val="26"/>
          <w:lang w:val="en-GB" w:eastAsia="en-IE"/>
        </w:rPr>
        <w:t>. et al.</w:t>
      </w:r>
      <w:r w:rsidRPr="00842A52">
        <w:rPr>
          <w:rFonts w:eastAsia="SimSun" w:cs="Helvetica Neue"/>
          <w:color w:val="000000"/>
          <w:szCs w:val="26"/>
          <w:lang w:val="en-GB" w:eastAsia="en-IE"/>
        </w:rPr>
        <w:t xml:space="preserve"> </w:t>
      </w:r>
      <w:r w:rsidR="0060713F" w:rsidRPr="00842A52">
        <w:rPr>
          <w:rFonts w:eastAsia="SimSun" w:cs="Helvetica Neue"/>
          <w:color w:val="000000"/>
          <w:szCs w:val="26"/>
          <w:lang w:val="en-GB" w:eastAsia="en-IE"/>
        </w:rPr>
        <w:t>(</w:t>
      </w:r>
      <w:r w:rsidRPr="00842A52">
        <w:rPr>
          <w:rFonts w:eastAsia="SimSun" w:cs="Helvetica Neue"/>
          <w:color w:val="000000"/>
          <w:szCs w:val="26"/>
          <w:lang w:val="en-GB" w:eastAsia="en-IE"/>
        </w:rPr>
        <w:t>2018</w:t>
      </w:r>
      <w:r w:rsidR="0060713F"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Explicit and implicit attitudes towards people with intellectual disabilities: The role of contact and participant demographics. </w:t>
      </w:r>
      <w:r w:rsidRPr="00842A52">
        <w:rPr>
          <w:rFonts w:eastAsia="SimSun" w:cs="Helvetica Neue"/>
          <w:b/>
          <w:bCs/>
          <w:color w:val="000000"/>
          <w:szCs w:val="26"/>
          <w:lang w:val="en-GB" w:eastAsia="en-IE"/>
        </w:rPr>
        <w:t>Journal of Applied Research in Intellectual Disabilities,</w:t>
      </w:r>
      <w:r w:rsidRPr="00842A52">
        <w:rPr>
          <w:rFonts w:eastAsia="SimSun" w:cs="Helvetica Neue"/>
          <w:color w:val="000000"/>
          <w:szCs w:val="26"/>
          <w:lang w:val="en-GB" w:eastAsia="en-IE"/>
        </w:rPr>
        <w:t xml:space="preserve"> 31(5), pp.778-784. </w:t>
      </w:r>
      <w:hyperlink r:id="rId105" w:history="1">
        <w:r w:rsidRPr="00842A52">
          <w:rPr>
            <w:rStyle w:val="Hyperlink"/>
            <w:rFonts w:eastAsia="SimSun" w:cs="Helvetica Neue"/>
            <w:szCs w:val="26"/>
            <w:lang w:val="en-GB" w:eastAsia="en-IE"/>
          </w:rPr>
          <w:t>https://doi.org/10.1111/jar.12429</w:t>
        </w:r>
      </w:hyperlink>
      <w:r w:rsidRPr="00842A52">
        <w:rPr>
          <w:rFonts w:eastAsia="SimSun" w:cs="Helvetica Neue"/>
          <w:color w:val="000000"/>
          <w:szCs w:val="26"/>
          <w:lang w:val="en-GB" w:eastAsia="en-IE"/>
        </w:rPr>
        <w:t xml:space="preserve"> </w:t>
      </w:r>
    </w:p>
    <w:p w14:paraId="0152EB71" w14:textId="5042B8CC"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Nepi, L. D.</w:t>
      </w:r>
      <w:r w:rsidR="0060713F"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 xml:space="preserve">(2015). Social acceptance and the choosing of favourite classmates: A comparison between students with special educational needs and typically developing students in a context of full inclusion. </w:t>
      </w:r>
      <w:r w:rsidRPr="00842A52">
        <w:rPr>
          <w:rFonts w:eastAsia="SimSun" w:cs="Helvetica Neue"/>
          <w:b/>
          <w:bCs/>
          <w:color w:val="000000"/>
          <w:szCs w:val="26"/>
          <w:lang w:val="en-GB" w:eastAsia="en-IE"/>
        </w:rPr>
        <w:t>British Journal of Special Education</w:t>
      </w:r>
      <w:r w:rsidRPr="00842A52">
        <w:rPr>
          <w:rFonts w:eastAsia="SimSun" w:cs="Helvetica Neue"/>
          <w:color w:val="000000"/>
          <w:szCs w:val="26"/>
          <w:lang w:val="en-GB" w:eastAsia="en-IE"/>
        </w:rPr>
        <w:t xml:space="preserve">, 42(3), 319-337. </w:t>
      </w:r>
      <w:hyperlink r:id="rId106" w:history="1">
        <w:r w:rsidRPr="00842A52">
          <w:rPr>
            <w:rStyle w:val="Hyperlink"/>
            <w:rFonts w:eastAsia="SimSun" w:cs="Helvetica Neue"/>
            <w:szCs w:val="26"/>
            <w:lang w:val="en-GB" w:eastAsia="en-IE"/>
          </w:rPr>
          <w:t>https://doi.org/10.1111/1467-8578.12096</w:t>
        </w:r>
      </w:hyperlink>
      <w:r w:rsidRPr="00842A52">
        <w:rPr>
          <w:rFonts w:eastAsia="SimSun" w:cs="Helvetica Neue"/>
          <w:color w:val="000000"/>
          <w:szCs w:val="26"/>
          <w:lang w:val="en-GB" w:eastAsia="en-IE"/>
        </w:rPr>
        <w:t xml:space="preserve"> </w:t>
      </w:r>
    </w:p>
    <w:p w14:paraId="651F00B3"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716ACB23" w14:textId="71AE3BBC"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Nosek, B.A. and Banaji, M.R.</w:t>
      </w:r>
      <w:r w:rsidR="0060713F"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2001</w:t>
      </w:r>
      <w:r w:rsidR="0060713F"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The go/no-go association task. </w:t>
      </w:r>
      <w:r w:rsidRPr="00842A52">
        <w:rPr>
          <w:rFonts w:eastAsia="SimSun" w:cs="Helvetica Neue"/>
          <w:b/>
          <w:bCs/>
          <w:color w:val="000000"/>
          <w:szCs w:val="26"/>
          <w:lang w:val="en-GB" w:eastAsia="en-IE"/>
        </w:rPr>
        <w:t>Social cognition,</w:t>
      </w:r>
      <w:r w:rsidRPr="00842A52">
        <w:rPr>
          <w:rFonts w:eastAsia="SimSun" w:cs="Helvetica Neue"/>
          <w:color w:val="000000"/>
          <w:szCs w:val="26"/>
          <w:lang w:val="en-GB" w:eastAsia="en-IE"/>
        </w:rPr>
        <w:t xml:space="preserve"> 19(6), pp.625-666.</w:t>
      </w:r>
    </w:p>
    <w:p w14:paraId="28FFE98A"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7CAF154B" w14:textId="25E84FBC"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Nowicki, E.A. (2003) A meta-analysis of the social competence of children with learning disabilities compared to classmates of low and average to high achievement. </w:t>
      </w:r>
      <w:r w:rsidRPr="00842A52">
        <w:rPr>
          <w:rFonts w:eastAsia="SimSun" w:cs="Helvetica Neue"/>
          <w:b/>
          <w:bCs/>
          <w:color w:val="000000"/>
          <w:szCs w:val="26"/>
          <w:lang w:val="en-GB" w:eastAsia="en-IE"/>
        </w:rPr>
        <w:t>Learning Disability Quarterly</w:t>
      </w:r>
      <w:r w:rsidRPr="00842A52">
        <w:rPr>
          <w:rFonts w:eastAsia="SimSun" w:cs="Helvetica Neue"/>
          <w:color w:val="000000"/>
          <w:szCs w:val="26"/>
          <w:lang w:val="en-GB" w:eastAsia="en-IE"/>
        </w:rPr>
        <w:t xml:space="preserve">, 26(3), 171-188 </w:t>
      </w:r>
      <w:hyperlink r:id="rId107" w:history="1">
        <w:r w:rsidRPr="00842A52">
          <w:rPr>
            <w:rStyle w:val="Hyperlink"/>
            <w:rFonts w:eastAsia="SimSun" w:cs="Helvetica Neue"/>
            <w:szCs w:val="26"/>
            <w:lang w:val="en-GB" w:eastAsia="en-IE"/>
          </w:rPr>
          <w:t>https://doi.org/10.2307/1593650</w:t>
        </w:r>
      </w:hyperlink>
      <w:r w:rsidRPr="00842A52">
        <w:rPr>
          <w:rFonts w:eastAsia="SimSun" w:cs="Helvetica Neue"/>
          <w:color w:val="000000"/>
          <w:szCs w:val="26"/>
          <w:lang w:val="en-GB" w:eastAsia="en-IE"/>
        </w:rPr>
        <w:t xml:space="preserve"> </w:t>
      </w:r>
    </w:p>
    <w:p w14:paraId="63D0C6FE"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5B6EFC14" w14:textId="1535A399"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Olson, J.M., </w:t>
      </w:r>
      <w:r w:rsidR="006D16FC" w:rsidRPr="00842A52">
        <w:rPr>
          <w:rFonts w:eastAsia="SimSun" w:cs="Helvetica Neue"/>
          <w:color w:val="000000"/>
          <w:szCs w:val="26"/>
          <w:lang w:val="en-GB" w:eastAsia="en-IE"/>
        </w:rPr>
        <w:t>and</w:t>
      </w:r>
      <w:r w:rsidRPr="00842A52">
        <w:rPr>
          <w:rFonts w:eastAsia="SimSun" w:cs="Helvetica Neue"/>
          <w:color w:val="000000"/>
          <w:szCs w:val="26"/>
          <w:lang w:val="en-GB" w:eastAsia="en-IE"/>
        </w:rPr>
        <w:t xml:space="preserve"> Zanna, M.P. (1993) Attitudes and attitude change.</w:t>
      </w:r>
    </w:p>
    <w:p w14:paraId="4BC96421" w14:textId="72140156" w:rsidR="00C23C76" w:rsidRPr="00842A52" w:rsidRDefault="00C23C76" w:rsidP="006D16FC">
      <w:pPr>
        <w:spacing w:after="0"/>
        <w:rPr>
          <w:szCs w:val="26"/>
          <w:lang w:eastAsia="en-GB"/>
        </w:rPr>
      </w:pPr>
      <w:r w:rsidRPr="00842A52">
        <w:rPr>
          <w:rFonts w:eastAsia="SimSun" w:cs="Helvetica Neue"/>
          <w:b/>
          <w:bCs/>
          <w:color w:val="000000"/>
          <w:szCs w:val="26"/>
          <w:lang w:val="en-GB" w:eastAsia="en-IE"/>
        </w:rPr>
        <w:t>Annual Review of Psychology</w:t>
      </w:r>
      <w:r w:rsidRPr="00842A52">
        <w:rPr>
          <w:rFonts w:eastAsia="SimSun" w:cs="Helvetica Neue"/>
          <w:color w:val="000000"/>
          <w:szCs w:val="26"/>
          <w:lang w:val="en-GB" w:eastAsia="en-IE"/>
        </w:rPr>
        <w:t xml:space="preserve">, 44, 117–154. </w:t>
      </w:r>
      <w:hyperlink r:id="rId108" w:history="1">
        <w:r w:rsidR="006D16FC" w:rsidRPr="00842A52">
          <w:rPr>
            <w:rStyle w:val="Hyperlink"/>
            <w:color w:val="067499"/>
            <w:szCs w:val="26"/>
            <w:shd w:val="clear" w:color="auto" w:fill="FFFFFF"/>
          </w:rPr>
          <w:t> https://doi.org/10.1146/annurev.ps.44.020193.001001 </w:t>
        </w:r>
      </w:hyperlink>
    </w:p>
    <w:p w14:paraId="048424E0" w14:textId="77777777" w:rsidR="006D16FC" w:rsidRPr="00842A52" w:rsidRDefault="006D16FC" w:rsidP="006D16FC">
      <w:pPr>
        <w:spacing w:after="0"/>
        <w:rPr>
          <w:szCs w:val="26"/>
          <w:lang w:eastAsia="en-GB"/>
        </w:rPr>
      </w:pPr>
    </w:p>
    <w:p w14:paraId="0813302A" w14:textId="3A15A795"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Oswald, F.L.</w:t>
      </w:r>
      <w:r w:rsidR="006D16FC" w:rsidRPr="00842A52">
        <w:rPr>
          <w:rFonts w:eastAsia="SimSun" w:cs="Helvetica Neue"/>
          <w:color w:val="000000"/>
          <w:szCs w:val="26"/>
          <w:lang w:val="en-GB" w:eastAsia="en-IE"/>
        </w:rPr>
        <w:t xml:space="preserve"> et al. (</w:t>
      </w:r>
      <w:r w:rsidRPr="00842A52">
        <w:rPr>
          <w:rFonts w:eastAsia="SimSun" w:cs="Helvetica Neue"/>
          <w:color w:val="000000"/>
          <w:szCs w:val="26"/>
          <w:lang w:val="en-GB" w:eastAsia="en-IE"/>
        </w:rPr>
        <w:t>2013</w:t>
      </w:r>
      <w:r w:rsidR="006D16FC"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Predicting ethnic and racial discrimination: a meta-analysis of IAT criterion studies. </w:t>
      </w:r>
      <w:r w:rsidRPr="00842A52">
        <w:rPr>
          <w:rFonts w:eastAsia="SimSun" w:cs="Helvetica Neue"/>
          <w:b/>
          <w:bCs/>
          <w:color w:val="000000"/>
          <w:szCs w:val="26"/>
          <w:lang w:val="en-GB" w:eastAsia="en-IE"/>
        </w:rPr>
        <w:t xml:space="preserve">Journal of </w:t>
      </w:r>
      <w:r w:rsidR="006D16FC" w:rsidRPr="00842A52">
        <w:rPr>
          <w:rFonts w:eastAsia="SimSun" w:cs="Helvetica Neue"/>
          <w:b/>
          <w:bCs/>
          <w:color w:val="000000"/>
          <w:szCs w:val="26"/>
          <w:lang w:val="en-GB" w:eastAsia="en-IE"/>
        </w:rPr>
        <w:t>P</w:t>
      </w:r>
      <w:r w:rsidRPr="00842A52">
        <w:rPr>
          <w:rFonts w:eastAsia="SimSun" w:cs="Helvetica Neue"/>
          <w:b/>
          <w:bCs/>
          <w:color w:val="000000"/>
          <w:szCs w:val="26"/>
          <w:lang w:val="en-GB" w:eastAsia="en-IE"/>
        </w:rPr>
        <w:t xml:space="preserve">ersonality and </w:t>
      </w:r>
      <w:r w:rsidR="006D16FC" w:rsidRPr="00842A52">
        <w:rPr>
          <w:rFonts w:eastAsia="SimSun" w:cs="Helvetica Neue"/>
          <w:b/>
          <w:bCs/>
          <w:color w:val="000000"/>
          <w:szCs w:val="26"/>
          <w:lang w:val="en-GB" w:eastAsia="en-IE"/>
        </w:rPr>
        <w:t>S</w:t>
      </w:r>
      <w:r w:rsidRPr="00842A52">
        <w:rPr>
          <w:rFonts w:eastAsia="SimSun" w:cs="Helvetica Neue"/>
          <w:b/>
          <w:bCs/>
          <w:color w:val="000000"/>
          <w:szCs w:val="26"/>
          <w:lang w:val="en-GB" w:eastAsia="en-IE"/>
        </w:rPr>
        <w:t xml:space="preserve">ocial </w:t>
      </w:r>
      <w:r w:rsidR="006D16FC" w:rsidRPr="00842A52">
        <w:rPr>
          <w:rFonts w:eastAsia="SimSun" w:cs="Helvetica Neue"/>
          <w:b/>
          <w:bCs/>
          <w:color w:val="000000"/>
          <w:szCs w:val="26"/>
          <w:lang w:val="en-GB" w:eastAsia="en-IE"/>
        </w:rPr>
        <w:t>P</w:t>
      </w:r>
      <w:r w:rsidRPr="00842A52">
        <w:rPr>
          <w:rFonts w:eastAsia="SimSun" w:cs="Helvetica Neue"/>
          <w:b/>
          <w:bCs/>
          <w:color w:val="000000"/>
          <w:szCs w:val="26"/>
          <w:lang w:val="en-GB" w:eastAsia="en-IE"/>
        </w:rPr>
        <w:t>sychology</w:t>
      </w:r>
      <w:r w:rsidRPr="00842A52">
        <w:rPr>
          <w:rFonts w:eastAsia="SimSun" w:cs="Helvetica Neue"/>
          <w:color w:val="000000"/>
          <w:szCs w:val="26"/>
          <w:lang w:val="en-GB" w:eastAsia="en-IE"/>
        </w:rPr>
        <w:t xml:space="preserve">, 105(2), p.171. </w:t>
      </w:r>
      <w:hyperlink r:id="rId109" w:history="1">
        <w:r w:rsidRPr="00842A52">
          <w:rPr>
            <w:rStyle w:val="Hyperlink"/>
            <w:rFonts w:eastAsia="SimSun" w:cs="Helvetica Neue"/>
            <w:szCs w:val="26"/>
            <w:lang w:val="en-GB" w:eastAsia="en-IE"/>
          </w:rPr>
          <w:t>https://doi.org/10.1037/a0032734</w:t>
        </w:r>
      </w:hyperlink>
      <w:r w:rsidRPr="00842A52">
        <w:rPr>
          <w:rFonts w:eastAsia="SimSun" w:cs="Helvetica Neue"/>
          <w:color w:val="000000"/>
          <w:szCs w:val="26"/>
          <w:lang w:val="en-GB" w:eastAsia="en-IE"/>
        </w:rPr>
        <w:t xml:space="preserve"> </w:t>
      </w:r>
    </w:p>
    <w:p w14:paraId="632B7D7E"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167A3A7F" w14:textId="0674405C" w:rsidR="00C23C76" w:rsidRPr="00842A52" w:rsidRDefault="00C23C76" w:rsidP="00F17B24">
      <w:pPr>
        <w:spacing w:after="0"/>
        <w:rPr>
          <w:szCs w:val="26"/>
          <w:lang w:eastAsia="en-GB"/>
        </w:rPr>
      </w:pPr>
      <w:r w:rsidRPr="00842A52">
        <w:rPr>
          <w:rFonts w:eastAsia="SimSun" w:cs="Helvetica Neue"/>
          <w:color w:val="000000"/>
          <w:szCs w:val="26"/>
          <w:lang w:val="en-GB" w:eastAsia="en-IE"/>
        </w:rPr>
        <w:t xml:space="preserve">Paige, J.B. and Morin, K.H. </w:t>
      </w:r>
      <w:r w:rsidR="00F17B24" w:rsidRPr="00842A52">
        <w:rPr>
          <w:rFonts w:eastAsia="SimSun" w:cs="Helvetica Neue"/>
          <w:color w:val="000000"/>
          <w:szCs w:val="26"/>
          <w:lang w:val="en-GB" w:eastAsia="en-IE"/>
        </w:rPr>
        <w:t>(</w:t>
      </w:r>
      <w:r w:rsidRPr="00842A52">
        <w:rPr>
          <w:rFonts w:eastAsia="SimSun" w:cs="Helvetica Neue"/>
          <w:color w:val="000000"/>
          <w:szCs w:val="26"/>
          <w:lang w:val="en-GB" w:eastAsia="en-IE"/>
        </w:rPr>
        <w:t>2016</w:t>
      </w:r>
      <w:r w:rsidR="00F17B24"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Q-sample construction: A critical step for a Q-methodological study. </w:t>
      </w:r>
      <w:r w:rsidRPr="00842A52">
        <w:rPr>
          <w:rFonts w:eastAsia="SimSun" w:cs="Helvetica Neue"/>
          <w:b/>
          <w:bCs/>
          <w:color w:val="000000"/>
          <w:szCs w:val="26"/>
          <w:lang w:val="en-GB" w:eastAsia="en-IE"/>
        </w:rPr>
        <w:t xml:space="preserve">Western </w:t>
      </w:r>
      <w:r w:rsidR="00F17B24" w:rsidRPr="00842A52">
        <w:rPr>
          <w:rFonts w:eastAsia="SimSun" w:cs="Helvetica Neue"/>
          <w:b/>
          <w:bCs/>
          <w:color w:val="000000"/>
          <w:szCs w:val="26"/>
          <w:lang w:val="en-GB" w:eastAsia="en-IE"/>
        </w:rPr>
        <w:t>J</w:t>
      </w:r>
      <w:r w:rsidRPr="00842A52">
        <w:rPr>
          <w:rFonts w:eastAsia="SimSun" w:cs="Helvetica Neue"/>
          <w:b/>
          <w:bCs/>
          <w:color w:val="000000"/>
          <w:szCs w:val="26"/>
          <w:lang w:val="en-GB" w:eastAsia="en-IE"/>
        </w:rPr>
        <w:t xml:space="preserve">ournal of </w:t>
      </w:r>
      <w:r w:rsidR="00F17B24" w:rsidRPr="00842A52">
        <w:rPr>
          <w:rFonts w:eastAsia="SimSun" w:cs="Helvetica Neue"/>
          <w:b/>
          <w:bCs/>
          <w:color w:val="000000"/>
          <w:szCs w:val="26"/>
          <w:lang w:val="en-GB" w:eastAsia="en-IE"/>
        </w:rPr>
        <w:t>N</w:t>
      </w:r>
      <w:r w:rsidRPr="00842A52">
        <w:rPr>
          <w:rFonts w:eastAsia="SimSun" w:cs="Helvetica Neue"/>
          <w:b/>
          <w:bCs/>
          <w:color w:val="000000"/>
          <w:szCs w:val="26"/>
          <w:lang w:val="en-GB" w:eastAsia="en-IE"/>
        </w:rPr>
        <w:t xml:space="preserve">ursing </w:t>
      </w:r>
      <w:r w:rsidR="00F17B24" w:rsidRPr="00842A52">
        <w:rPr>
          <w:rFonts w:eastAsia="SimSun" w:cs="Helvetica Neue"/>
          <w:b/>
          <w:bCs/>
          <w:color w:val="000000"/>
          <w:szCs w:val="26"/>
          <w:lang w:val="en-GB" w:eastAsia="en-IE"/>
        </w:rPr>
        <w:t>R</w:t>
      </w:r>
      <w:r w:rsidRPr="00842A52">
        <w:rPr>
          <w:rFonts w:eastAsia="SimSun" w:cs="Helvetica Neue"/>
          <w:b/>
          <w:bCs/>
          <w:color w:val="000000"/>
          <w:szCs w:val="26"/>
          <w:lang w:val="en-GB" w:eastAsia="en-IE"/>
        </w:rPr>
        <w:t>esearch</w:t>
      </w:r>
      <w:r w:rsidRPr="00842A52">
        <w:rPr>
          <w:rFonts w:eastAsia="SimSun" w:cs="Helvetica Neue"/>
          <w:color w:val="000000"/>
          <w:szCs w:val="26"/>
          <w:lang w:val="en-GB" w:eastAsia="en-IE"/>
        </w:rPr>
        <w:t>, 38(1), pp.96-110.</w:t>
      </w:r>
      <w:r w:rsidR="00F17B24" w:rsidRPr="00842A52">
        <w:rPr>
          <w:szCs w:val="26"/>
        </w:rPr>
        <w:t xml:space="preserve"> </w:t>
      </w:r>
      <w:hyperlink r:id="rId110" w:history="1">
        <w:r w:rsidR="00F17B24" w:rsidRPr="00842A52">
          <w:rPr>
            <w:rStyle w:val="Hyperlink"/>
            <w:color w:val="067499"/>
            <w:szCs w:val="26"/>
            <w:shd w:val="clear" w:color="auto" w:fill="FFFFFF"/>
          </w:rPr>
          <w:t> https://doi.org/10.1177/0193945914545177 </w:t>
        </w:r>
      </w:hyperlink>
    </w:p>
    <w:p w14:paraId="6A22C6F1"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5336FD37" w14:textId="76BB3FE9"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Palad, Y.Y.</w:t>
      </w:r>
      <w:r w:rsidR="00F17B24" w:rsidRPr="00842A52">
        <w:rPr>
          <w:rFonts w:eastAsia="SimSun" w:cs="Helvetica Neue"/>
          <w:color w:val="000000"/>
          <w:szCs w:val="26"/>
          <w:lang w:val="en-GB" w:eastAsia="en-IE"/>
        </w:rPr>
        <w:t xml:space="preserve"> et al. (2</w:t>
      </w:r>
      <w:r w:rsidRPr="00842A52">
        <w:rPr>
          <w:rFonts w:eastAsia="SimSun" w:cs="Helvetica Neue"/>
          <w:color w:val="000000"/>
          <w:szCs w:val="26"/>
          <w:lang w:val="en-GB" w:eastAsia="en-IE"/>
        </w:rPr>
        <w:t>016</w:t>
      </w:r>
      <w:r w:rsidR="00F17B24"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Scoping review of instruments measuring attitudes toward disability. </w:t>
      </w:r>
      <w:r w:rsidRPr="00842A52">
        <w:rPr>
          <w:rFonts w:eastAsia="SimSun" w:cs="Helvetica Neue"/>
          <w:b/>
          <w:bCs/>
          <w:color w:val="000000"/>
          <w:szCs w:val="26"/>
          <w:lang w:val="en-GB" w:eastAsia="en-IE"/>
        </w:rPr>
        <w:t>Disability and Health Journal</w:t>
      </w:r>
      <w:r w:rsidRPr="00842A52">
        <w:rPr>
          <w:rFonts w:eastAsia="SimSun" w:cs="Helvetica Neue"/>
          <w:color w:val="000000"/>
          <w:szCs w:val="26"/>
          <w:lang w:val="en-GB" w:eastAsia="en-IE"/>
        </w:rPr>
        <w:t>, 9(3), pp.354-374.</w:t>
      </w:r>
      <w:r w:rsidRPr="00842A52">
        <w:rPr>
          <w:szCs w:val="26"/>
        </w:rPr>
        <w:t xml:space="preserve"> </w:t>
      </w:r>
      <w:hyperlink r:id="rId111" w:history="1">
        <w:r w:rsidRPr="00842A52">
          <w:rPr>
            <w:rStyle w:val="Hyperlink"/>
            <w:rFonts w:eastAsia="SimSun" w:cs="Helvetica Neue"/>
            <w:szCs w:val="26"/>
            <w:lang w:val="en-GB" w:eastAsia="en-IE"/>
          </w:rPr>
          <w:t>https://doi.org/10.1016/j.dhjo.2016.01.008</w:t>
        </w:r>
      </w:hyperlink>
      <w:r w:rsidRPr="00842A52">
        <w:rPr>
          <w:rFonts w:eastAsia="SimSun" w:cs="Helvetica Neue"/>
          <w:color w:val="000000"/>
          <w:szCs w:val="26"/>
          <w:lang w:val="en-GB" w:eastAsia="en-IE"/>
        </w:rPr>
        <w:t xml:space="preserve"> </w:t>
      </w:r>
    </w:p>
    <w:p w14:paraId="7F9D15DF"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485D059F" w14:textId="5DCB0F2C"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Parker, R.B., Larkin, T. and Cockburn, J.</w:t>
      </w:r>
      <w:r w:rsidR="00DB4EC7"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2018</w:t>
      </w:r>
      <w:r w:rsidR="00DB4EC7"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Gender bias in medical images affects students’ implicit but not explicit gender attitudes. </w:t>
      </w:r>
      <w:r w:rsidRPr="00842A52">
        <w:rPr>
          <w:rFonts w:eastAsia="SimSun" w:cs="Helvetica Neue"/>
          <w:b/>
          <w:bCs/>
          <w:color w:val="000000"/>
          <w:szCs w:val="26"/>
          <w:lang w:val="en-GB" w:eastAsia="en-IE"/>
        </w:rPr>
        <w:t>AERA Open</w:t>
      </w:r>
      <w:r w:rsidRPr="00842A52">
        <w:rPr>
          <w:rFonts w:eastAsia="SimSun" w:cs="Helvetica Neue"/>
          <w:color w:val="000000"/>
          <w:szCs w:val="26"/>
          <w:lang w:val="en-GB" w:eastAsia="en-IE"/>
        </w:rPr>
        <w:t xml:space="preserve">, 4(3), </w:t>
      </w:r>
      <w:hyperlink r:id="rId112" w:history="1">
        <w:r w:rsidRPr="00842A52">
          <w:rPr>
            <w:rStyle w:val="Hyperlink"/>
            <w:rFonts w:eastAsia="SimSun" w:cs="Helvetica Neue"/>
            <w:szCs w:val="26"/>
            <w:lang w:val="en-GB" w:eastAsia="en-IE"/>
          </w:rPr>
          <w:t>https://doi.org/10.1177/2332858418798832</w:t>
        </w:r>
      </w:hyperlink>
      <w:r w:rsidRPr="00842A52">
        <w:rPr>
          <w:rFonts w:eastAsia="SimSun" w:cs="Helvetica Neue"/>
          <w:color w:val="000000"/>
          <w:szCs w:val="26"/>
          <w:lang w:val="en-GB" w:eastAsia="en-IE"/>
        </w:rPr>
        <w:t xml:space="preserve"> </w:t>
      </w:r>
    </w:p>
    <w:p w14:paraId="33AD771C"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20BF388D" w14:textId="171DA302"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Pelleboer-Gunnink, H.A., van Weeghel, J. and Embregts, P.J. </w:t>
      </w:r>
      <w:r w:rsidR="00DB4EC7" w:rsidRPr="00842A52">
        <w:rPr>
          <w:rFonts w:eastAsia="SimSun" w:cs="Helvetica Neue"/>
          <w:color w:val="000000"/>
          <w:szCs w:val="26"/>
          <w:lang w:val="en-GB" w:eastAsia="en-IE"/>
        </w:rPr>
        <w:t>(</w:t>
      </w:r>
      <w:r w:rsidRPr="00842A52">
        <w:rPr>
          <w:rFonts w:eastAsia="SimSun" w:cs="Helvetica Neue"/>
          <w:color w:val="000000"/>
          <w:szCs w:val="26"/>
          <w:lang w:val="en-GB" w:eastAsia="en-IE"/>
        </w:rPr>
        <w:t>2021</w:t>
      </w:r>
      <w:r w:rsidR="00DB4EC7"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Public stigmatisation of people with intellectual disabilities: a mixed-method population survey into stereotypes and their relationship with familiarity and discrimination. Disability and </w:t>
      </w:r>
      <w:r w:rsidR="00DB4EC7" w:rsidRPr="00842A52">
        <w:rPr>
          <w:rFonts w:eastAsia="SimSun" w:cs="Helvetica Neue"/>
          <w:color w:val="000000"/>
          <w:szCs w:val="26"/>
          <w:lang w:val="en-GB" w:eastAsia="en-IE"/>
        </w:rPr>
        <w:t>R</w:t>
      </w:r>
      <w:r w:rsidRPr="00842A52">
        <w:rPr>
          <w:rFonts w:eastAsia="SimSun" w:cs="Helvetica Neue"/>
          <w:color w:val="000000"/>
          <w:szCs w:val="26"/>
          <w:lang w:val="en-GB" w:eastAsia="en-IE"/>
        </w:rPr>
        <w:t>ehabilitation, 43(4), pp.489-497.</w:t>
      </w:r>
      <w:r w:rsidRPr="00842A52">
        <w:rPr>
          <w:szCs w:val="26"/>
        </w:rPr>
        <w:t xml:space="preserve"> </w:t>
      </w:r>
      <w:hyperlink r:id="rId113" w:history="1">
        <w:r w:rsidRPr="00842A52">
          <w:rPr>
            <w:rFonts w:eastAsia="SimSun" w:cs="Helvetica Neue"/>
            <w:color w:val="0000FF"/>
            <w:szCs w:val="26"/>
            <w:u w:val="single"/>
            <w:lang w:val="en-GB" w:eastAsia="en-IE"/>
          </w:rPr>
          <w:t>https://doi.org/10.1080/09638288.2019.1630678</w:t>
        </w:r>
      </w:hyperlink>
      <w:r w:rsidRPr="00842A52">
        <w:rPr>
          <w:rFonts w:eastAsia="SimSun" w:cs="Helvetica Neue"/>
          <w:color w:val="000000"/>
          <w:szCs w:val="26"/>
          <w:lang w:val="en-GB" w:eastAsia="en-IE"/>
        </w:rPr>
        <w:t xml:space="preserve"> </w:t>
      </w:r>
    </w:p>
    <w:p w14:paraId="62E948B8"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2A97B055" w14:textId="30A5A382"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Perugini, M., Richetin, J., &amp; Zogmaister, C. (2010)</w:t>
      </w:r>
      <w:r w:rsidR="004F6CA0"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Prediction of behavior</w:t>
      </w:r>
      <w:r w:rsidR="004F6CA0"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In B. Gawronski &amp; B. K. Payne (</w:t>
      </w:r>
      <w:r w:rsidR="004F6CA0" w:rsidRPr="00842A52">
        <w:rPr>
          <w:rFonts w:eastAsia="SimSun" w:cs="Helvetica Neue"/>
          <w:color w:val="000000"/>
          <w:szCs w:val="26"/>
          <w:lang w:val="en-GB" w:eastAsia="en-IE"/>
        </w:rPr>
        <w:t>e</w:t>
      </w:r>
      <w:r w:rsidRPr="00842A52">
        <w:rPr>
          <w:rFonts w:eastAsia="SimSun" w:cs="Helvetica Neue"/>
          <w:color w:val="000000"/>
          <w:szCs w:val="26"/>
          <w:lang w:val="en-GB" w:eastAsia="en-IE"/>
        </w:rPr>
        <w:t xml:space="preserve">ds.), </w:t>
      </w:r>
      <w:r w:rsidRPr="00842A52">
        <w:rPr>
          <w:rFonts w:eastAsia="SimSun" w:cs="Helvetica Neue"/>
          <w:b/>
          <w:bCs/>
          <w:color w:val="000000"/>
          <w:szCs w:val="26"/>
          <w:lang w:val="en-GB" w:eastAsia="en-IE"/>
        </w:rPr>
        <w:t xml:space="preserve">Handbook of </w:t>
      </w:r>
      <w:r w:rsidR="004F6CA0" w:rsidRPr="00842A52">
        <w:rPr>
          <w:rFonts w:eastAsia="SimSun" w:cs="Helvetica Neue"/>
          <w:b/>
          <w:bCs/>
          <w:color w:val="000000"/>
          <w:szCs w:val="26"/>
          <w:lang w:val="en-GB" w:eastAsia="en-IE"/>
        </w:rPr>
        <w:t>I</w:t>
      </w:r>
      <w:r w:rsidRPr="00842A52">
        <w:rPr>
          <w:rFonts w:eastAsia="SimSun" w:cs="Helvetica Neue"/>
          <w:b/>
          <w:bCs/>
          <w:color w:val="000000"/>
          <w:szCs w:val="26"/>
          <w:lang w:val="en-GB" w:eastAsia="en-IE"/>
        </w:rPr>
        <w:t xml:space="preserve">mplicit </w:t>
      </w:r>
      <w:r w:rsidR="004F6CA0" w:rsidRPr="00842A52">
        <w:rPr>
          <w:rFonts w:eastAsia="SimSun" w:cs="Helvetica Neue"/>
          <w:b/>
          <w:bCs/>
          <w:color w:val="000000"/>
          <w:szCs w:val="26"/>
          <w:lang w:val="en-GB" w:eastAsia="en-IE"/>
        </w:rPr>
        <w:t>S</w:t>
      </w:r>
      <w:r w:rsidRPr="00842A52">
        <w:rPr>
          <w:rFonts w:eastAsia="SimSun" w:cs="Helvetica Neue"/>
          <w:b/>
          <w:bCs/>
          <w:color w:val="000000"/>
          <w:szCs w:val="26"/>
          <w:lang w:val="en-GB" w:eastAsia="en-IE"/>
        </w:rPr>
        <w:t xml:space="preserve">ocial </w:t>
      </w:r>
      <w:r w:rsidR="004F6CA0" w:rsidRPr="00842A52">
        <w:rPr>
          <w:rFonts w:eastAsia="SimSun" w:cs="Helvetica Neue"/>
          <w:b/>
          <w:bCs/>
          <w:color w:val="000000"/>
          <w:szCs w:val="26"/>
          <w:lang w:val="en-GB" w:eastAsia="en-IE"/>
        </w:rPr>
        <w:t>C</w:t>
      </w:r>
      <w:r w:rsidRPr="00842A52">
        <w:rPr>
          <w:rFonts w:eastAsia="SimSun" w:cs="Helvetica Neue"/>
          <w:b/>
          <w:bCs/>
          <w:color w:val="000000"/>
          <w:szCs w:val="26"/>
          <w:lang w:val="en-GB" w:eastAsia="en-IE"/>
        </w:rPr>
        <w:t xml:space="preserve">ognition: Measurement, </w:t>
      </w:r>
      <w:r w:rsidR="004F6CA0" w:rsidRPr="00842A52">
        <w:rPr>
          <w:rFonts w:eastAsia="SimSun" w:cs="Helvetica Neue"/>
          <w:b/>
          <w:bCs/>
          <w:color w:val="000000"/>
          <w:szCs w:val="26"/>
          <w:lang w:val="en-GB" w:eastAsia="en-IE"/>
        </w:rPr>
        <w:t>T</w:t>
      </w:r>
      <w:r w:rsidRPr="00842A52">
        <w:rPr>
          <w:rFonts w:eastAsia="SimSun" w:cs="Helvetica Neue"/>
          <w:b/>
          <w:bCs/>
          <w:color w:val="000000"/>
          <w:szCs w:val="26"/>
          <w:lang w:val="en-GB" w:eastAsia="en-IE"/>
        </w:rPr>
        <w:t xml:space="preserve">heory, and </w:t>
      </w:r>
      <w:r w:rsidR="004F6CA0" w:rsidRPr="00842A52">
        <w:rPr>
          <w:rFonts w:eastAsia="SimSun" w:cs="Helvetica Neue"/>
          <w:b/>
          <w:bCs/>
          <w:color w:val="000000"/>
          <w:szCs w:val="26"/>
          <w:lang w:val="en-GB" w:eastAsia="en-IE"/>
        </w:rPr>
        <w:t>A</w:t>
      </w:r>
      <w:r w:rsidRPr="00842A52">
        <w:rPr>
          <w:rFonts w:eastAsia="SimSun" w:cs="Helvetica Neue"/>
          <w:b/>
          <w:bCs/>
          <w:color w:val="000000"/>
          <w:szCs w:val="26"/>
          <w:lang w:val="en-GB" w:eastAsia="en-IE"/>
        </w:rPr>
        <w:t>pplications</w:t>
      </w:r>
      <w:r w:rsidR="004F6CA0" w:rsidRPr="00842A52">
        <w:rPr>
          <w:rFonts w:eastAsia="SimSun" w:cs="Helvetica Neue"/>
          <w:color w:val="000000"/>
          <w:szCs w:val="26"/>
          <w:lang w:val="en-GB" w:eastAsia="en-IE"/>
        </w:rPr>
        <w:t xml:space="preserve">, NY: </w:t>
      </w:r>
      <w:r w:rsidRPr="00842A52">
        <w:rPr>
          <w:rFonts w:eastAsia="SimSun" w:cs="Helvetica Neue"/>
          <w:color w:val="000000"/>
          <w:szCs w:val="26"/>
          <w:lang w:val="en-GB" w:eastAsia="en-IE"/>
        </w:rPr>
        <w:t>The Guilford Press</w:t>
      </w:r>
      <w:r w:rsidR="004F6CA0" w:rsidRPr="00842A52">
        <w:rPr>
          <w:rFonts w:eastAsia="SimSun" w:cs="Helvetica Neue"/>
          <w:color w:val="000000"/>
          <w:szCs w:val="26"/>
          <w:lang w:val="en-GB" w:eastAsia="en-IE"/>
        </w:rPr>
        <w:t>, pp. 255–277</w:t>
      </w:r>
    </w:p>
    <w:p w14:paraId="18547F87" w14:textId="7B1B48A0"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Power, M.J., Green, A.M. and WHOQOL</w:t>
      </w:r>
      <w:r w:rsidRPr="00842A52">
        <w:rPr>
          <w:rFonts w:ascii="Cambria Math" w:eastAsia="SimSun" w:hAnsi="Cambria Math" w:cs="Cambria Math"/>
          <w:color w:val="000000"/>
          <w:szCs w:val="26"/>
          <w:lang w:val="en-GB" w:eastAsia="en-IE"/>
        </w:rPr>
        <w:t>‐</w:t>
      </w:r>
      <w:r w:rsidRPr="00842A52">
        <w:rPr>
          <w:rFonts w:eastAsia="SimSun" w:cs="Helvetica Neue"/>
          <w:color w:val="000000"/>
          <w:szCs w:val="26"/>
          <w:lang w:val="en-GB" w:eastAsia="en-IE"/>
        </w:rPr>
        <w:t>DIS Group</w:t>
      </w:r>
      <w:r w:rsidR="00B57CA4"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2010</w:t>
      </w:r>
      <w:r w:rsidR="00B57CA4"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The Attitudes to Disability Scale (ADS): development and psychometric properties. </w:t>
      </w:r>
      <w:r w:rsidRPr="00842A52">
        <w:rPr>
          <w:rFonts w:eastAsia="SimSun" w:cs="Helvetica Neue"/>
          <w:b/>
          <w:bCs/>
          <w:color w:val="000000"/>
          <w:szCs w:val="26"/>
          <w:lang w:val="en-GB" w:eastAsia="en-IE"/>
        </w:rPr>
        <w:t>Journal of Intellectual Disability Research,</w:t>
      </w:r>
      <w:r w:rsidRPr="00842A52">
        <w:rPr>
          <w:rFonts w:eastAsia="SimSun" w:cs="Helvetica Neue"/>
          <w:color w:val="000000"/>
          <w:szCs w:val="26"/>
          <w:lang w:val="en-GB" w:eastAsia="en-IE"/>
        </w:rPr>
        <w:t xml:space="preserve"> 54(9), pp.860-874. </w:t>
      </w:r>
      <w:hyperlink r:id="rId114" w:history="1">
        <w:r w:rsidRPr="00842A52">
          <w:rPr>
            <w:rStyle w:val="Hyperlink"/>
            <w:rFonts w:eastAsia="SimSun" w:cs="Helvetica Neue"/>
            <w:szCs w:val="26"/>
            <w:lang w:val="en-GB" w:eastAsia="en-IE"/>
          </w:rPr>
          <w:t>https://doi.org/10.1111/j.1365-2788.2010.01317.x</w:t>
        </w:r>
      </w:hyperlink>
      <w:r w:rsidRPr="00842A52">
        <w:rPr>
          <w:rFonts w:eastAsia="SimSun" w:cs="Helvetica Neue"/>
          <w:color w:val="000000"/>
          <w:szCs w:val="26"/>
          <w:lang w:val="en-GB" w:eastAsia="en-IE"/>
        </w:rPr>
        <w:t xml:space="preserve"> </w:t>
      </w:r>
    </w:p>
    <w:p w14:paraId="7CAD1EED" w14:textId="092CB82D" w:rsidR="00C23C76" w:rsidRPr="00842A52" w:rsidRDefault="00C23C76" w:rsidP="00B57CA4">
      <w:pPr>
        <w:spacing w:after="0"/>
        <w:rPr>
          <w:szCs w:val="26"/>
          <w:lang w:eastAsia="en-GB"/>
        </w:rPr>
      </w:pPr>
      <w:r w:rsidRPr="00842A52">
        <w:rPr>
          <w:rFonts w:eastAsia="SimSun" w:cs="Helvetica Neue"/>
          <w:color w:val="000000"/>
          <w:szCs w:val="26"/>
          <w:lang w:val="en-GB" w:eastAsia="en-IE"/>
        </w:rPr>
        <w:t>Pruett, S.R. and Chan, F.</w:t>
      </w:r>
      <w:r w:rsidR="00B57CA4"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2006</w:t>
      </w:r>
      <w:r w:rsidR="00B57CA4"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The development and psychometric validation of the Disability Attitude Implicit Association Test. </w:t>
      </w:r>
      <w:r w:rsidRPr="00842A52">
        <w:rPr>
          <w:rFonts w:eastAsia="SimSun" w:cs="Helvetica Neue"/>
          <w:b/>
          <w:bCs/>
          <w:color w:val="000000"/>
          <w:szCs w:val="26"/>
          <w:lang w:val="en-GB" w:eastAsia="en-IE"/>
        </w:rPr>
        <w:t>Rehabilitation Psychology</w:t>
      </w:r>
      <w:r w:rsidRPr="00842A52">
        <w:rPr>
          <w:rFonts w:eastAsia="SimSun" w:cs="Helvetica Neue"/>
          <w:color w:val="000000"/>
          <w:szCs w:val="26"/>
          <w:lang w:val="en-GB" w:eastAsia="en-IE"/>
        </w:rPr>
        <w:t>, 51(3), p.202.</w:t>
      </w:r>
      <w:r w:rsidR="00B57CA4" w:rsidRPr="00842A52">
        <w:rPr>
          <w:szCs w:val="26"/>
        </w:rPr>
        <w:t xml:space="preserve"> </w:t>
      </w:r>
      <w:hyperlink r:id="rId115" w:history="1">
        <w:r w:rsidR="00B57CA4" w:rsidRPr="00842A52">
          <w:rPr>
            <w:rStyle w:val="Hyperlink"/>
            <w:color w:val="067499"/>
            <w:szCs w:val="26"/>
            <w:shd w:val="clear" w:color="auto" w:fill="FFFFFF"/>
          </w:rPr>
          <w:t> https://doi.org/10.1037/0090-5550.51.3.202 </w:t>
        </w:r>
      </w:hyperlink>
    </w:p>
    <w:p w14:paraId="13A25152" w14:textId="77777777" w:rsidR="00B57CA4" w:rsidRPr="00842A52" w:rsidRDefault="00B57CA4" w:rsidP="00B57CA4">
      <w:pPr>
        <w:spacing w:after="0"/>
        <w:rPr>
          <w:szCs w:val="26"/>
          <w:lang w:eastAsia="en-GB"/>
        </w:rPr>
      </w:pPr>
    </w:p>
    <w:p w14:paraId="188875D7" w14:textId="44784450"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Robb, J. and Stone, J.</w:t>
      </w:r>
      <w:r w:rsidR="00B57CA4"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2016</w:t>
      </w:r>
      <w:r w:rsidR="00B57CA4"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Implicit bias toward people with mental illness: A systematic literature review. </w:t>
      </w:r>
      <w:r w:rsidRPr="00842A52">
        <w:rPr>
          <w:rFonts w:eastAsia="SimSun" w:cs="Helvetica Neue"/>
          <w:b/>
          <w:bCs/>
          <w:color w:val="000000"/>
          <w:szCs w:val="26"/>
          <w:lang w:val="en-GB" w:eastAsia="en-IE"/>
        </w:rPr>
        <w:t>Journal of Rehabilitation</w:t>
      </w:r>
      <w:r w:rsidRPr="00842A52">
        <w:rPr>
          <w:rFonts w:eastAsia="SimSun" w:cs="Helvetica Neue"/>
          <w:color w:val="000000"/>
          <w:szCs w:val="26"/>
          <w:lang w:val="en-GB" w:eastAsia="en-IE"/>
        </w:rPr>
        <w:t>, 82(4), p.3</w:t>
      </w:r>
      <w:r w:rsidR="00B57CA4" w:rsidRPr="00842A52">
        <w:rPr>
          <w:rFonts w:eastAsia="SimSun" w:cs="Helvetica Neue"/>
          <w:color w:val="000000"/>
          <w:szCs w:val="26"/>
          <w:lang w:val="en-GB" w:eastAsia="en-IE"/>
        </w:rPr>
        <w:t xml:space="preserve">-13 </w:t>
      </w:r>
      <w:hyperlink r:id="rId116" w:history="1">
        <w:r w:rsidR="00B57CA4" w:rsidRPr="00842A52">
          <w:rPr>
            <w:rStyle w:val="Hyperlink"/>
            <w:rFonts w:eastAsia="SimSun" w:cs="Helvetica Neue"/>
            <w:szCs w:val="26"/>
            <w:lang w:val="en-GB" w:eastAsia="en-IE"/>
          </w:rPr>
          <w:t>https://www.proquest.com/openview/2575bb4369b73611a8e5e0b667bec286/1?pq-origsite=gscholar&amp;cbl=37110</w:t>
        </w:r>
      </w:hyperlink>
      <w:r w:rsidR="00B57CA4" w:rsidRPr="00842A52">
        <w:rPr>
          <w:rFonts w:eastAsia="SimSun" w:cs="Helvetica Neue"/>
          <w:color w:val="000000"/>
          <w:szCs w:val="26"/>
          <w:lang w:val="en-GB" w:eastAsia="en-IE"/>
        </w:rPr>
        <w:t xml:space="preserve"> </w:t>
      </w:r>
    </w:p>
    <w:p w14:paraId="461D89CE" w14:textId="5F23255A"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Rohmer</w:t>
      </w:r>
      <w:r w:rsidR="00B57CA4"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O</w:t>
      </w:r>
      <w:r w:rsidR="00B57CA4" w:rsidRPr="00842A52">
        <w:rPr>
          <w:rFonts w:eastAsia="SimSun" w:cs="Helvetica Neue"/>
          <w:color w:val="000000"/>
          <w:szCs w:val="26"/>
          <w:lang w:val="en-GB" w:eastAsia="en-IE"/>
        </w:rPr>
        <w:t>. and</w:t>
      </w:r>
      <w:r w:rsidRPr="00842A52">
        <w:rPr>
          <w:rFonts w:eastAsia="SimSun" w:cs="Helvetica Neue"/>
          <w:color w:val="000000"/>
          <w:szCs w:val="26"/>
          <w:lang w:val="en-GB" w:eastAsia="en-IE"/>
        </w:rPr>
        <w:t xml:space="preserve"> Louvet</w:t>
      </w:r>
      <w:r w:rsidR="00B57CA4"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E. </w:t>
      </w:r>
      <w:r w:rsidR="00B57CA4" w:rsidRPr="00842A52">
        <w:rPr>
          <w:rFonts w:eastAsia="SimSun" w:cs="Helvetica Neue"/>
          <w:color w:val="000000"/>
          <w:szCs w:val="26"/>
          <w:lang w:val="en-GB" w:eastAsia="en-IE"/>
        </w:rPr>
        <w:t>(</w:t>
      </w:r>
      <w:r w:rsidRPr="00842A52">
        <w:rPr>
          <w:rFonts w:eastAsia="SimSun" w:cs="Helvetica Neue"/>
          <w:color w:val="000000"/>
          <w:szCs w:val="26"/>
          <w:lang w:val="en-GB" w:eastAsia="en-IE"/>
        </w:rPr>
        <w:t>2018</w:t>
      </w:r>
      <w:r w:rsidR="00B57CA4"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Implicit stereotyping against people with disability. </w:t>
      </w:r>
      <w:r w:rsidRPr="00842A52">
        <w:rPr>
          <w:rFonts w:eastAsia="SimSun" w:cs="Helvetica Neue"/>
          <w:b/>
          <w:bCs/>
          <w:color w:val="000000"/>
          <w:szCs w:val="26"/>
          <w:lang w:val="en-GB" w:eastAsia="en-IE"/>
        </w:rPr>
        <w:t>Group Processes &amp; Intergroup Relations</w:t>
      </w:r>
      <w:r w:rsidR="00B57CA4"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 xml:space="preserve">21(1):127-40. </w:t>
      </w:r>
      <w:hyperlink r:id="rId117" w:history="1">
        <w:r w:rsidRPr="00842A52">
          <w:rPr>
            <w:rStyle w:val="Hyperlink"/>
            <w:rFonts w:eastAsia="SimSun" w:cs="Helvetica Neue"/>
            <w:szCs w:val="26"/>
            <w:lang w:val="en-GB" w:eastAsia="en-IE"/>
          </w:rPr>
          <w:t>https://doi.org/10.1177/1368430216638536</w:t>
        </w:r>
      </w:hyperlink>
      <w:r w:rsidRPr="00842A52">
        <w:rPr>
          <w:rFonts w:eastAsia="SimSun" w:cs="Helvetica Neue"/>
          <w:color w:val="000000"/>
          <w:szCs w:val="26"/>
          <w:lang w:val="en-GB" w:eastAsia="en-IE"/>
        </w:rPr>
        <w:t xml:space="preserve"> </w:t>
      </w:r>
    </w:p>
    <w:p w14:paraId="763C6F5C" w14:textId="2202C28F"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 xml:space="preserve">Rolstad, S., Adler, J. and Rydén, A. </w:t>
      </w:r>
      <w:r w:rsidR="008B5923" w:rsidRPr="00842A52">
        <w:rPr>
          <w:rFonts w:eastAsia="SimSun" w:cs="Helvetica Neue"/>
          <w:color w:val="000000"/>
          <w:szCs w:val="26"/>
          <w:lang w:val="en-GB" w:eastAsia="en-IE"/>
        </w:rPr>
        <w:t>(</w:t>
      </w:r>
      <w:r w:rsidRPr="00842A52">
        <w:rPr>
          <w:rFonts w:eastAsia="SimSun" w:cs="Helvetica Neue"/>
          <w:color w:val="000000"/>
          <w:szCs w:val="26"/>
          <w:lang w:val="en-GB" w:eastAsia="en-IE"/>
        </w:rPr>
        <w:t>2011</w:t>
      </w:r>
      <w:r w:rsidR="008B5923"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Response burden and questionnaire length: is shorter better? A review and meta-analysis. </w:t>
      </w:r>
      <w:r w:rsidRPr="00842A52">
        <w:rPr>
          <w:rFonts w:eastAsia="SimSun" w:cs="Helvetica Neue"/>
          <w:b/>
          <w:bCs/>
          <w:color w:val="000000"/>
          <w:szCs w:val="26"/>
          <w:lang w:val="en-GB" w:eastAsia="en-IE"/>
        </w:rPr>
        <w:t>Value in Health</w:t>
      </w:r>
      <w:r w:rsidRPr="00842A52">
        <w:rPr>
          <w:rFonts w:eastAsia="SimSun" w:cs="Helvetica Neue"/>
          <w:color w:val="000000"/>
          <w:szCs w:val="26"/>
          <w:lang w:val="en-GB" w:eastAsia="en-IE"/>
        </w:rPr>
        <w:t>, 14(8), pp.1101-1108.</w:t>
      </w:r>
      <w:r w:rsidRPr="00842A52">
        <w:rPr>
          <w:szCs w:val="26"/>
        </w:rPr>
        <w:t xml:space="preserve"> </w:t>
      </w:r>
      <w:hyperlink r:id="rId118" w:history="1">
        <w:r w:rsidRPr="00842A52">
          <w:rPr>
            <w:rFonts w:eastAsia="SimSun" w:cs="Helvetica Neue"/>
            <w:color w:val="0000FF"/>
            <w:szCs w:val="26"/>
            <w:u w:val="single"/>
            <w:lang w:val="en-GB" w:eastAsia="en-IE"/>
          </w:rPr>
          <w:t>https://doi.org/10.1016/j.jval.2011.06.003</w:t>
        </w:r>
      </w:hyperlink>
      <w:r w:rsidRPr="00842A52">
        <w:rPr>
          <w:rFonts w:eastAsia="SimSun" w:cs="Helvetica Neue"/>
          <w:color w:val="000000"/>
          <w:szCs w:val="26"/>
          <w:lang w:val="en-GB" w:eastAsia="en-IE"/>
        </w:rPr>
        <w:t xml:space="preserve"> </w:t>
      </w:r>
    </w:p>
    <w:p w14:paraId="07892039" w14:textId="0606098E"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 xml:space="preserve">Rosenfeld, B., Imai, K., </w:t>
      </w:r>
      <w:r w:rsidR="008B5923" w:rsidRPr="00842A52">
        <w:rPr>
          <w:rFonts w:eastAsia="SimSun" w:cs="Helvetica Neue"/>
          <w:color w:val="000000"/>
          <w:szCs w:val="26"/>
          <w:lang w:val="en-GB" w:eastAsia="en-IE"/>
        </w:rPr>
        <w:t xml:space="preserve">and </w:t>
      </w:r>
      <w:r w:rsidRPr="00842A52">
        <w:rPr>
          <w:rFonts w:eastAsia="SimSun" w:cs="Helvetica Neue"/>
          <w:color w:val="000000"/>
          <w:szCs w:val="26"/>
          <w:lang w:val="en-GB" w:eastAsia="en-IE"/>
        </w:rPr>
        <w:t xml:space="preserve">Shapiro, JN (2016) An empirical validation study of popular survey methodologies for sensitive questions. </w:t>
      </w:r>
      <w:r w:rsidRPr="00842A52">
        <w:rPr>
          <w:rFonts w:eastAsia="SimSun" w:cs="Helvetica Neue"/>
          <w:b/>
          <w:bCs/>
          <w:color w:val="000000"/>
          <w:szCs w:val="26"/>
          <w:lang w:val="en-GB" w:eastAsia="en-IE"/>
        </w:rPr>
        <w:t xml:space="preserve">American </w:t>
      </w:r>
      <w:r w:rsidR="008B5923" w:rsidRPr="00842A52">
        <w:rPr>
          <w:rFonts w:eastAsia="SimSun" w:cs="Helvetica Neue"/>
          <w:b/>
          <w:bCs/>
          <w:color w:val="000000"/>
          <w:szCs w:val="26"/>
          <w:lang w:val="en-GB" w:eastAsia="en-IE"/>
        </w:rPr>
        <w:t>J</w:t>
      </w:r>
      <w:r w:rsidRPr="00842A52">
        <w:rPr>
          <w:rFonts w:eastAsia="SimSun" w:cs="Helvetica Neue"/>
          <w:b/>
          <w:bCs/>
          <w:color w:val="000000"/>
          <w:szCs w:val="26"/>
          <w:lang w:val="en-GB" w:eastAsia="en-IE"/>
        </w:rPr>
        <w:t xml:space="preserve">ournal of </w:t>
      </w:r>
      <w:r w:rsidR="008B5923" w:rsidRPr="00842A52">
        <w:rPr>
          <w:rFonts w:eastAsia="SimSun" w:cs="Helvetica Neue"/>
          <w:b/>
          <w:bCs/>
          <w:color w:val="000000"/>
          <w:szCs w:val="26"/>
          <w:lang w:val="en-GB" w:eastAsia="en-IE"/>
        </w:rPr>
        <w:t>P</w:t>
      </w:r>
      <w:r w:rsidRPr="00842A52">
        <w:rPr>
          <w:rFonts w:eastAsia="SimSun" w:cs="Helvetica Neue"/>
          <w:b/>
          <w:bCs/>
          <w:color w:val="000000"/>
          <w:szCs w:val="26"/>
          <w:lang w:val="en-GB" w:eastAsia="en-IE"/>
        </w:rPr>
        <w:t xml:space="preserve">olitical </w:t>
      </w:r>
      <w:r w:rsidR="008B5923" w:rsidRPr="00842A52">
        <w:rPr>
          <w:rFonts w:eastAsia="SimSun" w:cs="Helvetica Neue"/>
          <w:b/>
          <w:bCs/>
          <w:color w:val="000000"/>
          <w:szCs w:val="26"/>
          <w:lang w:val="en-GB" w:eastAsia="en-IE"/>
        </w:rPr>
        <w:t>S</w:t>
      </w:r>
      <w:r w:rsidRPr="00842A52">
        <w:rPr>
          <w:rFonts w:eastAsia="SimSun" w:cs="Helvetica Neue"/>
          <w:b/>
          <w:bCs/>
          <w:color w:val="000000"/>
          <w:szCs w:val="26"/>
          <w:lang w:val="en-GB" w:eastAsia="en-IE"/>
        </w:rPr>
        <w:t>cience</w:t>
      </w:r>
      <w:r w:rsidRPr="00842A52">
        <w:rPr>
          <w:rFonts w:eastAsia="SimSun" w:cs="Helvetica Neue"/>
          <w:color w:val="000000"/>
          <w:szCs w:val="26"/>
          <w:lang w:val="en-GB" w:eastAsia="en-IE"/>
        </w:rPr>
        <w:t xml:space="preserve">, 60(3), 783-802. </w:t>
      </w:r>
      <w:hyperlink r:id="rId119" w:history="1">
        <w:r w:rsidRPr="00842A52">
          <w:rPr>
            <w:rStyle w:val="Hyperlink"/>
            <w:rFonts w:eastAsia="SimSun" w:cs="Helvetica Neue"/>
            <w:szCs w:val="26"/>
            <w:lang w:val="en-GB" w:eastAsia="en-IE"/>
          </w:rPr>
          <w:t>https://doi.org/10.1111/ajps.12205</w:t>
        </w:r>
      </w:hyperlink>
      <w:r w:rsidRPr="00842A52">
        <w:rPr>
          <w:rFonts w:eastAsia="SimSun" w:cs="Helvetica Neue"/>
          <w:color w:val="000000"/>
          <w:szCs w:val="26"/>
          <w:lang w:val="en-GB" w:eastAsia="en-IE"/>
        </w:rPr>
        <w:t xml:space="preserve"> </w:t>
      </w:r>
    </w:p>
    <w:p w14:paraId="32A5F1AA" w14:textId="64E80430" w:rsidR="00C23C76" w:rsidRPr="00842A52" w:rsidRDefault="00C23C76" w:rsidP="00CD555E">
      <w:pPr>
        <w:spacing w:after="0"/>
        <w:rPr>
          <w:szCs w:val="26"/>
          <w:lang w:eastAsia="en-GB"/>
        </w:rPr>
      </w:pPr>
      <w:r w:rsidRPr="00842A52">
        <w:rPr>
          <w:rFonts w:eastAsia="SimSun" w:cs="Helvetica Neue"/>
          <w:color w:val="000000"/>
          <w:szCs w:val="26"/>
          <w:lang w:val="en-GB" w:eastAsia="en-IE"/>
        </w:rPr>
        <w:t>Schoenberg, N.E. and Ravdal, H.</w:t>
      </w:r>
      <w:r w:rsidR="008B5923"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2000</w:t>
      </w:r>
      <w:r w:rsidR="008B5923"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Using vignettes in awareness and attitudinal research. </w:t>
      </w:r>
      <w:r w:rsidRPr="00842A52">
        <w:rPr>
          <w:rFonts w:eastAsia="SimSun" w:cs="Helvetica Neue"/>
          <w:b/>
          <w:bCs/>
          <w:color w:val="000000"/>
          <w:szCs w:val="26"/>
          <w:lang w:val="en-GB" w:eastAsia="en-IE"/>
        </w:rPr>
        <w:t xml:space="preserve">International </w:t>
      </w:r>
      <w:r w:rsidR="008B5923" w:rsidRPr="00842A52">
        <w:rPr>
          <w:rFonts w:eastAsia="SimSun" w:cs="Helvetica Neue"/>
          <w:b/>
          <w:bCs/>
          <w:color w:val="000000"/>
          <w:szCs w:val="26"/>
          <w:lang w:val="en-GB" w:eastAsia="en-IE"/>
        </w:rPr>
        <w:t>Journal of Social Research Methodology</w:t>
      </w:r>
      <w:r w:rsidRPr="00842A52">
        <w:rPr>
          <w:rFonts w:eastAsia="SimSun" w:cs="Helvetica Neue"/>
          <w:color w:val="000000"/>
          <w:szCs w:val="26"/>
          <w:lang w:val="en-GB" w:eastAsia="en-IE"/>
        </w:rPr>
        <w:t>, 3(1), pp.63-74.</w:t>
      </w:r>
      <w:r w:rsidR="008B5923" w:rsidRPr="00842A52">
        <w:rPr>
          <w:rFonts w:eastAsia="SimSun" w:cs="Helvetica Neue"/>
          <w:color w:val="000000"/>
          <w:szCs w:val="26"/>
          <w:lang w:val="en-GB" w:eastAsia="en-IE"/>
        </w:rPr>
        <w:t xml:space="preserve"> </w:t>
      </w:r>
      <w:hyperlink r:id="rId120" w:history="1">
        <w:r w:rsidR="008B5923" w:rsidRPr="00842A52">
          <w:rPr>
            <w:rStyle w:val="Hyperlink"/>
            <w:color w:val="067499"/>
            <w:szCs w:val="26"/>
            <w:shd w:val="clear" w:color="auto" w:fill="FFFFFF"/>
          </w:rPr>
          <w:t> https://doi.org/10.1080/136455700294932 </w:t>
        </w:r>
      </w:hyperlink>
    </w:p>
    <w:p w14:paraId="33F57F6D" w14:textId="77777777" w:rsidR="00CD555E" w:rsidRPr="00842A52" w:rsidRDefault="00CD555E" w:rsidP="00CD555E">
      <w:pPr>
        <w:spacing w:after="0"/>
        <w:rPr>
          <w:szCs w:val="26"/>
          <w:lang w:eastAsia="en-GB"/>
        </w:rPr>
      </w:pPr>
    </w:p>
    <w:p w14:paraId="2334E120" w14:textId="638EF6B0"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 xml:space="preserve">Simane-Vigante, L., Plotka, I. and Blumenau, N. </w:t>
      </w:r>
      <w:r w:rsidR="00CD555E" w:rsidRPr="00842A52">
        <w:rPr>
          <w:rFonts w:eastAsia="SimSun" w:cs="Helvetica Neue"/>
          <w:color w:val="000000"/>
          <w:szCs w:val="26"/>
          <w:lang w:val="en-GB" w:eastAsia="en-IE"/>
        </w:rPr>
        <w:t>(</w:t>
      </w:r>
      <w:r w:rsidRPr="00842A52">
        <w:rPr>
          <w:rFonts w:eastAsia="SimSun" w:cs="Helvetica Neue"/>
          <w:color w:val="000000"/>
          <w:szCs w:val="26"/>
          <w:lang w:val="en-GB" w:eastAsia="en-IE"/>
        </w:rPr>
        <w:t>2015</w:t>
      </w:r>
      <w:r w:rsidR="00CD555E"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Research of attitudes towards criminal violence with implicit and explicit measures of cognition. </w:t>
      </w:r>
      <w:r w:rsidRPr="00842A52">
        <w:rPr>
          <w:rFonts w:eastAsia="SimSun" w:cs="Helvetica Neue"/>
          <w:b/>
          <w:bCs/>
          <w:color w:val="000000"/>
          <w:szCs w:val="26"/>
          <w:lang w:val="en-GB" w:eastAsia="en-IE"/>
        </w:rPr>
        <w:t>Journal of Education, Psychology and Social Sciences</w:t>
      </w:r>
      <w:r w:rsidRPr="00842A52">
        <w:rPr>
          <w:rFonts w:eastAsia="SimSun" w:cs="Helvetica Neue"/>
          <w:color w:val="000000"/>
          <w:szCs w:val="26"/>
          <w:lang w:val="en-GB" w:eastAsia="en-IE"/>
        </w:rPr>
        <w:t>, 3(2), pp.72-77.</w:t>
      </w:r>
    </w:p>
    <w:p w14:paraId="3EAD3E59" w14:textId="6C5AC222" w:rsidR="00C23C76" w:rsidRPr="00842A52" w:rsidRDefault="00C23C76" w:rsidP="00F43F38">
      <w:pPr>
        <w:spacing w:after="0"/>
        <w:rPr>
          <w:szCs w:val="26"/>
          <w:lang w:eastAsia="en-GB"/>
        </w:rPr>
      </w:pPr>
      <w:r w:rsidRPr="00842A52">
        <w:rPr>
          <w:rFonts w:eastAsia="SimSun" w:cs="Helvetica Neue"/>
          <w:color w:val="000000"/>
          <w:szCs w:val="26"/>
          <w:lang w:val="en-GB" w:eastAsia="en-IE"/>
        </w:rPr>
        <w:t>Stone, J. and Moskowitz, G.B.</w:t>
      </w:r>
      <w:r w:rsidR="00F43F38"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2011</w:t>
      </w:r>
      <w:r w:rsidR="00F43F38"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Non</w:t>
      </w:r>
      <w:r w:rsidRPr="00842A52">
        <w:rPr>
          <w:rFonts w:ascii="Cambria Math" w:eastAsia="SimSun" w:hAnsi="Cambria Math" w:cs="Cambria Math"/>
          <w:color w:val="000000"/>
          <w:szCs w:val="26"/>
          <w:lang w:val="en-GB" w:eastAsia="en-IE"/>
        </w:rPr>
        <w:t>‐</w:t>
      </w:r>
      <w:r w:rsidRPr="00842A52">
        <w:rPr>
          <w:rFonts w:eastAsia="SimSun" w:cs="Helvetica Neue"/>
          <w:color w:val="000000"/>
          <w:szCs w:val="26"/>
          <w:lang w:val="en-GB" w:eastAsia="en-IE"/>
        </w:rPr>
        <w:t xml:space="preserve">conscious bias in medical decision making: what can be done to reduce it?. </w:t>
      </w:r>
      <w:r w:rsidRPr="00842A52">
        <w:rPr>
          <w:rFonts w:eastAsia="SimSun" w:cs="Helvetica Neue"/>
          <w:b/>
          <w:bCs/>
          <w:color w:val="000000"/>
          <w:szCs w:val="26"/>
          <w:lang w:val="en-GB" w:eastAsia="en-IE"/>
        </w:rPr>
        <w:t xml:space="preserve">Medical </w:t>
      </w:r>
      <w:r w:rsidR="00F43F38" w:rsidRPr="00842A52">
        <w:rPr>
          <w:rFonts w:eastAsia="SimSun" w:cs="Helvetica Neue"/>
          <w:b/>
          <w:bCs/>
          <w:color w:val="000000"/>
          <w:szCs w:val="26"/>
          <w:lang w:val="en-GB" w:eastAsia="en-IE"/>
        </w:rPr>
        <w:t>E</w:t>
      </w:r>
      <w:r w:rsidRPr="00842A52">
        <w:rPr>
          <w:rFonts w:eastAsia="SimSun" w:cs="Helvetica Neue"/>
          <w:b/>
          <w:bCs/>
          <w:color w:val="000000"/>
          <w:szCs w:val="26"/>
          <w:lang w:val="en-GB" w:eastAsia="en-IE"/>
        </w:rPr>
        <w:t>ducation</w:t>
      </w:r>
      <w:r w:rsidRPr="00842A52">
        <w:rPr>
          <w:rFonts w:eastAsia="SimSun" w:cs="Helvetica Neue"/>
          <w:color w:val="000000"/>
          <w:szCs w:val="26"/>
          <w:lang w:val="en-GB" w:eastAsia="en-IE"/>
        </w:rPr>
        <w:t>, 45(8), pp.768-776.</w:t>
      </w:r>
      <w:r w:rsidR="00F43F38" w:rsidRPr="00842A52">
        <w:rPr>
          <w:szCs w:val="26"/>
        </w:rPr>
        <w:t xml:space="preserve"> </w:t>
      </w:r>
      <w:hyperlink r:id="rId121" w:history="1">
        <w:r w:rsidR="00F43F38" w:rsidRPr="00842A52">
          <w:rPr>
            <w:rStyle w:val="Hyperlink"/>
            <w:color w:val="067499"/>
            <w:szCs w:val="26"/>
            <w:shd w:val="clear" w:color="auto" w:fill="FFFFFF"/>
          </w:rPr>
          <w:t> https://doi.org/10.1111/j.1365-2923.2011.04026.x </w:t>
        </w:r>
      </w:hyperlink>
    </w:p>
    <w:p w14:paraId="70D68404" w14:textId="77777777" w:rsidR="00F43F38" w:rsidRPr="00842A52" w:rsidRDefault="00F43F38" w:rsidP="00F43F38">
      <w:pPr>
        <w:spacing w:after="0"/>
        <w:rPr>
          <w:szCs w:val="26"/>
          <w:lang w:eastAsia="en-GB"/>
        </w:rPr>
      </w:pPr>
    </w:p>
    <w:p w14:paraId="173DBF3D" w14:textId="68EB7B01"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 xml:space="preserve">Takahashi, J. and Haga, A. </w:t>
      </w:r>
      <w:r w:rsidR="00F43F38" w:rsidRPr="00842A52">
        <w:rPr>
          <w:rFonts w:eastAsia="SimSun" w:cs="Helvetica Neue"/>
          <w:color w:val="000000"/>
          <w:szCs w:val="26"/>
          <w:lang w:val="en-GB" w:eastAsia="en-IE"/>
        </w:rPr>
        <w:t>(</w:t>
      </w:r>
      <w:r w:rsidRPr="00842A52">
        <w:rPr>
          <w:rFonts w:eastAsia="SimSun" w:cs="Helvetica Neue"/>
          <w:color w:val="000000"/>
          <w:szCs w:val="26"/>
          <w:lang w:val="en-GB" w:eastAsia="en-IE"/>
        </w:rPr>
        <w:t>2016</w:t>
      </w:r>
      <w:r w:rsidR="00F43F38"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Evaluation of impressions toward people with intellectual and developmental disabilities using semantic differential method. </w:t>
      </w:r>
      <w:r w:rsidRPr="00842A52">
        <w:rPr>
          <w:rFonts w:eastAsia="SimSun" w:cs="Helvetica Neue"/>
          <w:b/>
          <w:bCs/>
          <w:color w:val="000000"/>
          <w:szCs w:val="26"/>
          <w:lang w:val="en-GB" w:eastAsia="en-IE"/>
        </w:rPr>
        <w:t>International Journal of Humanities and Social Science</w:t>
      </w:r>
      <w:r w:rsidRPr="00842A52">
        <w:rPr>
          <w:rFonts w:eastAsia="SimSun" w:cs="Helvetica Neue"/>
          <w:color w:val="000000"/>
          <w:szCs w:val="26"/>
          <w:lang w:val="en-GB" w:eastAsia="en-IE"/>
        </w:rPr>
        <w:t>, 6, pp.257-262.</w:t>
      </w:r>
    </w:p>
    <w:p w14:paraId="36DE5802" w14:textId="77777777"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 xml:space="preserve">Thomas, A., Vaughn, E.D., Doyle, A. and Bubb, R., 2014. Implicit association tests of attitudes toward persons with disabilities. </w:t>
      </w:r>
      <w:r w:rsidRPr="00842A52">
        <w:rPr>
          <w:rFonts w:eastAsia="SimSun" w:cs="Helvetica Neue"/>
          <w:b/>
          <w:bCs/>
          <w:color w:val="000000"/>
          <w:szCs w:val="26"/>
          <w:lang w:val="en-GB" w:eastAsia="en-IE"/>
        </w:rPr>
        <w:t>The Journal of Experimental Education,</w:t>
      </w:r>
      <w:r w:rsidRPr="00842A52">
        <w:rPr>
          <w:rFonts w:eastAsia="SimSun" w:cs="Helvetica Neue"/>
          <w:color w:val="000000"/>
          <w:szCs w:val="26"/>
          <w:lang w:val="en-GB" w:eastAsia="en-IE"/>
        </w:rPr>
        <w:t xml:space="preserve"> 82(2), pp.184-204.</w:t>
      </w:r>
    </w:p>
    <w:p w14:paraId="0AE31E32" w14:textId="77777777"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United Nations. (n.d.). Factsheet on Persons with Disabilities. Available from:</w:t>
      </w:r>
      <w:r w:rsidRPr="00842A52">
        <w:rPr>
          <w:szCs w:val="26"/>
        </w:rPr>
        <w:t xml:space="preserve"> </w:t>
      </w:r>
      <w:hyperlink r:id="rId122" w:history="1">
        <w:r w:rsidRPr="00842A52">
          <w:rPr>
            <w:rStyle w:val="Hyperlink"/>
            <w:rFonts w:eastAsia="SimSun" w:cs="Helvetica Neue"/>
            <w:szCs w:val="26"/>
            <w:lang w:val="en-GB" w:eastAsia="en-IE"/>
          </w:rPr>
          <w:t>https://www.un.org/development/desa/disabilities/resources/factsheet-on-persons-with-disabilities.html</w:t>
        </w:r>
      </w:hyperlink>
      <w:r w:rsidRPr="00842A52">
        <w:rPr>
          <w:rFonts w:eastAsia="SimSun" w:cs="Helvetica Neue"/>
          <w:color w:val="000000"/>
          <w:szCs w:val="26"/>
          <w:lang w:val="en-GB" w:eastAsia="en-IE"/>
        </w:rPr>
        <w:t xml:space="preserve">  [last accessed November 2022]</w:t>
      </w:r>
    </w:p>
    <w:p w14:paraId="0D032C1C" w14:textId="704B109F" w:rsidR="00A22F73" w:rsidRPr="00842A52" w:rsidRDefault="00A22F73" w:rsidP="00A2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Cs w:val="26"/>
        </w:rPr>
      </w:pPr>
      <w:r w:rsidRPr="00842A52">
        <w:rPr>
          <w:szCs w:val="26"/>
        </w:rPr>
        <w:t xml:space="preserve">Verster, J.C. et al. (2021) The Use of Single-Item Ratings Versus Traditional Multiple-Item Questionnaires to Assess Mood and Health. European Journal of  Investigation in Health Psychology and Education, 11(1), pp.183-198 </w:t>
      </w:r>
      <w:hyperlink r:id="rId123" w:history="1">
        <w:r w:rsidRPr="00842A52">
          <w:rPr>
            <w:rStyle w:val="Hyperlink"/>
            <w:szCs w:val="26"/>
          </w:rPr>
          <w:t>https://doi.org/10.3390/ejihpe11010015</w:t>
        </w:r>
      </w:hyperlink>
      <w:r w:rsidRPr="00842A52">
        <w:rPr>
          <w:szCs w:val="26"/>
        </w:rPr>
        <w:t xml:space="preserve"> </w:t>
      </w:r>
    </w:p>
    <w:p w14:paraId="0AC9A34B" w14:textId="77777777" w:rsidR="00A22F73" w:rsidRPr="00842A52" w:rsidRDefault="00A22F73" w:rsidP="00A22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Cs w:val="26"/>
        </w:rPr>
      </w:pPr>
    </w:p>
    <w:p w14:paraId="460A12FF" w14:textId="2CB73F46"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lastRenderedPageBreak/>
        <w:t>Vezzali, L. and Capozza, D.</w:t>
      </w:r>
      <w:r w:rsidR="00F43F38"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2011</w:t>
      </w:r>
      <w:r w:rsidR="00F43F38"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Reducing explicit and implicit prejudice toward disabled colleagues: Effects of contact and membership salience in the workplace.</w:t>
      </w:r>
      <w:r w:rsidR="008D69B5" w:rsidRPr="00842A52">
        <w:rPr>
          <w:rFonts w:eastAsia="SimSun" w:cs="Helvetica Neue"/>
          <w:color w:val="000000"/>
          <w:szCs w:val="26"/>
          <w:lang w:val="en-GB" w:eastAsia="en-IE"/>
        </w:rPr>
        <w:t xml:space="preserve"> Life Span and Disability, 14, 139-162</w:t>
      </w:r>
    </w:p>
    <w:p w14:paraId="69838B6B"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7688653B" w14:textId="3DB7E538"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Walstra, R. and Chukwuma, E. </w:t>
      </w:r>
      <w:r w:rsidR="008D69B5" w:rsidRPr="00842A52">
        <w:rPr>
          <w:rFonts w:eastAsia="SimSun" w:cs="Helvetica Neue"/>
          <w:color w:val="000000"/>
          <w:szCs w:val="26"/>
          <w:lang w:val="en-GB" w:eastAsia="en-IE"/>
        </w:rPr>
        <w:t>(</w:t>
      </w:r>
      <w:r w:rsidRPr="00842A52">
        <w:rPr>
          <w:rFonts w:eastAsia="SimSun" w:cs="Helvetica Neue"/>
          <w:color w:val="000000"/>
          <w:szCs w:val="26"/>
          <w:lang w:val="en-GB" w:eastAsia="en-IE"/>
        </w:rPr>
        <w:t>2022</w:t>
      </w:r>
      <w:r w:rsidR="008D69B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Inclusion of Disability Within the Spectrum of Diversity and the Implications for Accounting Education. </w:t>
      </w:r>
      <w:r w:rsidRPr="00842A52">
        <w:rPr>
          <w:rFonts w:eastAsia="SimSun" w:cs="Helvetica Neue"/>
          <w:b/>
          <w:bCs/>
          <w:color w:val="000000"/>
          <w:szCs w:val="26"/>
          <w:lang w:val="en-GB" w:eastAsia="en-IE"/>
        </w:rPr>
        <w:t>Issues in Accounting Education</w:t>
      </w:r>
      <w:r w:rsidRPr="00842A52">
        <w:rPr>
          <w:rFonts w:eastAsia="SimSun" w:cs="Helvetica Neue"/>
          <w:color w:val="000000"/>
          <w:szCs w:val="26"/>
          <w:lang w:val="en-GB" w:eastAsia="en-IE"/>
        </w:rPr>
        <w:t xml:space="preserve">. </w:t>
      </w:r>
      <w:hyperlink r:id="rId124" w:history="1">
        <w:r w:rsidRPr="00842A52">
          <w:rPr>
            <w:rStyle w:val="Hyperlink"/>
            <w:rFonts w:eastAsia="SimSun" w:cs="Helvetica Neue"/>
            <w:szCs w:val="26"/>
            <w:lang w:val="en-GB" w:eastAsia="en-IE"/>
          </w:rPr>
          <w:t>https://doi.org/10.2308/issues-2021-007</w:t>
        </w:r>
      </w:hyperlink>
      <w:r w:rsidRPr="00842A52">
        <w:rPr>
          <w:rFonts w:eastAsia="SimSun" w:cs="Helvetica Neue"/>
          <w:color w:val="000000"/>
          <w:szCs w:val="26"/>
          <w:lang w:val="en-GB" w:eastAsia="en-IE"/>
        </w:rPr>
        <w:t xml:space="preserve"> </w:t>
      </w:r>
    </w:p>
    <w:p w14:paraId="69A06EB5"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154B9391" w14:textId="0F68D42E" w:rsidR="008D69B5" w:rsidRPr="00842A52" w:rsidRDefault="00C23C76" w:rsidP="008D69B5">
      <w:pPr>
        <w:spacing w:after="0"/>
        <w:rPr>
          <w:szCs w:val="26"/>
        </w:rPr>
      </w:pPr>
      <w:r w:rsidRPr="00842A52">
        <w:rPr>
          <w:rFonts w:eastAsia="SimSun" w:cs="Helvetica Neue"/>
          <w:color w:val="000000"/>
          <w:szCs w:val="26"/>
          <w:lang w:val="en-GB" w:eastAsia="en-IE"/>
        </w:rPr>
        <w:t>Wilson, M.C. and Scior, K.</w:t>
      </w:r>
      <w:r w:rsidR="008D69B5" w:rsidRPr="00842A52">
        <w:rPr>
          <w:rFonts w:eastAsia="SimSun" w:cs="Helvetica Neue"/>
          <w:color w:val="000000"/>
          <w:szCs w:val="26"/>
          <w:lang w:val="en-GB" w:eastAsia="en-IE"/>
        </w:rPr>
        <w:t xml:space="preserve"> (</w:t>
      </w:r>
      <w:r w:rsidRPr="00842A52">
        <w:rPr>
          <w:rFonts w:eastAsia="SimSun" w:cs="Helvetica Neue"/>
          <w:color w:val="000000"/>
          <w:szCs w:val="26"/>
          <w:lang w:val="en-GB" w:eastAsia="en-IE"/>
        </w:rPr>
        <w:t>2014</w:t>
      </w:r>
      <w:r w:rsidR="008D69B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Attitudes towards individuals with disabilities as measured by the Implicit Association Test: A literature review. </w:t>
      </w:r>
      <w:r w:rsidRPr="00842A52">
        <w:rPr>
          <w:rFonts w:eastAsia="SimSun" w:cs="Helvetica Neue"/>
          <w:b/>
          <w:bCs/>
          <w:color w:val="000000"/>
          <w:szCs w:val="26"/>
          <w:lang w:val="en-GB" w:eastAsia="en-IE"/>
        </w:rPr>
        <w:t xml:space="preserve">Research in </w:t>
      </w:r>
      <w:r w:rsidR="008D69B5" w:rsidRPr="00842A52">
        <w:rPr>
          <w:rFonts w:eastAsia="SimSun" w:cs="Helvetica Neue"/>
          <w:b/>
          <w:bCs/>
          <w:color w:val="000000"/>
          <w:szCs w:val="26"/>
          <w:lang w:val="en-GB" w:eastAsia="en-IE"/>
        </w:rPr>
        <w:t>D</w:t>
      </w:r>
      <w:r w:rsidRPr="00842A52">
        <w:rPr>
          <w:rFonts w:eastAsia="SimSun" w:cs="Helvetica Neue"/>
          <w:b/>
          <w:bCs/>
          <w:color w:val="000000"/>
          <w:szCs w:val="26"/>
          <w:lang w:val="en-GB" w:eastAsia="en-IE"/>
        </w:rPr>
        <w:t xml:space="preserve">evelopmental </w:t>
      </w:r>
      <w:r w:rsidR="008D69B5" w:rsidRPr="00842A52">
        <w:rPr>
          <w:rFonts w:eastAsia="SimSun" w:cs="Helvetica Neue"/>
          <w:b/>
          <w:bCs/>
          <w:color w:val="000000"/>
          <w:szCs w:val="26"/>
          <w:lang w:val="en-GB" w:eastAsia="en-IE"/>
        </w:rPr>
        <w:t>D</w:t>
      </w:r>
      <w:r w:rsidRPr="00842A52">
        <w:rPr>
          <w:rFonts w:eastAsia="SimSun" w:cs="Helvetica Neue"/>
          <w:b/>
          <w:bCs/>
          <w:color w:val="000000"/>
          <w:szCs w:val="26"/>
          <w:lang w:val="en-GB" w:eastAsia="en-IE"/>
        </w:rPr>
        <w:t>isabilities</w:t>
      </w:r>
      <w:r w:rsidRPr="00842A52">
        <w:rPr>
          <w:rFonts w:eastAsia="SimSun" w:cs="Helvetica Neue"/>
          <w:color w:val="000000"/>
          <w:szCs w:val="26"/>
          <w:lang w:val="en-GB" w:eastAsia="en-IE"/>
        </w:rPr>
        <w:t>, 35(2), pp.294-321.</w:t>
      </w:r>
      <w:r w:rsidR="008D69B5" w:rsidRPr="00842A52">
        <w:rPr>
          <w:szCs w:val="26"/>
        </w:rPr>
        <w:t xml:space="preserve"> </w:t>
      </w:r>
      <w:hyperlink r:id="rId125" w:history="1">
        <w:r w:rsidR="008D69B5" w:rsidRPr="00842A52">
          <w:rPr>
            <w:rStyle w:val="Hyperlink"/>
            <w:color w:val="067499"/>
            <w:szCs w:val="26"/>
            <w:shd w:val="clear" w:color="auto" w:fill="FFFFFF"/>
          </w:rPr>
          <w:t> https://doi.org/10.1016/j.ridd.2013.11.003 </w:t>
        </w:r>
      </w:hyperlink>
    </w:p>
    <w:p w14:paraId="5F34ED8E"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0C8A4285" w14:textId="6CE214BD"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842A52">
        <w:rPr>
          <w:rFonts w:eastAsia="SimSun" w:cs="Helvetica Neue"/>
          <w:color w:val="000000"/>
          <w:szCs w:val="26"/>
          <w:lang w:val="en-GB" w:eastAsia="en-IE"/>
        </w:rPr>
        <w:t xml:space="preserve">Wolbring, G. and Lillywhite, A. </w:t>
      </w:r>
      <w:r w:rsidR="008D69B5" w:rsidRPr="00842A52">
        <w:rPr>
          <w:rFonts w:eastAsia="SimSun" w:cs="Helvetica Neue"/>
          <w:color w:val="000000"/>
          <w:szCs w:val="26"/>
          <w:lang w:val="en-GB" w:eastAsia="en-IE"/>
        </w:rPr>
        <w:t>(</w:t>
      </w:r>
      <w:r w:rsidRPr="00842A52">
        <w:rPr>
          <w:rFonts w:eastAsia="SimSun" w:cs="Helvetica Neue"/>
          <w:color w:val="000000"/>
          <w:szCs w:val="26"/>
          <w:lang w:val="en-GB" w:eastAsia="en-IE"/>
        </w:rPr>
        <w:t>2021</w:t>
      </w:r>
      <w:r w:rsidR="008D69B5"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Equity/Equality, Diversity, and Inclusion (EDI) in Universities: The Case of Disabled People. </w:t>
      </w:r>
      <w:r w:rsidRPr="00842A52">
        <w:rPr>
          <w:rFonts w:eastAsia="SimSun" w:cs="Helvetica Neue"/>
          <w:b/>
          <w:bCs/>
          <w:color w:val="000000"/>
          <w:szCs w:val="26"/>
          <w:lang w:val="en-GB" w:eastAsia="en-IE"/>
        </w:rPr>
        <w:t>Societies,</w:t>
      </w:r>
      <w:r w:rsidRPr="00842A52">
        <w:rPr>
          <w:rFonts w:eastAsia="SimSun" w:cs="Helvetica Neue"/>
          <w:color w:val="000000"/>
          <w:szCs w:val="26"/>
          <w:lang w:val="en-GB" w:eastAsia="en-IE"/>
        </w:rPr>
        <w:t xml:space="preserve"> 11(2), p.49.</w:t>
      </w:r>
      <w:r w:rsidRPr="00842A52">
        <w:rPr>
          <w:szCs w:val="26"/>
        </w:rPr>
        <w:t xml:space="preserve"> </w:t>
      </w:r>
      <w:hyperlink r:id="rId126" w:history="1">
        <w:r w:rsidRPr="00842A52">
          <w:rPr>
            <w:rStyle w:val="Hyperlink"/>
            <w:rFonts w:eastAsia="SimSun" w:cs="Helvetica Neue"/>
            <w:szCs w:val="26"/>
            <w:lang w:val="en-GB" w:eastAsia="en-IE"/>
          </w:rPr>
          <w:t>https://doi.org/10.3390/soc11020049</w:t>
        </w:r>
      </w:hyperlink>
      <w:r w:rsidRPr="00842A52">
        <w:rPr>
          <w:rFonts w:eastAsia="SimSun" w:cs="Helvetica Neue"/>
          <w:color w:val="000000"/>
          <w:szCs w:val="26"/>
          <w:lang w:val="en-GB" w:eastAsia="en-IE"/>
        </w:rPr>
        <w:t xml:space="preserve"> </w:t>
      </w:r>
    </w:p>
    <w:p w14:paraId="2F26AB4E" w14:textId="77777777" w:rsidR="00C23C76" w:rsidRPr="00842A52" w:rsidRDefault="00C23C76"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3A8E5DA1" w14:textId="0D6FFAF5" w:rsidR="00C23C76" w:rsidRDefault="00BB2CEC"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r w:rsidRPr="00BB2CEC">
        <w:rPr>
          <w:rFonts w:eastAsia="SimSun" w:cs="Helvetica Neue"/>
          <w:color w:val="000000"/>
          <w:szCs w:val="26"/>
          <w:lang w:val="en-GB" w:eastAsia="en-IE"/>
        </w:rPr>
        <w:t>Wigboldus, D. H. J., Holland, R. W., &amp; van Knippenberg, A. (2004). Single target implicit associations. Unpublished manuscript</w:t>
      </w:r>
    </w:p>
    <w:p w14:paraId="1BFB4A0B" w14:textId="77777777" w:rsidR="00BB2CEC" w:rsidRPr="00842A52" w:rsidRDefault="00BB2CEC" w:rsidP="00C23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SimSun" w:cs="Helvetica Neue"/>
          <w:color w:val="000000"/>
          <w:szCs w:val="26"/>
          <w:lang w:val="en-GB" w:eastAsia="en-IE"/>
        </w:rPr>
      </w:pPr>
    </w:p>
    <w:p w14:paraId="02AAB88B" w14:textId="1D42BCDE" w:rsidR="00C23C76" w:rsidRPr="00842A52" w:rsidRDefault="00C23C76" w:rsidP="00C23C76">
      <w:pPr>
        <w:rPr>
          <w:rFonts w:eastAsia="SimSun" w:cs="Helvetica Neue"/>
          <w:color w:val="000000"/>
          <w:szCs w:val="26"/>
          <w:lang w:val="en-GB" w:eastAsia="en-IE"/>
        </w:rPr>
      </w:pPr>
      <w:r w:rsidRPr="00842A52">
        <w:rPr>
          <w:rFonts w:eastAsia="SimSun" w:cs="Helvetica Neue"/>
          <w:color w:val="000000"/>
          <w:szCs w:val="26"/>
          <w:lang w:val="en-GB" w:eastAsia="en-IE"/>
        </w:rPr>
        <w:t xml:space="preserve">Xu, K., Nosek, B., </w:t>
      </w:r>
      <w:r w:rsidR="00A51D68" w:rsidRPr="00842A52">
        <w:rPr>
          <w:rFonts w:eastAsia="SimSun" w:cs="Helvetica Neue"/>
          <w:color w:val="000000"/>
          <w:szCs w:val="26"/>
          <w:lang w:val="en-GB" w:eastAsia="en-IE"/>
        </w:rPr>
        <w:t>and</w:t>
      </w:r>
      <w:r w:rsidRPr="00842A52">
        <w:rPr>
          <w:rFonts w:eastAsia="SimSun" w:cs="Helvetica Neue"/>
          <w:color w:val="000000"/>
          <w:szCs w:val="26"/>
          <w:lang w:val="en-GB" w:eastAsia="en-IE"/>
        </w:rPr>
        <w:t xml:space="preserve"> Greenwald, A.G. (2014). Psychology data from the Race Implicit Association Test on the Project Implicit Demo website. </w:t>
      </w:r>
      <w:r w:rsidRPr="00842A52">
        <w:rPr>
          <w:rFonts w:eastAsia="SimSun" w:cs="Helvetica Neue"/>
          <w:b/>
          <w:bCs/>
          <w:color w:val="000000"/>
          <w:szCs w:val="26"/>
          <w:lang w:val="en-GB" w:eastAsia="en-IE"/>
        </w:rPr>
        <w:t>Journal of Open Psychology Data</w:t>
      </w:r>
      <w:r w:rsidRPr="00842A52">
        <w:rPr>
          <w:rFonts w:eastAsia="SimSun" w:cs="Helvetica Neue"/>
          <w:color w:val="000000"/>
          <w:szCs w:val="26"/>
          <w:lang w:val="en-GB" w:eastAsia="en-IE"/>
        </w:rPr>
        <w:t xml:space="preserve">, 2(1), e3. DOI: </w:t>
      </w:r>
      <w:hyperlink r:id="rId127" w:history="1">
        <w:r w:rsidRPr="00842A52">
          <w:rPr>
            <w:rStyle w:val="Hyperlink"/>
            <w:rFonts w:eastAsia="SimSun" w:cs="Helvetica Neue"/>
            <w:szCs w:val="26"/>
            <w:lang w:val="en-GB" w:eastAsia="en-IE"/>
          </w:rPr>
          <w:t>http://doi.org/10.5334/jopd.ac</w:t>
        </w:r>
      </w:hyperlink>
      <w:r w:rsidRPr="00842A52">
        <w:rPr>
          <w:rFonts w:eastAsia="SimSun" w:cs="Helvetica Neue"/>
          <w:color w:val="000000"/>
          <w:szCs w:val="26"/>
          <w:lang w:val="en-GB" w:eastAsia="en-IE"/>
        </w:rPr>
        <w:t xml:space="preserve"> </w:t>
      </w:r>
    </w:p>
    <w:p w14:paraId="6A7651CF" w14:textId="52E44430" w:rsidR="00C23C76" w:rsidRDefault="00C23C76" w:rsidP="006A7DED">
      <w:pPr>
        <w:spacing w:after="0"/>
        <w:rPr>
          <w:rStyle w:val="Hyperlink"/>
          <w:color w:val="067499"/>
          <w:szCs w:val="26"/>
          <w:shd w:val="clear" w:color="auto" w:fill="FFFFFF"/>
        </w:rPr>
      </w:pPr>
      <w:r w:rsidRPr="00842A52">
        <w:rPr>
          <w:rFonts w:eastAsia="SimSun" w:cs="Helvetica Neue"/>
          <w:color w:val="000000"/>
          <w:szCs w:val="26"/>
          <w:lang w:val="en-GB" w:eastAsia="en-IE"/>
        </w:rPr>
        <w:t xml:space="preserve">Young, R.E., </w:t>
      </w:r>
      <w:r w:rsidR="00A51D68" w:rsidRPr="00842A52">
        <w:rPr>
          <w:rFonts w:eastAsia="SimSun" w:cs="Helvetica Neue"/>
          <w:color w:val="000000"/>
          <w:szCs w:val="26"/>
          <w:lang w:val="en-GB" w:eastAsia="en-IE"/>
        </w:rPr>
        <w:t>et al. (</w:t>
      </w:r>
      <w:r w:rsidRPr="00842A52">
        <w:rPr>
          <w:rFonts w:eastAsia="SimSun" w:cs="Helvetica Neue"/>
          <w:color w:val="000000"/>
          <w:szCs w:val="26"/>
          <w:lang w:val="en-GB" w:eastAsia="en-IE"/>
        </w:rPr>
        <w:t>2019</w:t>
      </w:r>
      <w:r w:rsidR="00A51D68" w:rsidRPr="00842A52">
        <w:rPr>
          <w:rFonts w:eastAsia="SimSun" w:cs="Helvetica Neue"/>
          <w:color w:val="000000"/>
          <w:szCs w:val="26"/>
          <w:lang w:val="en-GB" w:eastAsia="en-IE"/>
        </w:rPr>
        <w:t>)</w:t>
      </w:r>
      <w:r w:rsidRPr="00842A52">
        <w:rPr>
          <w:rFonts w:eastAsia="SimSun" w:cs="Helvetica Neue"/>
          <w:color w:val="000000"/>
          <w:szCs w:val="26"/>
          <w:lang w:val="en-GB" w:eastAsia="en-IE"/>
        </w:rPr>
        <w:t xml:space="preserve"> The subtle side of stigma: Understanding and reducing mental illness stigma from a contemporary prejudice perspective. </w:t>
      </w:r>
      <w:r w:rsidRPr="00842A52">
        <w:rPr>
          <w:rFonts w:eastAsia="SimSun" w:cs="Helvetica Neue"/>
          <w:b/>
          <w:bCs/>
          <w:color w:val="000000"/>
          <w:szCs w:val="26"/>
          <w:lang w:val="en-GB" w:eastAsia="en-IE"/>
        </w:rPr>
        <w:t>Journal of Social Issues,</w:t>
      </w:r>
      <w:r w:rsidRPr="00842A52">
        <w:rPr>
          <w:rFonts w:eastAsia="SimSun" w:cs="Helvetica Neue"/>
          <w:color w:val="000000"/>
          <w:szCs w:val="26"/>
          <w:lang w:val="en-GB" w:eastAsia="en-IE"/>
        </w:rPr>
        <w:t xml:space="preserve"> 75(3), pp.943-971.</w:t>
      </w:r>
      <w:r w:rsidR="006A7DED" w:rsidRPr="00842A52">
        <w:rPr>
          <w:szCs w:val="26"/>
        </w:rPr>
        <w:t xml:space="preserve"> </w:t>
      </w:r>
      <w:hyperlink r:id="rId128" w:history="1">
        <w:r w:rsidR="006A7DED" w:rsidRPr="00842A52">
          <w:rPr>
            <w:rStyle w:val="Hyperlink"/>
            <w:color w:val="067499"/>
            <w:szCs w:val="26"/>
            <w:shd w:val="clear" w:color="auto" w:fill="FFFFFF"/>
          </w:rPr>
          <w:t> https://doi.org/10.1111/josi.12343 </w:t>
        </w:r>
      </w:hyperlink>
    </w:p>
    <w:p w14:paraId="44CCCBB1" w14:textId="5024A288" w:rsidR="007F7DEA" w:rsidRDefault="007F7DEA">
      <w:pPr>
        <w:spacing w:after="0"/>
        <w:rPr>
          <w:rStyle w:val="Hyperlink"/>
          <w:color w:val="067499"/>
          <w:szCs w:val="26"/>
          <w:shd w:val="clear" w:color="auto" w:fill="FFFFFF"/>
        </w:rPr>
      </w:pPr>
      <w:r>
        <w:rPr>
          <w:rStyle w:val="Hyperlink"/>
          <w:color w:val="067499"/>
          <w:szCs w:val="26"/>
          <w:shd w:val="clear" w:color="auto" w:fill="FFFFFF"/>
        </w:rPr>
        <w:br w:type="page"/>
      </w:r>
    </w:p>
    <w:p w14:paraId="1B4019E9" w14:textId="20B810DF" w:rsidR="00825549" w:rsidRPr="005F2DAA" w:rsidRDefault="00825549" w:rsidP="00825549">
      <w:pPr>
        <w:pStyle w:val="Heading1"/>
        <w:rPr>
          <w:rFonts w:eastAsia="SimSun"/>
          <w:lang w:val="en-GB" w:eastAsia="en-IE"/>
        </w:rPr>
      </w:pPr>
      <w:bookmarkStart w:id="31" w:name="_Toc123809239"/>
      <w:r>
        <w:rPr>
          <w:rFonts w:eastAsia="SimSun"/>
          <w:lang w:val="en-GB" w:eastAsia="en-IE"/>
        </w:rPr>
        <w:lastRenderedPageBreak/>
        <w:t>Appendi</w:t>
      </w:r>
      <w:r w:rsidR="007E665D">
        <w:rPr>
          <w:rFonts w:eastAsia="SimSun"/>
          <w:lang w:val="en-GB" w:eastAsia="en-IE"/>
        </w:rPr>
        <w:t xml:space="preserve">x 1: </w:t>
      </w:r>
      <w:r w:rsidR="00A26BF5">
        <w:rPr>
          <w:rFonts w:eastAsia="SimSun"/>
          <w:lang w:val="en-GB" w:eastAsia="en-IE"/>
        </w:rPr>
        <w:t xml:space="preserve"> </w:t>
      </w:r>
      <w:r w:rsidR="007E665D">
        <w:rPr>
          <w:rFonts w:eastAsia="SimSun"/>
          <w:lang w:val="en-GB" w:eastAsia="en-IE"/>
        </w:rPr>
        <w:t>Additional information on list e</w:t>
      </w:r>
      <w:r w:rsidR="00E31E98">
        <w:rPr>
          <w:rFonts w:eastAsia="SimSun"/>
          <w:lang w:val="en-GB" w:eastAsia="en-IE"/>
        </w:rPr>
        <w:t>xper</w:t>
      </w:r>
      <w:r w:rsidR="003C5226">
        <w:rPr>
          <w:rFonts w:eastAsia="SimSun"/>
          <w:lang w:val="en-GB" w:eastAsia="en-IE"/>
        </w:rPr>
        <w:t>i</w:t>
      </w:r>
      <w:r w:rsidR="00E31E98">
        <w:rPr>
          <w:rFonts w:eastAsia="SimSun"/>
          <w:lang w:val="en-GB" w:eastAsia="en-IE"/>
        </w:rPr>
        <w:t>ments</w:t>
      </w:r>
      <w:bookmarkEnd w:id="31"/>
    </w:p>
    <w:p w14:paraId="6F4CC5EF" w14:textId="299A5DD1" w:rsidR="00CD1934" w:rsidRPr="00CD1934" w:rsidRDefault="00CD1934" w:rsidP="00CD1934">
      <w:r w:rsidRPr="00CD1934">
        <w:t>The protection of privacy in the list experiment is designed to increase willingness of respondents to provide truthful answers to sensitive questions. To ensure that the list experiment works, individuals allocated to each group must be similar such that</w:t>
      </w:r>
      <w:r w:rsidR="00A26BF5">
        <w:t>,</w:t>
      </w:r>
      <w:r w:rsidRPr="00CD1934">
        <w:t xml:space="preserve"> on average, they agree with the same number of non-sensitive statements. The addition of the sensitive item must not change the sum of affirmative answers on the control items. Individuals may respond untruthfully if they no longer benefit from the privacy of their responses because they either agree or disagree with all the non-sensitive items (ceiling and floor effects). To eliminate this problem, there should be one non-sensitive item that most participants would agree with and another non-sensitive item that most participants would disagree with. Some people advise that one should choose non-sensitive items related to the topic of the behaviour or opinion investigated in the list experiment to avoid any suspicion on the part of respondents. The choice of the non-sensitive items is key to implementing the list experiment method successfully. Several studies </w:t>
      </w:r>
      <w:bookmarkStart w:id="32" w:name="bbib22"/>
      <w:r w:rsidRPr="00CD1934">
        <w:t>advise that the non-sensitive items should be familiar to the respondent and similar in nature and specificity to the sensitive item so as not to introduce bias in the answers. </w:t>
      </w:r>
      <w:bookmarkEnd w:id="32"/>
      <w:r w:rsidRPr="00CD1934">
        <w:t>The non-sensitive items should not themselves be susceptible to social desirability bias. In summary, the effectiveness of the list experiment methodology is based on assumptions that include the following:</w:t>
      </w:r>
      <w:r w:rsidRPr="00CD1934">
        <w:rPr>
          <w:rFonts w:ascii="Gill Sans" w:hAnsi="Gill Sans"/>
          <w:sz w:val="22"/>
          <w:vertAlign w:val="superscript"/>
        </w:rPr>
        <w:footnoteReference w:id="193"/>
      </w:r>
      <w:r w:rsidRPr="00CD1934">
        <w:t xml:space="preserve"> </w:t>
      </w:r>
    </w:p>
    <w:p w14:paraId="6F524E3E" w14:textId="77777777" w:rsidR="00CD1934" w:rsidRPr="00CD1934" w:rsidRDefault="00CD1934" w:rsidP="00CD1934">
      <w:pPr>
        <w:numPr>
          <w:ilvl w:val="0"/>
          <w:numId w:val="21"/>
        </w:numPr>
        <w:contextualSpacing/>
      </w:pPr>
      <w:r w:rsidRPr="00CD1934">
        <w:t>The successful randomisation of the treatment.</w:t>
      </w:r>
    </w:p>
    <w:p w14:paraId="43909A6F" w14:textId="77777777" w:rsidR="00CD1934" w:rsidRPr="00CD1934" w:rsidRDefault="00CD1934" w:rsidP="00CD1934">
      <w:pPr>
        <w:numPr>
          <w:ilvl w:val="0"/>
          <w:numId w:val="21"/>
        </w:numPr>
        <w:contextualSpacing/>
      </w:pPr>
      <w:r w:rsidRPr="00CD1934">
        <w:t>The absence of design effects.</w:t>
      </w:r>
    </w:p>
    <w:p w14:paraId="1D815C2F" w14:textId="6E8B28F7" w:rsidR="00CD1934" w:rsidRDefault="00CD1934" w:rsidP="00CD1934">
      <w:pPr>
        <w:numPr>
          <w:ilvl w:val="0"/>
          <w:numId w:val="21"/>
        </w:numPr>
        <w:contextualSpacing/>
      </w:pPr>
      <w:r w:rsidRPr="00CD1934">
        <w:t xml:space="preserve">The absence of ceiling and floor effects. </w:t>
      </w:r>
    </w:p>
    <w:p w14:paraId="6BAF765A" w14:textId="77777777" w:rsidR="00A26BF5" w:rsidRPr="00CD1934" w:rsidRDefault="00A26BF5" w:rsidP="00A26BF5">
      <w:pPr>
        <w:ind w:left="720"/>
        <w:contextualSpacing/>
      </w:pPr>
    </w:p>
    <w:p w14:paraId="06BA31F9" w14:textId="77777777" w:rsidR="00CD1934" w:rsidRPr="00CD1934" w:rsidRDefault="00CD1934" w:rsidP="00CD1934">
      <w:r w:rsidRPr="00CD1934">
        <w:t>There are many conditions that list experiments must satisfy to be accurate.</w:t>
      </w:r>
      <w:r w:rsidRPr="00CD1934">
        <w:rPr>
          <w:rFonts w:ascii="Gill Sans" w:hAnsi="Gill Sans"/>
          <w:sz w:val="22"/>
          <w:vertAlign w:val="superscript"/>
        </w:rPr>
        <w:footnoteReference w:id="194"/>
      </w:r>
      <w:r w:rsidRPr="00CD1934">
        <w:t xml:space="preserve"> There is some debate on whether the list experiment is reliable for obtaining accurate prevalence estimates. Several studies report challenges in terms of consistency of the prevalence estimated using list experiment techniques.</w:t>
      </w:r>
      <w:r w:rsidRPr="00CD1934">
        <w:rPr>
          <w:rFonts w:ascii="Gill Sans" w:hAnsi="Gill Sans"/>
          <w:sz w:val="22"/>
          <w:vertAlign w:val="superscript"/>
        </w:rPr>
        <w:footnoteReference w:id="195"/>
      </w:r>
      <w:r w:rsidRPr="00CD1934">
        <w:t xml:space="preserve"> The technique can be inefficient and it requires a high number of respondents to detect effects.</w:t>
      </w:r>
      <w:r w:rsidRPr="00CD1934">
        <w:rPr>
          <w:rFonts w:ascii="Gill Sans" w:hAnsi="Gill Sans"/>
          <w:sz w:val="22"/>
          <w:vertAlign w:val="superscript"/>
        </w:rPr>
        <w:footnoteReference w:id="196"/>
      </w:r>
      <w:r w:rsidRPr="00CD1934">
        <w:t xml:space="preserve"> The list experiment adds random noise</w:t>
      </w:r>
      <w:r w:rsidRPr="00CD1934">
        <w:rPr>
          <w:rFonts w:ascii="Gill Sans" w:hAnsi="Gill Sans"/>
          <w:sz w:val="22"/>
          <w:vertAlign w:val="superscript"/>
        </w:rPr>
        <w:footnoteReference w:id="197"/>
      </w:r>
      <w:r w:rsidRPr="00CD1934">
        <w:t xml:space="preserve"> to the data so a trade-</w:t>
      </w:r>
      <w:r w:rsidRPr="00CD1934">
        <w:lastRenderedPageBreak/>
        <w:t>off arises between potential bias reduction and the efficiency of the estimates. When the estimated prevalence of a sensitive behaviour is higher when obtained with a list experiment than with direct reports, it suggests that the higher estimated prevalence rates are more accurate, but there is not enough evidence that they are free from bias.</w:t>
      </w:r>
      <w:r w:rsidRPr="00CD1934">
        <w:rPr>
          <w:rFonts w:ascii="Gill Sans" w:hAnsi="Gill Sans"/>
          <w:sz w:val="22"/>
          <w:vertAlign w:val="superscript"/>
        </w:rPr>
        <w:footnoteReference w:id="198"/>
      </w:r>
      <w:r w:rsidRPr="00CD1934">
        <w:t xml:space="preserve"> </w:t>
      </w:r>
    </w:p>
    <w:p w14:paraId="301BC818" w14:textId="74DB1115" w:rsidR="00CD1934" w:rsidRPr="00CD1934" w:rsidRDefault="00CD1934" w:rsidP="00CD1934">
      <w:r w:rsidRPr="00CD1934">
        <w:t>The format of list experiments can be confusing</w:t>
      </w:r>
      <w:r w:rsidRPr="00CD1934">
        <w:rPr>
          <w:rFonts w:ascii="Gill Sans" w:hAnsi="Gill Sans"/>
          <w:sz w:val="22"/>
          <w:vertAlign w:val="superscript"/>
        </w:rPr>
        <w:footnoteReference w:id="199"/>
      </w:r>
      <w:r w:rsidRPr="00CD1934">
        <w:t xml:space="preserve"> and decades of survey research </w:t>
      </w:r>
      <w:r w:rsidR="00A26BF5">
        <w:t xml:space="preserve">had found </w:t>
      </w:r>
      <w:r w:rsidRPr="00CD1934">
        <w:t>that complicated survey questions are difficult to answer, particularly for certain subgroups.</w:t>
      </w:r>
      <w:r w:rsidRPr="00CD1934">
        <w:rPr>
          <w:rFonts w:ascii="Gill Sans" w:hAnsi="Gill Sans"/>
          <w:sz w:val="22"/>
          <w:vertAlign w:val="superscript"/>
        </w:rPr>
        <w:footnoteReference w:id="200"/>
      </w:r>
      <w:r w:rsidRPr="00CD1934">
        <w:t xml:space="preserve"> Thus, while the list experiment can reduce social bias it can introduce different forms of error associated with question complexity and difficulty.</w:t>
      </w:r>
      <w:r w:rsidRPr="00CD1934">
        <w:rPr>
          <w:rFonts w:ascii="Gill Sans" w:hAnsi="Gill Sans"/>
          <w:sz w:val="22"/>
          <w:vertAlign w:val="superscript"/>
        </w:rPr>
        <w:footnoteReference w:id="201"/>
      </w:r>
      <w:r w:rsidRPr="00CD1934">
        <w:t xml:space="preserve"> Efforts are being made to address these issu</w:t>
      </w:r>
      <w:r w:rsidR="00A26BF5">
        <w:t xml:space="preserve">es including the use of images and </w:t>
      </w:r>
      <w:r w:rsidRPr="00CD1934">
        <w:t>clearer instructions for enumerators</w:t>
      </w:r>
      <w:r w:rsidR="00A26BF5">
        <w:t>.</w:t>
      </w:r>
      <w:r w:rsidRPr="00CD1934">
        <w:t xml:space="preserve"> Kramon and Weghorst (2019) showed that 40 percent of respondents provided inconsistent responses between list experiment and direct question formats with simple, non-sensitive lists about food consumption and daily activities. These errors concentrated among the less numerate and less educated respondents, </w:t>
      </w:r>
      <w:r w:rsidRPr="00CD1934">
        <w:rPr>
          <w:bCs/>
        </w:rPr>
        <w:t>offering evidence that errors are driven by the complexity and difficulty of list experiments</w:t>
      </w:r>
      <w:r w:rsidRPr="00CD1934">
        <w:t xml:space="preserve">. Using the standard list experiment to measure attitudes about political violence resulted in lower rates of support for political violence compared to asking directly about this sensitive attitude, which the authors interpreted as list experiment breakdown. They evaluated modifications to the list experiment to reduce its complexity, which </w:t>
      </w:r>
      <w:r w:rsidRPr="00CD1934">
        <w:rPr>
          <w:bCs/>
        </w:rPr>
        <w:t>enhanced list experiment performance, especially among respondent subgroups where the standard procedure is most problematic.</w:t>
      </w:r>
      <w:r w:rsidRPr="00CD1934">
        <w:rPr>
          <w:rFonts w:ascii="Gill Sans" w:hAnsi="Gill Sans"/>
          <w:bCs/>
          <w:sz w:val="22"/>
          <w:vertAlign w:val="superscript"/>
        </w:rPr>
        <w:footnoteReference w:id="202"/>
      </w:r>
      <w:r w:rsidRPr="00CD1934">
        <w:rPr>
          <w:bCs/>
        </w:rPr>
        <w:t xml:space="preserve"> </w:t>
      </w:r>
    </w:p>
    <w:p w14:paraId="34D801C2" w14:textId="4FF78BF1" w:rsidR="00CD1934" w:rsidRPr="00CD1934" w:rsidRDefault="00CD1934" w:rsidP="00CD1934">
      <w:r w:rsidRPr="00CD1934">
        <w:t>Kao and Lust (2022) investigated list experiment implementation failure and the drawbacks and accuracy of the technique.</w:t>
      </w:r>
      <w:r w:rsidRPr="00CD1934">
        <w:rPr>
          <w:rFonts w:ascii="Gill Sans" w:hAnsi="Gill Sans"/>
          <w:sz w:val="22"/>
          <w:vertAlign w:val="superscript"/>
        </w:rPr>
        <w:footnoteReference w:id="203"/>
      </w:r>
      <w:r w:rsidRPr="00CD1934">
        <w:t xml:space="preserve"> The experiment was part of a larger survey on governance and local development in Kenya, Malawi, and Zambia (N~20,000) run in April to June of 2019</w:t>
      </w:r>
      <w:r w:rsidRPr="00CD1934">
        <w:rPr>
          <w:rFonts w:ascii="Gill Sans" w:hAnsi="Gill Sans"/>
          <w:sz w:val="22"/>
          <w:vertAlign w:val="superscript"/>
        </w:rPr>
        <w:footnoteReference w:id="204"/>
      </w:r>
      <w:r w:rsidRPr="00CD1934">
        <w:t xml:space="preserve"> and analysed a list experiment across three countries. The experiment asked respondents: “Do you feel that the last question was too complicated to answer properly”? They asked the enumerator </w:t>
      </w:r>
      <w:r w:rsidRPr="00CD1934">
        <w:lastRenderedPageBreak/>
        <w:t>two questions: “Was the respondent able to count up the number of items without you</w:t>
      </w:r>
      <w:r w:rsidR="00A26BF5">
        <w:t>r help</w:t>
      </w:r>
      <w:r w:rsidR="002D4AD6">
        <w:t>?</w:t>
      </w:r>
      <w:r w:rsidR="00A26BF5">
        <w:t>” and</w:t>
      </w:r>
      <w:r w:rsidRPr="00CD1934">
        <w:t xml:space="preserve"> “Did the respondent reveal to you which i</w:t>
      </w:r>
      <w:r w:rsidR="002D4AD6">
        <w:t>tems they had done in the past?”</w:t>
      </w:r>
      <w:r w:rsidRPr="00CD1934">
        <w:t xml:space="preserve"> The first ques</w:t>
      </w:r>
      <w:r w:rsidR="002D4AD6">
        <w:t>tion to the respondent indicated</w:t>
      </w:r>
      <w:r w:rsidRPr="00CD1934">
        <w:t xml:space="preserve"> cognitive overload while the questions to the enumerators revealed disclosure of responses. The research found that respondents disclosed their answe</w:t>
      </w:r>
      <w:r w:rsidR="002D4AD6">
        <w:t>rs more than half (55%</w:t>
      </w:r>
      <w:r w:rsidRPr="00CD1934">
        <w:t>) of the time a</w:t>
      </w:r>
      <w:r w:rsidR="002D4AD6">
        <w:t>nd that the majority (79%</w:t>
      </w:r>
      <w:r w:rsidRPr="00CD1934">
        <w:t xml:space="preserve">) required help counting the answers. This problem is particularly prevalent among the less educated and older respondents, and the complicated nature of the question mediates the relationships between age and education and revealing answers. Response disclosure undermines the purpose of a list experiment. </w:t>
      </w:r>
      <w:r w:rsidR="002D4AD6">
        <w:t xml:space="preserve">The authors reflected: </w:t>
      </w:r>
    </w:p>
    <w:p w14:paraId="5DC83C6D" w14:textId="77777777" w:rsidR="00CD1934" w:rsidRPr="00CD1934" w:rsidRDefault="00CD1934" w:rsidP="00CD1934">
      <w:pPr>
        <w:ind w:left="454" w:right="454"/>
      </w:pPr>
      <w:r w:rsidRPr="00CD1934">
        <w:t>Although we do not claim that all list experiments suffer from implementation errors to the extent that those in our experiment seem to, our findings indicate the need for further investigation of these issues. Recognising the implementation problems of list experiments is important. A census of list experiments led scholars to conclude that sensitivity bias is rather limited.</w:t>
      </w:r>
      <w:r w:rsidRPr="00CD1934">
        <w:rPr>
          <w:rFonts w:ascii="Gill Sans" w:hAnsi="Gill Sans"/>
          <w:sz w:val="22"/>
          <w:vertAlign w:val="superscript"/>
        </w:rPr>
        <w:footnoteReference w:id="205"/>
      </w:r>
      <w:r w:rsidRPr="00CD1934">
        <w:t xml:space="preserve"> However, our results suggest that this finding may reflect the prevalence of implementation errors more than reality. Apparent differences in attitudes or reported behaviours may result from different abilities to engage with the experiment. We encourage scholars to follow advice on reducing the complexity of list experiments</w:t>
      </w:r>
      <w:r w:rsidRPr="00CD1934">
        <w:rPr>
          <w:rFonts w:ascii="Gill Sans" w:hAnsi="Gill Sans"/>
          <w:sz w:val="22"/>
          <w:vertAlign w:val="superscript"/>
        </w:rPr>
        <w:footnoteReference w:id="206"/>
      </w:r>
      <w:r w:rsidRPr="00CD1934">
        <w:t xml:space="preserve"> and include questions about implementation problems as standard follow-ups to understand if they worked properly in the field. Doing so will help scholars track and potentially account for subgroup differences in faculties leading to list experiment implementation errors.</w:t>
      </w:r>
      <w:r w:rsidRPr="00CD1934">
        <w:rPr>
          <w:rFonts w:ascii="Gill Sans" w:hAnsi="Gill Sans"/>
          <w:sz w:val="22"/>
          <w:vertAlign w:val="superscript"/>
        </w:rPr>
        <w:footnoteReference w:id="207"/>
      </w:r>
    </w:p>
    <w:p w14:paraId="65C31057" w14:textId="77777777" w:rsidR="00CD1934" w:rsidRPr="00CD1934" w:rsidRDefault="00CD1934" w:rsidP="00CD1934">
      <w:r w:rsidRPr="00CD1934">
        <w:t>Researchers are increasingly taking into consideration best practices in list experiment. Some recommend that researchers use direct questioning as well as the list experiment:</w:t>
      </w:r>
    </w:p>
    <w:p w14:paraId="481ADBF9" w14:textId="0756C548" w:rsidR="00C73E5E" w:rsidRPr="00C73E5E" w:rsidRDefault="00CD1934" w:rsidP="002D4AD6">
      <w:pPr>
        <w:pStyle w:val="BlockQuote"/>
      </w:pPr>
      <w:r w:rsidRPr="00CD1934">
        <w:t xml:space="preserve">Direct questions reveal reliable information about those who answer “Yes.” Among those who answer “No,” we cannot directly distinguish those who withhold from those who do not engage in the sensitive behaviour – for these subjects, list experiments may provide a workaround. Combining these two techniques into a single estimator yields more precise estimates of prevalence, and </w:t>
      </w:r>
      <w:r w:rsidRPr="00CD1934">
        <w:lastRenderedPageBreak/>
        <w:t>employing direct and list questions in tandem also enables the researcher to test crucial identifying assumptions.</w:t>
      </w:r>
      <w:r w:rsidRPr="00CD1934">
        <w:rPr>
          <w:rFonts w:ascii="Gill Sans" w:hAnsi="Gill Sans"/>
          <w:sz w:val="22"/>
          <w:vertAlign w:val="superscript"/>
        </w:rPr>
        <w:footnoteReference w:id="208"/>
      </w:r>
    </w:p>
    <w:sectPr w:rsidR="00C73E5E" w:rsidRPr="00C73E5E" w:rsidSect="002A72B1">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70E53" w14:textId="77777777" w:rsidR="002A72B1" w:rsidRDefault="002A72B1">
      <w:r>
        <w:separator/>
      </w:r>
    </w:p>
  </w:endnote>
  <w:endnote w:type="continuationSeparator" w:id="0">
    <w:p w14:paraId="3B2348D8" w14:textId="77777777" w:rsidR="002A72B1" w:rsidRDefault="002A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224A" w14:textId="2DE57458" w:rsidR="002A72B1" w:rsidRDefault="002A72B1">
    <w:pPr>
      <w:pStyle w:val="Footer"/>
    </w:pPr>
    <w:r>
      <w:tab/>
    </w:r>
    <w:r>
      <w:tab/>
    </w:r>
    <w:r>
      <w:fldChar w:fldCharType="begin"/>
    </w:r>
    <w:r>
      <w:instrText xml:space="preserve"> PAGE  \* Arabic  \* MERGEFORMAT </w:instrText>
    </w:r>
    <w:r>
      <w:fldChar w:fldCharType="separate"/>
    </w:r>
    <w:r w:rsidR="00CC5ACD">
      <w:rPr>
        <w:noProof/>
      </w:rPr>
      <w:t>50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763365"/>
      <w:docPartObj>
        <w:docPartGallery w:val="Page Numbers (Bottom of Page)"/>
        <w:docPartUnique/>
      </w:docPartObj>
    </w:sdtPr>
    <w:sdtEndPr>
      <w:rPr>
        <w:noProof/>
      </w:rPr>
    </w:sdtEndPr>
    <w:sdtContent>
      <w:p w14:paraId="4AD176E4" w14:textId="57BF386B" w:rsidR="002A72B1" w:rsidRDefault="002A72B1">
        <w:pPr>
          <w:pStyle w:val="Footer"/>
          <w:jc w:val="center"/>
        </w:pPr>
        <w:r>
          <w:fldChar w:fldCharType="begin"/>
        </w:r>
        <w:r>
          <w:instrText xml:space="preserve"> PAGE   \* MERGEFORMAT </w:instrText>
        </w:r>
        <w:r>
          <w:fldChar w:fldCharType="separate"/>
        </w:r>
        <w:r w:rsidR="00CC5ACD">
          <w:rPr>
            <w:noProof/>
          </w:rPr>
          <w:t>1</w:t>
        </w:r>
        <w:r>
          <w:rPr>
            <w:noProof/>
          </w:rPr>
          <w:fldChar w:fldCharType="end"/>
        </w:r>
      </w:p>
    </w:sdtContent>
  </w:sdt>
  <w:p w14:paraId="05272C0C" w14:textId="77777777" w:rsidR="002A72B1" w:rsidRDefault="002A7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6DDE7" w14:textId="77777777" w:rsidR="002A72B1" w:rsidRDefault="002A72B1">
      <w:r>
        <w:separator/>
      </w:r>
    </w:p>
  </w:footnote>
  <w:footnote w:type="continuationSeparator" w:id="0">
    <w:p w14:paraId="75C6CD88" w14:textId="77777777" w:rsidR="002A72B1" w:rsidRDefault="002A72B1">
      <w:r>
        <w:continuationSeparator/>
      </w:r>
    </w:p>
  </w:footnote>
  <w:footnote w:id="1">
    <w:p w14:paraId="3F08AE39" w14:textId="5D0EACD3" w:rsidR="002A72B1" w:rsidRDefault="002A72B1" w:rsidP="002E672F">
      <w:pPr>
        <w:pStyle w:val="FootnoteText"/>
      </w:pPr>
      <w:r>
        <w:rPr>
          <w:rStyle w:val="FootnoteReference"/>
        </w:rPr>
        <w:footnoteRef/>
      </w:r>
      <w:r>
        <w:t xml:space="preserve"> Surveys were conducted in 2001, 2006, 2011 and 2017 and are available at  </w:t>
      </w:r>
      <w:hyperlink r:id="rId1" w:history="1">
        <w:r w:rsidRPr="00B34C45">
          <w:rPr>
            <w:rStyle w:val="Hyperlink"/>
          </w:rPr>
          <w:t>https://nda.ie/awareness-raising-and-attitudes/public-attitudes-to-disability-in-ireland</w:t>
        </w:r>
      </w:hyperlink>
      <w:r>
        <w:t xml:space="preserve"> </w:t>
      </w:r>
    </w:p>
  </w:footnote>
  <w:footnote w:id="2">
    <w:p w14:paraId="7D55112E" w14:textId="6793CD83" w:rsidR="002A72B1" w:rsidRDefault="002A72B1">
      <w:pPr>
        <w:pStyle w:val="FootnoteText"/>
      </w:pPr>
      <w:r>
        <w:rPr>
          <w:rStyle w:val="FootnoteReference"/>
        </w:rPr>
        <w:footnoteRef/>
      </w:r>
      <w:r>
        <w:t xml:space="preserve"> Kallman, 2017; United Nations, 2006</w:t>
      </w:r>
    </w:p>
  </w:footnote>
  <w:footnote w:id="3">
    <w:p w14:paraId="4E313441" w14:textId="6F11547D" w:rsidR="002A72B1" w:rsidRDefault="002A72B1">
      <w:pPr>
        <w:pStyle w:val="FootnoteText"/>
      </w:pPr>
      <w:r>
        <w:rPr>
          <w:rStyle w:val="FootnoteReference"/>
        </w:rPr>
        <w:footnoteRef/>
      </w:r>
      <w:r>
        <w:t xml:space="preserve"> </w:t>
      </w:r>
      <w:r w:rsidRPr="00431737">
        <w:t>U</w:t>
      </w:r>
      <w:r>
        <w:t xml:space="preserve">nited </w:t>
      </w:r>
      <w:r w:rsidRPr="00431737">
        <w:t>N</w:t>
      </w:r>
      <w:r>
        <w:t>ations, 2006</w:t>
      </w:r>
      <w:r w:rsidRPr="00431737">
        <w:t xml:space="preserve"> cited in Kallman, 2017</w:t>
      </w:r>
      <w:r>
        <w:t>; Ball et al., 2005; Walstra et al., 2022; Wolbring</w:t>
      </w:r>
      <w:r w:rsidRPr="00431737">
        <w:t xml:space="preserve"> and Lillywhite</w:t>
      </w:r>
      <w:r>
        <w:t>, 2021; Gould et al., 2020</w:t>
      </w:r>
    </w:p>
  </w:footnote>
  <w:footnote w:id="4">
    <w:p w14:paraId="42863A23" w14:textId="3EFB2427" w:rsidR="002A72B1" w:rsidRDefault="002A72B1">
      <w:pPr>
        <w:pStyle w:val="FootnoteText"/>
      </w:pPr>
      <w:r>
        <w:rPr>
          <w:rStyle w:val="FootnoteReference"/>
        </w:rPr>
        <w:footnoteRef/>
      </w:r>
      <w:r>
        <w:t xml:space="preserve"> </w:t>
      </w:r>
      <w:r w:rsidRPr="00431737">
        <w:t xml:space="preserve">Cooke et </w:t>
      </w:r>
      <w:r>
        <w:t>al., 2016; Perugini, Richetin, and</w:t>
      </w:r>
      <w:r w:rsidRPr="00431737">
        <w:t xml:space="preserve"> Zogmaister, 2010</w:t>
      </w:r>
    </w:p>
  </w:footnote>
  <w:footnote w:id="5">
    <w:p w14:paraId="3CCEB609" w14:textId="709C5406" w:rsidR="002A72B1" w:rsidRDefault="002A72B1">
      <w:pPr>
        <w:pStyle w:val="FootnoteText"/>
      </w:pPr>
      <w:r>
        <w:rPr>
          <w:rStyle w:val="FootnoteReference"/>
        </w:rPr>
        <w:footnoteRef/>
      </w:r>
      <w:r>
        <w:t xml:space="preserve"> Loch and</w:t>
      </w:r>
      <w:r w:rsidRPr="00431737">
        <w:t xml:space="preserve"> Wang, 2014; Economou et al., 2012</w:t>
      </w:r>
      <w:r>
        <w:t>; Dabby, 2015</w:t>
      </w:r>
    </w:p>
  </w:footnote>
  <w:footnote w:id="6">
    <w:p w14:paraId="6C8317B2" w14:textId="5BAB6534" w:rsidR="002A72B1" w:rsidRDefault="002A72B1">
      <w:pPr>
        <w:pStyle w:val="FootnoteText"/>
      </w:pPr>
      <w:r>
        <w:rPr>
          <w:rStyle w:val="FootnoteReference"/>
        </w:rPr>
        <w:footnoteRef/>
      </w:r>
      <w:r>
        <w:t xml:space="preserve"> Meza et al., 2019</w:t>
      </w:r>
    </w:p>
  </w:footnote>
  <w:footnote w:id="7">
    <w:p w14:paraId="5D322AE1" w14:textId="66A8CB67" w:rsidR="002A72B1" w:rsidRDefault="002A72B1">
      <w:pPr>
        <w:pStyle w:val="FootnoteText"/>
      </w:pPr>
      <w:r>
        <w:rPr>
          <w:rStyle w:val="FootnoteReference"/>
        </w:rPr>
        <w:footnoteRef/>
      </w:r>
      <w:r>
        <w:t xml:space="preserve"> Pelleboer-Gunnick, Van Weeghal and Embregts, 2021</w:t>
      </w:r>
    </w:p>
  </w:footnote>
  <w:footnote w:id="8">
    <w:p w14:paraId="5E4F5098" w14:textId="068B2AF0" w:rsidR="002A72B1" w:rsidRDefault="002A72B1">
      <w:pPr>
        <w:pStyle w:val="FootnoteText"/>
      </w:pPr>
      <w:r>
        <w:rPr>
          <w:rStyle w:val="FootnoteReference"/>
        </w:rPr>
        <w:footnoteRef/>
      </w:r>
      <w:r>
        <w:t xml:space="preserve"> Rohmer and Louvet, 2018</w:t>
      </w:r>
    </w:p>
  </w:footnote>
  <w:footnote w:id="9">
    <w:p w14:paraId="0B7E801A" w14:textId="6342EEB7" w:rsidR="002A72B1" w:rsidRDefault="002A72B1">
      <w:pPr>
        <w:pStyle w:val="FootnoteText"/>
      </w:pPr>
      <w:r>
        <w:rPr>
          <w:rStyle w:val="FootnoteReference"/>
        </w:rPr>
        <w:footnoteRef/>
      </w:r>
      <w:r>
        <w:t xml:space="preserve"> </w:t>
      </w:r>
      <w:r w:rsidRPr="001C24F6">
        <w:t>MacKay and Barrowclough, 2005; Neauport et al., 2012, Peris, Teachman and Nosek, 2008 cited in Fitzgearld &amp; Hurtz, 2017</w:t>
      </w:r>
    </w:p>
  </w:footnote>
  <w:footnote w:id="10">
    <w:p w14:paraId="7D8FA615" w14:textId="7B7AE7CA" w:rsidR="002A72B1" w:rsidRDefault="002A72B1">
      <w:pPr>
        <w:pStyle w:val="FootnoteText"/>
      </w:pPr>
      <w:r>
        <w:rPr>
          <w:rStyle w:val="FootnoteReference"/>
        </w:rPr>
        <w:footnoteRef/>
      </w:r>
      <w:r>
        <w:t xml:space="preserve"> </w:t>
      </w:r>
      <w:r w:rsidRPr="00F37CD4">
        <w:t>Redpath et al., 2010 cited in Fitzgerald and Hurtz, 2017</w:t>
      </w:r>
    </w:p>
  </w:footnote>
  <w:footnote w:id="11">
    <w:p w14:paraId="5B1C71B4" w14:textId="69B3C085" w:rsidR="002A72B1" w:rsidRDefault="002A72B1">
      <w:pPr>
        <w:pStyle w:val="FootnoteText"/>
      </w:pPr>
      <w:r>
        <w:rPr>
          <w:rStyle w:val="FootnoteReference"/>
        </w:rPr>
        <w:footnoteRef/>
      </w:r>
      <w:r>
        <w:t xml:space="preserve"> </w:t>
      </w:r>
      <w:r w:rsidRPr="00431737">
        <w:t>Aaberg, 2012</w:t>
      </w:r>
    </w:p>
  </w:footnote>
  <w:footnote w:id="12">
    <w:p w14:paraId="59C7825E" w14:textId="77777777" w:rsidR="002A72B1" w:rsidRDefault="002A72B1" w:rsidP="001E5F13">
      <w:pPr>
        <w:pStyle w:val="FootnoteText"/>
      </w:pPr>
      <w:r>
        <w:rPr>
          <w:rStyle w:val="FootnoteReference"/>
        </w:rPr>
        <w:footnoteRef/>
      </w:r>
      <w:r>
        <w:t xml:space="preserve"> </w:t>
      </w:r>
      <w:r w:rsidRPr="00431737">
        <w:t>Antonak &amp; Liveneh, 2000</w:t>
      </w:r>
    </w:p>
  </w:footnote>
  <w:footnote w:id="13">
    <w:p w14:paraId="565D67D8" w14:textId="39A7652F" w:rsidR="002A72B1" w:rsidRDefault="002A72B1">
      <w:pPr>
        <w:pStyle w:val="FootnoteText"/>
      </w:pPr>
      <w:r>
        <w:rPr>
          <w:rStyle w:val="FootnoteReference"/>
        </w:rPr>
        <w:footnoteRef/>
      </w:r>
      <w:r>
        <w:t xml:space="preserve"> Olson &amp; Zanna, </w:t>
      </w:r>
      <w:r w:rsidRPr="002636C3">
        <w:t>1993</w:t>
      </w:r>
    </w:p>
  </w:footnote>
  <w:footnote w:id="14">
    <w:p w14:paraId="57A11D75" w14:textId="4079F4E6" w:rsidR="002A72B1" w:rsidRDefault="002A72B1">
      <w:pPr>
        <w:pStyle w:val="FootnoteText"/>
      </w:pPr>
      <w:r>
        <w:rPr>
          <w:rStyle w:val="FootnoteReference"/>
        </w:rPr>
        <w:footnoteRef/>
      </w:r>
      <w:r>
        <w:t xml:space="preserve"> Antonak and Liveneh,</w:t>
      </w:r>
      <w:r w:rsidRPr="002636C3">
        <w:t>1988</w:t>
      </w:r>
    </w:p>
  </w:footnote>
  <w:footnote w:id="15">
    <w:p w14:paraId="5B2C52A8" w14:textId="4C10C03C" w:rsidR="002A72B1" w:rsidRDefault="002A72B1">
      <w:pPr>
        <w:pStyle w:val="FootnoteText"/>
      </w:pPr>
      <w:r>
        <w:rPr>
          <w:rStyle w:val="FootnoteReference"/>
        </w:rPr>
        <w:footnoteRef/>
      </w:r>
      <w:r>
        <w:t xml:space="preserve"> Cook, 1992</w:t>
      </w:r>
    </w:p>
  </w:footnote>
  <w:footnote w:id="16">
    <w:p w14:paraId="4204FA5D" w14:textId="2D43FFE8" w:rsidR="002A72B1" w:rsidRDefault="002A72B1">
      <w:pPr>
        <w:pStyle w:val="FootnoteText"/>
      </w:pPr>
      <w:r>
        <w:rPr>
          <w:rStyle w:val="FootnoteReference"/>
        </w:rPr>
        <w:footnoteRef/>
      </w:r>
      <w:r>
        <w:t xml:space="preserve"> Breen, 2018</w:t>
      </w:r>
    </w:p>
  </w:footnote>
  <w:footnote w:id="17">
    <w:p w14:paraId="190B9B7F" w14:textId="3C81E96D" w:rsidR="002A72B1" w:rsidRDefault="002A72B1">
      <w:pPr>
        <w:pStyle w:val="FootnoteText"/>
      </w:pPr>
      <w:r>
        <w:rPr>
          <w:rStyle w:val="FootnoteReference"/>
        </w:rPr>
        <w:footnoteRef/>
      </w:r>
      <w:r>
        <w:t xml:space="preserve"> Greenwald et al., 2009</w:t>
      </w:r>
    </w:p>
  </w:footnote>
  <w:footnote w:id="18">
    <w:p w14:paraId="2922B6F8" w14:textId="18099B89" w:rsidR="002A72B1" w:rsidRDefault="002A72B1">
      <w:pPr>
        <w:pStyle w:val="FootnoteText"/>
      </w:pPr>
      <w:r>
        <w:rPr>
          <w:rStyle w:val="FootnoteReference"/>
        </w:rPr>
        <w:footnoteRef/>
      </w:r>
      <w:r>
        <w:t xml:space="preserve"> ibid</w:t>
      </w:r>
    </w:p>
  </w:footnote>
  <w:footnote w:id="19">
    <w:p w14:paraId="72922599" w14:textId="2C31CFE0" w:rsidR="002A72B1" w:rsidRDefault="002A72B1">
      <w:pPr>
        <w:pStyle w:val="FootnoteText"/>
      </w:pPr>
      <w:r>
        <w:rPr>
          <w:rStyle w:val="FootnoteReference"/>
        </w:rPr>
        <w:footnoteRef/>
      </w:r>
      <w:r>
        <w:t xml:space="preserve"> Kallman, 2017</w:t>
      </w:r>
    </w:p>
  </w:footnote>
  <w:footnote w:id="20">
    <w:p w14:paraId="1F1D65C2" w14:textId="135977C6" w:rsidR="002A72B1" w:rsidRDefault="002A72B1">
      <w:pPr>
        <w:pStyle w:val="FootnoteText"/>
      </w:pPr>
      <w:r>
        <w:rPr>
          <w:rStyle w:val="FootnoteReference"/>
        </w:rPr>
        <w:footnoteRef/>
      </w:r>
      <w:r>
        <w:t xml:space="preserve"> Antonak and Liveneh, 2000</w:t>
      </w:r>
    </w:p>
  </w:footnote>
  <w:footnote w:id="21">
    <w:p w14:paraId="0905FAF3" w14:textId="2F3938E1" w:rsidR="002A72B1" w:rsidRDefault="002A72B1">
      <w:pPr>
        <w:pStyle w:val="FootnoteText"/>
      </w:pPr>
      <w:r>
        <w:rPr>
          <w:rStyle w:val="FootnoteReference"/>
        </w:rPr>
        <w:footnoteRef/>
      </w:r>
      <w:r>
        <w:t xml:space="preserve"> There are many approaches so this is not an exhaustive list, just an introduction to some common methods.</w:t>
      </w:r>
    </w:p>
  </w:footnote>
  <w:footnote w:id="22">
    <w:p w14:paraId="20F355C7" w14:textId="2D7699F6" w:rsidR="002A72B1" w:rsidRDefault="002A72B1">
      <w:pPr>
        <w:pStyle w:val="FootnoteText"/>
      </w:pPr>
      <w:r>
        <w:rPr>
          <w:rStyle w:val="FootnoteReference"/>
        </w:rPr>
        <w:footnoteRef/>
      </w:r>
      <w:r>
        <w:t xml:space="preserve"> </w:t>
      </w:r>
      <w:r w:rsidRPr="006F1165">
        <w:t>Morin et al., 2013</w:t>
      </w:r>
    </w:p>
  </w:footnote>
  <w:footnote w:id="23">
    <w:p w14:paraId="17188ED7" w14:textId="747226F0" w:rsidR="002A72B1" w:rsidRDefault="002A72B1">
      <w:pPr>
        <w:pStyle w:val="FootnoteText"/>
      </w:pPr>
      <w:r>
        <w:rPr>
          <w:rStyle w:val="FootnoteReference"/>
        </w:rPr>
        <w:footnoteRef/>
      </w:r>
      <w:r>
        <w:t xml:space="preserve"> Grooms et al., 2007</w:t>
      </w:r>
    </w:p>
  </w:footnote>
  <w:footnote w:id="24">
    <w:p w14:paraId="5CADC756" w14:textId="408E1EC9" w:rsidR="002A72B1" w:rsidRDefault="002A72B1">
      <w:pPr>
        <w:pStyle w:val="FootnoteText"/>
      </w:pPr>
      <w:r>
        <w:rPr>
          <w:rStyle w:val="FootnoteReference"/>
        </w:rPr>
        <w:footnoteRef/>
      </w:r>
      <w:r>
        <w:t xml:space="preserve"> Power et al., 2014</w:t>
      </w:r>
    </w:p>
  </w:footnote>
  <w:footnote w:id="25">
    <w:p w14:paraId="25C0D7C7" w14:textId="626741CE" w:rsidR="002A72B1" w:rsidRDefault="002A72B1">
      <w:pPr>
        <w:pStyle w:val="FootnoteText"/>
      </w:pPr>
      <w:r>
        <w:rPr>
          <w:rStyle w:val="FootnoteReference"/>
        </w:rPr>
        <w:footnoteRef/>
      </w:r>
      <w:r>
        <w:t xml:space="preserve"> Palad et al., 2016</w:t>
      </w:r>
    </w:p>
  </w:footnote>
  <w:footnote w:id="26">
    <w:p w14:paraId="44241DAA" w14:textId="6261D9D2" w:rsidR="002A72B1" w:rsidRDefault="002A72B1">
      <w:pPr>
        <w:pStyle w:val="FootnoteText"/>
      </w:pPr>
      <w:r>
        <w:rPr>
          <w:rStyle w:val="FootnoteReference"/>
        </w:rPr>
        <w:footnoteRef/>
      </w:r>
      <w:r>
        <w:t xml:space="preserve"> Breen, 2018</w:t>
      </w:r>
    </w:p>
  </w:footnote>
  <w:footnote w:id="27">
    <w:p w14:paraId="0F19B35F" w14:textId="46B567BA" w:rsidR="002A72B1" w:rsidRDefault="002A72B1">
      <w:pPr>
        <w:pStyle w:val="FootnoteText"/>
      </w:pPr>
      <w:r>
        <w:rPr>
          <w:rStyle w:val="FootnoteReference"/>
        </w:rPr>
        <w:footnoteRef/>
      </w:r>
      <w:r>
        <w:t xml:space="preserve"> Dabby et al., 2015</w:t>
      </w:r>
    </w:p>
  </w:footnote>
  <w:footnote w:id="28">
    <w:p w14:paraId="1DD84C34" w14:textId="40B13DF7" w:rsidR="002A72B1" w:rsidRDefault="002A72B1">
      <w:pPr>
        <w:pStyle w:val="FootnoteText"/>
      </w:pPr>
      <w:r>
        <w:rPr>
          <w:rStyle w:val="FootnoteReference"/>
        </w:rPr>
        <w:footnoteRef/>
      </w:r>
      <w:r>
        <w:t xml:space="preserve"> Arora et al., 2019</w:t>
      </w:r>
    </w:p>
  </w:footnote>
  <w:footnote w:id="29">
    <w:p w14:paraId="2D29A6D8" w14:textId="21C9C256" w:rsidR="002A72B1" w:rsidRDefault="002A72B1">
      <w:pPr>
        <w:pStyle w:val="FootnoteText"/>
      </w:pPr>
      <w:r>
        <w:rPr>
          <w:rStyle w:val="FootnoteReference"/>
        </w:rPr>
        <w:footnoteRef/>
      </w:r>
      <w:r>
        <w:t xml:space="preserve"> Bollier et al., 2021</w:t>
      </w:r>
    </w:p>
  </w:footnote>
  <w:footnote w:id="30">
    <w:p w14:paraId="7C862695" w14:textId="1B123A2D" w:rsidR="002A72B1" w:rsidRDefault="002A72B1">
      <w:pPr>
        <w:pStyle w:val="FootnoteText"/>
      </w:pPr>
      <w:r>
        <w:rPr>
          <w:rStyle w:val="FootnoteReference"/>
        </w:rPr>
        <w:footnoteRef/>
      </w:r>
      <w:r>
        <w:t xml:space="preserve"> Murch et al., 2018</w:t>
      </w:r>
    </w:p>
  </w:footnote>
  <w:footnote w:id="31">
    <w:p w14:paraId="12BB9A11" w14:textId="24D4B94C" w:rsidR="002A72B1" w:rsidRDefault="002A72B1">
      <w:pPr>
        <w:pStyle w:val="FootnoteText"/>
      </w:pPr>
      <w:r>
        <w:rPr>
          <w:rStyle w:val="FootnoteReference"/>
        </w:rPr>
        <w:footnoteRef/>
      </w:r>
      <w:r>
        <w:t xml:space="preserve"> Campbell et al., 2008</w:t>
      </w:r>
    </w:p>
  </w:footnote>
  <w:footnote w:id="32">
    <w:p w14:paraId="24C7A856" w14:textId="1061DD61" w:rsidR="002A72B1" w:rsidRDefault="002A72B1">
      <w:pPr>
        <w:pStyle w:val="FootnoteText"/>
      </w:pPr>
      <w:r>
        <w:rPr>
          <w:rStyle w:val="FootnoteReference"/>
        </w:rPr>
        <w:footnoteRef/>
      </w:r>
      <w:r>
        <w:t xml:space="preserve"> Cooper et al., 2014; McDonnell et al., 2019</w:t>
      </w:r>
    </w:p>
  </w:footnote>
  <w:footnote w:id="33">
    <w:p w14:paraId="6BF25007" w14:textId="2B8F0067" w:rsidR="002A72B1" w:rsidRDefault="002A72B1">
      <w:pPr>
        <w:pStyle w:val="FootnoteText"/>
      </w:pPr>
      <w:r>
        <w:rPr>
          <w:rStyle w:val="FootnoteReference"/>
        </w:rPr>
        <w:footnoteRef/>
      </w:r>
      <w:r>
        <w:t xml:space="preserve"> NDA, 2017, 2011, 2006; British Attitudes Survey; the Eurobarometer; </w:t>
      </w:r>
      <w:r w:rsidRPr="00562FFD">
        <w:t>Bollier et al., 2021</w:t>
      </w:r>
    </w:p>
  </w:footnote>
  <w:footnote w:id="34">
    <w:p w14:paraId="42297960" w14:textId="268D1B5F" w:rsidR="002A72B1" w:rsidRDefault="002A72B1">
      <w:pPr>
        <w:pStyle w:val="FootnoteText"/>
      </w:pPr>
      <w:r>
        <w:rPr>
          <w:rStyle w:val="FootnoteReference"/>
        </w:rPr>
        <w:footnoteRef/>
      </w:r>
      <w:r>
        <w:t xml:space="preserve"> Antonak and Liveneh, 2000; </w:t>
      </w:r>
      <w:r w:rsidRPr="00EF0649">
        <w:t>Haddock and Zanna</w:t>
      </w:r>
      <w:r>
        <w:t>,</w:t>
      </w:r>
      <w:r w:rsidRPr="00EF0649">
        <w:t xml:space="preserve"> 1998</w:t>
      </w:r>
    </w:p>
  </w:footnote>
  <w:footnote w:id="35">
    <w:p w14:paraId="20C69958" w14:textId="2302192B" w:rsidR="002A72B1" w:rsidRDefault="002A72B1">
      <w:pPr>
        <w:pStyle w:val="FootnoteText"/>
      </w:pPr>
      <w:r>
        <w:rPr>
          <w:rStyle w:val="FootnoteReference"/>
        </w:rPr>
        <w:footnoteRef/>
      </w:r>
      <w:r>
        <w:t xml:space="preserve"> Brown et al., 1997 cited</w:t>
      </w:r>
      <w:r w:rsidRPr="00EF0649">
        <w:t xml:space="preserve"> in Chuyrruca et al., 2021</w:t>
      </w:r>
    </w:p>
  </w:footnote>
  <w:footnote w:id="36">
    <w:p w14:paraId="1B00B1CA" w14:textId="7265580A" w:rsidR="002A72B1" w:rsidRDefault="002A72B1">
      <w:pPr>
        <w:pStyle w:val="FootnoteText"/>
      </w:pPr>
      <w:r>
        <w:rPr>
          <w:rStyle w:val="FootnoteReference"/>
        </w:rPr>
        <w:footnoteRef/>
      </w:r>
      <w:r>
        <w:t xml:space="preserve"> Watts et al., 2012 cited in Chuyrruca </w:t>
      </w:r>
      <w:r w:rsidRPr="0014549B">
        <w:t>et al., 2021</w:t>
      </w:r>
    </w:p>
  </w:footnote>
  <w:footnote w:id="37">
    <w:p w14:paraId="36731320" w14:textId="12C0B171" w:rsidR="002A72B1" w:rsidRDefault="002A72B1">
      <w:pPr>
        <w:pStyle w:val="FootnoteText"/>
      </w:pPr>
      <w:r>
        <w:rPr>
          <w:rStyle w:val="FootnoteReference"/>
        </w:rPr>
        <w:footnoteRef/>
      </w:r>
      <w:r>
        <w:t xml:space="preserve"> Mckenzie et al., 2011</w:t>
      </w:r>
    </w:p>
  </w:footnote>
  <w:footnote w:id="38">
    <w:p w14:paraId="61E34ABE" w14:textId="7B266053" w:rsidR="002A72B1" w:rsidRDefault="002A72B1">
      <w:pPr>
        <w:pStyle w:val="FootnoteText"/>
      </w:pPr>
      <w:r>
        <w:rPr>
          <w:rStyle w:val="FootnoteReference"/>
        </w:rPr>
        <w:footnoteRef/>
      </w:r>
      <w:r>
        <w:t xml:space="preserve"> Paige and Morin, 2014; Churruca et al., 2021</w:t>
      </w:r>
    </w:p>
  </w:footnote>
  <w:footnote w:id="39">
    <w:p w14:paraId="350671DB" w14:textId="2E09B1E4" w:rsidR="002A72B1" w:rsidRDefault="002A72B1">
      <w:pPr>
        <w:pStyle w:val="FootnoteText"/>
      </w:pPr>
      <w:r>
        <w:rPr>
          <w:rStyle w:val="FootnoteReference"/>
        </w:rPr>
        <w:footnoteRef/>
      </w:r>
      <w:r>
        <w:t xml:space="preserve"> Churruca et al., 2021</w:t>
      </w:r>
    </w:p>
  </w:footnote>
  <w:footnote w:id="40">
    <w:p w14:paraId="0DBA9EE2" w14:textId="0644DFE8" w:rsidR="002A72B1" w:rsidRDefault="002A72B1">
      <w:pPr>
        <w:pStyle w:val="FootnoteText"/>
      </w:pPr>
      <w:r>
        <w:rPr>
          <w:rStyle w:val="FootnoteReference"/>
        </w:rPr>
        <w:footnoteRef/>
      </w:r>
      <w:r>
        <w:t xml:space="preserve"> Stainton et al., 1995 cited in McKenzie et al., 2011</w:t>
      </w:r>
    </w:p>
  </w:footnote>
  <w:footnote w:id="41">
    <w:p w14:paraId="72C950DA" w14:textId="1F790E89" w:rsidR="002A72B1" w:rsidRDefault="002A72B1">
      <w:pPr>
        <w:pStyle w:val="FootnoteText"/>
      </w:pPr>
      <w:r>
        <w:rPr>
          <w:rStyle w:val="FootnoteReference"/>
        </w:rPr>
        <w:footnoteRef/>
      </w:r>
      <w:r>
        <w:t xml:space="preserve"> Watts et al., 2012, Stainton et al., 1995 cited in Churruca et al., 2021</w:t>
      </w:r>
    </w:p>
  </w:footnote>
  <w:footnote w:id="42">
    <w:p w14:paraId="7EE45E28" w14:textId="45396131" w:rsidR="002A72B1" w:rsidRDefault="002A72B1">
      <w:pPr>
        <w:pStyle w:val="FootnoteText"/>
      </w:pPr>
      <w:r>
        <w:rPr>
          <w:rStyle w:val="FootnoteReference"/>
        </w:rPr>
        <w:footnoteRef/>
      </w:r>
      <w:r>
        <w:t xml:space="preserve"> Farrimond, 2017; Gidman et al., 2009; Grimshaw et al., 2017; Cross-Sudworth et al., 2011 cited in </w:t>
      </w:r>
      <w:r w:rsidRPr="00142D3B">
        <w:t>Chuyrruca et al., 2021</w:t>
      </w:r>
      <w:r>
        <w:t>; Bryant et al., 2006</w:t>
      </w:r>
      <w:r w:rsidRPr="00142D3B">
        <w:t xml:space="preserve">  </w:t>
      </w:r>
    </w:p>
  </w:footnote>
  <w:footnote w:id="43">
    <w:p w14:paraId="065A42DC" w14:textId="0A085C1D" w:rsidR="002A72B1" w:rsidRDefault="002A72B1">
      <w:pPr>
        <w:pStyle w:val="FootnoteText"/>
      </w:pPr>
      <w:r>
        <w:rPr>
          <w:rStyle w:val="FootnoteReference"/>
        </w:rPr>
        <w:footnoteRef/>
      </w:r>
      <w:r>
        <w:t xml:space="preserve"> </w:t>
      </w:r>
      <w:r w:rsidRPr="00142D3B">
        <w:t>Ho et al., 2015; Daniels et al., 2013 cited in Churruca et al., 2021</w:t>
      </w:r>
    </w:p>
  </w:footnote>
  <w:footnote w:id="44">
    <w:p w14:paraId="5B59F666" w14:textId="691BCD11" w:rsidR="002A72B1" w:rsidRDefault="002A72B1">
      <w:pPr>
        <w:pStyle w:val="FootnoteText"/>
      </w:pPr>
      <w:r>
        <w:rPr>
          <w:rStyle w:val="FootnoteReference"/>
        </w:rPr>
        <w:footnoteRef/>
      </w:r>
      <w:r>
        <w:t xml:space="preserve"> Cross, 2005</w:t>
      </w:r>
    </w:p>
  </w:footnote>
  <w:footnote w:id="45">
    <w:p w14:paraId="54E9A63E" w14:textId="4FC35C8F" w:rsidR="002A72B1" w:rsidRDefault="002A72B1" w:rsidP="00D44726">
      <w:pPr>
        <w:pStyle w:val="FootnoteText"/>
      </w:pPr>
      <w:r>
        <w:rPr>
          <w:rStyle w:val="FootnoteReference"/>
        </w:rPr>
        <w:footnoteRef/>
      </w:r>
      <w:r>
        <w:t xml:space="preserve"> Brown and</w:t>
      </w:r>
      <w:r w:rsidRPr="00CA54F6">
        <w:t xml:space="preserve"> Pritle, 2008</w:t>
      </w:r>
      <w:r>
        <w:t>; Churruca et al., 2021</w:t>
      </w:r>
    </w:p>
  </w:footnote>
  <w:footnote w:id="46">
    <w:p w14:paraId="741C11E9" w14:textId="04CF482F" w:rsidR="002A72B1" w:rsidRDefault="002A72B1">
      <w:pPr>
        <w:pStyle w:val="FootnoteText"/>
      </w:pPr>
      <w:r>
        <w:rPr>
          <w:rStyle w:val="FootnoteReference"/>
        </w:rPr>
        <w:footnoteRef/>
      </w:r>
      <w:r>
        <w:t xml:space="preserve"> Churruca et al., 2021</w:t>
      </w:r>
    </w:p>
  </w:footnote>
  <w:footnote w:id="47">
    <w:p w14:paraId="0775C2E2" w14:textId="32EB527C" w:rsidR="002A72B1" w:rsidRDefault="002A72B1">
      <w:pPr>
        <w:pStyle w:val="FootnoteText"/>
      </w:pPr>
      <w:r>
        <w:rPr>
          <w:rStyle w:val="FootnoteReference"/>
        </w:rPr>
        <w:footnoteRef/>
      </w:r>
      <w:r>
        <w:t xml:space="preserve"> </w:t>
      </w:r>
      <w:r w:rsidRPr="00DA1003">
        <w:t>Kenward, 2019</w:t>
      </w:r>
    </w:p>
  </w:footnote>
  <w:footnote w:id="48">
    <w:p w14:paraId="464F443C" w14:textId="059E51F1" w:rsidR="002A72B1" w:rsidRDefault="002A72B1">
      <w:pPr>
        <w:pStyle w:val="FootnoteText"/>
      </w:pPr>
      <w:r>
        <w:rPr>
          <w:rStyle w:val="FootnoteReference"/>
        </w:rPr>
        <w:footnoteRef/>
      </w:r>
      <w:r>
        <w:t xml:space="preserve"> ibid</w:t>
      </w:r>
    </w:p>
  </w:footnote>
  <w:footnote w:id="49">
    <w:p w14:paraId="1145CF45" w14:textId="5A8BCFD7" w:rsidR="002A72B1" w:rsidRDefault="002A72B1">
      <w:pPr>
        <w:pStyle w:val="FootnoteText"/>
      </w:pPr>
      <w:r>
        <w:rPr>
          <w:rStyle w:val="FootnoteReference"/>
        </w:rPr>
        <w:footnoteRef/>
      </w:r>
      <w:r>
        <w:t xml:space="preserve"> Cross, 2005</w:t>
      </w:r>
    </w:p>
  </w:footnote>
  <w:footnote w:id="50">
    <w:p w14:paraId="225D1F8C" w14:textId="56D16680" w:rsidR="002A72B1" w:rsidRDefault="002A72B1">
      <w:pPr>
        <w:pStyle w:val="FootnoteText"/>
      </w:pPr>
      <w:r>
        <w:rPr>
          <w:rStyle w:val="FootnoteReference"/>
        </w:rPr>
        <w:footnoteRef/>
      </w:r>
      <w:r>
        <w:t xml:space="preserve"> ibid</w:t>
      </w:r>
    </w:p>
  </w:footnote>
  <w:footnote w:id="51">
    <w:p w14:paraId="0AD87DFE" w14:textId="59311839" w:rsidR="002A72B1" w:rsidRDefault="002A72B1">
      <w:pPr>
        <w:pStyle w:val="FootnoteText"/>
      </w:pPr>
      <w:r>
        <w:rPr>
          <w:rStyle w:val="FootnoteReference"/>
        </w:rPr>
        <w:footnoteRef/>
      </w:r>
      <w:r>
        <w:t xml:space="preserve"> Brown and</w:t>
      </w:r>
      <w:r w:rsidRPr="009E3020">
        <w:t xml:space="preserve"> Pritle, 2008</w:t>
      </w:r>
    </w:p>
  </w:footnote>
  <w:footnote w:id="52">
    <w:p w14:paraId="74C4DFAF" w14:textId="3042D16F" w:rsidR="002A72B1" w:rsidRDefault="002A72B1">
      <w:pPr>
        <w:pStyle w:val="FootnoteText"/>
      </w:pPr>
      <w:r>
        <w:rPr>
          <w:rStyle w:val="FootnoteReference"/>
        </w:rPr>
        <w:footnoteRef/>
      </w:r>
      <w:r>
        <w:t xml:space="preserve"> Bryant et al., 2006</w:t>
      </w:r>
    </w:p>
  </w:footnote>
  <w:footnote w:id="53">
    <w:p w14:paraId="540A33B0" w14:textId="73D2543A" w:rsidR="002A72B1" w:rsidRDefault="002A72B1">
      <w:pPr>
        <w:pStyle w:val="FootnoteText"/>
      </w:pPr>
      <w:r>
        <w:rPr>
          <w:rStyle w:val="FootnoteReference"/>
        </w:rPr>
        <w:footnoteRef/>
      </w:r>
      <w:r>
        <w:t xml:space="preserve"> Besika et al., 2018</w:t>
      </w:r>
    </w:p>
  </w:footnote>
  <w:footnote w:id="54">
    <w:p w14:paraId="749D71C6" w14:textId="29657FAA" w:rsidR="002A72B1" w:rsidRDefault="002A72B1">
      <w:pPr>
        <w:pStyle w:val="FootnoteText"/>
      </w:pPr>
      <w:r>
        <w:rPr>
          <w:rStyle w:val="FootnoteReference"/>
        </w:rPr>
        <w:footnoteRef/>
      </w:r>
      <w:r>
        <w:t xml:space="preserve"> Adderly et al., 2019</w:t>
      </w:r>
    </w:p>
  </w:footnote>
  <w:footnote w:id="55">
    <w:p w14:paraId="38E6FD8D" w14:textId="523A94D7" w:rsidR="002A72B1" w:rsidRDefault="002A72B1">
      <w:pPr>
        <w:pStyle w:val="FootnoteText"/>
      </w:pPr>
      <w:r>
        <w:rPr>
          <w:rStyle w:val="FootnoteReference"/>
        </w:rPr>
        <w:footnoteRef/>
      </w:r>
      <w:r>
        <w:t xml:space="preserve"> Disetch et al., 2011</w:t>
      </w:r>
    </w:p>
  </w:footnote>
  <w:footnote w:id="56">
    <w:p w14:paraId="430F8949" w14:textId="7C8FD72D" w:rsidR="002A72B1" w:rsidRDefault="002A72B1">
      <w:pPr>
        <w:pStyle w:val="FootnoteText"/>
      </w:pPr>
      <w:r>
        <w:rPr>
          <w:rStyle w:val="FootnoteReference"/>
        </w:rPr>
        <w:footnoteRef/>
      </w:r>
      <w:r>
        <w:t xml:space="preserve"> Antonak and Liveneh, 2000</w:t>
      </w:r>
    </w:p>
  </w:footnote>
  <w:footnote w:id="57">
    <w:p w14:paraId="67F0B99E" w14:textId="2F205160" w:rsidR="002A72B1" w:rsidRDefault="002A72B1">
      <w:pPr>
        <w:pStyle w:val="FootnoteText"/>
      </w:pPr>
      <w:r>
        <w:rPr>
          <w:rStyle w:val="FootnoteReference"/>
        </w:rPr>
        <w:footnoteRef/>
      </w:r>
      <w:r>
        <w:t xml:space="preserve"> </w:t>
      </w:r>
      <w:r w:rsidRPr="00D87A84">
        <w:t>Avramidis, 2013</w:t>
      </w:r>
      <w:r>
        <w:t xml:space="preserve">; </w:t>
      </w:r>
      <w:r w:rsidRPr="00D87A84">
        <w:t>Kuhne &amp; Wiener, 2000</w:t>
      </w:r>
      <w:r>
        <w:t xml:space="preserve">; </w:t>
      </w:r>
      <w:r w:rsidRPr="00D87A84">
        <w:t>Nepi et al., 2013</w:t>
      </w:r>
      <w:r>
        <w:t xml:space="preserve">; </w:t>
      </w:r>
    </w:p>
  </w:footnote>
  <w:footnote w:id="58">
    <w:p w14:paraId="67B66F4B" w14:textId="6299478B" w:rsidR="002A72B1" w:rsidRDefault="002A72B1">
      <w:pPr>
        <w:pStyle w:val="FootnoteText"/>
      </w:pPr>
      <w:r>
        <w:rPr>
          <w:rStyle w:val="FootnoteReference"/>
        </w:rPr>
        <w:footnoteRef/>
      </w:r>
      <w:r>
        <w:t xml:space="preserve"> Avramidis et al., 2017</w:t>
      </w:r>
    </w:p>
  </w:footnote>
  <w:footnote w:id="59">
    <w:p w14:paraId="19EC441C" w14:textId="29AAF216" w:rsidR="002A72B1" w:rsidRDefault="002A72B1">
      <w:pPr>
        <w:pStyle w:val="FootnoteText"/>
      </w:pPr>
      <w:r>
        <w:rPr>
          <w:rStyle w:val="FootnoteReference"/>
        </w:rPr>
        <w:footnoteRef/>
      </w:r>
      <w:r>
        <w:t xml:space="preserve"> ibid</w:t>
      </w:r>
    </w:p>
  </w:footnote>
  <w:footnote w:id="60">
    <w:p w14:paraId="316C1B11" w14:textId="594CC6B6" w:rsidR="002A72B1" w:rsidRDefault="002A72B1">
      <w:pPr>
        <w:pStyle w:val="FootnoteText"/>
      </w:pPr>
      <w:r>
        <w:rPr>
          <w:rStyle w:val="FootnoteReference"/>
        </w:rPr>
        <w:footnoteRef/>
      </w:r>
      <w:r>
        <w:t xml:space="preserve"> Child and Nind, 2012</w:t>
      </w:r>
    </w:p>
  </w:footnote>
  <w:footnote w:id="61">
    <w:p w14:paraId="40CA8A0A" w14:textId="0C79B19C" w:rsidR="002A72B1" w:rsidRDefault="002A72B1">
      <w:pPr>
        <w:pStyle w:val="FootnoteText"/>
      </w:pPr>
      <w:r>
        <w:rPr>
          <w:rStyle w:val="FootnoteReference"/>
        </w:rPr>
        <w:footnoteRef/>
      </w:r>
      <w:r>
        <w:t xml:space="preserve"> ibid</w:t>
      </w:r>
    </w:p>
  </w:footnote>
  <w:footnote w:id="62">
    <w:p w14:paraId="5B043BCD" w14:textId="0F4F8CDD" w:rsidR="002A72B1" w:rsidRDefault="002A72B1">
      <w:pPr>
        <w:pStyle w:val="FootnoteText"/>
      </w:pPr>
      <w:r>
        <w:rPr>
          <w:rStyle w:val="FootnoteReference"/>
        </w:rPr>
        <w:footnoteRef/>
      </w:r>
      <w:r>
        <w:t xml:space="preserve"> Osgood et al., cited in Janero et al., 2017</w:t>
      </w:r>
    </w:p>
  </w:footnote>
  <w:footnote w:id="63">
    <w:p w14:paraId="089561B8" w14:textId="460D591E" w:rsidR="002A72B1" w:rsidRDefault="002A72B1">
      <w:pPr>
        <w:pStyle w:val="FootnoteText"/>
      </w:pPr>
      <w:r>
        <w:rPr>
          <w:rStyle w:val="FootnoteReference"/>
        </w:rPr>
        <w:footnoteRef/>
      </w:r>
      <w:r>
        <w:t xml:space="preserve"> Antonak and Liveneh 2000</w:t>
      </w:r>
    </w:p>
  </w:footnote>
  <w:footnote w:id="64">
    <w:p w14:paraId="60A3EF04" w14:textId="20F58EAA" w:rsidR="002A72B1" w:rsidRDefault="002A72B1">
      <w:pPr>
        <w:pStyle w:val="FootnoteText"/>
      </w:pPr>
      <w:r>
        <w:rPr>
          <w:rStyle w:val="FootnoteReference"/>
        </w:rPr>
        <w:footnoteRef/>
      </w:r>
      <w:r>
        <w:t xml:space="preserve"> Chin, Johnson, &amp; Schwarts, 2008 cited in Jenaro et al., 2018; Russell 2011 cited in Brown et al, 2020).</w:t>
      </w:r>
    </w:p>
  </w:footnote>
  <w:footnote w:id="65">
    <w:p w14:paraId="71E7346F" w14:textId="6B56F76B" w:rsidR="002A72B1" w:rsidRDefault="002A72B1">
      <w:pPr>
        <w:pStyle w:val="FootnoteText"/>
      </w:pPr>
      <w:r>
        <w:rPr>
          <w:rStyle w:val="FootnoteReference"/>
        </w:rPr>
        <w:footnoteRef/>
      </w:r>
      <w:r>
        <w:t xml:space="preserve"> </w:t>
      </w:r>
      <w:r w:rsidRPr="0015161A">
        <w:t xml:space="preserve">Russell 2011 </w:t>
      </w:r>
      <w:r>
        <w:t xml:space="preserve">cited </w:t>
      </w:r>
      <w:r w:rsidRPr="0015161A">
        <w:t>in Brown et al, 2020</w:t>
      </w:r>
    </w:p>
  </w:footnote>
  <w:footnote w:id="66">
    <w:p w14:paraId="7BA6DA01" w14:textId="0C917D69" w:rsidR="002A72B1" w:rsidRDefault="002A72B1">
      <w:pPr>
        <w:pStyle w:val="FootnoteText"/>
      </w:pPr>
      <w:r>
        <w:rPr>
          <w:rStyle w:val="FootnoteReference"/>
        </w:rPr>
        <w:footnoteRef/>
      </w:r>
      <w:r>
        <w:t xml:space="preserve"> </w:t>
      </w:r>
      <w:r w:rsidRPr="0015161A">
        <w:t>Brown et al, 2020</w:t>
      </w:r>
    </w:p>
  </w:footnote>
  <w:footnote w:id="67">
    <w:p w14:paraId="7B2D6E26" w14:textId="77777777" w:rsidR="002A72B1" w:rsidRDefault="002A72B1" w:rsidP="00BC158C">
      <w:pPr>
        <w:pStyle w:val="FootnoteText"/>
      </w:pPr>
      <w:r>
        <w:rPr>
          <w:rStyle w:val="FootnoteReference"/>
        </w:rPr>
        <w:footnoteRef/>
      </w:r>
      <w:r>
        <w:t xml:space="preserve"> </w:t>
      </w:r>
      <w:hyperlink r:id="rId2" w:history="1">
        <w:r w:rsidRPr="00E86431">
          <w:rPr>
            <w:rStyle w:val="Hyperlink"/>
          </w:rPr>
          <w:t>https://implicit.harvard.edu/implicit/</w:t>
        </w:r>
      </w:hyperlink>
      <w:r>
        <w:t xml:space="preserve"> </w:t>
      </w:r>
    </w:p>
  </w:footnote>
  <w:footnote w:id="68">
    <w:p w14:paraId="18E7B160" w14:textId="77777777" w:rsidR="002A72B1" w:rsidRDefault="002A72B1" w:rsidP="00BC158C">
      <w:pPr>
        <w:pStyle w:val="FootnoteText"/>
      </w:pPr>
      <w:r>
        <w:rPr>
          <w:rStyle w:val="FootnoteReference"/>
        </w:rPr>
        <w:footnoteRef/>
      </w:r>
      <w:r>
        <w:t xml:space="preserve"> Xu et al., 2014; Friedman et al., 2019</w:t>
      </w:r>
    </w:p>
  </w:footnote>
  <w:footnote w:id="69">
    <w:p w14:paraId="0B8C763C" w14:textId="77777777" w:rsidR="002A72B1" w:rsidRDefault="002A72B1" w:rsidP="00BC158C">
      <w:pPr>
        <w:pStyle w:val="FootnoteText"/>
      </w:pPr>
      <w:r>
        <w:rPr>
          <w:rStyle w:val="FootnoteReference"/>
        </w:rPr>
        <w:footnoteRef/>
      </w:r>
      <w:r>
        <w:t xml:space="preserve"> e.g. </w:t>
      </w:r>
      <w:r w:rsidRPr="00D762F4">
        <w:t>Frie</w:t>
      </w:r>
      <w:r>
        <w:t>dman et al, 2019; Charlesworth and</w:t>
      </w:r>
      <w:r w:rsidRPr="00D762F4">
        <w:t xml:space="preserve"> Banji, 2019</w:t>
      </w:r>
      <w:r>
        <w:t>; Feldner et al., 2022</w:t>
      </w:r>
    </w:p>
  </w:footnote>
  <w:footnote w:id="70">
    <w:p w14:paraId="17658ACD" w14:textId="083C6BC9" w:rsidR="002A72B1" w:rsidRDefault="002A72B1">
      <w:pPr>
        <w:pStyle w:val="FootnoteText"/>
      </w:pPr>
      <w:r>
        <w:rPr>
          <w:rStyle w:val="FootnoteReference"/>
        </w:rPr>
        <w:footnoteRef/>
      </w:r>
      <w:r>
        <w:t xml:space="preserve"> Rolstad et al., 2011</w:t>
      </w:r>
    </w:p>
  </w:footnote>
  <w:footnote w:id="71">
    <w:p w14:paraId="426D6945" w14:textId="02908A84" w:rsidR="002A72B1" w:rsidRDefault="002A72B1">
      <w:pPr>
        <w:pStyle w:val="FootnoteText"/>
      </w:pPr>
      <w:r>
        <w:rPr>
          <w:rStyle w:val="FootnoteReference"/>
        </w:rPr>
        <w:footnoteRef/>
      </w:r>
      <w:r>
        <w:t xml:space="preserve"> Verster et al., 2021</w:t>
      </w:r>
    </w:p>
  </w:footnote>
  <w:footnote w:id="72">
    <w:p w14:paraId="2AA9B4BF" w14:textId="72B75B97" w:rsidR="002A72B1" w:rsidRDefault="002A72B1">
      <w:pPr>
        <w:pStyle w:val="FootnoteText"/>
      </w:pPr>
      <w:r>
        <w:rPr>
          <w:rStyle w:val="FootnoteReference"/>
        </w:rPr>
        <w:footnoteRef/>
      </w:r>
      <w:r>
        <w:t xml:space="preserve"> Brown et al., 2020</w:t>
      </w:r>
    </w:p>
  </w:footnote>
  <w:footnote w:id="73">
    <w:p w14:paraId="5BB3441E" w14:textId="6D765AAA" w:rsidR="002A72B1" w:rsidRDefault="002A72B1">
      <w:pPr>
        <w:pStyle w:val="FootnoteText"/>
      </w:pPr>
      <w:r>
        <w:rPr>
          <w:rStyle w:val="FootnoteReference"/>
        </w:rPr>
        <w:footnoteRef/>
      </w:r>
      <w:r>
        <w:t xml:space="preserve"> Antonak and Liveneh, 2000</w:t>
      </w:r>
    </w:p>
  </w:footnote>
  <w:footnote w:id="74">
    <w:p w14:paraId="0FFD600A" w14:textId="161C89C9" w:rsidR="002A72B1" w:rsidRDefault="002A72B1">
      <w:pPr>
        <w:pStyle w:val="FootnoteText"/>
      </w:pPr>
      <w:r>
        <w:rPr>
          <w:rStyle w:val="FootnoteReference"/>
        </w:rPr>
        <w:footnoteRef/>
      </w:r>
      <w:r>
        <w:t xml:space="preserve"> </w:t>
      </w:r>
      <w:r w:rsidRPr="0015161A">
        <w:t>Fabrigar et al. 2005 cited in Brown et al., 2020</w:t>
      </w:r>
    </w:p>
  </w:footnote>
  <w:footnote w:id="75">
    <w:p w14:paraId="7397D405" w14:textId="6E556D6C" w:rsidR="002A72B1" w:rsidRDefault="002A72B1" w:rsidP="00C52C40">
      <w:pPr>
        <w:pStyle w:val="FootnoteText"/>
      </w:pPr>
      <w:r>
        <w:rPr>
          <w:rStyle w:val="FootnoteReference"/>
        </w:rPr>
        <w:footnoteRef/>
      </w:r>
      <w:r>
        <w:t xml:space="preserve"> Hughes, 2002; Lewis and</w:t>
      </w:r>
      <w:r w:rsidRPr="00C52C40">
        <w:t xml:space="preserve"> Stenfert-Kroese, 2010</w:t>
      </w:r>
      <w:r>
        <w:t>; Shoenberg and</w:t>
      </w:r>
      <w:r w:rsidRPr="00C52C40">
        <w:t xml:space="preserve"> Ravdal, 2000</w:t>
      </w:r>
    </w:p>
  </w:footnote>
  <w:footnote w:id="76">
    <w:p w14:paraId="1C2DE7BC" w14:textId="6CD29418" w:rsidR="002A72B1" w:rsidRDefault="002A72B1" w:rsidP="00907975">
      <w:pPr>
        <w:pStyle w:val="FootnoteText"/>
      </w:pPr>
      <w:r>
        <w:rPr>
          <w:rStyle w:val="FootnoteReference"/>
        </w:rPr>
        <w:footnoteRef/>
      </w:r>
      <w:r>
        <w:t xml:space="preserve"> Fleming and Stalker, cited in Beneditti et al., 2018</w:t>
      </w:r>
    </w:p>
  </w:footnote>
  <w:footnote w:id="77">
    <w:p w14:paraId="281FE54D" w14:textId="480931D0" w:rsidR="002A72B1" w:rsidRDefault="002A72B1" w:rsidP="00907975">
      <w:pPr>
        <w:pStyle w:val="FootnoteText"/>
      </w:pPr>
      <w:r>
        <w:rPr>
          <w:rStyle w:val="FootnoteReference"/>
        </w:rPr>
        <w:footnoteRef/>
      </w:r>
      <w:r>
        <w:t xml:space="preserve"> Beneditto et al., 2018</w:t>
      </w:r>
    </w:p>
  </w:footnote>
  <w:footnote w:id="78">
    <w:p w14:paraId="6AAC71D1" w14:textId="77777777" w:rsidR="002A72B1" w:rsidRDefault="002A72B1" w:rsidP="00907975">
      <w:pPr>
        <w:pStyle w:val="FootnoteText"/>
      </w:pPr>
      <w:r>
        <w:rPr>
          <w:rStyle w:val="FootnoteReference"/>
        </w:rPr>
        <w:footnoteRef/>
      </w:r>
      <w:r>
        <w:t xml:space="preserve"> Andersson et al., 2015</w:t>
      </w:r>
    </w:p>
  </w:footnote>
  <w:footnote w:id="79">
    <w:p w14:paraId="74975DA0" w14:textId="3912ADB0" w:rsidR="002A72B1" w:rsidRDefault="002A72B1" w:rsidP="00907975">
      <w:pPr>
        <w:pStyle w:val="FootnoteText"/>
      </w:pPr>
      <w:r>
        <w:rPr>
          <w:rStyle w:val="FootnoteReference"/>
        </w:rPr>
        <w:footnoteRef/>
      </w:r>
      <w:r>
        <w:t xml:space="preserve"> Beneditti et al., 2018</w:t>
      </w:r>
    </w:p>
  </w:footnote>
  <w:footnote w:id="80">
    <w:p w14:paraId="72C2184F" w14:textId="241D4FC7" w:rsidR="002A72B1" w:rsidRDefault="002A72B1">
      <w:pPr>
        <w:pStyle w:val="FootnoteText"/>
      </w:pPr>
      <w:r>
        <w:rPr>
          <w:rStyle w:val="FootnoteReference"/>
        </w:rPr>
        <w:footnoteRef/>
      </w:r>
      <w:r>
        <w:t xml:space="preserve"> </w:t>
      </w:r>
      <w:r w:rsidRPr="00D47AB8">
        <w:t>Gould 1996, Sumrall &amp; West 199</w:t>
      </w:r>
      <w:r>
        <w:t>8, Wilson &amp; While 1998 cited in Hughes and Hubey 2002</w:t>
      </w:r>
    </w:p>
  </w:footnote>
  <w:footnote w:id="81">
    <w:p w14:paraId="35E47E34" w14:textId="09FCBAE4" w:rsidR="002A72B1" w:rsidRDefault="002A72B1">
      <w:pPr>
        <w:pStyle w:val="FootnoteText"/>
      </w:pPr>
      <w:r>
        <w:rPr>
          <w:rStyle w:val="FootnoteReference"/>
        </w:rPr>
        <w:footnoteRef/>
      </w:r>
      <w:r>
        <w:t xml:space="preserve"> </w:t>
      </w:r>
      <w:r w:rsidRPr="00CB50EE">
        <w:t>Liker</w:t>
      </w:r>
      <w:r>
        <w:t>, 1982 cited in Hughes and Hubey, 2002</w:t>
      </w:r>
    </w:p>
  </w:footnote>
  <w:footnote w:id="82">
    <w:p w14:paraId="376EEB14" w14:textId="14F8E0E2" w:rsidR="002A72B1" w:rsidRDefault="002A72B1">
      <w:pPr>
        <w:pStyle w:val="FootnoteText"/>
      </w:pPr>
      <w:r>
        <w:rPr>
          <w:rStyle w:val="FootnoteReference"/>
        </w:rPr>
        <w:footnoteRef/>
      </w:r>
      <w:r>
        <w:t xml:space="preserve"> Bendelow,1993; Collins &amp; Brief, 1995 cited in Hughes and Hubey, </w:t>
      </w:r>
      <w:r w:rsidRPr="008D327B">
        <w:t>2002</w:t>
      </w:r>
    </w:p>
  </w:footnote>
  <w:footnote w:id="83">
    <w:p w14:paraId="084C494D" w14:textId="1A05D274" w:rsidR="002A72B1" w:rsidRDefault="002A72B1">
      <w:pPr>
        <w:pStyle w:val="FootnoteText"/>
      </w:pPr>
      <w:r>
        <w:rPr>
          <w:rStyle w:val="FootnoteReference"/>
        </w:rPr>
        <w:footnoteRef/>
      </w:r>
      <w:r>
        <w:t xml:space="preserve"> Finch, 19</w:t>
      </w:r>
      <w:r w:rsidRPr="008D327B">
        <w:t>87</w:t>
      </w:r>
      <w:r>
        <w:t xml:space="preserve"> cited</w:t>
      </w:r>
      <w:r w:rsidRPr="008D327B">
        <w:t xml:space="preserve"> in Schoenberg &amp; Ravdal, 2000</w:t>
      </w:r>
    </w:p>
  </w:footnote>
  <w:footnote w:id="84">
    <w:p w14:paraId="00081167" w14:textId="5A64949A" w:rsidR="002A72B1" w:rsidRDefault="002A72B1">
      <w:pPr>
        <w:pStyle w:val="FootnoteText"/>
      </w:pPr>
      <w:r>
        <w:rPr>
          <w:rStyle w:val="FootnoteReference"/>
        </w:rPr>
        <w:footnoteRef/>
      </w:r>
      <w:r>
        <w:t xml:space="preserve"> </w:t>
      </w:r>
      <w:r w:rsidRPr="008D327B">
        <w:t>Hughes</w:t>
      </w:r>
      <w:r>
        <w:t>,</w:t>
      </w:r>
      <w:r w:rsidRPr="008D327B">
        <w:t xml:space="preserve"> 1998</w:t>
      </w:r>
      <w:r>
        <w:t xml:space="preserve"> cited in Hughes and Hubey, 2002</w:t>
      </w:r>
    </w:p>
  </w:footnote>
  <w:footnote w:id="85">
    <w:p w14:paraId="72F0A39A" w14:textId="7213E9F2" w:rsidR="002A72B1" w:rsidRDefault="002A72B1">
      <w:pPr>
        <w:pStyle w:val="FootnoteText"/>
      </w:pPr>
      <w:r>
        <w:rPr>
          <w:rStyle w:val="FootnoteReference"/>
        </w:rPr>
        <w:footnoteRef/>
      </w:r>
      <w:r>
        <w:t xml:space="preserve"> </w:t>
      </w:r>
      <w:r w:rsidRPr="008D327B">
        <w:t>Su</w:t>
      </w:r>
      <w:r>
        <w:t>mrall and West 1998; Rahman 1996 cited in Hughes and Hubey, 2002</w:t>
      </w:r>
    </w:p>
  </w:footnote>
  <w:footnote w:id="86">
    <w:p w14:paraId="48C94624" w14:textId="1A5C72FD" w:rsidR="002A72B1" w:rsidRDefault="002A72B1">
      <w:pPr>
        <w:pStyle w:val="FootnoteText"/>
      </w:pPr>
      <w:r>
        <w:rPr>
          <w:rStyle w:val="FootnoteReference"/>
        </w:rPr>
        <w:footnoteRef/>
      </w:r>
      <w:r>
        <w:t xml:space="preserve"> Hughes 1998 </w:t>
      </w:r>
      <w:r w:rsidRPr="00BF390A">
        <w:t>cited in Hughes and Hubey, 2002</w:t>
      </w:r>
    </w:p>
  </w:footnote>
  <w:footnote w:id="87">
    <w:p w14:paraId="32CAEF59" w14:textId="52F63E68" w:rsidR="002A72B1" w:rsidRDefault="002A72B1">
      <w:pPr>
        <w:pStyle w:val="FootnoteText"/>
      </w:pPr>
      <w:r>
        <w:rPr>
          <w:rStyle w:val="FootnoteReference"/>
        </w:rPr>
        <w:footnoteRef/>
      </w:r>
      <w:r>
        <w:t xml:space="preserve"> Sim et al. 1998 </w:t>
      </w:r>
      <w:r w:rsidRPr="00BF390A">
        <w:t>cited in Hughes and Hubey, 2002</w:t>
      </w:r>
    </w:p>
  </w:footnote>
  <w:footnote w:id="88">
    <w:p w14:paraId="05B57DCB" w14:textId="3F892850" w:rsidR="002A72B1" w:rsidRDefault="002A72B1">
      <w:pPr>
        <w:pStyle w:val="FootnoteText"/>
      </w:pPr>
      <w:r>
        <w:rPr>
          <w:rStyle w:val="FootnoteReference"/>
        </w:rPr>
        <w:footnoteRef/>
      </w:r>
      <w:r>
        <w:t xml:space="preserve"> Hughes and Hubey, 2002; </w:t>
      </w:r>
    </w:p>
  </w:footnote>
  <w:footnote w:id="89">
    <w:p w14:paraId="69CBD0CD" w14:textId="3148E2C2" w:rsidR="002A72B1" w:rsidRDefault="002A72B1">
      <w:pPr>
        <w:pStyle w:val="FootnoteText"/>
      </w:pPr>
      <w:r>
        <w:rPr>
          <w:rStyle w:val="FootnoteReference"/>
        </w:rPr>
        <w:footnoteRef/>
      </w:r>
      <w:r>
        <w:t xml:space="preserve"> Schoenberg and </w:t>
      </w:r>
      <w:r w:rsidRPr="00237723">
        <w:t>Ravdal</w:t>
      </w:r>
      <w:r>
        <w:t>, 2000 cited in Benedetti</w:t>
      </w:r>
      <w:r w:rsidRPr="008D327B">
        <w:t xml:space="preserve"> et al., 2018; Kayser-Jones &amp; Koening, 1994 </w:t>
      </w:r>
      <w:r>
        <w:t>cited in Schoenberg &amp; Ravdal, 2000</w:t>
      </w:r>
    </w:p>
  </w:footnote>
  <w:footnote w:id="90">
    <w:p w14:paraId="5CE1AE95" w14:textId="34A7DA41" w:rsidR="002A72B1" w:rsidRDefault="002A72B1">
      <w:pPr>
        <w:pStyle w:val="FootnoteText"/>
      </w:pPr>
      <w:r>
        <w:rPr>
          <w:rStyle w:val="FootnoteReference"/>
        </w:rPr>
        <w:footnoteRef/>
      </w:r>
      <w:r>
        <w:t xml:space="preserve"> </w:t>
      </w:r>
      <w:r w:rsidRPr="00E65DA9">
        <w:t>Hug</w:t>
      </w:r>
      <w:r>
        <w:t>h</w:t>
      </w:r>
      <w:r w:rsidRPr="00E65DA9">
        <w:t>es a</w:t>
      </w:r>
      <w:r>
        <w:t>nd Hubey, 2002; Shoenberg and Ra</w:t>
      </w:r>
      <w:r w:rsidRPr="00E65DA9">
        <w:t>vdal, 2000</w:t>
      </w:r>
    </w:p>
  </w:footnote>
  <w:footnote w:id="91">
    <w:p w14:paraId="4392610F" w14:textId="6844E64E" w:rsidR="002A72B1" w:rsidRDefault="002A72B1">
      <w:pPr>
        <w:pStyle w:val="FootnoteText"/>
      </w:pPr>
      <w:r>
        <w:rPr>
          <w:rStyle w:val="FootnoteReference"/>
        </w:rPr>
        <w:footnoteRef/>
      </w:r>
      <w:r>
        <w:t xml:space="preserve"> Hughes and Hubey, 2002</w:t>
      </w:r>
    </w:p>
  </w:footnote>
  <w:footnote w:id="92">
    <w:p w14:paraId="6564BDF7" w14:textId="3ADF1591" w:rsidR="002A72B1" w:rsidRDefault="002A72B1">
      <w:pPr>
        <w:pStyle w:val="FootnoteText"/>
      </w:pPr>
      <w:r>
        <w:rPr>
          <w:rStyle w:val="FootnoteReference"/>
        </w:rPr>
        <w:footnoteRef/>
      </w:r>
      <w:r>
        <w:t xml:space="preserve"> e.g. NDA, 2017</w:t>
      </w:r>
    </w:p>
  </w:footnote>
  <w:footnote w:id="93">
    <w:p w14:paraId="4163D9B1" w14:textId="2A6C284A" w:rsidR="002A72B1" w:rsidRDefault="002A72B1">
      <w:pPr>
        <w:pStyle w:val="FootnoteText"/>
      </w:pPr>
      <w:r>
        <w:rPr>
          <w:rStyle w:val="FootnoteReference"/>
        </w:rPr>
        <w:footnoteRef/>
      </w:r>
      <w:r>
        <w:t xml:space="preserve"> Antonak and Levneh, 2000</w:t>
      </w:r>
    </w:p>
  </w:footnote>
  <w:footnote w:id="94">
    <w:p w14:paraId="4A016BD1" w14:textId="42C85B76" w:rsidR="002A72B1" w:rsidRDefault="002A72B1">
      <w:pPr>
        <w:pStyle w:val="FootnoteText"/>
      </w:pPr>
      <w:r>
        <w:rPr>
          <w:rStyle w:val="FootnoteReference"/>
        </w:rPr>
        <w:footnoteRef/>
      </w:r>
      <w:r>
        <w:t xml:space="preserve"> ibid</w:t>
      </w:r>
    </w:p>
  </w:footnote>
  <w:footnote w:id="95">
    <w:p w14:paraId="1C17253D" w14:textId="7461D1F3" w:rsidR="002A72B1" w:rsidRDefault="002A72B1">
      <w:pPr>
        <w:pStyle w:val="FootnoteText"/>
      </w:pPr>
      <w:r>
        <w:rPr>
          <w:rStyle w:val="FootnoteReference"/>
        </w:rPr>
        <w:footnoteRef/>
      </w:r>
      <w:r>
        <w:t xml:space="preserve"> ibid</w:t>
      </w:r>
    </w:p>
  </w:footnote>
  <w:footnote w:id="96">
    <w:p w14:paraId="4CECEF32" w14:textId="6A219EBC" w:rsidR="002A72B1" w:rsidRDefault="002A72B1">
      <w:pPr>
        <w:pStyle w:val="FootnoteText"/>
      </w:pPr>
      <w:r>
        <w:rPr>
          <w:rStyle w:val="FootnoteReference"/>
        </w:rPr>
        <w:footnoteRef/>
      </w:r>
      <w:r>
        <w:t xml:space="preserve"> Krumpal, 2013; Gnambs and Kasper, 2015; Rohmer and</w:t>
      </w:r>
      <w:r w:rsidRPr="006D4334">
        <w:t xml:space="preserve"> Louvet</w:t>
      </w:r>
      <w:r>
        <w:t>, 2018 cited in Friedman, 2019</w:t>
      </w:r>
    </w:p>
  </w:footnote>
  <w:footnote w:id="97">
    <w:p w14:paraId="3CECC253" w14:textId="4CC8C78D" w:rsidR="002A72B1" w:rsidRDefault="002A72B1">
      <w:pPr>
        <w:pStyle w:val="FootnoteText"/>
      </w:pPr>
      <w:r>
        <w:rPr>
          <w:rStyle w:val="FootnoteReference"/>
        </w:rPr>
        <w:footnoteRef/>
      </w:r>
      <w:r>
        <w:t xml:space="preserve"> Krumpal, 2013</w:t>
      </w:r>
    </w:p>
  </w:footnote>
  <w:footnote w:id="98">
    <w:p w14:paraId="635E531E" w14:textId="574CFBCE" w:rsidR="002A72B1" w:rsidRDefault="002A72B1">
      <w:pPr>
        <w:pStyle w:val="FootnoteText"/>
      </w:pPr>
      <w:r>
        <w:rPr>
          <w:rStyle w:val="FootnoteReference"/>
        </w:rPr>
        <w:footnoteRef/>
      </w:r>
      <w:r>
        <w:t xml:space="preserve"> Hoskin, 2012</w:t>
      </w:r>
    </w:p>
  </w:footnote>
  <w:footnote w:id="99">
    <w:p w14:paraId="2BC863D1" w14:textId="53973EB9" w:rsidR="002A72B1" w:rsidRDefault="002A72B1">
      <w:pPr>
        <w:pStyle w:val="FootnoteText"/>
      </w:pPr>
      <w:r>
        <w:rPr>
          <w:rStyle w:val="FootnoteReference"/>
        </w:rPr>
        <w:footnoteRef/>
      </w:r>
      <w:r>
        <w:t xml:space="preserve"> Antonak and Livneh, 2000</w:t>
      </w:r>
    </w:p>
  </w:footnote>
  <w:footnote w:id="100">
    <w:p w14:paraId="6ECF3BB9" w14:textId="62448299" w:rsidR="002A72B1" w:rsidRDefault="002A72B1">
      <w:pPr>
        <w:pStyle w:val="FootnoteText"/>
      </w:pPr>
      <w:r>
        <w:rPr>
          <w:rStyle w:val="FootnoteReference"/>
        </w:rPr>
        <w:footnoteRef/>
      </w:r>
      <w:r>
        <w:t xml:space="preserve"> e.g. Antonak and Liveneh, 2000</w:t>
      </w:r>
    </w:p>
  </w:footnote>
  <w:footnote w:id="101">
    <w:p w14:paraId="140850F7" w14:textId="5B407863" w:rsidR="002A72B1" w:rsidRDefault="002A72B1">
      <w:pPr>
        <w:pStyle w:val="FootnoteText"/>
      </w:pPr>
      <w:r>
        <w:rPr>
          <w:rStyle w:val="FootnoteReference"/>
        </w:rPr>
        <w:footnoteRef/>
      </w:r>
      <w:r>
        <w:t xml:space="preserve"> Aaberg, 2012; Amodia and</w:t>
      </w:r>
      <w:r w:rsidRPr="001C1C43">
        <w:t xml:space="preserve"> Mendoza </w:t>
      </w:r>
      <w:r>
        <w:t>cited in Robb, 2015; Gawronski and</w:t>
      </w:r>
      <w:r w:rsidRPr="001C1C43">
        <w:t xml:space="preserve"> De Houwer, 2014 cited in Cabrera et al.,2014</w:t>
      </w:r>
    </w:p>
  </w:footnote>
  <w:footnote w:id="102">
    <w:p w14:paraId="7301172E" w14:textId="4671E1E2" w:rsidR="002A72B1" w:rsidRDefault="002A72B1">
      <w:pPr>
        <w:pStyle w:val="FootnoteText"/>
      </w:pPr>
      <w:r>
        <w:rPr>
          <w:rStyle w:val="FootnoteReference"/>
        </w:rPr>
        <w:footnoteRef/>
      </w:r>
      <w:r>
        <w:t xml:space="preserve"> </w:t>
      </w:r>
      <w:r w:rsidRPr="001C1C43">
        <w:t>Livene &amp; Antonak, 1995 ci</w:t>
      </w:r>
      <w:r>
        <w:t>ted in Antonak and Liveneh, 2000</w:t>
      </w:r>
    </w:p>
  </w:footnote>
  <w:footnote w:id="103">
    <w:p w14:paraId="16A9711F" w14:textId="18AE237E" w:rsidR="002A72B1" w:rsidRDefault="002A72B1">
      <w:pPr>
        <w:pStyle w:val="FootnoteText"/>
      </w:pPr>
      <w:r>
        <w:rPr>
          <w:rStyle w:val="FootnoteReference"/>
        </w:rPr>
        <w:footnoteRef/>
      </w:r>
      <w:r>
        <w:t xml:space="preserve"> Cacioppo et al., 1990 cited in Antonak and Liveneh, 2000; </w:t>
      </w:r>
    </w:p>
  </w:footnote>
  <w:footnote w:id="104">
    <w:p w14:paraId="1F157DD1" w14:textId="2A164AC9" w:rsidR="002A72B1" w:rsidRDefault="002A72B1">
      <w:pPr>
        <w:pStyle w:val="FootnoteText"/>
      </w:pPr>
      <w:r>
        <w:rPr>
          <w:rStyle w:val="FootnoteReference"/>
        </w:rPr>
        <w:footnoteRef/>
      </w:r>
      <w:r>
        <w:t xml:space="preserve"> </w:t>
      </w:r>
      <w:r w:rsidRPr="001C1C43">
        <w:t>Yu</w:t>
      </w:r>
      <w:r>
        <w:t>ker, 1994 cited in Preutt, 2006</w:t>
      </w:r>
    </w:p>
  </w:footnote>
  <w:footnote w:id="105">
    <w:p w14:paraId="64B2F0C1" w14:textId="14F5BFFA" w:rsidR="002A72B1" w:rsidRDefault="002A72B1">
      <w:pPr>
        <w:pStyle w:val="FootnoteText"/>
      </w:pPr>
      <w:r>
        <w:rPr>
          <w:rStyle w:val="FootnoteReference"/>
        </w:rPr>
        <w:footnoteRef/>
      </w:r>
      <w:r>
        <w:t xml:space="preserve"> </w:t>
      </w:r>
      <w:r w:rsidRPr="001C1C43">
        <w:t>Teige-Mocigemba, Klauer, &amp; Sherman, 2010 cited in Rob, 2015</w:t>
      </w:r>
    </w:p>
  </w:footnote>
  <w:footnote w:id="106">
    <w:p w14:paraId="3410560F" w14:textId="47F06087" w:rsidR="002A72B1" w:rsidRDefault="002A72B1">
      <w:pPr>
        <w:pStyle w:val="FootnoteText"/>
      </w:pPr>
      <w:r>
        <w:rPr>
          <w:rStyle w:val="FootnoteReference"/>
        </w:rPr>
        <w:footnoteRef/>
      </w:r>
      <w:r>
        <w:t xml:space="preserve"> McCaughey, 2005</w:t>
      </w:r>
    </w:p>
  </w:footnote>
  <w:footnote w:id="107">
    <w:p w14:paraId="496F64E2" w14:textId="58DA4D65" w:rsidR="002A72B1" w:rsidRPr="00E966C3" w:rsidRDefault="002A72B1">
      <w:pPr>
        <w:pStyle w:val="FootnoteText"/>
        <w:rPr>
          <w:highlight w:val="yellow"/>
        </w:rPr>
      </w:pPr>
      <w:r>
        <w:rPr>
          <w:rStyle w:val="FootnoteReference"/>
        </w:rPr>
        <w:footnoteRef/>
      </w:r>
      <w:r>
        <w:t xml:space="preserve"> </w:t>
      </w:r>
      <w:r w:rsidRPr="00C904EE">
        <w:t>Ahadinezhad</w:t>
      </w:r>
      <w:r>
        <w:t xml:space="preserve"> et al., 2022</w:t>
      </w:r>
    </w:p>
  </w:footnote>
  <w:footnote w:id="108">
    <w:p w14:paraId="04A24109" w14:textId="43F362FF" w:rsidR="002A72B1" w:rsidRDefault="002A72B1">
      <w:pPr>
        <w:pStyle w:val="FootnoteText"/>
      </w:pPr>
      <w:r w:rsidRPr="00C904EE">
        <w:rPr>
          <w:rStyle w:val="FootnoteReference"/>
        </w:rPr>
        <w:footnoteRef/>
      </w:r>
      <w:r w:rsidRPr="00C904EE">
        <w:t xml:space="preserve"> </w:t>
      </w:r>
      <w:r>
        <w:t>Parker et al., 2018</w:t>
      </w:r>
    </w:p>
  </w:footnote>
  <w:footnote w:id="109">
    <w:p w14:paraId="0F48A5A2" w14:textId="5B95A3F8" w:rsidR="002A72B1" w:rsidRDefault="002A72B1">
      <w:pPr>
        <w:pStyle w:val="FootnoteText"/>
      </w:pPr>
      <w:r>
        <w:rPr>
          <w:rStyle w:val="FootnoteReference"/>
        </w:rPr>
        <w:footnoteRef/>
      </w:r>
      <w:r>
        <w:t xml:space="preserve"> </w:t>
      </w:r>
      <w:r w:rsidRPr="001C1C43">
        <w:t>Simane-Vigante, et al., 2015</w:t>
      </w:r>
    </w:p>
  </w:footnote>
  <w:footnote w:id="110">
    <w:p w14:paraId="6F5D4E1E" w14:textId="25E9E4D8" w:rsidR="002A72B1" w:rsidRDefault="002A72B1">
      <w:pPr>
        <w:pStyle w:val="FootnoteText"/>
      </w:pPr>
      <w:r>
        <w:rPr>
          <w:rStyle w:val="FootnoteReference"/>
        </w:rPr>
        <w:footnoteRef/>
      </w:r>
      <w:r>
        <w:t xml:space="preserve"> e.g.</w:t>
      </w:r>
      <w:r w:rsidRPr="001C1C43">
        <w:t xml:space="preserve"> Chen et al., 2011; Enea-Drapeau </w:t>
      </w:r>
      <w:r>
        <w:t>et al. 2012; Hein et al., 2011 cited in Wilson and Scior 2014</w:t>
      </w:r>
    </w:p>
  </w:footnote>
  <w:footnote w:id="111">
    <w:p w14:paraId="4EDBD1AC" w14:textId="727DB718" w:rsidR="002A72B1" w:rsidRDefault="002A72B1">
      <w:pPr>
        <w:pStyle w:val="FootnoteText"/>
      </w:pPr>
      <w:r>
        <w:rPr>
          <w:rStyle w:val="FootnoteReference"/>
        </w:rPr>
        <w:footnoteRef/>
      </w:r>
      <w:r>
        <w:t xml:space="preserve"> Pruett &amp; Chen, 2006</w:t>
      </w:r>
    </w:p>
  </w:footnote>
  <w:footnote w:id="112">
    <w:p w14:paraId="2BC1245F" w14:textId="7F879095" w:rsidR="002A72B1" w:rsidRDefault="002A72B1">
      <w:pPr>
        <w:pStyle w:val="FootnoteText"/>
      </w:pPr>
      <w:r>
        <w:rPr>
          <w:rStyle w:val="FootnoteReference"/>
        </w:rPr>
        <w:footnoteRef/>
      </w:r>
      <w:r>
        <w:t xml:space="preserve"> </w:t>
      </w:r>
      <w:r w:rsidRPr="00B65463">
        <w:t>Friedman et al., 2015; Wil</w:t>
      </w:r>
      <w:r>
        <w:t>son and Scior, 2014</w:t>
      </w:r>
    </w:p>
  </w:footnote>
  <w:footnote w:id="113">
    <w:p w14:paraId="063EB369" w14:textId="6EA63209" w:rsidR="002A72B1" w:rsidRDefault="002A72B1">
      <w:pPr>
        <w:pStyle w:val="FootnoteText"/>
      </w:pPr>
      <w:r>
        <w:rPr>
          <w:rStyle w:val="FootnoteReference"/>
        </w:rPr>
        <w:footnoteRef/>
      </w:r>
      <w:r>
        <w:t xml:space="preserve"> These are the terms used in the official tool</w:t>
      </w:r>
    </w:p>
  </w:footnote>
  <w:footnote w:id="114">
    <w:p w14:paraId="198D72E4" w14:textId="60F2C774" w:rsidR="002A72B1" w:rsidRDefault="002A72B1">
      <w:pPr>
        <w:pStyle w:val="FootnoteText"/>
      </w:pPr>
      <w:r>
        <w:rPr>
          <w:rStyle w:val="FootnoteReference"/>
        </w:rPr>
        <w:footnoteRef/>
      </w:r>
      <w:r>
        <w:t xml:space="preserve"> Wilson &amp; Scior, 2014</w:t>
      </w:r>
    </w:p>
  </w:footnote>
  <w:footnote w:id="115">
    <w:p w14:paraId="0F091EF6" w14:textId="192AA632" w:rsidR="002A72B1" w:rsidRDefault="002A72B1">
      <w:pPr>
        <w:pStyle w:val="FootnoteText"/>
      </w:pPr>
      <w:r>
        <w:rPr>
          <w:rStyle w:val="FootnoteReference"/>
        </w:rPr>
        <w:footnoteRef/>
      </w:r>
      <w:r>
        <w:t xml:space="preserve"> Greenwald and Nosek, 2001; </w:t>
      </w:r>
      <w:r w:rsidRPr="00C92146">
        <w:t>Aaberg, 2012; Thomas et al., 2013; White et al., 2006</w:t>
      </w:r>
      <w:r>
        <w:t xml:space="preserve"> cited in Friedman and</w:t>
      </w:r>
      <w:r w:rsidRPr="00C92146">
        <w:t xml:space="preserve"> VanPuymbrouck, 2021b</w:t>
      </w:r>
    </w:p>
  </w:footnote>
  <w:footnote w:id="116">
    <w:p w14:paraId="2324466B" w14:textId="2E2F9EB5" w:rsidR="002A72B1" w:rsidRDefault="002A72B1">
      <w:pPr>
        <w:pStyle w:val="FootnoteText"/>
      </w:pPr>
      <w:r>
        <w:rPr>
          <w:rStyle w:val="FootnoteReference"/>
        </w:rPr>
        <w:footnoteRef/>
      </w:r>
      <w:r>
        <w:t xml:space="preserve"> Karpinski &amp; Steinman, 2006</w:t>
      </w:r>
    </w:p>
  </w:footnote>
  <w:footnote w:id="117">
    <w:p w14:paraId="7CAC9523" w14:textId="5442AEF0" w:rsidR="002A72B1" w:rsidRDefault="002A72B1">
      <w:pPr>
        <w:pStyle w:val="FootnoteText"/>
      </w:pPr>
      <w:r>
        <w:rPr>
          <w:rStyle w:val="FootnoteReference"/>
        </w:rPr>
        <w:footnoteRef/>
      </w:r>
      <w:r>
        <w:t xml:space="preserve"> </w:t>
      </w:r>
      <w:r w:rsidRPr="00C92146">
        <w:t>Wigboldus, Hol</w:t>
      </w:r>
      <w:r>
        <w:t>land, &amp; van Knippenberg, 2004</w:t>
      </w:r>
    </w:p>
  </w:footnote>
  <w:footnote w:id="118">
    <w:p w14:paraId="4F13C600" w14:textId="6D18DAE1" w:rsidR="002A72B1" w:rsidRDefault="002A72B1">
      <w:pPr>
        <w:pStyle w:val="FootnoteText"/>
      </w:pPr>
      <w:r>
        <w:rPr>
          <w:rStyle w:val="FootnoteReference"/>
        </w:rPr>
        <w:footnoteRef/>
      </w:r>
      <w:r>
        <w:t xml:space="preserve"> e.g.</w:t>
      </w:r>
      <w:r w:rsidRPr="003342B4">
        <w:t xml:space="preserve"> Friedman &amp; van Puymbrouck, 2019; Friedman et al., 2019; Charlesworth and Banaji, 2019; Lum et al., 2021</w:t>
      </w:r>
    </w:p>
  </w:footnote>
  <w:footnote w:id="119">
    <w:p w14:paraId="35D139EE" w14:textId="1A73B2BA" w:rsidR="002A72B1" w:rsidRDefault="002A72B1">
      <w:pPr>
        <w:pStyle w:val="FootnoteText"/>
      </w:pPr>
      <w:r>
        <w:rPr>
          <w:rStyle w:val="FootnoteReference"/>
        </w:rPr>
        <w:footnoteRef/>
      </w:r>
      <w:r>
        <w:t xml:space="preserve"> </w:t>
      </w:r>
      <w:r w:rsidRPr="003342B4">
        <w:t>Wilson &amp; Scior, 2006;</w:t>
      </w:r>
      <w:r>
        <w:t xml:space="preserve"> Robb et al., 2016</w:t>
      </w:r>
      <w:r w:rsidRPr="003342B4">
        <w:t>; Fitzgearld &amp;</w:t>
      </w:r>
      <w:r>
        <w:t xml:space="preserve"> Hurst, 2017</w:t>
      </w:r>
    </w:p>
  </w:footnote>
  <w:footnote w:id="120">
    <w:p w14:paraId="5407D226" w14:textId="0E63AC97" w:rsidR="002A72B1" w:rsidRDefault="002A72B1">
      <w:pPr>
        <w:pStyle w:val="FootnoteText"/>
      </w:pPr>
      <w:r>
        <w:rPr>
          <w:rStyle w:val="FootnoteReference"/>
        </w:rPr>
        <w:footnoteRef/>
      </w:r>
      <w:r>
        <w:t xml:space="preserve"> Nosek and</w:t>
      </w:r>
      <w:r w:rsidRPr="00B0572F">
        <w:t xml:space="preserve"> Banji, 2001</w:t>
      </w:r>
    </w:p>
  </w:footnote>
  <w:footnote w:id="121">
    <w:p w14:paraId="09C3C68F" w14:textId="54F6EFAB" w:rsidR="002A72B1" w:rsidRDefault="002A72B1">
      <w:pPr>
        <w:pStyle w:val="FootnoteText"/>
      </w:pPr>
      <w:r>
        <w:rPr>
          <w:rStyle w:val="FootnoteReference"/>
        </w:rPr>
        <w:footnoteRef/>
      </w:r>
      <w:r>
        <w:t xml:space="preserve"> James, 2018</w:t>
      </w:r>
    </w:p>
  </w:footnote>
  <w:footnote w:id="122">
    <w:p w14:paraId="730C7196" w14:textId="06EBB237" w:rsidR="002A72B1" w:rsidRDefault="002A72B1">
      <w:pPr>
        <w:pStyle w:val="FootnoteText"/>
      </w:pPr>
      <w:r>
        <w:rPr>
          <w:rStyle w:val="FootnoteReference"/>
        </w:rPr>
        <w:footnoteRef/>
      </w:r>
      <w:r>
        <w:t xml:space="preserve"> </w:t>
      </w:r>
      <w:r w:rsidRPr="00B0572F">
        <w:t>James et al., 2018; Kopera et</w:t>
      </w:r>
      <w:r>
        <w:t xml:space="preserve"> al., 2015; Young et al., 2019</w:t>
      </w:r>
    </w:p>
  </w:footnote>
  <w:footnote w:id="123">
    <w:p w14:paraId="6A02DFC0" w14:textId="4603F0CA" w:rsidR="002A72B1" w:rsidRDefault="002A72B1">
      <w:pPr>
        <w:pStyle w:val="FootnoteText"/>
      </w:pPr>
      <w:r>
        <w:rPr>
          <w:rStyle w:val="FootnoteReference"/>
        </w:rPr>
        <w:footnoteRef/>
      </w:r>
      <w:r>
        <w:t xml:space="preserve"> </w:t>
      </w:r>
      <w:r w:rsidRPr="00B0572F">
        <w:t>Keith et al., 2015</w:t>
      </w:r>
    </w:p>
  </w:footnote>
  <w:footnote w:id="124">
    <w:p w14:paraId="2F34E160" w14:textId="56F66CBB" w:rsidR="002A72B1" w:rsidRDefault="002A72B1">
      <w:pPr>
        <w:pStyle w:val="FootnoteText"/>
      </w:pPr>
      <w:r>
        <w:rPr>
          <w:rStyle w:val="FootnoteReference"/>
        </w:rPr>
        <w:footnoteRef/>
      </w:r>
      <w:r>
        <w:t xml:space="preserve"> </w:t>
      </w:r>
      <w:r w:rsidRPr="00E45E64">
        <w:t>Hughes et al.</w:t>
      </w:r>
      <w:r>
        <w:t>, 2011; Hughes, Barnes-Holmes and</w:t>
      </w:r>
      <w:r w:rsidRPr="00E45E64">
        <w:t xml:space="preserve"> Vahey, 2012 cited in G</w:t>
      </w:r>
      <w:r>
        <w:t>olijani-Maghaddam et al., 2013</w:t>
      </w:r>
    </w:p>
  </w:footnote>
  <w:footnote w:id="125">
    <w:p w14:paraId="1BE5CFA3" w14:textId="60BCFE5C" w:rsidR="002A72B1" w:rsidRDefault="002A72B1">
      <w:pPr>
        <w:pStyle w:val="FootnoteText"/>
      </w:pPr>
      <w:r>
        <w:rPr>
          <w:rStyle w:val="FootnoteReference"/>
        </w:rPr>
        <w:footnoteRef/>
      </w:r>
      <w:r>
        <w:t xml:space="preserve"> </w:t>
      </w:r>
      <w:r w:rsidRPr="00E45E64">
        <w:t>Golijani-Maghaddam et al., 2</w:t>
      </w:r>
      <w:r>
        <w:t>013</w:t>
      </w:r>
    </w:p>
  </w:footnote>
  <w:footnote w:id="126">
    <w:p w14:paraId="33363B3E" w14:textId="28C80834" w:rsidR="002A72B1" w:rsidRDefault="002A72B1">
      <w:pPr>
        <w:pStyle w:val="FootnoteText"/>
      </w:pPr>
      <w:r>
        <w:rPr>
          <w:rStyle w:val="FootnoteReference"/>
        </w:rPr>
        <w:footnoteRef/>
      </w:r>
      <w:r>
        <w:t xml:space="preserve"> </w:t>
      </w:r>
      <w:r w:rsidRPr="003A4019">
        <w:t xml:space="preserve">Barnes-Holmes, </w:t>
      </w:r>
      <w:r>
        <w:t>et al., 2006</w:t>
      </w:r>
    </w:p>
  </w:footnote>
  <w:footnote w:id="127">
    <w:p w14:paraId="08515CBB" w14:textId="7A2DFD16" w:rsidR="002A72B1" w:rsidRDefault="002A72B1">
      <w:pPr>
        <w:pStyle w:val="FootnoteText"/>
      </w:pPr>
      <w:r>
        <w:rPr>
          <w:rStyle w:val="FootnoteReference"/>
        </w:rPr>
        <w:footnoteRef/>
      </w:r>
      <w:r>
        <w:t xml:space="preserve"> Hughes and Barnes Homes, 2011</w:t>
      </w:r>
    </w:p>
  </w:footnote>
  <w:footnote w:id="128">
    <w:p w14:paraId="229C88B9" w14:textId="47BCD3C5" w:rsidR="002A72B1" w:rsidRDefault="002A72B1">
      <w:pPr>
        <w:pStyle w:val="FootnoteText"/>
      </w:pPr>
      <w:r>
        <w:rPr>
          <w:rStyle w:val="FootnoteReference"/>
        </w:rPr>
        <w:footnoteRef/>
      </w:r>
      <w:r>
        <w:t xml:space="preserve"> </w:t>
      </w:r>
      <w:r w:rsidRPr="00C8089C">
        <w:t>Lund</w:t>
      </w:r>
      <w:r>
        <w:t>, 219; Hughes and Barnes Homes, 2011</w:t>
      </w:r>
    </w:p>
  </w:footnote>
  <w:footnote w:id="129">
    <w:p w14:paraId="1746C8D2" w14:textId="3E22BE7A" w:rsidR="002A72B1" w:rsidRDefault="002A72B1">
      <w:pPr>
        <w:pStyle w:val="FootnoteText"/>
      </w:pPr>
      <w:r>
        <w:rPr>
          <w:rStyle w:val="FootnoteReference"/>
        </w:rPr>
        <w:footnoteRef/>
      </w:r>
      <w:r>
        <w:t xml:space="preserve"> Barnes-Holmes et al., </w:t>
      </w:r>
      <w:r w:rsidRPr="00C8089C">
        <w:t xml:space="preserve">2010; Barnes-Holmes, </w:t>
      </w:r>
      <w:r>
        <w:t>et al., 2009</w:t>
      </w:r>
    </w:p>
  </w:footnote>
  <w:footnote w:id="130">
    <w:p w14:paraId="06C0B544" w14:textId="4F3223A5" w:rsidR="002A72B1" w:rsidRDefault="002A72B1">
      <w:pPr>
        <w:pStyle w:val="FootnoteText"/>
      </w:pPr>
      <w:r>
        <w:rPr>
          <w:rStyle w:val="FootnoteReference"/>
        </w:rPr>
        <w:footnoteRef/>
      </w:r>
      <w:r>
        <w:t xml:space="preserve"> McKenna et al., 2007 </w:t>
      </w:r>
      <w:r w:rsidRPr="00C8089C">
        <w:t xml:space="preserve">cited in </w:t>
      </w:r>
      <w:r>
        <w:t>Hughes and Barnes-Holmes, 2011</w:t>
      </w:r>
    </w:p>
  </w:footnote>
  <w:footnote w:id="131">
    <w:p w14:paraId="01F8F617" w14:textId="4BBDC10A" w:rsidR="002A72B1" w:rsidRDefault="002A72B1">
      <w:pPr>
        <w:pStyle w:val="FootnoteText"/>
      </w:pPr>
      <w:r>
        <w:rPr>
          <w:rStyle w:val="FootnoteReference"/>
        </w:rPr>
        <w:footnoteRef/>
      </w:r>
      <w:r>
        <w:t xml:space="preserve"> Lund, 2019</w:t>
      </w:r>
    </w:p>
  </w:footnote>
  <w:footnote w:id="132">
    <w:p w14:paraId="15D8B471" w14:textId="026F6B78" w:rsidR="002A72B1" w:rsidRDefault="002A72B1">
      <w:pPr>
        <w:pStyle w:val="FootnoteText"/>
      </w:pPr>
      <w:r>
        <w:rPr>
          <w:rStyle w:val="FootnoteReference"/>
        </w:rPr>
        <w:footnoteRef/>
      </w:r>
      <w:r>
        <w:t xml:space="preserve"> </w:t>
      </w:r>
      <w:r w:rsidRPr="00C8089C">
        <w:t>Kelly et al., 2013</w:t>
      </w:r>
    </w:p>
  </w:footnote>
  <w:footnote w:id="133">
    <w:p w14:paraId="7356CBC1" w14:textId="248B3783" w:rsidR="002A72B1" w:rsidRDefault="002A72B1">
      <w:pPr>
        <w:pStyle w:val="FootnoteText"/>
      </w:pPr>
      <w:r>
        <w:rPr>
          <w:rStyle w:val="FootnoteReference"/>
        </w:rPr>
        <w:footnoteRef/>
      </w:r>
      <w:r>
        <w:t xml:space="preserve"> </w:t>
      </w:r>
      <w:r w:rsidRPr="0036617B">
        <w:t>Findler et al., 2007</w:t>
      </w:r>
    </w:p>
  </w:footnote>
  <w:footnote w:id="134">
    <w:p w14:paraId="58D92832" w14:textId="4E9EFA98" w:rsidR="002A72B1" w:rsidRDefault="002A72B1">
      <w:pPr>
        <w:pStyle w:val="FootnoteText"/>
      </w:pPr>
      <w:r>
        <w:rPr>
          <w:rStyle w:val="FootnoteReference"/>
        </w:rPr>
        <w:footnoteRef/>
      </w:r>
      <w:r>
        <w:t xml:space="preserve"> e.g.</w:t>
      </w:r>
      <w:r w:rsidRPr="0036617B">
        <w:t xml:space="preserve"> Domagała-Zy</w:t>
      </w:r>
      <w:r>
        <w:t>s´k, 2021; Morin,  et al., 2013</w:t>
      </w:r>
    </w:p>
  </w:footnote>
  <w:footnote w:id="135">
    <w:p w14:paraId="2C7DF334" w14:textId="4C418A17" w:rsidR="002A72B1" w:rsidRDefault="002A72B1">
      <w:pPr>
        <w:pStyle w:val="FootnoteText"/>
      </w:pPr>
      <w:r>
        <w:rPr>
          <w:rStyle w:val="FootnoteReference"/>
        </w:rPr>
        <w:footnoteRef/>
      </w:r>
      <w:r>
        <w:t xml:space="preserve"> </w:t>
      </w:r>
      <w:r w:rsidRPr="0036617B">
        <w:t>Mathews et al ., 2015</w:t>
      </w:r>
    </w:p>
  </w:footnote>
  <w:footnote w:id="136">
    <w:p w14:paraId="7B6961EB" w14:textId="0D2D1473" w:rsidR="002A72B1" w:rsidRDefault="002A72B1">
      <w:pPr>
        <w:pStyle w:val="FootnoteText"/>
      </w:pPr>
      <w:r>
        <w:rPr>
          <w:rStyle w:val="FootnoteReference"/>
        </w:rPr>
        <w:footnoteRef/>
      </w:r>
      <w:r>
        <w:t xml:space="preserve"> De La</w:t>
      </w:r>
      <w:r w:rsidRPr="0036617B">
        <w:t>t et al., 2013</w:t>
      </w:r>
    </w:p>
  </w:footnote>
  <w:footnote w:id="137">
    <w:p w14:paraId="3B2E7B6B" w14:textId="12615638" w:rsidR="002A72B1" w:rsidRDefault="002A72B1">
      <w:pPr>
        <w:pStyle w:val="FootnoteText"/>
      </w:pPr>
      <w:r>
        <w:rPr>
          <w:rStyle w:val="FootnoteReference"/>
        </w:rPr>
        <w:footnoteRef/>
      </w:r>
      <w:r>
        <w:t xml:space="preserve"> Barr et al., 2015</w:t>
      </w:r>
    </w:p>
  </w:footnote>
  <w:footnote w:id="138">
    <w:p w14:paraId="78E60BA7" w14:textId="7ADB2494" w:rsidR="002A72B1" w:rsidRDefault="002A72B1" w:rsidP="0067065D">
      <w:pPr>
        <w:pStyle w:val="FootnoteText"/>
      </w:pPr>
      <w:r>
        <w:rPr>
          <w:rStyle w:val="FootnoteReference"/>
        </w:rPr>
        <w:footnoteRef/>
      </w:r>
      <w:r>
        <w:t xml:space="preserve"> Marquis, 2017</w:t>
      </w:r>
      <w:r w:rsidRPr="00512D3F">
        <w:rPr>
          <w:bCs/>
        </w:rPr>
        <w:t xml:space="preserve"> </w:t>
      </w:r>
      <w:r>
        <w:t xml:space="preserve"> </w:t>
      </w:r>
    </w:p>
  </w:footnote>
  <w:footnote w:id="139">
    <w:p w14:paraId="79E72D90" w14:textId="4619460D" w:rsidR="002A72B1" w:rsidRDefault="002A72B1">
      <w:pPr>
        <w:pStyle w:val="FootnoteText"/>
      </w:pPr>
      <w:r>
        <w:rPr>
          <w:rStyle w:val="FootnoteReference"/>
        </w:rPr>
        <w:footnoteRef/>
      </w:r>
      <w:r>
        <w:t xml:space="preserve"> </w:t>
      </w:r>
      <w:r w:rsidRPr="008A67CD">
        <w:t>Kramon</w:t>
      </w:r>
      <w:r>
        <w:t xml:space="preserve"> and Weghorst, </w:t>
      </w:r>
      <w:r w:rsidRPr="008A67CD">
        <w:t>2019</w:t>
      </w:r>
      <w:r>
        <w:t>; Kao and Lust, 2022</w:t>
      </w:r>
    </w:p>
  </w:footnote>
  <w:footnote w:id="140">
    <w:p w14:paraId="3D6FDFC4" w14:textId="1C62CC99" w:rsidR="002A72B1" w:rsidRDefault="002A72B1">
      <w:pPr>
        <w:pStyle w:val="FootnoteText"/>
      </w:pPr>
      <w:r>
        <w:rPr>
          <w:rStyle w:val="FootnoteReference"/>
        </w:rPr>
        <w:footnoteRef/>
      </w:r>
      <w:r>
        <w:t xml:space="preserve"> Kramon and Weghorst, 2019;</w:t>
      </w:r>
      <w:r w:rsidRPr="00D100F6">
        <w:t xml:space="preserve"> </w:t>
      </w:r>
      <w:r>
        <w:t>Kao and Lust, 2022</w:t>
      </w:r>
    </w:p>
  </w:footnote>
  <w:footnote w:id="141">
    <w:p w14:paraId="53C3188E" w14:textId="682E4C2E" w:rsidR="002A72B1" w:rsidRDefault="002A72B1" w:rsidP="0067065D">
      <w:pPr>
        <w:pStyle w:val="FootnoteText"/>
      </w:pPr>
      <w:r>
        <w:rPr>
          <w:rStyle w:val="FootnoteReference"/>
        </w:rPr>
        <w:footnoteRef/>
      </w:r>
      <w:r>
        <w:t xml:space="preserve"> Gonzalez-Ocantos, et al 2012; Holbrook, and </w:t>
      </w:r>
      <w:r w:rsidRPr="005411C9">
        <w:t xml:space="preserve">Krosnick, </w:t>
      </w:r>
      <w:r>
        <w:t xml:space="preserve">2010 cited in Lépine, Treibich,  and D’Exelle, 2020 </w:t>
      </w:r>
    </w:p>
  </w:footnote>
  <w:footnote w:id="142">
    <w:p w14:paraId="7E91EA5B" w14:textId="42822672" w:rsidR="002A72B1" w:rsidRDefault="002A72B1" w:rsidP="0067065D">
      <w:pPr>
        <w:pStyle w:val="FootnoteText"/>
      </w:pPr>
      <w:r>
        <w:rPr>
          <w:rStyle w:val="FootnoteReference"/>
        </w:rPr>
        <w:footnoteRef/>
      </w:r>
      <w:r>
        <w:t xml:space="preserve"> McKenzie and Siegel, 2013 cited </w:t>
      </w:r>
      <w:r w:rsidRPr="00ED4C66">
        <w:t xml:space="preserve">Lepine, </w:t>
      </w:r>
      <w:r>
        <w:t xml:space="preserve">et al., </w:t>
      </w:r>
      <w:r w:rsidRPr="00ED4C66">
        <w:t>2</w:t>
      </w:r>
      <w:r>
        <w:t>020</w:t>
      </w:r>
    </w:p>
  </w:footnote>
  <w:footnote w:id="143">
    <w:p w14:paraId="3ED89F0B" w14:textId="6711CE16" w:rsidR="002A72B1" w:rsidRPr="00757873" w:rsidRDefault="002A72B1" w:rsidP="0067065D">
      <w:pPr>
        <w:pStyle w:val="FootnoteText"/>
      </w:pPr>
      <w:r>
        <w:rPr>
          <w:rStyle w:val="FootnoteReference"/>
        </w:rPr>
        <w:footnoteRef/>
      </w:r>
      <w:r>
        <w:t xml:space="preserve"> Karlan and Zinman, 2012 cited in Lepine, et al., 2020</w:t>
      </w:r>
    </w:p>
  </w:footnote>
  <w:footnote w:id="144">
    <w:p w14:paraId="175A37C0" w14:textId="493C70FB" w:rsidR="002A72B1" w:rsidRDefault="002A72B1" w:rsidP="0067065D">
      <w:pPr>
        <w:pStyle w:val="FootnoteText"/>
      </w:pPr>
      <w:r>
        <w:rPr>
          <w:rStyle w:val="FootnoteReference"/>
        </w:rPr>
        <w:footnoteRef/>
      </w:r>
      <w:r>
        <w:t xml:space="preserve"> </w:t>
      </w:r>
      <w:r w:rsidRPr="00B71432">
        <w:t>Lax,  Phillips, </w:t>
      </w:r>
      <w:r>
        <w:t>and</w:t>
      </w:r>
      <w:r w:rsidRPr="00B71432">
        <w:t xml:space="preserve"> Sto</w:t>
      </w:r>
      <w:r>
        <w:t xml:space="preserve">llwerk, 201 cited in Lepine et al., 2020 </w:t>
      </w:r>
    </w:p>
  </w:footnote>
  <w:footnote w:id="145">
    <w:p w14:paraId="7B19708D" w14:textId="3EF80EA6" w:rsidR="002A72B1" w:rsidRPr="00B71432" w:rsidRDefault="002A72B1" w:rsidP="0067065D">
      <w:pPr>
        <w:pStyle w:val="FootnoteText"/>
      </w:pPr>
      <w:r w:rsidRPr="00B71432">
        <w:rPr>
          <w:rStyle w:val="FootnoteReference"/>
          <w:rFonts w:ascii="Gill Sans MT" w:hAnsi="Gill Sans MT"/>
        </w:rPr>
        <w:footnoteRef/>
      </w:r>
      <w:r>
        <w:t xml:space="preserve"> Krumpal, 2013</w:t>
      </w:r>
      <w:r w:rsidRPr="00B71432">
        <w:t xml:space="preserve"> cited </w:t>
      </w:r>
      <w:r>
        <w:t>in Lepine, et al., 2020</w:t>
      </w:r>
    </w:p>
  </w:footnote>
  <w:footnote w:id="146">
    <w:p w14:paraId="537E4532" w14:textId="44B024DF" w:rsidR="002A72B1" w:rsidRDefault="002A72B1" w:rsidP="00ED6256">
      <w:pPr>
        <w:pStyle w:val="FootnoteText"/>
      </w:pPr>
      <w:r>
        <w:rPr>
          <w:rStyle w:val="FootnoteReference"/>
        </w:rPr>
        <w:footnoteRef/>
      </w:r>
      <w:r>
        <w:t xml:space="preserve"> </w:t>
      </w:r>
      <w:r w:rsidRPr="00F0204D">
        <w:t>Blair, Imai</w:t>
      </w:r>
      <w:r>
        <w:t xml:space="preserve">, and </w:t>
      </w:r>
      <w:r w:rsidRPr="00F0204D">
        <w:t>Lyall</w:t>
      </w:r>
      <w:r>
        <w:t>, 2014</w:t>
      </w:r>
    </w:p>
  </w:footnote>
  <w:footnote w:id="147">
    <w:p w14:paraId="335DE0FF" w14:textId="3095878B" w:rsidR="002A72B1" w:rsidRDefault="002A72B1" w:rsidP="00ED6256">
      <w:pPr>
        <w:pStyle w:val="FootnoteText"/>
      </w:pPr>
      <w:r>
        <w:rPr>
          <w:rStyle w:val="FootnoteReference"/>
        </w:rPr>
        <w:footnoteRef/>
      </w:r>
      <w:r>
        <w:t xml:space="preserve"> </w:t>
      </w:r>
      <w:r w:rsidRPr="008E68EF">
        <w:rPr>
          <w:lang w:val="en-US"/>
        </w:rPr>
        <w:t xml:space="preserve">Rosenfeld, Imai, </w:t>
      </w:r>
      <w:r>
        <w:rPr>
          <w:lang w:val="en-US"/>
        </w:rPr>
        <w:t>and Shapiro, 2016</w:t>
      </w:r>
    </w:p>
  </w:footnote>
  <w:footnote w:id="148">
    <w:p w14:paraId="42723B4A" w14:textId="2CDCE7D9" w:rsidR="002A72B1" w:rsidRDefault="002A72B1" w:rsidP="00DA3FBB">
      <w:pPr>
        <w:pStyle w:val="FootnoteText"/>
      </w:pPr>
      <w:r>
        <w:rPr>
          <w:rStyle w:val="FootnoteReference"/>
        </w:rPr>
        <w:footnoteRef/>
      </w:r>
      <w:r>
        <w:t xml:space="preserve"> Nosek, Greenwald, and Banaji, 2007</w:t>
      </w:r>
    </w:p>
  </w:footnote>
  <w:footnote w:id="149">
    <w:p w14:paraId="3B3B3544" w14:textId="71CCE41B" w:rsidR="002A72B1" w:rsidRDefault="002A72B1">
      <w:pPr>
        <w:pStyle w:val="FootnoteText"/>
      </w:pPr>
      <w:r>
        <w:rPr>
          <w:rStyle w:val="FootnoteReference"/>
        </w:rPr>
        <w:footnoteRef/>
      </w:r>
      <w:r>
        <w:t xml:space="preserve"> Machery, 2017</w:t>
      </w:r>
    </w:p>
  </w:footnote>
  <w:footnote w:id="150">
    <w:p w14:paraId="359FE7DC" w14:textId="258693C0" w:rsidR="002A72B1" w:rsidRDefault="002A72B1">
      <w:pPr>
        <w:pStyle w:val="FootnoteText"/>
      </w:pPr>
      <w:r>
        <w:rPr>
          <w:rStyle w:val="FootnoteReference"/>
        </w:rPr>
        <w:footnoteRef/>
      </w:r>
      <w:r>
        <w:t xml:space="preserve"> e.g. </w:t>
      </w:r>
      <w:r w:rsidRPr="00717D42">
        <w:t>Golijani-Maghaddam et al., 2013; Machery, 2017  Oswald et al., 2013; Burke et al., 2019</w:t>
      </w:r>
    </w:p>
  </w:footnote>
  <w:footnote w:id="151">
    <w:p w14:paraId="45EF5007" w14:textId="0592BD9E" w:rsidR="002A72B1" w:rsidRDefault="002A72B1">
      <w:pPr>
        <w:pStyle w:val="FootnoteText"/>
      </w:pPr>
      <w:r>
        <w:rPr>
          <w:rStyle w:val="FootnoteReference"/>
        </w:rPr>
        <w:footnoteRef/>
      </w:r>
      <w:r>
        <w:t xml:space="preserve"> </w:t>
      </w:r>
      <w:r w:rsidRPr="00717D42">
        <w:t>Nosek &amp; Banaji, 2001; Kopera et al., 2015</w:t>
      </w:r>
    </w:p>
  </w:footnote>
  <w:footnote w:id="152">
    <w:p w14:paraId="084FF43D" w14:textId="56BF99FF" w:rsidR="002A72B1" w:rsidRDefault="002A72B1">
      <w:pPr>
        <w:pStyle w:val="FootnoteText"/>
      </w:pPr>
      <w:r>
        <w:rPr>
          <w:rStyle w:val="FootnoteReference"/>
        </w:rPr>
        <w:footnoteRef/>
      </w:r>
      <w:r>
        <w:t xml:space="preserve"> Oswald et al., 2013</w:t>
      </w:r>
    </w:p>
  </w:footnote>
  <w:footnote w:id="153">
    <w:p w14:paraId="6410DBF5" w14:textId="77777777" w:rsidR="002A72B1" w:rsidRDefault="002A72B1" w:rsidP="00D979CF">
      <w:pPr>
        <w:pStyle w:val="FootnoteText"/>
        <w:spacing w:after="0"/>
      </w:pPr>
      <w:r>
        <w:rPr>
          <w:rStyle w:val="FootnoteReference"/>
        </w:rPr>
        <w:footnoteRef/>
      </w:r>
      <w:r>
        <w:t xml:space="preserve"> Fiedler and Bluemke, 2005; Klauer and Teige-Mocigemba, 2007; Steffens, 2004; Teige-14     </w:t>
      </w:r>
    </w:p>
    <w:p w14:paraId="48C91AFC" w14:textId="77777777" w:rsidR="002A72B1" w:rsidRDefault="002A72B1" w:rsidP="00D979CF">
      <w:pPr>
        <w:pStyle w:val="FootnoteText"/>
        <w:spacing w:after="0"/>
      </w:pPr>
      <w:r>
        <w:t xml:space="preserve">     Mocigemba and Klauer, 2008; Teige-Mocigemba, Penzl, Becker, Henn, and Klauer, 2016 cited       </w:t>
      </w:r>
    </w:p>
    <w:p w14:paraId="42C44EB6" w14:textId="2DD7B865" w:rsidR="002A72B1" w:rsidRDefault="002A72B1" w:rsidP="00D979CF">
      <w:pPr>
        <w:pStyle w:val="FootnoteText"/>
        <w:spacing w:after="0"/>
      </w:pPr>
      <w:r>
        <w:t xml:space="preserve">     in Corneile and Huter, 2020</w:t>
      </w:r>
    </w:p>
  </w:footnote>
  <w:footnote w:id="154">
    <w:p w14:paraId="7A766A9D" w14:textId="77777777" w:rsidR="002A72B1" w:rsidRPr="00745B90" w:rsidRDefault="002A72B1" w:rsidP="00436B29">
      <w:pPr>
        <w:pStyle w:val="FootnoteText"/>
        <w:rPr>
          <w:lang w:val="en-US"/>
        </w:rPr>
      </w:pPr>
      <w:r>
        <w:rPr>
          <w:rStyle w:val="FootnoteReference"/>
        </w:rPr>
        <w:footnoteRef/>
      </w:r>
      <w:r>
        <w:t xml:space="preserve"> </w:t>
      </w:r>
      <w:r>
        <w:rPr>
          <w:lang w:val="en-US"/>
        </w:rPr>
        <w:t>ibid</w:t>
      </w:r>
    </w:p>
  </w:footnote>
  <w:footnote w:id="155">
    <w:p w14:paraId="474D7635" w14:textId="77777777" w:rsidR="002A72B1" w:rsidRDefault="002A72B1" w:rsidP="009D386F">
      <w:pPr>
        <w:pStyle w:val="FootnoteText"/>
      </w:pPr>
      <w:r>
        <w:rPr>
          <w:rStyle w:val="FootnoteReference"/>
        </w:rPr>
        <w:footnoteRef/>
      </w:r>
      <w:r>
        <w:t xml:space="preserve"> </w:t>
      </w:r>
      <w:r>
        <w:rPr>
          <w:lang w:val="en-US"/>
        </w:rPr>
        <w:t>ibid</w:t>
      </w:r>
    </w:p>
  </w:footnote>
  <w:footnote w:id="156">
    <w:p w14:paraId="086FE668" w14:textId="77777777" w:rsidR="002A72B1" w:rsidRDefault="002A72B1" w:rsidP="00436B29">
      <w:pPr>
        <w:pStyle w:val="FootnoteText"/>
      </w:pPr>
      <w:r>
        <w:rPr>
          <w:rStyle w:val="FootnoteReference"/>
        </w:rPr>
        <w:footnoteRef/>
      </w:r>
      <w:r>
        <w:t xml:space="preserve"> </w:t>
      </w:r>
      <w:r>
        <w:rPr>
          <w:lang w:val="en-US"/>
        </w:rPr>
        <w:t xml:space="preserve">Rosenfeld, Imai and </w:t>
      </w:r>
      <w:r w:rsidRPr="009A11D9">
        <w:rPr>
          <w:lang w:val="en-US"/>
        </w:rPr>
        <w:t xml:space="preserve">Shapiro, </w:t>
      </w:r>
      <w:r>
        <w:rPr>
          <w:lang w:val="en-US"/>
        </w:rPr>
        <w:t>2016</w:t>
      </w:r>
    </w:p>
  </w:footnote>
  <w:footnote w:id="157">
    <w:p w14:paraId="4CDD1D70" w14:textId="60299868" w:rsidR="002A72B1" w:rsidRDefault="002A72B1">
      <w:pPr>
        <w:pStyle w:val="FootnoteText"/>
      </w:pPr>
      <w:r>
        <w:rPr>
          <w:rStyle w:val="FootnoteReference"/>
        </w:rPr>
        <w:footnoteRef/>
      </w:r>
      <w:r>
        <w:t xml:space="preserve"> </w:t>
      </w:r>
      <w:r w:rsidRPr="00717D42">
        <w:t>Vazalli &amp; Capoza, 2011 cited in Kallman, 2017</w:t>
      </w:r>
    </w:p>
  </w:footnote>
  <w:footnote w:id="158">
    <w:p w14:paraId="06B94349" w14:textId="3E0D5E15" w:rsidR="002A72B1" w:rsidRDefault="002A72B1">
      <w:pPr>
        <w:pStyle w:val="FootnoteText"/>
      </w:pPr>
      <w:r>
        <w:rPr>
          <w:rStyle w:val="FootnoteReference"/>
        </w:rPr>
        <w:footnoteRef/>
      </w:r>
      <w:r>
        <w:t xml:space="preserve"> </w:t>
      </w:r>
      <w:r w:rsidRPr="00CD713C">
        <w:t>Bast et al., 2020</w:t>
      </w:r>
    </w:p>
  </w:footnote>
  <w:footnote w:id="159">
    <w:p w14:paraId="58528A4B" w14:textId="4D9075E8" w:rsidR="002A72B1" w:rsidRDefault="002A72B1">
      <w:pPr>
        <w:pStyle w:val="FootnoteText"/>
      </w:pPr>
      <w:r>
        <w:rPr>
          <w:rStyle w:val="FootnoteReference"/>
        </w:rPr>
        <w:footnoteRef/>
      </w:r>
      <w:r>
        <w:t xml:space="preserve"> Kopera et al., 2015</w:t>
      </w:r>
    </w:p>
  </w:footnote>
  <w:footnote w:id="160">
    <w:p w14:paraId="6153DFFA" w14:textId="02830CE1" w:rsidR="002A72B1" w:rsidRDefault="002A72B1">
      <w:pPr>
        <w:pStyle w:val="FootnoteText"/>
      </w:pPr>
      <w:r>
        <w:rPr>
          <w:rStyle w:val="FootnoteReference"/>
        </w:rPr>
        <w:footnoteRef/>
      </w:r>
      <w:r>
        <w:t xml:space="preserve"> </w:t>
      </w:r>
      <w:r>
        <w:rPr>
          <w:szCs w:val="22"/>
        </w:rPr>
        <w:t>e.g.</w:t>
      </w:r>
      <w:r w:rsidRPr="00CD713C">
        <w:rPr>
          <w:szCs w:val="22"/>
        </w:rPr>
        <w:t xml:space="preserve"> González-Sanguino et al., 2020; James, 2018;</w:t>
      </w:r>
      <w:r>
        <w:rPr>
          <w:sz w:val="20"/>
        </w:rPr>
        <w:t xml:space="preserve"> </w:t>
      </w:r>
    </w:p>
  </w:footnote>
  <w:footnote w:id="161">
    <w:p w14:paraId="30D06BB9" w14:textId="34D2A8AF" w:rsidR="002A72B1" w:rsidRDefault="002A72B1">
      <w:pPr>
        <w:pStyle w:val="FootnoteText"/>
      </w:pPr>
      <w:r>
        <w:rPr>
          <w:rStyle w:val="FootnoteReference"/>
        </w:rPr>
        <w:footnoteRef/>
      </w:r>
      <w:r>
        <w:t xml:space="preserve"> </w:t>
      </w:r>
      <w:r w:rsidRPr="008E5CBD">
        <w:t>Charlesworth and Banaji, 2019; Scior &amp; Wilson, 2015</w:t>
      </w:r>
    </w:p>
  </w:footnote>
  <w:footnote w:id="162">
    <w:p w14:paraId="1F0195C8" w14:textId="4E416C4D" w:rsidR="002A72B1" w:rsidRDefault="002A72B1">
      <w:pPr>
        <w:pStyle w:val="FootnoteText"/>
      </w:pPr>
      <w:r>
        <w:rPr>
          <w:rStyle w:val="FootnoteReference"/>
        </w:rPr>
        <w:footnoteRef/>
      </w:r>
      <w:r>
        <w:t xml:space="preserve"> Hoffman et al., 2005</w:t>
      </w:r>
    </w:p>
  </w:footnote>
  <w:footnote w:id="163">
    <w:p w14:paraId="39A5BBDB" w14:textId="53568AA1" w:rsidR="002A72B1" w:rsidRDefault="002A72B1">
      <w:pPr>
        <w:pStyle w:val="FootnoteText"/>
      </w:pPr>
      <w:r>
        <w:rPr>
          <w:rStyle w:val="FootnoteReference"/>
        </w:rPr>
        <w:footnoteRef/>
      </w:r>
      <w:r>
        <w:t xml:space="preserve"> ibid</w:t>
      </w:r>
    </w:p>
  </w:footnote>
  <w:footnote w:id="164">
    <w:p w14:paraId="2DF7B030" w14:textId="4CA8C376" w:rsidR="002A72B1" w:rsidRDefault="002A72B1">
      <w:pPr>
        <w:pStyle w:val="FootnoteText"/>
      </w:pPr>
      <w:r>
        <w:rPr>
          <w:rStyle w:val="FootnoteReference"/>
        </w:rPr>
        <w:footnoteRef/>
      </w:r>
      <w:r>
        <w:t xml:space="preserve"> Hoffman et al., 2005; Forscher et al., 2019</w:t>
      </w:r>
    </w:p>
  </w:footnote>
  <w:footnote w:id="165">
    <w:p w14:paraId="7337884E" w14:textId="7D14A6FF" w:rsidR="002A72B1" w:rsidRDefault="002A72B1">
      <w:pPr>
        <w:pStyle w:val="FootnoteText"/>
      </w:pPr>
      <w:r>
        <w:rPr>
          <w:rStyle w:val="FootnoteReference"/>
        </w:rPr>
        <w:footnoteRef/>
      </w:r>
      <w:r>
        <w:t xml:space="preserve"> Forecher et al., 2019</w:t>
      </w:r>
    </w:p>
  </w:footnote>
  <w:footnote w:id="166">
    <w:p w14:paraId="6F115896" w14:textId="18A371FE" w:rsidR="002A72B1" w:rsidRDefault="002A72B1" w:rsidP="00E140D0">
      <w:pPr>
        <w:pStyle w:val="FootnoteText"/>
      </w:pPr>
      <w:r>
        <w:rPr>
          <w:rStyle w:val="FootnoteReference"/>
        </w:rPr>
        <w:footnoteRef/>
      </w:r>
      <w:r>
        <w:t xml:space="preserve"> Cameron et al., 2012; Greenwald et al., 2009; Hofmann et al., 2005; Nosek, 2005 cited in  Forscher et al., 2019</w:t>
      </w:r>
    </w:p>
  </w:footnote>
  <w:footnote w:id="167">
    <w:p w14:paraId="6E57848A" w14:textId="7B72EA3F" w:rsidR="002A72B1" w:rsidRDefault="002A72B1">
      <w:pPr>
        <w:pStyle w:val="FootnoteText"/>
      </w:pPr>
      <w:r>
        <w:rPr>
          <w:rStyle w:val="FootnoteReference"/>
        </w:rPr>
        <w:footnoteRef/>
      </w:r>
      <w:r>
        <w:t xml:space="preserve"> </w:t>
      </w:r>
      <w:r w:rsidRPr="00680DF9">
        <w:t>Dabby et al., 2015; Stome and Motowski, 2011; Friese, Hofmann, &amp; Schmitt, 2008; Hofman</w:t>
      </w:r>
      <w:r>
        <w:t>n, Gawronski, Gschwendner, Le, and</w:t>
      </w:r>
      <w:r w:rsidRPr="00680DF9">
        <w:t xml:space="preserve"> Schmitt, 2005),</w:t>
      </w:r>
    </w:p>
  </w:footnote>
  <w:footnote w:id="168">
    <w:p w14:paraId="216CB976" w14:textId="46F04FBC" w:rsidR="002A72B1" w:rsidRDefault="002A72B1">
      <w:pPr>
        <w:pStyle w:val="FootnoteText"/>
      </w:pPr>
      <w:r>
        <w:rPr>
          <w:rStyle w:val="FootnoteReference"/>
        </w:rPr>
        <w:footnoteRef/>
      </w:r>
      <w:r>
        <w:t xml:space="preserve"> Greenwald et al., 2009 cited in Forscher et al., 2019</w:t>
      </w:r>
    </w:p>
  </w:footnote>
  <w:footnote w:id="169">
    <w:p w14:paraId="0AC1A64F" w14:textId="6B3F4B54" w:rsidR="002A72B1" w:rsidRDefault="002A72B1">
      <w:pPr>
        <w:pStyle w:val="FootnoteText"/>
      </w:pPr>
      <w:r>
        <w:rPr>
          <w:rStyle w:val="FootnoteReference"/>
        </w:rPr>
        <w:footnoteRef/>
      </w:r>
      <w:r>
        <w:t xml:space="preserve"> Devine, 1989; Fazio &amp; Olson, 2014; Kurdi et al., 2018; cf. Greenwald et al., 2009 cited in Forcher et al., 2019; </w:t>
      </w:r>
      <w:r w:rsidRPr="00680DF9">
        <w:t>Dabby et al., 2015</w:t>
      </w:r>
      <w:r>
        <w:t xml:space="preserve">; </w:t>
      </w:r>
      <w:r w:rsidRPr="00680DF9">
        <w:t>Fazio and Olsen, 2003</w:t>
      </w:r>
    </w:p>
  </w:footnote>
  <w:footnote w:id="170">
    <w:p w14:paraId="5E43E83A" w14:textId="51FBBF35" w:rsidR="002A72B1" w:rsidRDefault="002A72B1">
      <w:pPr>
        <w:pStyle w:val="FootnoteText"/>
      </w:pPr>
      <w:r>
        <w:rPr>
          <w:rStyle w:val="FootnoteReference"/>
        </w:rPr>
        <w:footnoteRef/>
      </w:r>
      <w:r>
        <w:t xml:space="preserve"> Fazio and Olsen, 2003</w:t>
      </w:r>
    </w:p>
  </w:footnote>
  <w:footnote w:id="171">
    <w:p w14:paraId="3A183ECE" w14:textId="1BC95231" w:rsidR="002A72B1" w:rsidRDefault="002A72B1">
      <w:pPr>
        <w:pStyle w:val="FootnoteText"/>
      </w:pPr>
      <w:r>
        <w:rPr>
          <w:rStyle w:val="FootnoteReference"/>
        </w:rPr>
        <w:footnoteRef/>
      </w:r>
      <w:r>
        <w:t xml:space="preserve"> Oswald et al., 2013</w:t>
      </w:r>
    </w:p>
  </w:footnote>
  <w:footnote w:id="172">
    <w:p w14:paraId="09BA0813" w14:textId="3C4BC975" w:rsidR="002A72B1" w:rsidRDefault="002A72B1">
      <w:pPr>
        <w:pStyle w:val="FootnoteText"/>
      </w:pPr>
      <w:r>
        <w:rPr>
          <w:rStyle w:val="FootnoteReference"/>
        </w:rPr>
        <w:footnoteRef/>
      </w:r>
      <w:r>
        <w:t xml:space="preserve"> ibid</w:t>
      </w:r>
    </w:p>
  </w:footnote>
  <w:footnote w:id="173">
    <w:p w14:paraId="47559CF1" w14:textId="21C00257" w:rsidR="002A72B1" w:rsidRDefault="002A72B1">
      <w:pPr>
        <w:pStyle w:val="FootnoteText"/>
      </w:pPr>
      <w:r>
        <w:rPr>
          <w:rStyle w:val="FootnoteReference"/>
        </w:rPr>
        <w:footnoteRef/>
      </w:r>
      <w:r>
        <w:t xml:space="preserve"> Florence and Marc, 2021</w:t>
      </w:r>
    </w:p>
  </w:footnote>
  <w:footnote w:id="174">
    <w:p w14:paraId="0E08A939" w14:textId="6835CC76" w:rsidR="002A72B1" w:rsidRDefault="002A72B1">
      <w:pPr>
        <w:pStyle w:val="FootnoteText"/>
      </w:pPr>
      <w:r>
        <w:rPr>
          <w:rStyle w:val="FootnoteReference"/>
        </w:rPr>
        <w:footnoteRef/>
      </w:r>
      <w:r>
        <w:t xml:space="preserve"> Lipson et al., 2020</w:t>
      </w:r>
    </w:p>
  </w:footnote>
  <w:footnote w:id="175">
    <w:p w14:paraId="400DF9FF" w14:textId="3D56F7D7" w:rsidR="002A72B1" w:rsidRDefault="002A72B1">
      <w:pPr>
        <w:pStyle w:val="FootnoteText"/>
      </w:pPr>
      <w:r>
        <w:rPr>
          <w:rStyle w:val="FootnoteReference"/>
        </w:rPr>
        <w:footnoteRef/>
      </w:r>
      <w:r>
        <w:t xml:space="preserve"> e.g. Langhaug et al., 2010; Des Jarlais et al. 1999; Holbrook et al. 2003; Metzger et al. 2000; Okamoto et al. 2002; Tourangeau et al. 1997; Tourangeau and Yan 2007; Turner et al. 1998, 2005 cited in Krumpal, 2013</w:t>
      </w:r>
    </w:p>
  </w:footnote>
  <w:footnote w:id="176">
    <w:p w14:paraId="56D0A475" w14:textId="30FA1845" w:rsidR="002A72B1" w:rsidRDefault="002A72B1">
      <w:pPr>
        <w:pStyle w:val="FootnoteText"/>
      </w:pPr>
      <w:r>
        <w:rPr>
          <w:rStyle w:val="FootnoteReference"/>
        </w:rPr>
        <w:footnoteRef/>
      </w:r>
      <w:r>
        <w:t xml:space="preserve"> </w:t>
      </w:r>
      <w:r w:rsidRPr="00C01EC6">
        <w:t>Ong and Weiss 2000 cited in Krumpal, 2013</w:t>
      </w:r>
    </w:p>
  </w:footnote>
  <w:footnote w:id="177">
    <w:p w14:paraId="5C8219CC" w14:textId="213649C1" w:rsidR="002A72B1" w:rsidRDefault="002A72B1">
      <w:pPr>
        <w:pStyle w:val="FootnoteText"/>
      </w:pPr>
      <w:r>
        <w:rPr>
          <w:rStyle w:val="FootnoteReference"/>
        </w:rPr>
        <w:footnoteRef/>
      </w:r>
      <w:r>
        <w:t xml:space="preserve"> Loosvdelt, 2022</w:t>
      </w:r>
    </w:p>
  </w:footnote>
  <w:footnote w:id="178">
    <w:p w14:paraId="25A8B2AA" w14:textId="4DDCEF74" w:rsidR="002A72B1" w:rsidRDefault="002A72B1">
      <w:pPr>
        <w:pStyle w:val="FootnoteText"/>
      </w:pPr>
      <w:r>
        <w:rPr>
          <w:rStyle w:val="FootnoteReference"/>
        </w:rPr>
        <w:footnoteRef/>
      </w:r>
      <w:r>
        <w:t xml:space="preserve"> </w:t>
      </w:r>
      <w:r w:rsidRPr="00C01EC6">
        <w:t>Krumpal, 2013</w:t>
      </w:r>
    </w:p>
  </w:footnote>
  <w:footnote w:id="179">
    <w:p w14:paraId="694830D3" w14:textId="49DE5FBC" w:rsidR="002A72B1" w:rsidRDefault="002A72B1">
      <w:pPr>
        <w:pStyle w:val="FootnoteText"/>
      </w:pPr>
      <w:r>
        <w:rPr>
          <w:rStyle w:val="FootnoteReference"/>
        </w:rPr>
        <w:footnoteRef/>
      </w:r>
      <w:r>
        <w:t xml:space="preserve"> Krumpal, 2013</w:t>
      </w:r>
    </w:p>
  </w:footnote>
  <w:footnote w:id="180">
    <w:p w14:paraId="1687A3D3" w14:textId="11E640DC" w:rsidR="002A72B1" w:rsidRDefault="002A72B1">
      <w:pPr>
        <w:pStyle w:val="FootnoteText"/>
      </w:pPr>
      <w:r>
        <w:rPr>
          <w:rStyle w:val="FootnoteReference"/>
        </w:rPr>
        <w:footnoteRef/>
      </w:r>
      <w:r>
        <w:t xml:space="preserve"> Loosdvelt, 2022</w:t>
      </w:r>
    </w:p>
  </w:footnote>
  <w:footnote w:id="181">
    <w:p w14:paraId="73A53AD9" w14:textId="1116E15C" w:rsidR="002A72B1" w:rsidRDefault="002A72B1">
      <w:pPr>
        <w:pStyle w:val="FootnoteText"/>
      </w:pPr>
      <w:r>
        <w:rPr>
          <w:rStyle w:val="FootnoteReference"/>
        </w:rPr>
        <w:footnoteRef/>
      </w:r>
      <w:r>
        <w:t xml:space="preserve"> Loosdvelt, 2022</w:t>
      </w:r>
    </w:p>
  </w:footnote>
  <w:footnote w:id="182">
    <w:p w14:paraId="36542635" w14:textId="20406D39" w:rsidR="002A72B1" w:rsidRDefault="002A72B1">
      <w:pPr>
        <w:pStyle w:val="FootnoteText"/>
      </w:pPr>
      <w:r>
        <w:rPr>
          <w:rStyle w:val="FootnoteReference"/>
        </w:rPr>
        <w:footnoteRef/>
      </w:r>
      <w:r>
        <w:t xml:space="preserve"> </w:t>
      </w:r>
      <w:r w:rsidRPr="00C01EC6">
        <w:t>Krumpal, 2013</w:t>
      </w:r>
      <w:r>
        <w:t>; D’Ancona, 2017</w:t>
      </w:r>
    </w:p>
  </w:footnote>
  <w:footnote w:id="183">
    <w:p w14:paraId="35BCDE66" w14:textId="0615ACFD" w:rsidR="002A72B1" w:rsidRDefault="002A72B1">
      <w:pPr>
        <w:pStyle w:val="FootnoteText"/>
      </w:pPr>
      <w:r>
        <w:rPr>
          <w:rStyle w:val="FootnoteReference"/>
        </w:rPr>
        <w:footnoteRef/>
      </w:r>
      <w:r>
        <w:t xml:space="preserve"> </w:t>
      </w:r>
      <w:r w:rsidRPr="003978AE">
        <w:t>Langhaug et al., 2010</w:t>
      </w:r>
      <w:r>
        <w:t>; Kleck and</w:t>
      </w:r>
      <w:r w:rsidRPr="003978AE">
        <w:t xml:space="preserve"> Roberts, 2012 cited in Gnambs &amp; Kasper, 2016</w:t>
      </w:r>
    </w:p>
  </w:footnote>
  <w:footnote w:id="184">
    <w:p w14:paraId="3269E0CE" w14:textId="77777777" w:rsidR="002A72B1" w:rsidRDefault="002A72B1" w:rsidP="00094491">
      <w:pPr>
        <w:pStyle w:val="FootnoteText"/>
      </w:pPr>
      <w:r>
        <w:rPr>
          <w:rStyle w:val="FootnoteReference"/>
        </w:rPr>
        <w:footnoteRef/>
      </w:r>
      <w:r>
        <w:t xml:space="preserve"> </w:t>
      </w:r>
      <w:r w:rsidRPr="003978AE">
        <w:t>D’Ancona, 2017; May et al., 2022</w:t>
      </w:r>
    </w:p>
  </w:footnote>
  <w:footnote w:id="185">
    <w:p w14:paraId="22E21FAF" w14:textId="4FDB9145" w:rsidR="002A72B1" w:rsidRDefault="002A72B1" w:rsidP="00094491">
      <w:pPr>
        <w:pStyle w:val="FootnoteText"/>
      </w:pPr>
      <w:r>
        <w:rPr>
          <w:rStyle w:val="FootnoteReference"/>
        </w:rPr>
        <w:footnoteRef/>
      </w:r>
      <w:r>
        <w:t xml:space="preserve"> Henderson et al, 2012 </w:t>
      </w:r>
    </w:p>
  </w:footnote>
  <w:footnote w:id="186">
    <w:p w14:paraId="19C7D5C3" w14:textId="7F4F2213" w:rsidR="002A72B1" w:rsidRDefault="002A72B1">
      <w:pPr>
        <w:pStyle w:val="FootnoteText"/>
      </w:pPr>
      <w:r>
        <w:rPr>
          <w:rStyle w:val="FootnoteReference"/>
        </w:rPr>
        <w:footnoteRef/>
      </w:r>
      <w:r>
        <w:t xml:space="preserve"> </w:t>
      </w:r>
      <w:r w:rsidRPr="003978AE">
        <w:t xml:space="preserve">Kreuter </w:t>
      </w:r>
      <w:r>
        <w:t>et al.,</w:t>
      </w:r>
      <w:r w:rsidRPr="003978AE">
        <w:t xml:space="preserve"> 2008; Sak</w:t>
      </w:r>
      <w:r>
        <w:t xml:space="preserve">shaug, Yan, and Tourangeau, 2010; </w:t>
      </w:r>
      <w:r w:rsidRPr="00133117">
        <w:t>Heerwegh and Loosveldt, 2008; Kreuter et al., 2008; Lindhjem and Navrud,</w:t>
      </w:r>
      <w:r>
        <w:t xml:space="preserve"> 2011; Simmons and Bobo's, 2015</w:t>
      </w:r>
    </w:p>
  </w:footnote>
  <w:footnote w:id="187">
    <w:p w14:paraId="4C200E01" w14:textId="3937D9C9" w:rsidR="002A72B1" w:rsidRDefault="002A72B1">
      <w:pPr>
        <w:pStyle w:val="FootnoteText"/>
      </w:pPr>
      <w:r>
        <w:rPr>
          <w:rStyle w:val="FootnoteReference"/>
        </w:rPr>
        <w:footnoteRef/>
      </w:r>
      <w:r>
        <w:t xml:space="preserve"> British Social Attitudes Survey; May et al., 2022</w:t>
      </w:r>
    </w:p>
  </w:footnote>
  <w:footnote w:id="188">
    <w:p w14:paraId="682D924F" w14:textId="37160AEE" w:rsidR="002A72B1" w:rsidRDefault="002A72B1">
      <w:pPr>
        <w:pStyle w:val="FootnoteText"/>
      </w:pPr>
      <w:r>
        <w:rPr>
          <w:rStyle w:val="FootnoteReference"/>
        </w:rPr>
        <w:footnoteRef/>
      </w:r>
      <w:r>
        <w:t xml:space="preserve"> </w:t>
      </w:r>
      <w:hyperlink r:id="rId3" w:history="1">
        <w:r w:rsidRPr="00216EBF">
          <w:rPr>
            <w:rStyle w:val="Hyperlink"/>
          </w:rPr>
          <w:t>https://www.youtube.com/watch?v=pHr257x0vGA&amp;t=3028s&amp;ab_channel=EuropeanSocialSurvey</w:t>
        </w:r>
      </w:hyperlink>
      <w:r>
        <w:t xml:space="preserve"> </w:t>
      </w:r>
    </w:p>
  </w:footnote>
  <w:footnote w:id="189">
    <w:p w14:paraId="7273FF42" w14:textId="01F2D3BF" w:rsidR="002A72B1" w:rsidRDefault="002A72B1">
      <w:pPr>
        <w:pStyle w:val="FootnoteText"/>
      </w:pPr>
      <w:r>
        <w:rPr>
          <w:rStyle w:val="FootnoteReference"/>
        </w:rPr>
        <w:footnoteRef/>
      </w:r>
      <w:r>
        <w:t xml:space="preserve"> The push to web mode included an option for people to opt to take part by telephone in order to reach the offline population. The comparisons were not truly experimental, as, due to the Covid-19 pandemic, they were unable to run parallel face-to-face and web-based surveys, instead, they compared the web-based survey to the face to face survey from the previous year</w:t>
      </w:r>
    </w:p>
  </w:footnote>
  <w:footnote w:id="190">
    <w:p w14:paraId="10C95019" w14:textId="7C4E0831" w:rsidR="002A72B1" w:rsidRDefault="002A72B1">
      <w:pPr>
        <w:pStyle w:val="FootnoteText"/>
      </w:pPr>
      <w:r>
        <w:rPr>
          <w:rStyle w:val="FootnoteReference"/>
        </w:rPr>
        <w:footnoteRef/>
      </w:r>
      <w:r>
        <w:t xml:space="preserve"> Household level response rate. </w:t>
      </w:r>
    </w:p>
  </w:footnote>
  <w:footnote w:id="191">
    <w:p w14:paraId="04598A74" w14:textId="77777777" w:rsidR="002A72B1" w:rsidRDefault="002A72B1" w:rsidP="002F4480">
      <w:pPr>
        <w:pStyle w:val="FootnoteText"/>
      </w:pPr>
      <w:r>
        <w:rPr>
          <w:rStyle w:val="FootnoteReference"/>
        </w:rPr>
        <w:footnoteRef/>
      </w:r>
      <w:r>
        <w:t xml:space="preserve"> Kopera, 2015; Kallman, 2017</w:t>
      </w:r>
    </w:p>
  </w:footnote>
  <w:footnote w:id="192">
    <w:p w14:paraId="4A03D895" w14:textId="077E39CA" w:rsidR="002A72B1" w:rsidRDefault="002A72B1">
      <w:pPr>
        <w:pStyle w:val="FootnoteText"/>
      </w:pPr>
      <w:r>
        <w:rPr>
          <w:rStyle w:val="FootnoteReference"/>
        </w:rPr>
        <w:footnoteRef/>
      </w:r>
      <w:r>
        <w:t xml:space="preserve"> Girod, 2020</w:t>
      </w:r>
    </w:p>
  </w:footnote>
  <w:footnote w:id="193">
    <w:p w14:paraId="26DB0F4F" w14:textId="0942AD3A" w:rsidR="002A72B1" w:rsidRDefault="002A72B1" w:rsidP="00CD1934">
      <w:pPr>
        <w:pStyle w:val="FootnoteText"/>
      </w:pPr>
      <w:r>
        <w:rPr>
          <w:rStyle w:val="FootnoteReference"/>
        </w:rPr>
        <w:footnoteRef/>
      </w:r>
      <w:r>
        <w:t xml:space="preserve"> </w:t>
      </w:r>
      <w:r w:rsidRPr="00F47BA9">
        <w:t>Lépine,</w:t>
      </w:r>
      <w:r>
        <w:t xml:space="preserve"> </w:t>
      </w:r>
      <w:r w:rsidRPr="00F47BA9">
        <w:t>Treibich, D’Exelle,</w:t>
      </w:r>
      <w:r>
        <w:t xml:space="preserve"> </w:t>
      </w:r>
      <w:r w:rsidRPr="00F47BA9">
        <w:t>2020</w:t>
      </w:r>
    </w:p>
  </w:footnote>
  <w:footnote w:id="194">
    <w:p w14:paraId="3CE70D5C" w14:textId="19A1CF66" w:rsidR="002A72B1" w:rsidRDefault="002A72B1" w:rsidP="00CD1934">
      <w:pPr>
        <w:pStyle w:val="FootnoteText"/>
      </w:pPr>
      <w:r>
        <w:rPr>
          <w:rStyle w:val="FootnoteReference"/>
        </w:rPr>
        <w:footnoteRef/>
      </w:r>
      <w:r>
        <w:t xml:space="preserve"> Blair and Imai, 2012 cited in </w:t>
      </w:r>
      <w:r w:rsidRPr="006E100C">
        <w:t xml:space="preserve">Kao and Lust, </w:t>
      </w:r>
      <w:r w:rsidRPr="006E100C">
        <w:rPr>
          <w:bCs/>
          <w:iCs/>
        </w:rPr>
        <w:t>2022</w:t>
      </w:r>
    </w:p>
  </w:footnote>
  <w:footnote w:id="195">
    <w:p w14:paraId="06F85D17" w14:textId="29BBB120" w:rsidR="002A72B1" w:rsidRDefault="002A72B1" w:rsidP="00CD1934">
      <w:pPr>
        <w:pStyle w:val="FootnoteText"/>
      </w:pPr>
      <w:r>
        <w:rPr>
          <w:rStyle w:val="FootnoteReference"/>
        </w:rPr>
        <w:footnoteRef/>
      </w:r>
      <w:r>
        <w:t xml:space="preserve"> </w:t>
      </w:r>
      <w:r w:rsidRPr="00B71432">
        <w:t>Bell</w:t>
      </w:r>
      <w:r>
        <w:t xml:space="preserve"> et al. 2019 </w:t>
      </w:r>
      <w:r w:rsidRPr="00757873">
        <w:t xml:space="preserve">cited </w:t>
      </w:r>
      <w:r>
        <w:t>in</w:t>
      </w:r>
      <w:r w:rsidRPr="00757873">
        <w:t xml:space="preserve"> Lepine, A et al</w:t>
      </w:r>
      <w:r>
        <w:t xml:space="preserve">. </w:t>
      </w:r>
      <w:r w:rsidRPr="00757873">
        <w:t>2020</w:t>
      </w:r>
    </w:p>
  </w:footnote>
  <w:footnote w:id="196">
    <w:p w14:paraId="0117E698" w14:textId="27E09CF2" w:rsidR="002A72B1" w:rsidRDefault="002A72B1" w:rsidP="00CD1934">
      <w:pPr>
        <w:pStyle w:val="FootnoteText"/>
      </w:pPr>
      <w:r>
        <w:rPr>
          <w:rStyle w:val="FootnoteReference"/>
        </w:rPr>
        <w:footnoteRef/>
      </w:r>
      <w:r>
        <w:t xml:space="preserve"> Blair, </w:t>
      </w:r>
      <w:r w:rsidRPr="00DE6ECC">
        <w:t>Coppock,</w:t>
      </w:r>
      <w:r>
        <w:t xml:space="preserve"> </w:t>
      </w:r>
      <w:r w:rsidRPr="00DE6ECC">
        <w:t>Moor</w:t>
      </w:r>
      <w:r>
        <w:t xml:space="preserve">, </w:t>
      </w:r>
      <w:r w:rsidRPr="00DE6ECC">
        <w:t>2020</w:t>
      </w:r>
      <w:r>
        <w:t xml:space="preserve"> cited in Kao, and </w:t>
      </w:r>
      <w:r w:rsidRPr="00134D42">
        <w:t>Lust,</w:t>
      </w:r>
      <w:r>
        <w:rPr>
          <w:bCs/>
          <w:iCs/>
        </w:rPr>
        <w:t xml:space="preserve"> 2022</w:t>
      </w:r>
    </w:p>
  </w:footnote>
  <w:footnote w:id="197">
    <w:p w14:paraId="0CF60148" w14:textId="77777777" w:rsidR="002A72B1" w:rsidRPr="00824807" w:rsidRDefault="002A72B1" w:rsidP="00CD1934">
      <w:pPr>
        <w:pStyle w:val="FootnoteText"/>
      </w:pPr>
      <w:r>
        <w:rPr>
          <w:rStyle w:val="FootnoteReference"/>
        </w:rPr>
        <w:footnoteRef/>
      </w:r>
      <w:r>
        <w:t xml:space="preserve"> </w:t>
      </w:r>
      <w:r w:rsidRPr="00235507">
        <w:t xml:space="preserve">The notion behind </w:t>
      </w:r>
      <w:r>
        <w:t xml:space="preserve">noisy data is that it </w:t>
      </w:r>
      <w:r w:rsidRPr="00235507">
        <w:t>is not necessarily precise and might not be able to be duplicated if the same information was collected or calculated again.</w:t>
      </w:r>
      <w:r w:rsidRPr="00824807">
        <w:t xml:space="preserve"> Noise can be </w:t>
      </w:r>
      <w:r w:rsidRPr="00824807">
        <w:rPr>
          <w:bCs/>
        </w:rPr>
        <w:t xml:space="preserve">introduced by measurement tools </w:t>
      </w:r>
      <w:r>
        <w:rPr>
          <w:bCs/>
        </w:rPr>
        <w:t xml:space="preserve">and </w:t>
      </w:r>
      <w:r w:rsidRPr="00824807">
        <w:rPr>
          <w:bCs/>
        </w:rPr>
        <w:t xml:space="preserve">random errors introduced by processing or </w:t>
      </w:r>
      <w:r>
        <w:rPr>
          <w:bCs/>
        </w:rPr>
        <w:t xml:space="preserve">in </w:t>
      </w:r>
      <w:r w:rsidRPr="00824807">
        <w:rPr>
          <w:bCs/>
        </w:rPr>
        <w:t>data gather</w:t>
      </w:r>
      <w:r>
        <w:rPr>
          <w:bCs/>
        </w:rPr>
        <w:t xml:space="preserve">ing. </w:t>
      </w:r>
      <w:hyperlink r:id="rId4" w:history="1">
        <w:r w:rsidRPr="00824807">
          <w:rPr>
            <w:rStyle w:val="Hyperlink"/>
          </w:rPr>
          <w:t>Noisy data</w:t>
        </w:r>
      </w:hyperlink>
      <w:r w:rsidRPr="00824807">
        <w:t> </w:t>
      </w:r>
      <w:r>
        <w:t>is less meaningful due to t</w:t>
      </w:r>
      <w:r w:rsidRPr="00824807">
        <w:t xml:space="preserve">he existence of </w:t>
      </w:r>
      <w:r>
        <w:t xml:space="preserve">a lot of </w:t>
      </w:r>
      <w:r w:rsidRPr="00824807">
        <w:t>variation.</w:t>
      </w:r>
    </w:p>
  </w:footnote>
  <w:footnote w:id="198">
    <w:p w14:paraId="549BD324" w14:textId="29DE4AFD" w:rsidR="002A72B1" w:rsidRDefault="002A72B1" w:rsidP="00CD1934">
      <w:pPr>
        <w:pStyle w:val="FootnoteText"/>
      </w:pPr>
      <w:r>
        <w:rPr>
          <w:rStyle w:val="FootnoteReference"/>
        </w:rPr>
        <w:footnoteRef/>
      </w:r>
      <w:r>
        <w:t xml:space="preserve"> </w:t>
      </w:r>
      <w:r w:rsidRPr="00757873">
        <w:t>Lépine, Treibich,</w:t>
      </w:r>
      <w:r>
        <w:t xml:space="preserve"> </w:t>
      </w:r>
      <w:r w:rsidRPr="00757873">
        <w:t>D’Exelle, 2020</w:t>
      </w:r>
    </w:p>
  </w:footnote>
  <w:footnote w:id="199">
    <w:p w14:paraId="78FFE2F4" w14:textId="3164EAB6" w:rsidR="002A72B1" w:rsidRDefault="002A72B1" w:rsidP="00CD1934">
      <w:pPr>
        <w:pStyle w:val="FootnoteText"/>
      </w:pPr>
      <w:r>
        <w:rPr>
          <w:rStyle w:val="FootnoteReference"/>
        </w:rPr>
        <w:footnoteRef/>
      </w:r>
      <w:r>
        <w:t xml:space="preserve"> Kramon and Weghorst, 2019</w:t>
      </w:r>
    </w:p>
  </w:footnote>
  <w:footnote w:id="200">
    <w:p w14:paraId="0BB2AF1E" w14:textId="0A25D0CB" w:rsidR="002A72B1" w:rsidRDefault="002A72B1" w:rsidP="00CD1934">
      <w:pPr>
        <w:pStyle w:val="FootnoteText"/>
      </w:pPr>
      <w:r>
        <w:rPr>
          <w:rStyle w:val="FootnoteReference"/>
        </w:rPr>
        <w:footnoteRef/>
      </w:r>
      <w:r>
        <w:t xml:space="preserve"> Krosnick, J.A., 1991 cited in </w:t>
      </w:r>
      <w:r w:rsidRPr="00447D5B">
        <w:t>Kao</w:t>
      </w:r>
      <w:r>
        <w:t xml:space="preserve"> and </w:t>
      </w:r>
      <w:r w:rsidRPr="00134D42">
        <w:t>Lust</w:t>
      </w:r>
      <w:r>
        <w:t>,</w:t>
      </w:r>
      <w:r w:rsidRPr="00134D42">
        <w:rPr>
          <w:bCs/>
          <w:iCs/>
        </w:rPr>
        <w:t xml:space="preserve"> E</w:t>
      </w:r>
      <w:r>
        <w:rPr>
          <w:bCs/>
          <w:iCs/>
        </w:rPr>
        <w:t xml:space="preserve">., </w:t>
      </w:r>
      <w:r w:rsidRPr="00134D42">
        <w:rPr>
          <w:bCs/>
          <w:iCs/>
        </w:rPr>
        <w:t>2022</w:t>
      </w:r>
    </w:p>
  </w:footnote>
  <w:footnote w:id="201">
    <w:p w14:paraId="60F4CAC4" w14:textId="6A649C81" w:rsidR="002A72B1" w:rsidRDefault="002A72B1" w:rsidP="00CD1934">
      <w:pPr>
        <w:pStyle w:val="FootnoteText"/>
      </w:pPr>
      <w:r>
        <w:rPr>
          <w:rStyle w:val="FootnoteReference"/>
        </w:rPr>
        <w:footnoteRef/>
      </w:r>
      <w:r>
        <w:t xml:space="preserve"> </w:t>
      </w:r>
      <w:r w:rsidRPr="008A67CD">
        <w:t>Kramon</w:t>
      </w:r>
      <w:r>
        <w:t xml:space="preserve"> and </w:t>
      </w:r>
      <w:r w:rsidRPr="008A67CD">
        <w:t>Weghorst,</w:t>
      </w:r>
      <w:r>
        <w:t xml:space="preserve"> </w:t>
      </w:r>
      <w:r w:rsidRPr="008A67CD">
        <w:t>2019</w:t>
      </w:r>
    </w:p>
  </w:footnote>
  <w:footnote w:id="202">
    <w:p w14:paraId="2A13BC3D" w14:textId="77777777" w:rsidR="002A72B1" w:rsidRDefault="002A72B1" w:rsidP="00CD1934">
      <w:pPr>
        <w:pStyle w:val="FootnoteText"/>
      </w:pPr>
      <w:r>
        <w:rPr>
          <w:rStyle w:val="FootnoteReference"/>
        </w:rPr>
        <w:footnoteRef/>
      </w:r>
      <w:r>
        <w:t xml:space="preserve"> ibid</w:t>
      </w:r>
    </w:p>
  </w:footnote>
  <w:footnote w:id="203">
    <w:p w14:paraId="52292D60" w14:textId="5FF786AE" w:rsidR="002A72B1" w:rsidRDefault="002A72B1" w:rsidP="00CD1934">
      <w:pPr>
        <w:pStyle w:val="FootnoteText"/>
      </w:pPr>
      <w:r>
        <w:rPr>
          <w:rStyle w:val="FootnoteReference"/>
        </w:rPr>
        <w:footnoteRef/>
      </w:r>
      <w:r>
        <w:t xml:space="preserve"> </w:t>
      </w:r>
      <w:r w:rsidRPr="00447D5B">
        <w:t>Kao</w:t>
      </w:r>
      <w:r>
        <w:t xml:space="preserve"> and </w:t>
      </w:r>
      <w:r w:rsidRPr="00134D42">
        <w:t>Lust</w:t>
      </w:r>
      <w:r>
        <w:t>,</w:t>
      </w:r>
      <w:r w:rsidRPr="00134D42">
        <w:rPr>
          <w:bCs/>
          <w:iCs/>
        </w:rPr>
        <w:t xml:space="preserve"> E</w:t>
      </w:r>
      <w:r>
        <w:rPr>
          <w:bCs/>
          <w:iCs/>
        </w:rPr>
        <w:t>., 2</w:t>
      </w:r>
      <w:r w:rsidRPr="00134D42">
        <w:rPr>
          <w:bCs/>
          <w:iCs/>
        </w:rPr>
        <w:t>022</w:t>
      </w:r>
    </w:p>
  </w:footnote>
  <w:footnote w:id="204">
    <w:p w14:paraId="10BEA514" w14:textId="35BD5EB8" w:rsidR="002A72B1" w:rsidRDefault="002A72B1" w:rsidP="00CD1934">
      <w:pPr>
        <w:pStyle w:val="FootnoteText"/>
      </w:pPr>
      <w:r>
        <w:rPr>
          <w:rStyle w:val="FootnoteReference"/>
        </w:rPr>
        <w:footnoteRef/>
      </w:r>
      <w:r>
        <w:t xml:space="preserve"> Lust, E.. et al., 2019 </w:t>
      </w:r>
    </w:p>
  </w:footnote>
  <w:footnote w:id="205">
    <w:p w14:paraId="7CCFA4A3" w14:textId="1F8BA5C1" w:rsidR="002A72B1" w:rsidRDefault="002A72B1" w:rsidP="00CD1934">
      <w:pPr>
        <w:pStyle w:val="FootnoteText"/>
      </w:pPr>
      <w:r>
        <w:rPr>
          <w:rStyle w:val="FootnoteReference"/>
        </w:rPr>
        <w:footnoteRef/>
      </w:r>
      <w:r>
        <w:t xml:space="preserve"> Blair and Imai, 2012.</w:t>
      </w:r>
    </w:p>
  </w:footnote>
  <w:footnote w:id="206">
    <w:p w14:paraId="44EC0025" w14:textId="05DAF484" w:rsidR="002A72B1" w:rsidRDefault="002A72B1" w:rsidP="00CD1934">
      <w:pPr>
        <w:pStyle w:val="FootnoteText"/>
      </w:pPr>
      <w:r>
        <w:rPr>
          <w:rStyle w:val="FootnoteReference"/>
        </w:rPr>
        <w:footnoteRef/>
      </w:r>
      <w:r>
        <w:t xml:space="preserve"> </w:t>
      </w:r>
      <w:r w:rsidRPr="00AB46AA">
        <w:t xml:space="preserve">Kramon, </w:t>
      </w:r>
      <w:r>
        <w:t xml:space="preserve">and </w:t>
      </w:r>
      <w:r w:rsidRPr="00AB46AA">
        <w:t xml:space="preserve">Weghorst, </w:t>
      </w:r>
      <w:r>
        <w:t>2</w:t>
      </w:r>
      <w:r w:rsidRPr="00AB46AA">
        <w:t>019</w:t>
      </w:r>
      <w:r>
        <w:t xml:space="preserve"> </w:t>
      </w:r>
    </w:p>
  </w:footnote>
  <w:footnote w:id="207">
    <w:p w14:paraId="2CCE59E5" w14:textId="0483B8D1" w:rsidR="002A72B1" w:rsidRDefault="002A72B1" w:rsidP="00CD1934">
      <w:pPr>
        <w:pStyle w:val="FootnoteText"/>
      </w:pPr>
      <w:r>
        <w:rPr>
          <w:rStyle w:val="FootnoteReference"/>
        </w:rPr>
        <w:footnoteRef/>
      </w:r>
      <w:r>
        <w:t xml:space="preserve"> </w:t>
      </w:r>
      <w:r w:rsidRPr="00EF51EC">
        <w:t>Kao</w:t>
      </w:r>
      <w:r>
        <w:t xml:space="preserve"> and </w:t>
      </w:r>
      <w:r w:rsidRPr="00EF51EC">
        <w:t>Lust,</w:t>
      </w:r>
      <w:r>
        <w:rPr>
          <w:bCs/>
          <w:iCs/>
        </w:rPr>
        <w:t xml:space="preserve"> </w:t>
      </w:r>
      <w:r w:rsidRPr="00EF51EC">
        <w:rPr>
          <w:bCs/>
          <w:iCs/>
        </w:rPr>
        <w:t xml:space="preserve">2022 </w:t>
      </w:r>
    </w:p>
  </w:footnote>
  <w:footnote w:id="208">
    <w:p w14:paraId="035B607D" w14:textId="78451E12" w:rsidR="002A72B1" w:rsidRDefault="002A72B1" w:rsidP="00CD1934">
      <w:pPr>
        <w:pStyle w:val="FootnoteText"/>
      </w:pPr>
      <w:r>
        <w:rPr>
          <w:rStyle w:val="FootnoteReference"/>
        </w:rPr>
        <w:footnoteRef/>
      </w:r>
      <w:r>
        <w:t xml:space="preserve"> </w:t>
      </w:r>
      <w:r w:rsidRPr="00F33611">
        <w:t>Aronow</w:t>
      </w:r>
      <w:r>
        <w:t xml:space="preserve"> et al.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345B8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4AE4592"/>
    <w:multiLevelType w:val="hybridMultilevel"/>
    <w:tmpl w:val="45FE7C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DAD665F"/>
    <w:multiLevelType w:val="multilevel"/>
    <w:tmpl w:val="4E98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F5C3C"/>
    <w:multiLevelType w:val="hybridMultilevel"/>
    <w:tmpl w:val="E998EAE2"/>
    <w:lvl w:ilvl="0" w:tplc="A1E2DE3A">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C073AEE"/>
    <w:multiLevelType w:val="hybridMultilevel"/>
    <w:tmpl w:val="725EF7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D693C80"/>
    <w:multiLevelType w:val="hybridMultilevel"/>
    <w:tmpl w:val="7A22EC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9911EA0"/>
    <w:multiLevelType w:val="hybridMultilevel"/>
    <w:tmpl w:val="025A9BDA"/>
    <w:lvl w:ilvl="0" w:tplc="64383D96">
      <w:start w:val="17"/>
      <w:numFmt w:val="bullet"/>
      <w:lvlText w:val="-"/>
      <w:lvlJc w:val="left"/>
      <w:pPr>
        <w:ind w:left="720" w:hanging="36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DA22E0E"/>
    <w:multiLevelType w:val="multilevel"/>
    <w:tmpl w:val="35B0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F03F6A"/>
    <w:multiLevelType w:val="multilevel"/>
    <w:tmpl w:val="21D8B0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2"/>
  </w:num>
  <w:num w:numId="18">
    <w:abstractNumId w:val="15"/>
  </w:num>
  <w:num w:numId="19">
    <w:abstractNumId w:val="14"/>
  </w:num>
  <w:num w:numId="20">
    <w:abstractNumId w:val="16"/>
  </w:num>
  <w:num w:numId="21">
    <w:abstractNumId w:val="13"/>
  </w:num>
  <w:num w:numId="22">
    <w:abstractNumId w:val="1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77"/>
    <w:rsid w:val="000006A0"/>
    <w:rsid w:val="00000960"/>
    <w:rsid w:val="00003EA2"/>
    <w:rsid w:val="00004B76"/>
    <w:rsid w:val="00004D5B"/>
    <w:rsid w:val="000120C8"/>
    <w:rsid w:val="0001360D"/>
    <w:rsid w:val="00013CC9"/>
    <w:rsid w:val="000158DA"/>
    <w:rsid w:val="000166E3"/>
    <w:rsid w:val="00021E15"/>
    <w:rsid w:val="000243EA"/>
    <w:rsid w:val="000249B1"/>
    <w:rsid w:val="00025CB7"/>
    <w:rsid w:val="00027201"/>
    <w:rsid w:val="000337BA"/>
    <w:rsid w:val="000349FD"/>
    <w:rsid w:val="00035447"/>
    <w:rsid w:val="000359B6"/>
    <w:rsid w:val="00036018"/>
    <w:rsid w:val="00036ADB"/>
    <w:rsid w:val="00040220"/>
    <w:rsid w:val="00052AD2"/>
    <w:rsid w:val="00052B02"/>
    <w:rsid w:val="00052F23"/>
    <w:rsid w:val="00053B64"/>
    <w:rsid w:val="00054357"/>
    <w:rsid w:val="000544F6"/>
    <w:rsid w:val="00055429"/>
    <w:rsid w:val="00056B13"/>
    <w:rsid w:val="0005764F"/>
    <w:rsid w:val="00060DD0"/>
    <w:rsid w:val="00061079"/>
    <w:rsid w:val="00064ECA"/>
    <w:rsid w:val="00071414"/>
    <w:rsid w:val="000741F9"/>
    <w:rsid w:val="00074DAE"/>
    <w:rsid w:val="00074E31"/>
    <w:rsid w:val="00075D9E"/>
    <w:rsid w:val="00077C33"/>
    <w:rsid w:val="0008053F"/>
    <w:rsid w:val="000836F3"/>
    <w:rsid w:val="000861F0"/>
    <w:rsid w:val="00090F97"/>
    <w:rsid w:val="00091332"/>
    <w:rsid w:val="00091EEB"/>
    <w:rsid w:val="000927A2"/>
    <w:rsid w:val="0009413C"/>
    <w:rsid w:val="00094491"/>
    <w:rsid w:val="00096CE0"/>
    <w:rsid w:val="000973CA"/>
    <w:rsid w:val="0009778C"/>
    <w:rsid w:val="000A0388"/>
    <w:rsid w:val="000A1C0A"/>
    <w:rsid w:val="000A2251"/>
    <w:rsid w:val="000A524C"/>
    <w:rsid w:val="000A524D"/>
    <w:rsid w:val="000B0FA0"/>
    <w:rsid w:val="000B1533"/>
    <w:rsid w:val="000B1A01"/>
    <w:rsid w:val="000B27C6"/>
    <w:rsid w:val="000B452A"/>
    <w:rsid w:val="000B6716"/>
    <w:rsid w:val="000B73F9"/>
    <w:rsid w:val="000C0273"/>
    <w:rsid w:val="000C6278"/>
    <w:rsid w:val="000C711E"/>
    <w:rsid w:val="000D33CC"/>
    <w:rsid w:val="000D4EC8"/>
    <w:rsid w:val="000D5CA8"/>
    <w:rsid w:val="000D63C0"/>
    <w:rsid w:val="000D77CF"/>
    <w:rsid w:val="000D7DCA"/>
    <w:rsid w:val="000E090F"/>
    <w:rsid w:val="000F02A2"/>
    <w:rsid w:val="000F1169"/>
    <w:rsid w:val="00100774"/>
    <w:rsid w:val="00100785"/>
    <w:rsid w:val="001025F5"/>
    <w:rsid w:val="00104286"/>
    <w:rsid w:val="00104D23"/>
    <w:rsid w:val="00105A91"/>
    <w:rsid w:val="00107873"/>
    <w:rsid w:val="00107A7F"/>
    <w:rsid w:val="00110FED"/>
    <w:rsid w:val="00113163"/>
    <w:rsid w:val="0011785A"/>
    <w:rsid w:val="00120015"/>
    <w:rsid w:val="00120623"/>
    <w:rsid w:val="001206AF"/>
    <w:rsid w:val="00120D1D"/>
    <w:rsid w:val="00121B22"/>
    <w:rsid w:val="001225F2"/>
    <w:rsid w:val="00124C36"/>
    <w:rsid w:val="00125BF8"/>
    <w:rsid w:val="001266F5"/>
    <w:rsid w:val="00127B53"/>
    <w:rsid w:val="001319FC"/>
    <w:rsid w:val="00133117"/>
    <w:rsid w:val="00133BA5"/>
    <w:rsid w:val="00137937"/>
    <w:rsid w:val="0014003E"/>
    <w:rsid w:val="0014100F"/>
    <w:rsid w:val="00142D3B"/>
    <w:rsid w:val="0014337E"/>
    <w:rsid w:val="0014549B"/>
    <w:rsid w:val="00146472"/>
    <w:rsid w:val="0014656F"/>
    <w:rsid w:val="00150C17"/>
    <w:rsid w:val="0015161A"/>
    <w:rsid w:val="00153F6B"/>
    <w:rsid w:val="001555D7"/>
    <w:rsid w:val="00160110"/>
    <w:rsid w:val="00161D24"/>
    <w:rsid w:val="00161FD4"/>
    <w:rsid w:val="0016286D"/>
    <w:rsid w:val="0016757C"/>
    <w:rsid w:val="0017159D"/>
    <w:rsid w:val="00172858"/>
    <w:rsid w:val="00174704"/>
    <w:rsid w:val="00175B61"/>
    <w:rsid w:val="0017676C"/>
    <w:rsid w:val="00177719"/>
    <w:rsid w:val="00180F11"/>
    <w:rsid w:val="00181FE6"/>
    <w:rsid w:val="00182301"/>
    <w:rsid w:val="00182726"/>
    <w:rsid w:val="001852B8"/>
    <w:rsid w:val="00190111"/>
    <w:rsid w:val="00190688"/>
    <w:rsid w:val="00190896"/>
    <w:rsid w:val="00191417"/>
    <w:rsid w:val="00193F58"/>
    <w:rsid w:val="00197CCC"/>
    <w:rsid w:val="001A0D2B"/>
    <w:rsid w:val="001A481A"/>
    <w:rsid w:val="001A7925"/>
    <w:rsid w:val="001A7B78"/>
    <w:rsid w:val="001B1530"/>
    <w:rsid w:val="001B171D"/>
    <w:rsid w:val="001B1AB4"/>
    <w:rsid w:val="001B381B"/>
    <w:rsid w:val="001B3E75"/>
    <w:rsid w:val="001B4AD2"/>
    <w:rsid w:val="001B7E3B"/>
    <w:rsid w:val="001C1C43"/>
    <w:rsid w:val="001C222F"/>
    <w:rsid w:val="001C24F6"/>
    <w:rsid w:val="001C2795"/>
    <w:rsid w:val="001C4588"/>
    <w:rsid w:val="001C72B5"/>
    <w:rsid w:val="001D3BFC"/>
    <w:rsid w:val="001D420F"/>
    <w:rsid w:val="001D565C"/>
    <w:rsid w:val="001D7CE4"/>
    <w:rsid w:val="001E2C3E"/>
    <w:rsid w:val="001E2F96"/>
    <w:rsid w:val="001E41B2"/>
    <w:rsid w:val="001E4762"/>
    <w:rsid w:val="001E5F13"/>
    <w:rsid w:val="001E5F94"/>
    <w:rsid w:val="001E6F04"/>
    <w:rsid w:val="001E7AD8"/>
    <w:rsid w:val="001E7B96"/>
    <w:rsid w:val="001F0621"/>
    <w:rsid w:val="001F1427"/>
    <w:rsid w:val="001F25D3"/>
    <w:rsid w:val="001F43BA"/>
    <w:rsid w:val="001F5C98"/>
    <w:rsid w:val="002015C2"/>
    <w:rsid w:val="00202835"/>
    <w:rsid w:val="00205746"/>
    <w:rsid w:val="00206723"/>
    <w:rsid w:val="00206D6F"/>
    <w:rsid w:val="002127FF"/>
    <w:rsid w:val="0021776A"/>
    <w:rsid w:val="00220757"/>
    <w:rsid w:val="00223124"/>
    <w:rsid w:val="00224548"/>
    <w:rsid w:val="00224A03"/>
    <w:rsid w:val="00225E5A"/>
    <w:rsid w:val="00226527"/>
    <w:rsid w:val="0023121D"/>
    <w:rsid w:val="0023138D"/>
    <w:rsid w:val="00235206"/>
    <w:rsid w:val="00237723"/>
    <w:rsid w:val="00241130"/>
    <w:rsid w:val="00241CA6"/>
    <w:rsid w:val="00242FC3"/>
    <w:rsid w:val="0024502A"/>
    <w:rsid w:val="0024713B"/>
    <w:rsid w:val="0024753C"/>
    <w:rsid w:val="002513CB"/>
    <w:rsid w:val="00254848"/>
    <w:rsid w:val="00256A36"/>
    <w:rsid w:val="00257ED6"/>
    <w:rsid w:val="002607BF"/>
    <w:rsid w:val="00261A73"/>
    <w:rsid w:val="002636C3"/>
    <w:rsid w:val="002643DB"/>
    <w:rsid w:val="002647EC"/>
    <w:rsid w:val="002665EF"/>
    <w:rsid w:val="00271587"/>
    <w:rsid w:val="00274E99"/>
    <w:rsid w:val="002756BB"/>
    <w:rsid w:val="002765F5"/>
    <w:rsid w:val="00283798"/>
    <w:rsid w:val="00285D11"/>
    <w:rsid w:val="00287368"/>
    <w:rsid w:val="00287B8E"/>
    <w:rsid w:val="0029182C"/>
    <w:rsid w:val="00292160"/>
    <w:rsid w:val="00294369"/>
    <w:rsid w:val="002949C8"/>
    <w:rsid w:val="00296083"/>
    <w:rsid w:val="002964FD"/>
    <w:rsid w:val="00296983"/>
    <w:rsid w:val="002969F4"/>
    <w:rsid w:val="00296E2F"/>
    <w:rsid w:val="00296FC6"/>
    <w:rsid w:val="002979D8"/>
    <w:rsid w:val="002A0EF7"/>
    <w:rsid w:val="002A255E"/>
    <w:rsid w:val="002A2E8D"/>
    <w:rsid w:val="002A55BA"/>
    <w:rsid w:val="002A72B1"/>
    <w:rsid w:val="002B0F92"/>
    <w:rsid w:val="002B2B7E"/>
    <w:rsid w:val="002B431A"/>
    <w:rsid w:val="002B4C68"/>
    <w:rsid w:val="002B6CB1"/>
    <w:rsid w:val="002B763D"/>
    <w:rsid w:val="002C1CB0"/>
    <w:rsid w:val="002C23A1"/>
    <w:rsid w:val="002C27FD"/>
    <w:rsid w:val="002C4AF0"/>
    <w:rsid w:val="002C73E8"/>
    <w:rsid w:val="002D2EDE"/>
    <w:rsid w:val="002D316E"/>
    <w:rsid w:val="002D49DB"/>
    <w:rsid w:val="002D4AD6"/>
    <w:rsid w:val="002D5530"/>
    <w:rsid w:val="002D575C"/>
    <w:rsid w:val="002D5861"/>
    <w:rsid w:val="002D601B"/>
    <w:rsid w:val="002D61BD"/>
    <w:rsid w:val="002D7BEB"/>
    <w:rsid w:val="002D7D6C"/>
    <w:rsid w:val="002E0E9C"/>
    <w:rsid w:val="002E176C"/>
    <w:rsid w:val="002E1F31"/>
    <w:rsid w:val="002E2277"/>
    <w:rsid w:val="002E2C33"/>
    <w:rsid w:val="002E3413"/>
    <w:rsid w:val="002E4273"/>
    <w:rsid w:val="002E6333"/>
    <w:rsid w:val="002E672F"/>
    <w:rsid w:val="002E7DAA"/>
    <w:rsid w:val="002F4480"/>
    <w:rsid w:val="002F6FC7"/>
    <w:rsid w:val="0030057B"/>
    <w:rsid w:val="0030099A"/>
    <w:rsid w:val="00300F0B"/>
    <w:rsid w:val="00301DF1"/>
    <w:rsid w:val="00304D87"/>
    <w:rsid w:val="00311D6C"/>
    <w:rsid w:val="00316961"/>
    <w:rsid w:val="0031791B"/>
    <w:rsid w:val="00321EE2"/>
    <w:rsid w:val="003233E3"/>
    <w:rsid w:val="00323BAB"/>
    <w:rsid w:val="00325486"/>
    <w:rsid w:val="00325D64"/>
    <w:rsid w:val="003334C3"/>
    <w:rsid w:val="00333E24"/>
    <w:rsid w:val="003342B4"/>
    <w:rsid w:val="003347DC"/>
    <w:rsid w:val="00335695"/>
    <w:rsid w:val="00336410"/>
    <w:rsid w:val="00341BEC"/>
    <w:rsid w:val="00341E9B"/>
    <w:rsid w:val="003460ED"/>
    <w:rsid w:val="00346BE2"/>
    <w:rsid w:val="003476BE"/>
    <w:rsid w:val="00351DEC"/>
    <w:rsid w:val="00353AAC"/>
    <w:rsid w:val="00353C5F"/>
    <w:rsid w:val="003569AA"/>
    <w:rsid w:val="00356ADF"/>
    <w:rsid w:val="00356CBB"/>
    <w:rsid w:val="00357BC7"/>
    <w:rsid w:val="00364557"/>
    <w:rsid w:val="00365D88"/>
    <w:rsid w:val="0036617B"/>
    <w:rsid w:val="00366652"/>
    <w:rsid w:val="0037511A"/>
    <w:rsid w:val="00376466"/>
    <w:rsid w:val="00377B61"/>
    <w:rsid w:val="003805F3"/>
    <w:rsid w:val="00385194"/>
    <w:rsid w:val="00385E3C"/>
    <w:rsid w:val="00386585"/>
    <w:rsid w:val="00386F06"/>
    <w:rsid w:val="003905C4"/>
    <w:rsid w:val="00391FAE"/>
    <w:rsid w:val="00396AE3"/>
    <w:rsid w:val="003978AE"/>
    <w:rsid w:val="003A0D48"/>
    <w:rsid w:val="003A0FF0"/>
    <w:rsid w:val="003A24B0"/>
    <w:rsid w:val="003A4019"/>
    <w:rsid w:val="003A4461"/>
    <w:rsid w:val="003A44C8"/>
    <w:rsid w:val="003A501D"/>
    <w:rsid w:val="003A5720"/>
    <w:rsid w:val="003B0CA7"/>
    <w:rsid w:val="003B10EC"/>
    <w:rsid w:val="003B2B05"/>
    <w:rsid w:val="003B39D9"/>
    <w:rsid w:val="003B6906"/>
    <w:rsid w:val="003B6C2B"/>
    <w:rsid w:val="003C20D2"/>
    <w:rsid w:val="003C3C0E"/>
    <w:rsid w:val="003C49C2"/>
    <w:rsid w:val="003C5226"/>
    <w:rsid w:val="003C5B7B"/>
    <w:rsid w:val="003C7FE4"/>
    <w:rsid w:val="003D11ED"/>
    <w:rsid w:val="003D4974"/>
    <w:rsid w:val="003E0B2D"/>
    <w:rsid w:val="003E3B14"/>
    <w:rsid w:val="003E4200"/>
    <w:rsid w:val="003E45F8"/>
    <w:rsid w:val="003E62DE"/>
    <w:rsid w:val="003E65C6"/>
    <w:rsid w:val="003F0C2F"/>
    <w:rsid w:val="003F2557"/>
    <w:rsid w:val="003F2BDD"/>
    <w:rsid w:val="003F4B0E"/>
    <w:rsid w:val="003F639D"/>
    <w:rsid w:val="004005B1"/>
    <w:rsid w:val="0040063E"/>
    <w:rsid w:val="004008AC"/>
    <w:rsid w:val="0040226F"/>
    <w:rsid w:val="004047EC"/>
    <w:rsid w:val="00404BAF"/>
    <w:rsid w:val="0040576A"/>
    <w:rsid w:val="00410014"/>
    <w:rsid w:val="004111F7"/>
    <w:rsid w:val="0041332E"/>
    <w:rsid w:val="0041655C"/>
    <w:rsid w:val="00421C2E"/>
    <w:rsid w:val="00423EA6"/>
    <w:rsid w:val="004243E6"/>
    <w:rsid w:val="00425F77"/>
    <w:rsid w:val="004264FD"/>
    <w:rsid w:val="00427A04"/>
    <w:rsid w:val="00427BDD"/>
    <w:rsid w:val="00430377"/>
    <w:rsid w:val="00431146"/>
    <w:rsid w:val="00431737"/>
    <w:rsid w:val="004336B5"/>
    <w:rsid w:val="00436B29"/>
    <w:rsid w:val="0043745E"/>
    <w:rsid w:val="00443669"/>
    <w:rsid w:val="00444459"/>
    <w:rsid w:val="00447039"/>
    <w:rsid w:val="0045018C"/>
    <w:rsid w:val="0045163C"/>
    <w:rsid w:val="00451AFD"/>
    <w:rsid w:val="00455079"/>
    <w:rsid w:val="00456B8D"/>
    <w:rsid w:val="004606D1"/>
    <w:rsid w:val="00461652"/>
    <w:rsid w:val="00463455"/>
    <w:rsid w:val="00465B17"/>
    <w:rsid w:val="0046636C"/>
    <w:rsid w:val="00467687"/>
    <w:rsid w:val="00471D5C"/>
    <w:rsid w:val="0047417B"/>
    <w:rsid w:val="0047494E"/>
    <w:rsid w:val="00475726"/>
    <w:rsid w:val="00481260"/>
    <w:rsid w:val="00481BCC"/>
    <w:rsid w:val="004843DA"/>
    <w:rsid w:val="004854C1"/>
    <w:rsid w:val="004856CB"/>
    <w:rsid w:val="00486976"/>
    <w:rsid w:val="00486F5B"/>
    <w:rsid w:val="004872C7"/>
    <w:rsid w:val="004911D2"/>
    <w:rsid w:val="004925C3"/>
    <w:rsid w:val="00492DAC"/>
    <w:rsid w:val="004932DA"/>
    <w:rsid w:val="004934C9"/>
    <w:rsid w:val="00493C0C"/>
    <w:rsid w:val="00493E82"/>
    <w:rsid w:val="004949A4"/>
    <w:rsid w:val="00495FFA"/>
    <w:rsid w:val="00496CEC"/>
    <w:rsid w:val="004971B0"/>
    <w:rsid w:val="004976A6"/>
    <w:rsid w:val="00497AE7"/>
    <w:rsid w:val="004A375F"/>
    <w:rsid w:val="004A521A"/>
    <w:rsid w:val="004A52D5"/>
    <w:rsid w:val="004B1042"/>
    <w:rsid w:val="004B220C"/>
    <w:rsid w:val="004B224C"/>
    <w:rsid w:val="004B2D43"/>
    <w:rsid w:val="004B2E44"/>
    <w:rsid w:val="004B4913"/>
    <w:rsid w:val="004B6283"/>
    <w:rsid w:val="004B6CFE"/>
    <w:rsid w:val="004C12E2"/>
    <w:rsid w:val="004C1875"/>
    <w:rsid w:val="004C5836"/>
    <w:rsid w:val="004C6BD7"/>
    <w:rsid w:val="004D2A6D"/>
    <w:rsid w:val="004D2AE4"/>
    <w:rsid w:val="004D3F12"/>
    <w:rsid w:val="004D7BB5"/>
    <w:rsid w:val="004E0995"/>
    <w:rsid w:val="004E1788"/>
    <w:rsid w:val="004E3510"/>
    <w:rsid w:val="004E516B"/>
    <w:rsid w:val="004E668D"/>
    <w:rsid w:val="004E6D8E"/>
    <w:rsid w:val="004F0A92"/>
    <w:rsid w:val="004F0BF6"/>
    <w:rsid w:val="004F228F"/>
    <w:rsid w:val="004F40A4"/>
    <w:rsid w:val="004F4F43"/>
    <w:rsid w:val="004F583B"/>
    <w:rsid w:val="004F6305"/>
    <w:rsid w:val="004F6CA0"/>
    <w:rsid w:val="00502AFF"/>
    <w:rsid w:val="00506302"/>
    <w:rsid w:val="0050667E"/>
    <w:rsid w:val="00507D90"/>
    <w:rsid w:val="0051021A"/>
    <w:rsid w:val="005105B5"/>
    <w:rsid w:val="005110BF"/>
    <w:rsid w:val="005114FE"/>
    <w:rsid w:val="00513552"/>
    <w:rsid w:val="00521B2E"/>
    <w:rsid w:val="00521D96"/>
    <w:rsid w:val="00523F93"/>
    <w:rsid w:val="00524568"/>
    <w:rsid w:val="005245FA"/>
    <w:rsid w:val="00531FAE"/>
    <w:rsid w:val="00532E60"/>
    <w:rsid w:val="00533E22"/>
    <w:rsid w:val="00534826"/>
    <w:rsid w:val="00541159"/>
    <w:rsid w:val="00541215"/>
    <w:rsid w:val="005521E3"/>
    <w:rsid w:val="005525E4"/>
    <w:rsid w:val="005540D7"/>
    <w:rsid w:val="005542E4"/>
    <w:rsid w:val="00555968"/>
    <w:rsid w:val="00555BD8"/>
    <w:rsid w:val="00560D19"/>
    <w:rsid w:val="00562FFD"/>
    <w:rsid w:val="00563847"/>
    <w:rsid w:val="0057032F"/>
    <w:rsid w:val="005739FB"/>
    <w:rsid w:val="00584CE2"/>
    <w:rsid w:val="00585F6E"/>
    <w:rsid w:val="00586545"/>
    <w:rsid w:val="00587155"/>
    <w:rsid w:val="005901DF"/>
    <w:rsid w:val="0059535F"/>
    <w:rsid w:val="005A0447"/>
    <w:rsid w:val="005A0A82"/>
    <w:rsid w:val="005A2379"/>
    <w:rsid w:val="005A41EA"/>
    <w:rsid w:val="005A6E8B"/>
    <w:rsid w:val="005A7F06"/>
    <w:rsid w:val="005B4AF8"/>
    <w:rsid w:val="005B55D1"/>
    <w:rsid w:val="005B687E"/>
    <w:rsid w:val="005C255C"/>
    <w:rsid w:val="005C2944"/>
    <w:rsid w:val="005C2968"/>
    <w:rsid w:val="005C2CB1"/>
    <w:rsid w:val="005C58A2"/>
    <w:rsid w:val="005D11BE"/>
    <w:rsid w:val="005D1A6E"/>
    <w:rsid w:val="005D6DCD"/>
    <w:rsid w:val="005E1FCB"/>
    <w:rsid w:val="005E4001"/>
    <w:rsid w:val="005E43FB"/>
    <w:rsid w:val="005E4926"/>
    <w:rsid w:val="005E592D"/>
    <w:rsid w:val="005E5EAC"/>
    <w:rsid w:val="005F0EC0"/>
    <w:rsid w:val="005F11CD"/>
    <w:rsid w:val="005F6E0F"/>
    <w:rsid w:val="005F74AA"/>
    <w:rsid w:val="005F7996"/>
    <w:rsid w:val="005F7D4B"/>
    <w:rsid w:val="006004D6"/>
    <w:rsid w:val="00601642"/>
    <w:rsid w:val="006040A5"/>
    <w:rsid w:val="00604E9E"/>
    <w:rsid w:val="0060506D"/>
    <w:rsid w:val="00606F84"/>
    <w:rsid w:val="0060713F"/>
    <w:rsid w:val="00612ABD"/>
    <w:rsid w:val="00616330"/>
    <w:rsid w:val="00617596"/>
    <w:rsid w:val="0062101A"/>
    <w:rsid w:val="006227ED"/>
    <w:rsid w:val="006254FE"/>
    <w:rsid w:val="00625E03"/>
    <w:rsid w:val="00626D70"/>
    <w:rsid w:val="0063033F"/>
    <w:rsid w:val="006318B7"/>
    <w:rsid w:val="00631BA2"/>
    <w:rsid w:val="006349ED"/>
    <w:rsid w:val="00643A00"/>
    <w:rsid w:val="00645197"/>
    <w:rsid w:val="006452F1"/>
    <w:rsid w:val="00645AC8"/>
    <w:rsid w:val="006462F1"/>
    <w:rsid w:val="00656C9D"/>
    <w:rsid w:val="00657032"/>
    <w:rsid w:val="006572C7"/>
    <w:rsid w:val="0066187C"/>
    <w:rsid w:val="00661F05"/>
    <w:rsid w:val="00661F43"/>
    <w:rsid w:val="006643F7"/>
    <w:rsid w:val="006648A0"/>
    <w:rsid w:val="00664A4B"/>
    <w:rsid w:val="00664FF7"/>
    <w:rsid w:val="0066661B"/>
    <w:rsid w:val="0067065D"/>
    <w:rsid w:val="00670DF8"/>
    <w:rsid w:val="00672511"/>
    <w:rsid w:val="00673385"/>
    <w:rsid w:val="006774CA"/>
    <w:rsid w:val="006778B9"/>
    <w:rsid w:val="00677E72"/>
    <w:rsid w:val="0068047C"/>
    <w:rsid w:val="006806D5"/>
    <w:rsid w:val="00680DF9"/>
    <w:rsid w:val="00681432"/>
    <w:rsid w:val="00683189"/>
    <w:rsid w:val="006865CC"/>
    <w:rsid w:val="00694AE6"/>
    <w:rsid w:val="006950BF"/>
    <w:rsid w:val="0069553A"/>
    <w:rsid w:val="0069756B"/>
    <w:rsid w:val="006A412B"/>
    <w:rsid w:val="006A4F5B"/>
    <w:rsid w:val="006A55BB"/>
    <w:rsid w:val="006A5A6B"/>
    <w:rsid w:val="006A7DED"/>
    <w:rsid w:val="006B110A"/>
    <w:rsid w:val="006B4B72"/>
    <w:rsid w:val="006C17BA"/>
    <w:rsid w:val="006C2568"/>
    <w:rsid w:val="006C2F85"/>
    <w:rsid w:val="006C5A3D"/>
    <w:rsid w:val="006D0966"/>
    <w:rsid w:val="006D0AE4"/>
    <w:rsid w:val="006D16FC"/>
    <w:rsid w:val="006D21CC"/>
    <w:rsid w:val="006D4334"/>
    <w:rsid w:val="006D490B"/>
    <w:rsid w:val="006E05CB"/>
    <w:rsid w:val="006E100C"/>
    <w:rsid w:val="006E274C"/>
    <w:rsid w:val="006E5D67"/>
    <w:rsid w:val="006E7B3C"/>
    <w:rsid w:val="006F0226"/>
    <w:rsid w:val="006F02E2"/>
    <w:rsid w:val="006F1165"/>
    <w:rsid w:val="006F34FB"/>
    <w:rsid w:val="006F3C4D"/>
    <w:rsid w:val="006F42DB"/>
    <w:rsid w:val="006F51FB"/>
    <w:rsid w:val="007020D1"/>
    <w:rsid w:val="00702A02"/>
    <w:rsid w:val="00703B66"/>
    <w:rsid w:val="00711800"/>
    <w:rsid w:val="007124A0"/>
    <w:rsid w:val="00715CD0"/>
    <w:rsid w:val="00717D42"/>
    <w:rsid w:val="00721F89"/>
    <w:rsid w:val="00722E91"/>
    <w:rsid w:val="00725E0C"/>
    <w:rsid w:val="00726EBA"/>
    <w:rsid w:val="00727CF9"/>
    <w:rsid w:val="007311AB"/>
    <w:rsid w:val="0073247B"/>
    <w:rsid w:val="0073398A"/>
    <w:rsid w:val="007346A9"/>
    <w:rsid w:val="00740A70"/>
    <w:rsid w:val="00741320"/>
    <w:rsid w:val="00743B67"/>
    <w:rsid w:val="00751574"/>
    <w:rsid w:val="0075199B"/>
    <w:rsid w:val="007524FF"/>
    <w:rsid w:val="00752B32"/>
    <w:rsid w:val="007563ED"/>
    <w:rsid w:val="00757B85"/>
    <w:rsid w:val="00760F05"/>
    <w:rsid w:val="00761D42"/>
    <w:rsid w:val="00763ADC"/>
    <w:rsid w:val="00763E4A"/>
    <w:rsid w:val="007658C9"/>
    <w:rsid w:val="0076696A"/>
    <w:rsid w:val="00767ADB"/>
    <w:rsid w:val="007711A8"/>
    <w:rsid w:val="007715A7"/>
    <w:rsid w:val="0077539B"/>
    <w:rsid w:val="007753D7"/>
    <w:rsid w:val="00776810"/>
    <w:rsid w:val="0077726D"/>
    <w:rsid w:val="00781DEF"/>
    <w:rsid w:val="007825EE"/>
    <w:rsid w:val="00785FEC"/>
    <w:rsid w:val="00786BC2"/>
    <w:rsid w:val="0078732A"/>
    <w:rsid w:val="00793292"/>
    <w:rsid w:val="00794821"/>
    <w:rsid w:val="007956CC"/>
    <w:rsid w:val="00796688"/>
    <w:rsid w:val="007A0057"/>
    <w:rsid w:val="007A078B"/>
    <w:rsid w:val="007A1EB6"/>
    <w:rsid w:val="007A2B74"/>
    <w:rsid w:val="007A2E2B"/>
    <w:rsid w:val="007A4432"/>
    <w:rsid w:val="007A499B"/>
    <w:rsid w:val="007A5793"/>
    <w:rsid w:val="007A78E2"/>
    <w:rsid w:val="007B067C"/>
    <w:rsid w:val="007B278B"/>
    <w:rsid w:val="007B30FB"/>
    <w:rsid w:val="007B36FD"/>
    <w:rsid w:val="007B3BB0"/>
    <w:rsid w:val="007B4F95"/>
    <w:rsid w:val="007B691C"/>
    <w:rsid w:val="007C0281"/>
    <w:rsid w:val="007C077A"/>
    <w:rsid w:val="007C1D90"/>
    <w:rsid w:val="007C2813"/>
    <w:rsid w:val="007C3F99"/>
    <w:rsid w:val="007C7FAA"/>
    <w:rsid w:val="007D7305"/>
    <w:rsid w:val="007E0393"/>
    <w:rsid w:val="007E665D"/>
    <w:rsid w:val="007E76A2"/>
    <w:rsid w:val="007F04DA"/>
    <w:rsid w:val="007F0AA7"/>
    <w:rsid w:val="007F11C2"/>
    <w:rsid w:val="007F2EA5"/>
    <w:rsid w:val="007F634A"/>
    <w:rsid w:val="007F63CB"/>
    <w:rsid w:val="007F7DEA"/>
    <w:rsid w:val="00800735"/>
    <w:rsid w:val="00802945"/>
    <w:rsid w:val="0080417D"/>
    <w:rsid w:val="00810199"/>
    <w:rsid w:val="008134E1"/>
    <w:rsid w:val="0081445F"/>
    <w:rsid w:val="0081778A"/>
    <w:rsid w:val="00817FC5"/>
    <w:rsid w:val="008227EA"/>
    <w:rsid w:val="00823482"/>
    <w:rsid w:val="00825549"/>
    <w:rsid w:val="00825DAA"/>
    <w:rsid w:val="00827A69"/>
    <w:rsid w:val="00827AAF"/>
    <w:rsid w:val="00830244"/>
    <w:rsid w:val="0083025B"/>
    <w:rsid w:val="00831FA1"/>
    <w:rsid w:val="008334D4"/>
    <w:rsid w:val="0083593D"/>
    <w:rsid w:val="008378A9"/>
    <w:rsid w:val="00837D7F"/>
    <w:rsid w:val="00842A52"/>
    <w:rsid w:val="00847863"/>
    <w:rsid w:val="00847BDD"/>
    <w:rsid w:val="00847F22"/>
    <w:rsid w:val="0085146E"/>
    <w:rsid w:val="008561FD"/>
    <w:rsid w:val="008563E1"/>
    <w:rsid w:val="00860F16"/>
    <w:rsid w:val="0086116D"/>
    <w:rsid w:val="00861256"/>
    <w:rsid w:val="00870493"/>
    <w:rsid w:val="00870631"/>
    <w:rsid w:val="008710C9"/>
    <w:rsid w:val="008747E4"/>
    <w:rsid w:val="008760F2"/>
    <w:rsid w:val="00876543"/>
    <w:rsid w:val="0087680D"/>
    <w:rsid w:val="00883E52"/>
    <w:rsid w:val="00894107"/>
    <w:rsid w:val="00894533"/>
    <w:rsid w:val="00894C7E"/>
    <w:rsid w:val="008960EC"/>
    <w:rsid w:val="008A1333"/>
    <w:rsid w:val="008A1342"/>
    <w:rsid w:val="008A5BA2"/>
    <w:rsid w:val="008A5DBE"/>
    <w:rsid w:val="008A6443"/>
    <w:rsid w:val="008B39B5"/>
    <w:rsid w:val="008B43AC"/>
    <w:rsid w:val="008B4DB2"/>
    <w:rsid w:val="008B4ECF"/>
    <w:rsid w:val="008B5923"/>
    <w:rsid w:val="008B672C"/>
    <w:rsid w:val="008B7A52"/>
    <w:rsid w:val="008C1CC9"/>
    <w:rsid w:val="008C575C"/>
    <w:rsid w:val="008D327B"/>
    <w:rsid w:val="008D376D"/>
    <w:rsid w:val="008D69B5"/>
    <w:rsid w:val="008D7A8F"/>
    <w:rsid w:val="008D7CCC"/>
    <w:rsid w:val="008E4432"/>
    <w:rsid w:val="008E56D6"/>
    <w:rsid w:val="008E5CBD"/>
    <w:rsid w:val="008F29EC"/>
    <w:rsid w:val="008F3CE6"/>
    <w:rsid w:val="008F3E4A"/>
    <w:rsid w:val="008F4FE8"/>
    <w:rsid w:val="008F78E2"/>
    <w:rsid w:val="00900405"/>
    <w:rsid w:val="009007E4"/>
    <w:rsid w:val="009023DD"/>
    <w:rsid w:val="00903F53"/>
    <w:rsid w:val="00905AB9"/>
    <w:rsid w:val="00906231"/>
    <w:rsid w:val="00907975"/>
    <w:rsid w:val="009131A4"/>
    <w:rsid w:val="009131FD"/>
    <w:rsid w:val="00913825"/>
    <w:rsid w:val="00914A0A"/>
    <w:rsid w:val="00915E63"/>
    <w:rsid w:val="00916BA3"/>
    <w:rsid w:val="00920DAB"/>
    <w:rsid w:val="00922066"/>
    <w:rsid w:val="00927822"/>
    <w:rsid w:val="009329C7"/>
    <w:rsid w:val="0093481B"/>
    <w:rsid w:val="00942E5B"/>
    <w:rsid w:val="00950AE8"/>
    <w:rsid w:val="00954199"/>
    <w:rsid w:val="00956E86"/>
    <w:rsid w:val="0096142E"/>
    <w:rsid w:val="009629F8"/>
    <w:rsid w:val="00965B24"/>
    <w:rsid w:val="0096667E"/>
    <w:rsid w:val="009743B4"/>
    <w:rsid w:val="00977AF1"/>
    <w:rsid w:val="00980071"/>
    <w:rsid w:val="009805A0"/>
    <w:rsid w:val="00982CF0"/>
    <w:rsid w:val="0098419E"/>
    <w:rsid w:val="00984DD1"/>
    <w:rsid w:val="009866E7"/>
    <w:rsid w:val="00994960"/>
    <w:rsid w:val="00994A04"/>
    <w:rsid w:val="00994C23"/>
    <w:rsid w:val="00995A77"/>
    <w:rsid w:val="00996E7B"/>
    <w:rsid w:val="009A0946"/>
    <w:rsid w:val="009A1635"/>
    <w:rsid w:val="009A28B9"/>
    <w:rsid w:val="009A2D66"/>
    <w:rsid w:val="009A3702"/>
    <w:rsid w:val="009A3744"/>
    <w:rsid w:val="009A39A3"/>
    <w:rsid w:val="009B4A5B"/>
    <w:rsid w:val="009B58EE"/>
    <w:rsid w:val="009B64C5"/>
    <w:rsid w:val="009C294F"/>
    <w:rsid w:val="009C34AD"/>
    <w:rsid w:val="009C3B6A"/>
    <w:rsid w:val="009C3BD7"/>
    <w:rsid w:val="009C4D62"/>
    <w:rsid w:val="009C647E"/>
    <w:rsid w:val="009C66A8"/>
    <w:rsid w:val="009C74FF"/>
    <w:rsid w:val="009D003B"/>
    <w:rsid w:val="009D0E81"/>
    <w:rsid w:val="009D1B75"/>
    <w:rsid w:val="009D1E61"/>
    <w:rsid w:val="009D2BD2"/>
    <w:rsid w:val="009D386F"/>
    <w:rsid w:val="009D6307"/>
    <w:rsid w:val="009E0371"/>
    <w:rsid w:val="009E3020"/>
    <w:rsid w:val="009E38C9"/>
    <w:rsid w:val="009E42D5"/>
    <w:rsid w:val="009E4680"/>
    <w:rsid w:val="009E485D"/>
    <w:rsid w:val="009E4CF2"/>
    <w:rsid w:val="009E5377"/>
    <w:rsid w:val="009F11EC"/>
    <w:rsid w:val="009F1A41"/>
    <w:rsid w:val="009F257B"/>
    <w:rsid w:val="009F4B96"/>
    <w:rsid w:val="009F4BD7"/>
    <w:rsid w:val="009F4EF7"/>
    <w:rsid w:val="009F508F"/>
    <w:rsid w:val="009F66B1"/>
    <w:rsid w:val="00A01038"/>
    <w:rsid w:val="00A010F0"/>
    <w:rsid w:val="00A011BE"/>
    <w:rsid w:val="00A05270"/>
    <w:rsid w:val="00A05C28"/>
    <w:rsid w:val="00A147F3"/>
    <w:rsid w:val="00A14EE3"/>
    <w:rsid w:val="00A17E4A"/>
    <w:rsid w:val="00A22F73"/>
    <w:rsid w:val="00A268FD"/>
    <w:rsid w:val="00A26BF5"/>
    <w:rsid w:val="00A26D5A"/>
    <w:rsid w:val="00A27741"/>
    <w:rsid w:val="00A27EB7"/>
    <w:rsid w:val="00A32BB4"/>
    <w:rsid w:val="00A332EE"/>
    <w:rsid w:val="00A37385"/>
    <w:rsid w:val="00A41639"/>
    <w:rsid w:val="00A513FC"/>
    <w:rsid w:val="00A51D68"/>
    <w:rsid w:val="00A521C3"/>
    <w:rsid w:val="00A52C7C"/>
    <w:rsid w:val="00A56C44"/>
    <w:rsid w:val="00A578BE"/>
    <w:rsid w:val="00A57A51"/>
    <w:rsid w:val="00A617A0"/>
    <w:rsid w:val="00A61E30"/>
    <w:rsid w:val="00A64C99"/>
    <w:rsid w:val="00A71B11"/>
    <w:rsid w:val="00A71F39"/>
    <w:rsid w:val="00A73812"/>
    <w:rsid w:val="00A75CEA"/>
    <w:rsid w:val="00A804F5"/>
    <w:rsid w:val="00A80664"/>
    <w:rsid w:val="00A9083F"/>
    <w:rsid w:val="00A91588"/>
    <w:rsid w:val="00A91A6F"/>
    <w:rsid w:val="00A92639"/>
    <w:rsid w:val="00A963E0"/>
    <w:rsid w:val="00A9790E"/>
    <w:rsid w:val="00AA0737"/>
    <w:rsid w:val="00AA2F43"/>
    <w:rsid w:val="00AA5824"/>
    <w:rsid w:val="00AA71B4"/>
    <w:rsid w:val="00AB4291"/>
    <w:rsid w:val="00AB512A"/>
    <w:rsid w:val="00AB5E94"/>
    <w:rsid w:val="00AB7509"/>
    <w:rsid w:val="00AB7525"/>
    <w:rsid w:val="00AB7898"/>
    <w:rsid w:val="00AB7DB8"/>
    <w:rsid w:val="00AC1C32"/>
    <w:rsid w:val="00AC4994"/>
    <w:rsid w:val="00AC5849"/>
    <w:rsid w:val="00AD4AC2"/>
    <w:rsid w:val="00AD5EB1"/>
    <w:rsid w:val="00AD6626"/>
    <w:rsid w:val="00AD78BD"/>
    <w:rsid w:val="00AE1230"/>
    <w:rsid w:val="00AE1540"/>
    <w:rsid w:val="00AE1B60"/>
    <w:rsid w:val="00AE49C8"/>
    <w:rsid w:val="00AE5E10"/>
    <w:rsid w:val="00AF0C1B"/>
    <w:rsid w:val="00AF0E3C"/>
    <w:rsid w:val="00AF2065"/>
    <w:rsid w:val="00AF2BE3"/>
    <w:rsid w:val="00AF2E8F"/>
    <w:rsid w:val="00AF6092"/>
    <w:rsid w:val="00B00D6B"/>
    <w:rsid w:val="00B01DDB"/>
    <w:rsid w:val="00B0572F"/>
    <w:rsid w:val="00B06721"/>
    <w:rsid w:val="00B06CB9"/>
    <w:rsid w:val="00B07E1E"/>
    <w:rsid w:val="00B10913"/>
    <w:rsid w:val="00B1177E"/>
    <w:rsid w:val="00B11D8E"/>
    <w:rsid w:val="00B14618"/>
    <w:rsid w:val="00B14CD4"/>
    <w:rsid w:val="00B15C79"/>
    <w:rsid w:val="00B15E6C"/>
    <w:rsid w:val="00B16450"/>
    <w:rsid w:val="00B22F21"/>
    <w:rsid w:val="00B26A5E"/>
    <w:rsid w:val="00B27201"/>
    <w:rsid w:val="00B30137"/>
    <w:rsid w:val="00B32EDF"/>
    <w:rsid w:val="00B34F28"/>
    <w:rsid w:val="00B4116A"/>
    <w:rsid w:val="00B41EFD"/>
    <w:rsid w:val="00B431F4"/>
    <w:rsid w:val="00B44E36"/>
    <w:rsid w:val="00B50D2D"/>
    <w:rsid w:val="00B53681"/>
    <w:rsid w:val="00B542A7"/>
    <w:rsid w:val="00B55F78"/>
    <w:rsid w:val="00B57CA4"/>
    <w:rsid w:val="00B638EC"/>
    <w:rsid w:val="00B639AA"/>
    <w:rsid w:val="00B651DE"/>
    <w:rsid w:val="00B65463"/>
    <w:rsid w:val="00B65DB1"/>
    <w:rsid w:val="00B66194"/>
    <w:rsid w:val="00B66AA7"/>
    <w:rsid w:val="00B66B2A"/>
    <w:rsid w:val="00B7019C"/>
    <w:rsid w:val="00B76547"/>
    <w:rsid w:val="00B81045"/>
    <w:rsid w:val="00B821C8"/>
    <w:rsid w:val="00B82A05"/>
    <w:rsid w:val="00B866BD"/>
    <w:rsid w:val="00B90F88"/>
    <w:rsid w:val="00B912D8"/>
    <w:rsid w:val="00B91A67"/>
    <w:rsid w:val="00B91DE0"/>
    <w:rsid w:val="00B95657"/>
    <w:rsid w:val="00B95DF8"/>
    <w:rsid w:val="00B97ED1"/>
    <w:rsid w:val="00BA0C32"/>
    <w:rsid w:val="00BA1C93"/>
    <w:rsid w:val="00BA2579"/>
    <w:rsid w:val="00BA2B86"/>
    <w:rsid w:val="00BA2F93"/>
    <w:rsid w:val="00BA3BB4"/>
    <w:rsid w:val="00BA4A77"/>
    <w:rsid w:val="00BA5263"/>
    <w:rsid w:val="00BA5A4B"/>
    <w:rsid w:val="00BA6462"/>
    <w:rsid w:val="00BA796F"/>
    <w:rsid w:val="00BB2CEC"/>
    <w:rsid w:val="00BB2E9A"/>
    <w:rsid w:val="00BB3F24"/>
    <w:rsid w:val="00BB579A"/>
    <w:rsid w:val="00BC0372"/>
    <w:rsid w:val="00BC0529"/>
    <w:rsid w:val="00BC0D69"/>
    <w:rsid w:val="00BC158C"/>
    <w:rsid w:val="00BC30F8"/>
    <w:rsid w:val="00BC315A"/>
    <w:rsid w:val="00BC4BAC"/>
    <w:rsid w:val="00BC6485"/>
    <w:rsid w:val="00BC668D"/>
    <w:rsid w:val="00BC7277"/>
    <w:rsid w:val="00BC74C2"/>
    <w:rsid w:val="00BC7EB4"/>
    <w:rsid w:val="00BD3D29"/>
    <w:rsid w:val="00BD4E34"/>
    <w:rsid w:val="00BD7E1D"/>
    <w:rsid w:val="00BE0453"/>
    <w:rsid w:val="00BE3DCC"/>
    <w:rsid w:val="00BE4B9F"/>
    <w:rsid w:val="00BE51F2"/>
    <w:rsid w:val="00BE6660"/>
    <w:rsid w:val="00BE71D1"/>
    <w:rsid w:val="00BE7BDD"/>
    <w:rsid w:val="00BF2D36"/>
    <w:rsid w:val="00BF390A"/>
    <w:rsid w:val="00BF6B3E"/>
    <w:rsid w:val="00C01EC6"/>
    <w:rsid w:val="00C02E90"/>
    <w:rsid w:val="00C03034"/>
    <w:rsid w:val="00C03C39"/>
    <w:rsid w:val="00C13513"/>
    <w:rsid w:val="00C14485"/>
    <w:rsid w:val="00C154AE"/>
    <w:rsid w:val="00C17B81"/>
    <w:rsid w:val="00C17BCA"/>
    <w:rsid w:val="00C2188A"/>
    <w:rsid w:val="00C228ED"/>
    <w:rsid w:val="00C22E32"/>
    <w:rsid w:val="00C23819"/>
    <w:rsid w:val="00C23C76"/>
    <w:rsid w:val="00C24340"/>
    <w:rsid w:val="00C2465C"/>
    <w:rsid w:val="00C2659F"/>
    <w:rsid w:val="00C270D7"/>
    <w:rsid w:val="00C27656"/>
    <w:rsid w:val="00C30292"/>
    <w:rsid w:val="00C30FFA"/>
    <w:rsid w:val="00C31C18"/>
    <w:rsid w:val="00C31E9A"/>
    <w:rsid w:val="00C37040"/>
    <w:rsid w:val="00C425D1"/>
    <w:rsid w:val="00C4550B"/>
    <w:rsid w:val="00C46452"/>
    <w:rsid w:val="00C47C63"/>
    <w:rsid w:val="00C505B2"/>
    <w:rsid w:val="00C50EA5"/>
    <w:rsid w:val="00C52C40"/>
    <w:rsid w:val="00C602A6"/>
    <w:rsid w:val="00C603EF"/>
    <w:rsid w:val="00C61687"/>
    <w:rsid w:val="00C64261"/>
    <w:rsid w:val="00C646C4"/>
    <w:rsid w:val="00C65A3B"/>
    <w:rsid w:val="00C65A5E"/>
    <w:rsid w:val="00C66770"/>
    <w:rsid w:val="00C67105"/>
    <w:rsid w:val="00C7391D"/>
    <w:rsid w:val="00C73E5E"/>
    <w:rsid w:val="00C74378"/>
    <w:rsid w:val="00C755F0"/>
    <w:rsid w:val="00C76982"/>
    <w:rsid w:val="00C8089C"/>
    <w:rsid w:val="00C83D95"/>
    <w:rsid w:val="00C84470"/>
    <w:rsid w:val="00C859A5"/>
    <w:rsid w:val="00C864C8"/>
    <w:rsid w:val="00C867C9"/>
    <w:rsid w:val="00C86E52"/>
    <w:rsid w:val="00C904EE"/>
    <w:rsid w:val="00C9071C"/>
    <w:rsid w:val="00C92146"/>
    <w:rsid w:val="00C92F84"/>
    <w:rsid w:val="00C96203"/>
    <w:rsid w:val="00CA2AC2"/>
    <w:rsid w:val="00CA37B5"/>
    <w:rsid w:val="00CA41B9"/>
    <w:rsid w:val="00CA5167"/>
    <w:rsid w:val="00CA54F6"/>
    <w:rsid w:val="00CA633D"/>
    <w:rsid w:val="00CB2023"/>
    <w:rsid w:val="00CB22B4"/>
    <w:rsid w:val="00CB2CD7"/>
    <w:rsid w:val="00CB3917"/>
    <w:rsid w:val="00CB50EE"/>
    <w:rsid w:val="00CC43BD"/>
    <w:rsid w:val="00CC5ACD"/>
    <w:rsid w:val="00CD00C0"/>
    <w:rsid w:val="00CD0447"/>
    <w:rsid w:val="00CD1934"/>
    <w:rsid w:val="00CD2A6D"/>
    <w:rsid w:val="00CD4830"/>
    <w:rsid w:val="00CD484D"/>
    <w:rsid w:val="00CD5328"/>
    <w:rsid w:val="00CD555E"/>
    <w:rsid w:val="00CD713C"/>
    <w:rsid w:val="00CD7DFA"/>
    <w:rsid w:val="00CE0092"/>
    <w:rsid w:val="00CE0951"/>
    <w:rsid w:val="00CE1EFF"/>
    <w:rsid w:val="00CE6C7A"/>
    <w:rsid w:val="00CF1BD7"/>
    <w:rsid w:val="00CF30CF"/>
    <w:rsid w:val="00CF4639"/>
    <w:rsid w:val="00CF5531"/>
    <w:rsid w:val="00CF56AF"/>
    <w:rsid w:val="00CF5C0F"/>
    <w:rsid w:val="00D00E32"/>
    <w:rsid w:val="00D031B6"/>
    <w:rsid w:val="00D03FF8"/>
    <w:rsid w:val="00D041D2"/>
    <w:rsid w:val="00D0502F"/>
    <w:rsid w:val="00D07A31"/>
    <w:rsid w:val="00D100F6"/>
    <w:rsid w:val="00D1101E"/>
    <w:rsid w:val="00D11717"/>
    <w:rsid w:val="00D12CEF"/>
    <w:rsid w:val="00D17783"/>
    <w:rsid w:val="00D2022B"/>
    <w:rsid w:val="00D212F6"/>
    <w:rsid w:val="00D21960"/>
    <w:rsid w:val="00D228CC"/>
    <w:rsid w:val="00D228F0"/>
    <w:rsid w:val="00D23252"/>
    <w:rsid w:val="00D27E59"/>
    <w:rsid w:val="00D31903"/>
    <w:rsid w:val="00D32798"/>
    <w:rsid w:val="00D34BCD"/>
    <w:rsid w:val="00D3701F"/>
    <w:rsid w:val="00D3780C"/>
    <w:rsid w:val="00D4147F"/>
    <w:rsid w:val="00D42A11"/>
    <w:rsid w:val="00D43D4C"/>
    <w:rsid w:val="00D44726"/>
    <w:rsid w:val="00D450AD"/>
    <w:rsid w:val="00D4515D"/>
    <w:rsid w:val="00D4595D"/>
    <w:rsid w:val="00D47158"/>
    <w:rsid w:val="00D47AB8"/>
    <w:rsid w:val="00D5032A"/>
    <w:rsid w:val="00D51313"/>
    <w:rsid w:val="00D51ABF"/>
    <w:rsid w:val="00D565A4"/>
    <w:rsid w:val="00D57317"/>
    <w:rsid w:val="00D579A1"/>
    <w:rsid w:val="00D602BB"/>
    <w:rsid w:val="00D66D9D"/>
    <w:rsid w:val="00D70522"/>
    <w:rsid w:val="00D7145A"/>
    <w:rsid w:val="00D71A6F"/>
    <w:rsid w:val="00D75091"/>
    <w:rsid w:val="00D762F4"/>
    <w:rsid w:val="00D800F2"/>
    <w:rsid w:val="00D8014D"/>
    <w:rsid w:val="00D80692"/>
    <w:rsid w:val="00D809E0"/>
    <w:rsid w:val="00D80E5A"/>
    <w:rsid w:val="00D841E8"/>
    <w:rsid w:val="00D85ED7"/>
    <w:rsid w:val="00D85F6C"/>
    <w:rsid w:val="00D87A84"/>
    <w:rsid w:val="00D909D9"/>
    <w:rsid w:val="00D95DDC"/>
    <w:rsid w:val="00D96A5C"/>
    <w:rsid w:val="00D979CF"/>
    <w:rsid w:val="00DA1003"/>
    <w:rsid w:val="00DA1427"/>
    <w:rsid w:val="00DA28FB"/>
    <w:rsid w:val="00DA2941"/>
    <w:rsid w:val="00DA3795"/>
    <w:rsid w:val="00DA3FBB"/>
    <w:rsid w:val="00DA4B01"/>
    <w:rsid w:val="00DA5544"/>
    <w:rsid w:val="00DA58B4"/>
    <w:rsid w:val="00DA5970"/>
    <w:rsid w:val="00DA67B9"/>
    <w:rsid w:val="00DA6B3D"/>
    <w:rsid w:val="00DA7916"/>
    <w:rsid w:val="00DB1699"/>
    <w:rsid w:val="00DB4A09"/>
    <w:rsid w:val="00DB4EC7"/>
    <w:rsid w:val="00DB6DB5"/>
    <w:rsid w:val="00DB7367"/>
    <w:rsid w:val="00DC1072"/>
    <w:rsid w:val="00DC716C"/>
    <w:rsid w:val="00DC74CD"/>
    <w:rsid w:val="00DC7F44"/>
    <w:rsid w:val="00DD0576"/>
    <w:rsid w:val="00DD11AB"/>
    <w:rsid w:val="00DD429F"/>
    <w:rsid w:val="00DD5E1D"/>
    <w:rsid w:val="00DD7CBB"/>
    <w:rsid w:val="00DE259B"/>
    <w:rsid w:val="00DE64D7"/>
    <w:rsid w:val="00DE6C8F"/>
    <w:rsid w:val="00DE7624"/>
    <w:rsid w:val="00DE7C19"/>
    <w:rsid w:val="00DF00F3"/>
    <w:rsid w:val="00DF0503"/>
    <w:rsid w:val="00DF0689"/>
    <w:rsid w:val="00DF0BDF"/>
    <w:rsid w:val="00DF4DCF"/>
    <w:rsid w:val="00DF6917"/>
    <w:rsid w:val="00DF6EAC"/>
    <w:rsid w:val="00E02E92"/>
    <w:rsid w:val="00E05525"/>
    <w:rsid w:val="00E12960"/>
    <w:rsid w:val="00E12AF0"/>
    <w:rsid w:val="00E13204"/>
    <w:rsid w:val="00E140D0"/>
    <w:rsid w:val="00E1634A"/>
    <w:rsid w:val="00E17B13"/>
    <w:rsid w:val="00E17EAF"/>
    <w:rsid w:val="00E2071B"/>
    <w:rsid w:val="00E21AEB"/>
    <w:rsid w:val="00E21BA0"/>
    <w:rsid w:val="00E22469"/>
    <w:rsid w:val="00E22646"/>
    <w:rsid w:val="00E2266F"/>
    <w:rsid w:val="00E238B8"/>
    <w:rsid w:val="00E244C1"/>
    <w:rsid w:val="00E26C3A"/>
    <w:rsid w:val="00E30A7A"/>
    <w:rsid w:val="00E31E98"/>
    <w:rsid w:val="00E31F7C"/>
    <w:rsid w:val="00E3254A"/>
    <w:rsid w:val="00E33143"/>
    <w:rsid w:val="00E409A3"/>
    <w:rsid w:val="00E40FD6"/>
    <w:rsid w:val="00E45E64"/>
    <w:rsid w:val="00E479AD"/>
    <w:rsid w:val="00E47AFA"/>
    <w:rsid w:val="00E52461"/>
    <w:rsid w:val="00E5415E"/>
    <w:rsid w:val="00E55BE3"/>
    <w:rsid w:val="00E65639"/>
    <w:rsid w:val="00E65DA9"/>
    <w:rsid w:val="00E67D14"/>
    <w:rsid w:val="00E707B7"/>
    <w:rsid w:val="00E72F44"/>
    <w:rsid w:val="00E74DBC"/>
    <w:rsid w:val="00E75FEF"/>
    <w:rsid w:val="00E803CE"/>
    <w:rsid w:val="00E83BE9"/>
    <w:rsid w:val="00E8570D"/>
    <w:rsid w:val="00E87028"/>
    <w:rsid w:val="00E90A0D"/>
    <w:rsid w:val="00E966C3"/>
    <w:rsid w:val="00E97D6B"/>
    <w:rsid w:val="00EA12CA"/>
    <w:rsid w:val="00EA34BE"/>
    <w:rsid w:val="00EA58C4"/>
    <w:rsid w:val="00EA5E79"/>
    <w:rsid w:val="00EB3745"/>
    <w:rsid w:val="00EB3849"/>
    <w:rsid w:val="00EB43E5"/>
    <w:rsid w:val="00EB4BF5"/>
    <w:rsid w:val="00EB6038"/>
    <w:rsid w:val="00EB607D"/>
    <w:rsid w:val="00EC154B"/>
    <w:rsid w:val="00EC1DBD"/>
    <w:rsid w:val="00EC5129"/>
    <w:rsid w:val="00EC6335"/>
    <w:rsid w:val="00EC64CE"/>
    <w:rsid w:val="00ED013A"/>
    <w:rsid w:val="00ED27E4"/>
    <w:rsid w:val="00ED29FF"/>
    <w:rsid w:val="00ED5773"/>
    <w:rsid w:val="00ED5FBB"/>
    <w:rsid w:val="00ED6256"/>
    <w:rsid w:val="00EE700A"/>
    <w:rsid w:val="00EE7ECB"/>
    <w:rsid w:val="00EF0649"/>
    <w:rsid w:val="00EF0E20"/>
    <w:rsid w:val="00EF56A9"/>
    <w:rsid w:val="00EF593E"/>
    <w:rsid w:val="00F00AD7"/>
    <w:rsid w:val="00F02E31"/>
    <w:rsid w:val="00F05859"/>
    <w:rsid w:val="00F05B7D"/>
    <w:rsid w:val="00F07A9B"/>
    <w:rsid w:val="00F12581"/>
    <w:rsid w:val="00F163C4"/>
    <w:rsid w:val="00F17B24"/>
    <w:rsid w:val="00F22379"/>
    <w:rsid w:val="00F331F8"/>
    <w:rsid w:val="00F335C3"/>
    <w:rsid w:val="00F351D6"/>
    <w:rsid w:val="00F37545"/>
    <w:rsid w:val="00F37CD4"/>
    <w:rsid w:val="00F42136"/>
    <w:rsid w:val="00F4250F"/>
    <w:rsid w:val="00F43F38"/>
    <w:rsid w:val="00F44020"/>
    <w:rsid w:val="00F44830"/>
    <w:rsid w:val="00F44C08"/>
    <w:rsid w:val="00F44D26"/>
    <w:rsid w:val="00F45B93"/>
    <w:rsid w:val="00F52642"/>
    <w:rsid w:val="00F531D9"/>
    <w:rsid w:val="00F53673"/>
    <w:rsid w:val="00F53947"/>
    <w:rsid w:val="00F56A23"/>
    <w:rsid w:val="00F6022D"/>
    <w:rsid w:val="00F60503"/>
    <w:rsid w:val="00F606AB"/>
    <w:rsid w:val="00F60986"/>
    <w:rsid w:val="00F6180B"/>
    <w:rsid w:val="00F620B3"/>
    <w:rsid w:val="00F66121"/>
    <w:rsid w:val="00F66E5D"/>
    <w:rsid w:val="00F70457"/>
    <w:rsid w:val="00F70869"/>
    <w:rsid w:val="00F72665"/>
    <w:rsid w:val="00F746C3"/>
    <w:rsid w:val="00F7781B"/>
    <w:rsid w:val="00F77FA1"/>
    <w:rsid w:val="00F80A91"/>
    <w:rsid w:val="00F8171E"/>
    <w:rsid w:val="00F81E52"/>
    <w:rsid w:val="00F829B2"/>
    <w:rsid w:val="00F83671"/>
    <w:rsid w:val="00F83CF4"/>
    <w:rsid w:val="00F8568C"/>
    <w:rsid w:val="00F85D63"/>
    <w:rsid w:val="00F93478"/>
    <w:rsid w:val="00F9532B"/>
    <w:rsid w:val="00F9537B"/>
    <w:rsid w:val="00F962C9"/>
    <w:rsid w:val="00FA05DA"/>
    <w:rsid w:val="00FA1CE4"/>
    <w:rsid w:val="00FA30E0"/>
    <w:rsid w:val="00FA3602"/>
    <w:rsid w:val="00FA5935"/>
    <w:rsid w:val="00FB09CF"/>
    <w:rsid w:val="00FB1030"/>
    <w:rsid w:val="00FB1536"/>
    <w:rsid w:val="00FB702C"/>
    <w:rsid w:val="00FC282C"/>
    <w:rsid w:val="00FC3B3C"/>
    <w:rsid w:val="00FC5A9A"/>
    <w:rsid w:val="00FD0415"/>
    <w:rsid w:val="00FD2639"/>
    <w:rsid w:val="00FD2950"/>
    <w:rsid w:val="00FD32EA"/>
    <w:rsid w:val="00FD6564"/>
    <w:rsid w:val="00FD66C3"/>
    <w:rsid w:val="00FD6D15"/>
    <w:rsid w:val="00FD7088"/>
    <w:rsid w:val="00FD795A"/>
    <w:rsid w:val="00FE0F3A"/>
    <w:rsid w:val="00FE2F82"/>
    <w:rsid w:val="00FE4A39"/>
    <w:rsid w:val="00FE679D"/>
    <w:rsid w:val="00FF0397"/>
    <w:rsid w:val="00FF0C63"/>
    <w:rsid w:val="00FF157F"/>
    <w:rsid w:val="00FF462C"/>
    <w:rsid w:val="00FF56DF"/>
    <w:rsid w:val="00FF5A1B"/>
    <w:rsid w:val="00FF7BDC"/>
    <w:rsid w:val="00FF7D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979CE2"/>
  <w15:chartTrackingRefBased/>
  <w15:docId w15:val="{82107A6A-EB32-4C8F-B432-3137185A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425F77"/>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6004D6"/>
    <w:rPr>
      <w:sz w:val="16"/>
      <w:szCs w:val="16"/>
    </w:rPr>
  </w:style>
  <w:style w:type="paragraph" w:styleId="CommentSubject">
    <w:name w:val="annotation subject"/>
    <w:basedOn w:val="CommentText"/>
    <w:next w:val="CommentText"/>
    <w:link w:val="CommentSubjectChar"/>
    <w:rsid w:val="006004D6"/>
    <w:rPr>
      <w:rFonts w:ascii="Gill Sans MT" w:hAnsi="Gill Sans MT"/>
      <w:b/>
      <w:bCs/>
      <w:szCs w:val="20"/>
      <w:lang w:val="en-IE"/>
    </w:rPr>
  </w:style>
  <w:style w:type="character" w:customStyle="1" w:styleId="CommentSubjectChar">
    <w:name w:val="Comment Subject Char"/>
    <w:basedOn w:val="CommentTextChar"/>
    <w:link w:val="CommentSubject"/>
    <w:rsid w:val="006004D6"/>
    <w:rPr>
      <w:rFonts w:ascii="Gill Sans MT" w:eastAsia="Times New Roman" w:hAnsi="Gill Sans MT"/>
      <w:b/>
      <w:bCs/>
      <w:szCs w:val="24"/>
      <w:lang w:eastAsia="en-US"/>
    </w:rPr>
  </w:style>
  <w:style w:type="paragraph" w:styleId="BalloonText">
    <w:name w:val="Balloon Text"/>
    <w:basedOn w:val="Normal"/>
    <w:link w:val="BalloonTextChar"/>
    <w:rsid w:val="006004D6"/>
    <w:pPr>
      <w:spacing w:after="0"/>
    </w:pPr>
    <w:rPr>
      <w:rFonts w:ascii="Segoe UI" w:hAnsi="Segoe UI" w:cs="Segoe UI"/>
      <w:sz w:val="18"/>
      <w:szCs w:val="18"/>
    </w:rPr>
  </w:style>
  <w:style w:type="character" w:customStyle="1" w:styleId="BalloonTextChar">
    <w:name w:val="Balloon Text Char"/>
    <w:basedOn w:val="DefaultParagraphFont"/>
    <w:link w:val="BalloonText"/>
    <w:rsid w:val="006004D6"/>
    <w:rPr>
      <w:rFonts w:ascii="Segoe UI" w:eastAsia="Times New Roman" w:hAnsi="Segoe UI" w:cs="Segoe UI"/>
      <w:sz w:val="18"/>
      <w:szCs w:val="18"/>
      <w:lang w:eastAsia="en-US"/>
    </w:rPr>
  </w:style>
  <w:style w:type="paragraph" w:styleId="EndnoteText">
    <w:name w:val="endnote text"/>
    <w:basedOn w:val="Normal"/>
    <w:link w:val="EndnoteTextChar"/>
    <w:rsid w:val="004243E6"/>
    <w:pPr>
      <w:spacing w:after="0"/>
    </w:pPr>
    <w:rPr>
      <w:sz w:val="20"/>
      <w:szCs w:val="20"/>
    </w:rPr>
  </w:style>
  <w:style w:type="character" w:customStyle="1" w:styleId="EndnoteTextChar">
    <w:name w:val="Endnote Text Char"/>
    <w:basedOn w:val="DefaultParagraphFont"/>
    <w:link w:val="EndnoteText"/>
    <w:rsid w:val="004243E6"/>
    <w:rPr>
      <w:rFonts w:ascii="Gill Sans MT" w:eastAsia="Times New Roman" w:hAnsi="Gill Sans MT"/>
      <w:lang w:eastAsia="en-US"/>
    </w:rPr>
  </w:style>
  <w:style w:type="character" w:styleId="EndnoteReference">
    <w:name w:val="endnote reference"/>
    <w:basedOn w:val="DefaultParagraphFont"/>
    <w:rsid w:val="004243E6"/>
    <w:rPr>
      <w:vertAlign w:val="superscript"/>
    </w:rPr>
  </w:style>
  <w:style w:type="table" w:styleId="TableGrid">
    <w:name w:val="Table Grid"/>
    <w:basedOn w:val="TableNormal"/>
    <w:rsid w:val="001B1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85194"/>
    <w:rPr>
      <w:rFonts w:ascii="Gill Sans MT" w:eastAsia="Times New Roman" w:hAnsi="Gill Sans MT"/>
      <w:sz w:val="22"/>
      <w:lang w:eastAsia="en-US"/>
    </w:rPr>
  </w:style>
  <w:style w:type="paragraph" w:styleId="Revision">
    <w:name w:val="Revision"/>
    <w:hidden/>
    <w:uiPriority w:val="99"/>
    <w:semiHidden/>
    <w:rsid w:val="00197CCC"/>
    <w:rPr>
      <w:rFonts w:ascii="Gill Sans MT" w:eastAsia="Times New Roman" w:hAnsi="Gill Sans MT"/>
      <w:sz w:val="26"/>
      <w:szCs w:val="24"/>
      <w:lang w:eastAsia="en-US"/>
    </w:rPr>
  </w:style>
  <w:style w:type="paragraph" w:styleId="TOCHeading">
    <w:name w:val="TOC Heading"/>
    <w:basedOn w:val="Heading1"/>
    <w:next w:val="Normal"/>
    <w:uiPriority w:val="39"/>
    <w:unhideWhenUsed/>
    <w:qFormat/>
    <w:rsid w:val="0040063E"/>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40063E"/>
    <w:pPr>
      <w:spacing w:after="100"/>
      <w:ind w:left="520"/>
    </w:pPr>
  </w:style>
  <w:style w:type="character" w:customStyle="1" w:styleId="UnresolvedMention">
    <w:name w:val="Unresolved Mention"/>
    <w:basedOn w:val="DefaultParagraphFont"/>
    <w:uiPriority w:val="99"/>
    <w:semiHidden/>
    <w:unhideWhenUsed/>
    <w:rsid w:val="00021E15"/>
    <w:rPr>
      <w:color w:val="605E5C"/>
      <w:shd w:val="clear" w:color="auto" w:fill="E1DFDD"/>
    </w:rPr>
  </w:style>
  <w:style w:type="paragraph" w:customStyle="1" w:styleId="dx-doi">
    <w:name w:val="dx-doi"/>
    <w:basedOn w:val="Normal"/>
    <w:rsid w:val="009B4A5B"/>
    <w:pPr>
      <w:spacing w:before="100" w:beforeAutospacing="1" w:after="100" w:afterAutospacing="1"/>
    </w:pPr>
    <w:rPr>
      <w:rFonts w:ascii="Times New Roman" w:hAnsi="Times New Roman"/>
      <w:sz w:val="24"/>
      <w:lang w:eastAsia="en-GB"/>
    </w:rPr>
  </w:style>
  <w:style w:type="character" w:customStyle="1" w:styleId="FooterChar">
    <w:name w:val="Footer Char"/>
    <w:basedOn w:val="DefaultParagraphFont"/>
    <w:link w:val="Footer"/>
    <w:uiPriority w:val="99"/>
    <w:rsid w:val="002A72B1"/>
    <w:rPr>
      <w:rFonts w:ascii="Gill Sans MT" w:eastAsia="Times New Roman" w:hAnsi="Gill Sans MT"/>
      <w:color w:val="3232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87">
      <w:bodyDiv w:val="1"/>
      <w:marLeft w:val="0"/>
      <w:marRight w:val="0"/>
      <w:marTop w:val="0"/>
      <w:marBottom w:val="0"/>
      <w:divBdr>
        <w:top w:val="none" w:sz="0" w:space="0" w:color="auto"/>
        <w:left w:val="none" w:sz="0" w:space="0" w:color="auto"/>
        <w:bottom w:val="none" w:sz="0" w:space="0" w:color="auto"/>
        <w:right w:val="none" w:sz="0" w:space="0" w:color="auto"/>
      </w:divBdr>
    </w:div>
    <w:div w:id="99687070">
      <w:bodyDiv w:val="1"/>
      <w:marLeft w:val="0"/>
      <w:marRight w:val="0"/>
      <w:marTop w:val="0"/>
      <w:marBottom w:val="0"/>
      <w:divBdr>
        <w:top w:val="none" w:sz="0" w:space="0" w:color="auto"/>
        <w:left w:val="none" w:sz="0" w:space="0" w:color="auto"/>
        <w:bottom w:val="none" w:sz="0" w:space="0" w:color="auto"/>
        <w:right w:val="none" w:sz="0" w:space="0" w:color="auto"/>
      </w:divBdr>
    </w:div>
    <w:div w:id="100145268">
      <w:bodyDiv w:val="1"/>
      <w:marLeft w:val="0"/>
      <w:marRight w:val="0"/>
      <w:marTop w:val="0"/>
      <w:marBottom w:val="0"/>
      <w:divBdr>
        <w:top w:val="none" w:sz="0" w:space="0" w:color="auto"/>
        <w:left w:val="none" w:sz="0" w:space="0" w:color="auto"/>
        <w:bottom w:val="none" w:sz="0" w:space="0" w:color="auto"/>
        <w:right w:val="none" w:sz="0" w:space="0" w:color="auto"/>
      </w:divBdr>
    </w:div>
    <w:div w:id="152642961">
      <w:bodyDiv w:val="1"/>
      <w:marLeft w:val="0"/>
      <w:marRight w:val="0"/>
      <w:marTop w:val="0"/>
      <w:marBottom w:val="0"/>
      <w:divBdr>
        <w:top w:val="none" w:sz="0" w:space="0" w:color="auto"/>
        <w:left w:val="none" w:sz="0" w:space="0" w:color="auto"/>
        <w:bottom w:val="none" w:sz="0" w:space="0" w:color="auto"/>
        <w:right w:val="none" w:sz="0" w:space="0" w:color="auto"/>
      </w:divBdr>
    </w:div>
    <w:div w:id="178853175">
      <w:bodyDiv w:val="1"/>
      <w:marLeft w:val="0"/>
      <w:marRight w:val="0"/>
      <w:marTop w:val="0"/>
      <w:marBottom w:val="0"/>
      <w:divBdr>
        <w:top w:val="none" w:sz="0" w:space="0" w:color="auto"/>
        <w:left w:val="none" w:sz="0" w:space="0" w:color="auto"/>
        <w:bottom w:val="none" w:sz="0" w:space="0" w:color="auto"/>
        <w:right w:val="none" w:sz="0" w:space="0" w:color="auto"/>
      </w:divBdr>
    </w:div>
    <w:div w:id="200751294">
      <w:bodyDiv w:val="1"/>
      <w:marLeft w:val="0"/>
      <w:marRight w:val="0"/>
      <w:marTop w:val="0"/>
      <w:marBottom w:val="0"/>
      <w:divBdr>
        <w:top w:val="none" w:sz="0" w:space="0" w:color="auto"/>
        <w:left w:val="none" w:sz="0" w:space="0" w:color="auto"/>
        <w:bottom w:val="none" w:sz="0" w:space="0" w:color="auto"/>
        <w:right w:val="none" w:sz="0" w:space="0" w:color="auto"/>
      </w:divBdr>
    </w:div>
    <w:div w:id="230383641">
      <w:bodyDiv w:val="1"/>
      <w:marLeft w:val="0"/>
      <w:marRight w:val="0"/>
      <w:marTop w:val="0"/>
      <w:marBottom w:val="0"/>
      <w:divBdr>
        <w:top w:val="none" w:sz="0" w:space="0" w:color="auto"/>
        <w:left w:val="none" w:sz="0" w:space="0" w:color="auto"/>
        <w:bottom w:val="none" w:sz="0" w:space="0" w:color="auto"/>
        <w:right w:val="none" w:sz="0" w:space="0" w:color="auto"/>
      </w:divBdr>
    </w:div>
    <w:div w:id="254435223">
      <w:bodyDiv w:val="1"/>
      <w:marLeft w:val="0"/>
      <w:marRight w:val="0"/>
      <w:marTop w:val="0"/>
      <w:marBottom w:val="0"/>
      <w:divBdr>
        <w:top w:val="none" w:sz="0" w:space="0" w:color="auto"/>
        <w:left w:val="none" w:sz="0" w:space="0" w:color="auto"/>
        <w:bottom w:val="none" w:sz="0" w:space="0" w:color="auto"/>
        <w:right w:val="none" w:sz="0" w:space="0" w:color="auto"/>
      </w:divBdr>
    </w:div>
    <w:div w:id="471673454">
      <w:bodyDiv w:val="1"/>
      <w:marLeft w:val="0"/>
      <w:marRight w:val="0"/>
      <w:marTop w:val="0"/>
      <w:marBottom w:val="0"/>
      <w:divBdr>
        <w:top w:val="none" w:sz="0" w:space="0" w:color="auto"/>
        <w:left w:val="none" w:sz="0" w:space="0" w:color="auto"/>
        <w:bottom w:val="none" w:sz="0" w:space="0" w:color="auto"/>
        <w:right w:val="none" w:sz="0" w:space="0" w:color="auto"/>
      </w:divBdr>
    </w:div>
    <w:div w:id="516390475">
      <w:bodyDiv w:val="1"/>
      <w:marLeft w:val="0"/>
      <w:marRight w:val="0"/>
      <w:marTop w:val="0"/>
      <w:marBottom w:val="0"/>
      <w:divBdr>
        <w:top w:val="none" w:sz="0" w:space="0" w:color="auto"/>
        <w:left w:val="none" w:sz="0" w:space="0" w:color="auto"/>
        <w:bottom w:val="none" w:sz="0" w:space="0" w:color="auto"/>
        <w:right w:val="none" w:sz="0" w:space="0" w:color="auto"/>
      </w:divBdr>
    </w:div>
    <w:div w:id="527523997">
      <w:bodyDiv w:val="1"/>
      <w:marLeft w:val="0"/>
      <w:marRight w:val="0"/>
      <w:marTop w:val="0"/>
      <w:marBottom w:val="0"/>
      <w:divBdr>
        <w:top w:val="none" w:sz="0" w:space="0" w:color="auto"/>
        <w:left w:val="none" w:sz="0" w:space="0" w:color="auto"/>
        <w:bottom w:val="none" w:sz="0" w:space="0" w:color="auto"/>
        <w:right w:val="none" w:sz="0" w:space="0" w:color="auto"/>
      </w:divBdr>
    </w:div>
    <w:div w:id="551231431">
      <w:bodyDiv w:val="1"/>
      <w:marLeft w:val="0"/>
      <w:marRight w:val="0"/>
      <w:marTop w:val="0"/>
      <w:marBottom w:val="0"/>
      <w:divBdr>
        <w:top w:val="none" w:sz="0" w:space="0" w:color="auto"/>
        <w:left w:val="none" w:sz="0" w:space="0" w:color="auto"/>
        <w:bottom w:val="none" w:sz="0" w:space="0" w:color="auto"/>
        <w:right w:val="none" w:sz="0" w:space="0" w:color="auto"/>
      </w:divBdr>
    </w:div>
    <w:div w:id="605427176">
      <w:bodyDiv w:val="1"/>
      <w:marLeft w:val="0"/>
      <w:marRight w:val="0"/>
      <w:marTop w:val="0"/>
      <w:marBottom w:val="0"/>
      <w:divBdr>
        <w:top w:val="none" w:sz="0" w:space="0" w:color="auto"/>
        <w:left w:val="none" w:sz="0" w:space="0" w:color="auto"/>
        <w:bottom w:val="none" w:sz="0" w:space="0" w:color="auto"/>
        <w:right w:val="none" w:sz="0" w:space="0" w:color="auto"/>
      </w:divBdr>
    </w:div>
    <w:div w:id="683554093">
      <w:bodyDiv w:val="1"/>
      <w:marLeft w:val="0"/>
      <w:marRight w:val="0"/>
      <w:marTop w:val="0"/>
      <w:marBottom w:val="0"/>
      <w:divBdr>
        <w:top w:val="none" w:sz="0" w:space="0" w:color="auto"/>
        <w:left w:val="none" w:sz="0" w:space="0" w:color="auto"/>
        <w:bottom w:val="none" w:sz="0" w:space="0" w:color="auto"/>
        <w:right w:val="none" w:sz="0" w:space="0" w:color="auto"/>
      </w:divBdr>
    </w:div>
    <w:div w:id="692728652">
      <w:bodyDiv w:val="1"/>
      <w:marLeft w:val="0"/>
      <w:marRight w:val="0"/>
      <w:marTop w:val="0"/>
      <w:marBottom w:val="0"/>
      <w:divBdr>
        <w:top w:val="none" w:sz="0" w:space="0" w:color="auto"/>
        <w:left w:val="none" w:sz="0" w:space="0" w:color="auto"/>
        <w:bottom w:val="none" w:sz="0" w:space="0" w:color="auto"/>
        <w:right w:val="none" w:sz="0" w:space="0" w:color="auto"/>
      </w:divBdr>
    </w:div>
    <w:div w:id="737552765">
      <w:bodyDiv w:val="1"/>
      <w:marLeft w:val="0"/>
      <w:marRight w:val="0"/>
      <w:marTop w:val="0"/>
      <w:marBottom w:val="0"/>
      <w:divBdr>
        <w:top w:val="none" w:sz="0" w:space="0" w:color="auto"/>
        <w:left w:val="none" w:sz="0" w:space="0" w:color="auto"/>
        <w:bottom w:val="none" w:sz="0" w:space="0" w:color="auto"/>
        <w:right w:val="none" w:sz="0" w:space="0" w:color="auto"/>
      </w:divBdr>
    </w:div>
    <w:div w:id="813451475">
      <w:bodyDiv w:val="1"/>
      <w:marLeft w:val="0"/>
      <w:marRight w:val="0"/>
      <w:marTop w:val="0"/>
      <w:marBottom w:val="0"/>
      <w:divBdr>
        <w:top w:val="none" w:sz="0" w:space="0" w:color="auto"/>
        <w:left w:val="none" w:sz="0" w:space="0" w:color="auto"/>
        <w:bottom w:val="none" w:sz="0" w:space="0" w:color="auto"/>
        <w:right w:val="none" w:sz="0" w:space="0" w:color="auto"/>
      </w:divBdr>
    </w:div>
    <w:div w:id="892930599">
      <w:bodyDiv w:val="1"/>
      <w:marLeft w:val="0"/>
      <w:marRight w:val="0"/>
      <w:marTop w:val="0"/>
      <w:marBottom w:val="0"/>
      <w:divBdr>
        <w:top w:val="none" w:sz="0" w:space="0" w:color="auto"/>
        <w:left w:val="none" w:sz="0" w:space="0" w:color="auto"/>
        <w:bottom w:val="none" w:sz="0" w:space="0" w:color="auto"/>
        <w:right w:val="none" w:sz="0" w:space="0" w:color="auto"/>
      </w:divBdr>
    </w:div>
    <w:div w:id="934821833">
      <w:bodyDiv w:val="1"/>
      <w:marLeft w:val="0"/>
      <w:marRight w:val="0"/>
      <w:marTop w:val="0"/>
      <w:marBottom w:val="0"/>
      <w:divBdr>
        <w:top w:val="none" w:sz="0" w:space="0" w:color="auto"/>
        <w:left w:val="none" w:sz="0" w:space="0" w:color="auto"/>
        <w:bottom w:val="none" w:sz="0" w:space="0" w:color="auto"/>
        <w:right w:val="none" w:sz="0" w:space="0" w:color="auto"/>
      </w:divBdr>
    </w:div>
    <w:div w:id="951088162">
      <w:bodyDiv w:val="1"/>
      <w:marLeft w:val="0"/>
      <w:marRight w:val="0"/>
      <w:marTop w:val="0"/>
      <w:marBottom w:val="0"/>
      <w:divBdr>
        <w:top w:val="none" w:sz="0" w:space="0" w:color="auto"/>
        <w:left w:val="none" w:sz="0" w:space="0" w:color="auto"/>
        <w:bottom w:val="none" w:sz="0" w:space="0" w:color="auto"/>
        <w:right w:val="none" w:sz="0" w:space="0" w:color="auto"/>
      </w:divBdr>
    </w:div>
    <w:div w:id="972171399">
      <w:bodyDiv w:val="1"/>
      <w:marLeft w:val="0"/>
      <w:marRight w:val="0"/>
      <w:marTop w:val="0"/>
      <w:marBottom w:val="0"/>
      <w:divBdr>
        <w:top w:val="none" w:sz="0" w:space="0" w:color="auto"/>
        <w:left w:val="none" w:sz="0" w:space="0" w:color="auto"/>
        <w:bottom w:val="none" w:sz="0" w:space="0" w:color="auto"/>
        <w:right w:val="none" w:sz="0" w:space="0" w:color="auto"/>
      </w:divBdr>
    </w:div>
    <w:div w:id="979769886">
      <w:bodyDiv w:val="1"/>
      <w:marLeft w:val="0"/>
      <w:marRight w:val="0"/>
      <w:marTop w:val="0"/>
      <w:marBottom w:val="0"/>
      <w:divBdr>
        <w:top w:val="none" w:sz="0" w:space="0" w:color="auto"/>
        <w:left w:val="none" w:sz="0" w:space="0" w:color="auto"/>
        <w:bottom w:val="none" w:sz="0" w:space="0" w:color="auto"/>
        <w:right w:val="none" w:sz="0" w:space="0" w:color="auto"/>
      </w:divBdr>
    </w:div>
    <w:div w:id="999311383">
      <w:bodyDiv w:val="1"/>
      <w:marLeft w:val="0"/>
      <w:marRight w:val="0"/>
      <w:marTop w:val="0"/>
      <w:marBottom w:val="0"/>
      <w:divBdr>
        <w:top w:val="none" w:sz="0" w:space="0" w:color="auto"/>
        <w:left w:val="none" w:sz="0" w:space="0" w:color="auto"/>
        <w:bottom w:val="none" w:sz="0" w:space="0" w:color="auto"/>
        <w:right w:val="none" w:sz="0" w:space="0" w:color="auto"/>
      </w:divBdr>
    </w:div>
    <w:div w:id="1025643572">
      <w:bodyDiv w:val="1"/>
      <w:marLeft w:val="0"/>
      <w:marRight w:val="0"/>
      <w:marTop w:val="0"/>
      <w:marBottom w:val="0"/>
      <w:divBdr>
        <w:top w:val="none" w:sz="0" w:space="0" w:color="auto"/>
        <w:left w:val="none" w:sz="0" w:space="0" w:color="auto"/>
        <w:bottom w:val="none" w:sz="0" w:space="0" w:color="auto"/>
        <w:right w:val="none" w:sz="0" w:space="0" w:color="auto"/>
      </w:divBdr>
    </w:div>
    <w:div w:id="1086730161">
      <w:bodyDiv w:val="1"/>
      <w:marLeft w:val="0"/>
      <w:marRight w:val="0"/>
      <w:marTop w:val="0"/>
      <w:marBottom w:val="0"/>
      <w:divBdr>
        <w:top w:val="none" w:sz="0" w:space="0" w:color="auto"/>
        <w:left w:val="none" w:sz="0" w:space="0" w:color="auto"/>
        <w:bottom w:val="none" w:sz="0" w:space="0" w:color="auto"/>
        <w:right w:val="none" w:sz="0" w:space="0" w:color="auto"/>
      </w:divBdr>
    </w:div>
    <w:div w:id="1129781346">
      <w:bodyDiv w:val="1"/>
      <w:marLeft w:val="0"/>
      <w:marRight w:val="0"/>
      <w:marTop w:val="0"/>
      <w:marBottom w:val="0"/>
      <w:divBdr>
        <w:top w:val="none" w:sz="0" w:space="0" w:color="auto"/>
        <w:left w:val="none" w:sz="0" w:space="0" w:color="auto"/>
        <w:bottom w:val="none" w:sz="0" w:space="0" w:color="auto"/>
        <w:right w:val="none" w:sz="0" w:space="0" w:color="auto"/>
      </w:divBdr>
    </w:div>
    <w:div w:id="1187408763">
      <w:bodyDiv w:val="1"/>
      <w:marLeft w:val="0"/>
      <w:marRight w:val="0"/>
      <w:marTop w:val="0"/>
      <w:marBottom w:val="0"/>
      <w:divBdr>
        <w:top w:val="none" w:sz="0" w:space="0" w:color="auto"/>
        <w:left w:val="none" w:sz="0" w:space="0" w:color="auto"/>
        <w:bottom w:val="none" w:sz="0" w:space="0" w:color="auto"/>
        <w:right w:val="none" w:sz="0" w:space="0" w:color="auto"/>
      </w:divBdr>
    </w:div>
    <w:div w:id="1213617611">
      <w:bodyDiv w:val="1"/>
      <w:marLeft w:val="0"/>
      <w:marRight w:val="0"/>
      <w:marTop w:val="0"/>
      <w:marBottom w:val="0"/>
      <w:divBdr>
        <w:top w:val="none" w:sz="0" w:space="0" w:color="auto"/>
        <w:left w:val="none" w:sz="0" w:space="0" w:color="auto"/>
        <w:bottom w:val="none" w:sz="0" w:space="0" w:color="auto"/>
        <w:right w:val="none" w:sz="0" w:space="0" w:color="auto"/>
      </w:divBdr>
    </w:div>
    <w:div w:id="1262758384">
      <w:bodyDiv w:val="1"/>
      <w:marLeft w:val="0"/>
      <w:marRight w:val="0"/>
      <w:marTop w:val="0"/>
      <w:marBottom w:val="0"/>
      <w:divBdr>
        <w:top w:val="none" w:sz="0" w:space="0" w:color="auto"/>
        <w:left w:val="none" w:sz="0" w:space="0" w:color="auto"/>
        <w:bottom w:val="none" w:sz="0" w:space="0" w:color="auto"/>
        <w:right w:val="none" w:sz="0" w:space="0" w:color="auto"/>
      </w:divBdr>
    </w:div>
    <w:div w:id="1344667848">
      <w:bodyDiv w:val="1"/>
      <w:marLeft w:val="0"/>
      <w:marRight w:val="0"/>
      <w:marTop w:val="0"/>
      <w:marBottom w:val="0"/>
      <w:divBdr>
        <w:top w:val="none" w:sz="0" w:space="0" w:color="auto"/>
        <w:left w:val="none" w:sz="0" w:space="0" w:color="auto"/>
        <w:bottom w:val="none" w:sz="0" w:space="0" w:color="auto"/>
        <w:right w:val="none" w:sz="0" w:space="0" w:color="auto"/>
      </w:divBdr>
    </w:div>
    <w:div w:id="1362364543">
      <w:bodyDiv w:val="1"/>
      <w:marLeft w:val="0"/>
      <w:marRight w:val="0"/>
      <w:marTop w:val="0"/>
      <w:marBottom w:val="0"/>
      <w:divBdr>
        <w:top w:val="none" w:sz="0" w:space="0" w:color="auto"/>
        <w:left w:val="none" w:sz="0" w:space="0" w:color="auto"/>
        <w:bottom w:val="none" w:sz="0" w:space="0" w:color="auto"/>
        <w:right w:val="none" w:sz="0" w:space="0" w:color="auto"/>
      </w:divBdr>
    </w:div>
    <w:div w:id="1439107195">
      <w:bodyDiv w:val="1"/>
      <w:marLeft w:val="0"/>
      <w:marRight w:val="0"/>
      <w:marTop w:val="0"/>
      <w:marBottom w:val="0"/>
      <w:divBdr>
        <w:top w:val="none" w:sz="0" w:space="0" w:color="auto"/>
        <w:left w:val="none" w:sz="0" w:space="0" w:color="auto"/>
        <w:bottom w:val="none" w:sz="0" w:space="0" w:color="auto"/>
        <w:right w:val="none" w:sz="0" w:space="0" w:color="auto"/>
      </w:divBdr>
    </w:div>
    <w:div w:id="1444691631">
      <w:bodyDiv w:val="1"/>
      <w:marLeft w:val="0"/>
      <w:marRight w:val="0"/>
      <w:marTop w:val="0"/>
      <w:marBottom w:val="0"/>
      <w:divBdr>
        <w:top w:val="none" w:sz="0" w:space="0" w:color="auto"/>
        <w:left w:val="none" w:sz="0" w:space="0" w:color="auto"/>
        <w:bottom w:val="none" w:sz="0" w:space="0" w:color="auto"/>
        <w:right w:val="none" w:sz="0" w:space="0" w:color="auto"/>
      </w:divBdr>
    </w:div>
    <w:div w:id="1500120754">
      <w:bodyDiv w:val="1"/>
      <w:marLeft w:val="0"/>
      <w:marRight w:val="0"/>
      <w:marTop w:val="0"/>
      <w:marBottom w:val="0"/>
      <w:divBdr>
        <w:top w:val="none" w:sz="0" w:space="0" w:color="auto"/>
        <w:left w:val="none" w:sz="0" w:space="0" w:color="auto"/>
        <w:bottom w:val="none" w:sz="0" w:space="0" w:color="auto"/>
        <w:right w:val="none" w:sz="0" w:space="0" w:color="auto"/>
      </w:divBdr>
    </w:div>
    <w:div w:id="1540362190">
      <w:bodyDiv w:val="1"/>
      <w:marLeft w:val="0"/>
      <w:marRight w:val="0"/>
      <w:marTop w:val="0"/>
      <w:marBottom w:val="0"/>
      <w:divBdr>
        <w:top w:val="none" w:sz="0" w:space="0" w:color="auto"/>
        <w:left w:val="none" w:sz="0" w:space="0" w:color="auto"/>
        <w:bottom w:val="none" w:sz="0" w:space="0" w:color="auto"/>
        <w:right w:val="none" w:sz="0" w:space="0" w:color="auto"/>
      </w:divBdr>
    </w:div>
    <w:div w:id="1576470655">
      <w:bodyDiv w:val="1"/>
      <w:marLeft w:val="0"/>
      <w:marRight w:val="0"/>
      <w:marTop w:val="0"/>
      <w:marBottom w:val="0"/>
      <w:divBdr>
        <w:top w:val="none" w:sz="0" w:space="0" w:color="auto"/>
        <w:left w:val="none" w:sz="0" w:space="0" w:color="auto"/>
        <w:bottom w:val="none" w:sz="0" w:space="0" w:color="auto"/>
        <w:right w:val="none" w:sz="0" w:space="0" w:color="auto"/>
      </w:divBdr>
    </w:div>
    <w:div w:id="1584989005">
      <w:bodyDiv w:val="1"/>
      <w:marLeft w:val="0"/>
      <w:marRight w:val="0"/>
      <w:marTop w:val="0"/>
      <w:marBottom w:val="0"/>
      <w:divBdr>
        <w:top w:val="none" w:sz="0" w:space="0" w:color="auto"/>
        <w:left w:val="none" w:sz="0" w:space="0" w:color="auto"/>
        <w:bottom w:val="none" w:sz="0" w:space="0" w:color="auto"/>
        <w:right w:val="none" w:sz="0" w:space="0" w:color="auto"/>
      </w:divBdr>
    </w:div>
    <w:div w:id="1618682051">
      <w:bodyDiv w:val="1"/>
      <w:marLeft w:val="0"/>
      <w:marRight w:val="0"/>
      <w:marTop w:val="0"/>
      <w:marBottom w:val="0"/>
      <w:divBdr>
        <w:top w:val="none" w:sz="0" w:space="0" w:color="auto"/>
        <w:left w:val="none" w:sz="0" w:space="0" w:color="auto"/>
        <w:bottom w:val="none" w:sz="0" w:space="0" w:color="auto"/>
        <w:right w:val="none" w:sz="0" w:space="0" w:color="auto"/>
      </w:divBdr>
    </w:div>
    <w:div w:id="1627660762">
      <w:bodyDiv w:val="1"/>
      <w:marLeft w:val="0"/>
      <w:marRight w:val="0"/>
      <w:marTop w:val="0"/>
      <w:marBottom w:val="0"/>
      <w:divBdr>
        <w:top w:val="none" w:sz="0" w:space="0" w:color="auto"/>
        <w:left w:val="none" w:sz="0" w:space="0" w:color="auto"/>
        <w:bottom w:val="none" w:sz="0" w:space="0" w:color="auto"/>
        <w:right w:val="none" w:sz="0" w:space="0" w:color="auto"/>
      </w:divBdr>
    </w:div>
    <w:div w:id="1629310589">
      <w:bodyDiv w:val="1"/>
      <w:marLeft w:val="0"/>
      <w:marRight w:val="0"/>
      <w:marTop w:val="0"/>
      <w:marBottom w:val="0"/>
      <w:divBdr>
        <w:top w:val="none" w:sz="0" w:space="0" w:color="auto"/>
        <w:left w:val="none" w:sz="0" w:space="0" w:color="auto"/>
        <w:bottom w:val="none" w:sz="0" w:space="0" w:color="auto"/>
        <w:right w:val="none" w:sz="0" w:space="0" w:color="auto"/>
      </w:divBdr>
    </w:div>
    <w:div w:id="1631131856">
      <w:bodyDiv w:val="1"/>
      <w:marLeft w:val="0"/>
      <w:marRight w:val="0"/>
      <w:marTop w:val="0"/>
      <w:marBottom w:val="0"/>
      <w:divBdr>
        <w:top w:val="none" w:sz="0" w:space="0" w:color="auto"/>
        <w:left w:val="none" w:sz="0" w:space="0" w:color="auto"/>
        <w:bottom w:val="none" w:sz="0" w:space="0" w:color="auto"/>
        <w:right w:val="none" w:sz="0" w:space="0" w:color="auto"/>
      </w:divBdr>
    </w:div>
    <w:div w:id="1729723689">
      <w:bodyDiv w:val="1"/>
      <w:marLeft w:val="0"/>
      <w:marRight w:val="0"/>
      <w:marTop w:val="0"/>
      <w:marBottom w:val="0"/>
      <w:divBdr>
        <w:top w:val="none" w:sz="0" w:space="0" w:color="auto"/>
        <w:left w:val="none" w:sz="0" w:space="0" w:color="auto"/>
        <w:bottom w:val="none" w:sz="0" w:space="0" w:color="auto"/>
        <w:right w:val="none" w:sz="0" w:space="0" w:color="auto"/>
      </w:divBdr>
    </w:div>
    <w:div w:id="1740597054">
      <w:bodyDiv w:val="1"/>
      <w:marLeft w:val="0"/>
      <w:marRight w:val="0"/>
      <w:marTop w:val="0"/>
      <w:marBottom w:val="0"/>
      <w:divBdr>
        <w:top w:val="none" w:sz="0" w:space="0" w:color="auto"/>
        <w:left w:val="none" w:sz="0" w:space="0" w:color="auto"/>
        <w:bottom w:val="none" w:sz="0" w:space="0" w:color="auto"/>
        <w:right w:val="none" w:sz="0" w:space="0" w:color="auto"/>
      </w:divBdr>
    </w:div>
    <w:div w:id="1778141167">
      <w:bodyDiv w:val="1"/>
      <w:marLeft w:val="0"/>
      <w:marRight w:val="0"/>
      <w:marTop w:val="0"/>
      <w:marBottom w:val="0"/>
      <w:divBdr>
        <w:top w:val="none" w:sz="0" w:space="0" w:color="auto"/>
        <w:left w:val="none" w:sz="0" w:space="0" w:color="auto"/>
        <w:bottom w:val="none" w:sz="0" w:space="0" w:color="auto"/>
        <w:right w:val="none" w:sz="0" w:space="0" w:color="auto"/>
      </w:divBdr>
    </w:div>
    <w:div w:id="1780755377">
      <w:bodyDiv w:val="1"/>
      <w:marLeft w:val="0"/>
      <w:marRight w:val="0"/>
      <w:marTop w:val="0"/>
      <w:marBottom w:val="0"/>
      <w:divBdr>
        <w:top w:val="none" w:sz="0" w:space="0" w:color="auto"/>
        <w:left w:val="none" w:sz="0" w:space="0" w:color="auto"/>
        <w:bottom w:val="none" w:sz="0" w:space="0" w:color="auto"/>
        <w:right w:val="none" w:sz="0" w:space="0" w:color="auto"/>
      </w:divBdr>
    </w:div>
    <w:div w:id="1788892538">
      <w:bodyDiv w:val="1"/>
      <w:marLeft w:val="0"/>
      <w:marRight w:val="0"/>
      <w:marTop w:val="0"/>
      <w:marBottom w:val="0"/>
      <w:divBdr>
        <w:top w:val="none" w:sz="0" w:space="0" w:color="auto"/>
        <w:left w:val="none" w:sz="0" w:space="0" w:color="auto"/>
        <w:bottom w:val="none" w:sz="0" w:space="0" w:color="auto"/>
        <w:right w:val="none" w:sz="0" w:space="0" w:color="auto"/>
      </w:divBdr>
    </w:div>
    <w:div w:id="1796680530">
      <w:bodyDiv w:val="1"/>
      <w:marLeft w:val="0"/>
      <w:marRight w:val="0"/>
      <w:marTop w:val="0"/>
      <w:marBottom w:val="0"/>
      <w:divBdr>
        <w:top w:val="none" w:sz="0" w:space="0" w:color="auto"/>
        <w:left w:val="none" w:sz="0" w:space="0" w:color="auto"/>
        <w:bottom w:val="none" w:sz="0" w:space="0" w:color="auto"/>
        <w:right w:val="none" w:sz="0" w:space="0" w:color="auto"/>
      </w:divBdr>
    </w:div>
    <w:div w:id="1879387369">
      <w:bodyDiv w:val="1"/>
      <w:marLeft w:val="0"/>
      <w:marRight w:val="0"/>
      <w:marTop w:val="0"/>
      <w:marBottom w:val="0"/>
      <w:divBdr>
        <w:top w:val="none" w:sz="0" w:space="0" w:color="auto"/>
        <w:left w:val="none" w:sz="0" w:space="0" w:color="auto"/>
        <w:bottom w:val="none" w:sz="0" w:space="0" w:color="auto"/>
        <w:right w:val="none" w:sz="0" w:space="0" w:color="auto"/>
      </w:divBdr>
    </w:div>
    <w:div w:id="1886526954">
      <w:bodyDiv w:val="1"/>
      <w:marLeft w:val="0"/>
      <w:marRight w:val="0"/>
      <w:marTop w:val="0"/>
      <w:marBottom w:val="0"/>
      <w:divBdr>
        <w:top w:val="none" w:sz="0" w:space="0" w:color="auto"/>
        <w:left w:val="none" w:sz="0" w:space="0" w:color="auto"/>
        <w:bottom w:val="none" w:sz="0" w:space="0" w:color="auto"/>
        <w:right w:val="none" w:sz="0" w:space="0" w:color="auto"/>
      </w:divBdr>
    </w:div>
    <w:div w:id="1974938767">
      <w:bodyDiv w:val="1"/>
      <w:marLeft w:val="0"/>
      <w:marRight w:val="0"/>
      <w:marTop w:val="0"/>
      <w:marBottom w:val="0"/>
      <w:divBdr>
        <w:top w:val="none" w:sz="0" w:space="0" w:color="auto"/>
        <w:left w:val="none" w:sz="0" w:space="0" w:color="auto"/>
        <w:bottom w:val="none" w:sz="0" w:space="0" w:color="auto"/>
        <w:right w:val="none" w:sz="0" w:space="0" w:color="auto"/>
      </w:divBdr>
    </w:div>
    <w:div w:id="1990473246">
      <w:bodyDiv w:val="1"/>
      <w:marLeft w:val="0"/>
      <w:marRight w:val="0"/>
      <w:marTop w:val="0"/>
      <w:marBottom w:val="0"/>
      <w:divBdr>
        <w:top w:val="none" w:sz="0" w:space="0" w:color="auto"/>
        <w:left w:val="none" w:sz="0" w:space="0" w:color="auto"/>
        <w:bottom w:val="none" w:sz="0" w:space="0" w:color="auto"/>
        <w:right w:val="none" w:sz="0" w:space="0" w:color="auto"/>
      </w:divBdr>
    </w:div>
    <w:div w:id="2032875972">
      <w:bodyDiv w:val="1"/>
      <w:marLeft w:val="0"/>
      <w:marRight w:val="0"/>
      <w:marTop w:val="0"/>
      <w:marBottom w:val="0"/>
      <w:divBdr>
        <w:top w:val="none" w:sz="0" w:space="0" w:color="auto"/>
        <w:left w:val="none" w:sz="0" w:space="0" w:color="auto"/>
        <w:bottom w:val="none" w:sz="0" w:space="0" w:color="auto"/>
        <w:right w:val="none" w:sz="0" w:space="0" w:color="auto"/>
      </w:divBdr>
    </w:div>
    <w:div w:id="2033024861">
      <w:bodyDiv w:val="1"/>
      <w:marLeft w:val="0"/>
      <w:marRight w:val="0"/>
      <w:marTop w:val="0"/>
      <w:marBottom w:val="0"/>
      <w:divBdr>
        <w:top w:val="none" w:sz="0" w:space="0" w:color="auto"/>
        <w:left w:val="none" w:sz="0" w:space="0" w:color="auto"/>
        <w:bottom w:val="none" w:sz="0" w:space="0" w:color="auto"/>
        <w:right w:val="none" w:sz="0" w:space="0" w:color="auto"/>
      </w:divBdr>
    </w:div>
    <w:div w:id="2061201401">
      <w:bodyDiv w:val="1"/>
      <w:marLeft w:val="0"/>
      <w:marRight w:val="0"/>
      <w:marTop w:val="0"/>
      <w:marBottom w:val="0"/>
      <w:divBdr>
        <w:top w:val="none" w:sz="0" w:space="0" w:color="auto"/>
        <w:left w:val="none" w:sz="0" w:space="0" w:color="auto"/>
        <w:bottom w:val="none" w:sz="0" w:space="0" w:color="auto"/>
        <w:right w:val="none" w:sz="0" w:space="0" w:color="auto"/>
      </w:divBdr>
    </w:div>
    <w:div w:id="21362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spgh.unimelb.edu.au/research-groups/centre-for-health-equity/disability-and-health-unit/community-attitudes" TargetMode="External"/><Relationship Id="rId117" Type="http://schemas.openxmlformats.org/officeDocument/2006/relationships/hyperlink" Target="https://doi.org/10.1177/1368430216638536" TargetMode="External"/><Relationship Id="rId21" Type="http://schemas.openxmlformats.org/officeDocument/2006/relationships/hyperlink" Target="https://doi.org/10.1007/s12144-014-9253-2" TargetMode="External"/><Relationship Id="rId42" Type="http://schemas.openxmlformats.org/officeDocument/2006/relationships/hyperlink" Target="https://doi.org/10.1177/070674371506001006" TargetMode="External"/><Relationship Id="rId47" Type="http://schemas.openxmlformats.org/officeDocument/2006/relationships/hyperlink" Target="https://doi.org/10.1016/j.ijlp.2010.11.001" TargetMode="External"/><Relationship Id="rId63" Type="http://schemas.openxmlformats.org/officeDocument/2006/relationships/hyperlink" Target="https://doi.org/10.1016/j.psychres.2018.12.172" TargetMode="External"/><Relationship Id="rId68" Type="http://schemas.openxmlformats.org/officeDocument/2006/relationships/hyperlink" Target="https://www.proquest.com/openview/28a49fdc372bb195e73d29ed3fd2a88e/1?pq-origsite=gscholar&amp;cbl=37110" TargetMode="External"/><Relationship Id="rId84" Type="http://schemas.openxmlformats.org/officeDocument/2006/relationships/hyperlink" Target="https://doi.org/10.1007/s10597-014-9796-6" TargetMode="External"/><Relationship Id="rId89" Type="http://schemas.openxmlformats.org/officeDocument/2006/relationships/hyperlink" Target="https://doi.org/10.1177/0020764013507248" TargetMode="External"/><Relationship Id="rId112" Type="http://schemas.openxmlformats.org/officeDocument/2006/relationships/hyperlink" Target="https://doi.org/10.1177/2332858418798832" TargetMode="External"/><Relationship Id="rId16" Type="http://schemas.openxmlformats.org/officeDocument/2006/relationships/hyperlink" Target="https://doi.org/10.1093/jssam/smu023" TargetMode="External"/><Relationship Id="rId107" Type="http://schemas.openxmlformats.org/officeDocument/2006/relationships/hyperlink" Target="https://doi.org/10.2307/1593650" TargetMode="External"/><Relationship Id="rId11" Type="http://schemas.openxmlformats.org/officeDocument/2006/relationships/hyperlink" Target="https://doi.org/10.3928/01484834-20120706-02" TargetMode="External"/><Relationship Id="rId32" Type="http://schemas.openxmlformats.org/officeDocument/2006/relationships/hyperlink" Target="https://doi.org/10.1177/0956797618813087" TargetMode="External"/><Relationship Id="rId37" Type="http://schemas.openxmlformats.org/officeDocument/2006/relationships/hyperlink" Target="https://doi.org/10.1177/1088868320911325" TargetMode="External"/><Relationship Id="rId53" Type="http://schemas.openxmlformats.org/officeDocument/2006/relationships/hyperlink" Target="https://doi.org/10.1186/s12910-017-0179-8" TargetMode="External"/><Relationship Id="rId58" Type="http://schemas.openxmlformats.org/officeDocument/2006/relationships/hyperlink" Target="https://doi.org/10.1258/jhsrp.2009.008077" TargetMode="External"/><Relationship Id="rId74" Type="http://schemas.openxmlformats.org/officeDocument/2006/relationships/hyperlink" Target="https://doi.org/10.11144/javeriana.upsy17-4.usdt" TargetMode="External"/><Relationship Id="rId79" Type="http://schemas.openxmlformats.org/officeDocument/2006/relationships/hyperlink" Target="https://doi.org/10.1016/j.ridd.2012.07.018" TargetMode="External"/><Relationship Id="rId102" Type="http://schemas.openxmlformats.org/officeDocument/2006/relationships/hyperlink" Target="https://doi.org/10.1111/jir.12008" TargetMode="External"/><Relationship Id="rId123" Type="http://schemas.openxmlformats.org/officeDocument/2006/relationships/hyperlink" Target="https://doi.org/10.3390/ejihpe11010015" TargetMode="External"/><Relationship Id="rId128" Type="http://schemas.openxmlformats.org/officeDocument/2006/relationships/hyperlink" Target="https://doi.org/10.1111/josi.12343" TargetMode="External"/><Relationship Id="rId5" Type="http://schemas.openxmlformats.org/officeDocument/2006/relationships/webSettings" Target="webSettings.xml"/><Relationship Id="rId90" Type="http://schemas.openxmlformats.org/officeDocument/2006/relationships/hyperlink" Target="https://lirias.kuleuven.be/retrieve/670504" TargetMode="External"/><Relationship Id="rId95" Type="http://schemas.openxmlformats.org/officeDocument/2006/relationships/hyperlink" Target="https://isidore.science/document/10670/1.obltne" TargetMode="External"/><Relationship Id="rId19" Type="http://schemas.openxmlformats.org/officeDocument/2006/relationships/hyperlink" Target="https://doi.org/10.1016/j.edurev.2016.11.004" TargetMode="External"/><Relationship Id="rId14" Type="http://schemas.openxmlformats.org/officeDocument/2006/relationships/hyperlink" Target="https://doi.org/10.3233/jvr-150753" TargetMode="External"/><Relationship Id="rId22" Type="http://schemas.openxmlformats.org/officeDocument/2006/relationships/hyperlink" Target="https://doi.org/10.1007/s40732-019-00363-4" TargetMode="External"/><Relationship Id="rId27" Type="http://schemas.openxmlformats.org/officeDocument/2006/relationships/hyperlink" Target="https://doi.org/10.1017/jrc.2018.8" TargetMode="External"/><Relationship Id="rId30" Type="http://schemas.openxmlformats.org/officeDocument/2006/relationships/hyperlink" Target="https://doi.org/10.1007/s40732-020-00445-8" TargetMode="External"/><Relationship Id="rId35" Type="http://schemas.openxmlformats.org/officeDocument/2006/relationships/hyperlink" Target="https://doi.org/10.1080/17437199.2014.947547" TargetMode="External"/><Relationship Id="rId43" Type="http://schemas.openxmlformats.org/officeDocument/2006/relationships/hyperlink" Target="https://doi.org/10.1016/j.ssresearch.2017.04.006" TargetMode="External"/><Relationship Id="rId48" Type="http://schemas.openxmlformats.org/officeDocument/2006/relationships/hyperlink" Target="https://doi.org/10.3389/fpsyt.2021.591707" TargetMode="External"/><Relationship Id="rId56" Type="http://schemas.openxmlformats.org/officeDocument/2006/relationships/hyperlink" Target="https://doi.org/10.1037/rep0000265" TargetMode="External"/><Relationship Id="rId64" Type="http://schemas.openxmlformats.org/officeDocument/2006/relationships/hyperlink" Target="https://doi.org/10.3233/jvr-191058" TargetMode="External"/><Relationship Id="rId69" Type="http://schemas.openxmlformats.org/officeDocument/2006/relationships/hyperlink" Target="https://doi.org/10.1177/070674371205700304" TargetMode="External"/><Relationship Id="rId77" Type="http://schemas.openxmlformats.org/officeDocument/2006/relationships/hyperlink" Target="https://doi.org/10.1037/e633912013-681" TargetMode="External"/><Relationship Id="rId100" Type="http://schemas.openxmlformats.org/officeDocument/2006/relationships/hyperlink" Target="https://doi.org/10.3109/09638288.2011.560327" TargetMode="External"/><Relationship Id="rId105" Type="http://schemas.openxmlformats.org/officeDocument/2006/relationships/hyperlink" Target="https://doi.org/10.1111/jar.12429" TargetMode="External"/><Relationship Id="rId113" Type="http://schemas.openxmlformats.org/officeDocument/2006/relationships/hyperlink" Target="https://doi.org/10.1080/09638288.2019.1630678" TargetMode="External"/><Relationship Id="rId118" Type="http://schemas.openxmlformats.org/officeDocument/2006/relationships/hyperlink" Target="https://doi.org/10.1016/j.jval.2011.06.003" TargetMode="External"/><Relationship Id="rId126" Type="http://schemas.openxmlformats.org/officeDocument/2006/relationships/hyperlink" Target="https://doi.org/10.3390/soc11020049" TargetMode="External"/><Relationship Id="rId8" Type="http://schemas.openxmlformats.org/officeDocument/2006/relationships/image" Target="media/image1.png"/><Relationship Id="rId51" Type="http://schemas.openxmlformats.org/officeDocument/2006/relationships/hyperlink" Target="https://doi.org/10.1146/annurev.psych.54.101601.145225" TargetMode="External"/><Relationship Id="rId72" Type="http://schemas.openxmlformats.org/officeDocument/2006/relationships/hyperlink" Target="https://doi.org/10.1046/j.1365-2648.2002.02100.x" TargetMode="External"/><Relationship Id="rId80" Type="http://schemas.openxmlformats.org/officeDocument/2006/relationships/hyperlink" Target="https://doi.org/10.7748/nr.2019.e1616" TargetMode="External"/><Relationship Id="rId85" Type="http://schemas.openxmlformats.org/officeDocument/2006/relationships/hyperlink" Target="https://doi.org/10.2307/1511100" TargetMode="External"/><Relationship Id="rId93" Type="http://schemas.openxmlformats.org/officeDocument/2006/relationships/hyperlink" Target="https://gld.gu.se/media/2265/lgpi-concept-note.pdf" TargetMode="External"/><Relationship Id="rId98" Type="http://schemas.openxmlformats.org/officeDocument/2006/relationships/hyperlink" Target="https://doi.org/10.3233/jvr-140722" TargetMode="External"/><Relationship Id="rId121" Type="http://schemas.openxmlformats.org/officeDocument/2006/relationships/hyperlink" Target="https://doi.org/10.1111/j.1365-2923.2011.04026.x" TargetMode="External"/><Relationship Id="rId3" Type="http://schemas.openxmlformats.org/officeDocument/2006/relationships/styles" Target="styles.xml"/><Relationship Id="rId12" Type="http://schemas.openxmlformats.org/officeDocument/2006/relationships/hyperlink" Target="https://doi.org/10.1111/papt.12249" TargetMode="External"/><Relationship Id="rId17" Type="http://schemas.openxmlformats.org/officeDocument/2006/relationships/hyperlink" Target="https://doi.org/10.1007/s40596-019-01090-2" TargetMode="External"/><Relationship Id="rId25" Type="http://schemas.openxmlformats.org/officeDocument/2006/relationships/hyperlink" Target="https://doi.org/10.1111/ajps.12086" TargetMode="External"/><Relationship Id="rId33" Type="http://schemas.openxmlformats.org/officeDocument/2006/relationships/hyperlink" Target="https://doi.org/10.1080/09687599.2012.741517" TargetMode="External"/><Relationship Id="rId38" Type="http://schemas.openxmlformats.org/officeDocument/2006/relationships/hyperlink" Target="https://ir.lib.uwo.ca/psychK_uht/79" TargetMode="External"/><Relationship Id="rId46" Type="http://schemas.openxmlformats.org/officeDocument/2006/relationships/hyperlink" Target="https://doi.org/10.1016/j.ridd.2012.11.004" TargetMode="External"/><Relationship Id="rId59" Type="http://schemas.openxmlformats.org/officeDocument/2006/relationships/hyperlink" Target="https://doi.org/10.1002/jgc4.1538" TargetMode="External"/><Relationship Id="rId67" Type="http://schemas.openxmlformats.org/officeDocument/2006/relationships/hyperlink" Target="https://doi.org/10.1111/hsc.12417" TargetMode="External"/><Relationship Id="rId103" Type="http://schemas.openxmlformats.org/officeDocument/2006/relationships/hyperlink" Target="https://doi.org/10.1111/j.1365-2788.2012.01559.x" TargetMode="External"/><Relationship Id="rId108" Type="http://schemas.openxmlformats.org/officeDocument/2006/relationships/hyperlink" Target="https://doi.org/10.1146/annurev.ps.44.020193.001001" TargetMode="External"/><Relationship Id="rId116" Type="http://schemas.openxmlformats.org/officeDocument/2006/relationships/hyperlink" Target="https://www.proquest.com/openview/2575bb4369b73611a8e5e0b667bec286/1?pq-origsite=gscholar&amp;cbl=37110" TargetMode="External"/><Relationship Id="rId124" Type="http://schemas.openxmlformats.org/officeDocument/2006/relationships/hyperlink" Target="https://doi.org/10.2308/issues-2021-007" TargetMode="External"/><Relationship Id="rId129" Type="http://schemas.openxmlformats.org/officeDocument/2006/relationships/fontTable" Target="fontTable.xml"/><Relationship Id="rId20" Type="http://schemas.openxmlformats.org/officeDocument/2006/relationships/hyperlink" Target="https://doi.org/10.1002/bsl.629" TargetMode="External"/><Relationship Id="rId41" Type="http://schemas.openxmlformats.org/officeDocument/2006/relationships/hyperlink" Target="https://doi.org/10.1016/j.yebeh.2015.08.040" TargetMode="External"/><Relationship Id="rId54" Type="http://schemas.openxmlformats.org/officeDocument/2006/relationships/hyperlink" Target="https://doi.org/10.1007/s10926-021-09977-4" TargetMode="External"/><Relationship Id="rId62" Type="http://schemas.openxmlformats.org/officeDocument/2006/relationships/hyperlink" Target="https://doi.org/10.1111/j.1540-5907.2011.00540.x" TargetMode="External"/><Relationship Id="rId70" Type="http://schemas.openxmlformats.org/officeDocument/2006/relationships/hyperlink" Target="https://doi.org/10.1177/0146167205275613" TargetMode="External"/><Relationship Id="rId75" Type="http://schemas.openxmlformats.org/officeDocument/2006/relationships/hyperlink" Target="https://doi.org/10.1080/1034912X.2017.1316012" TargetMode="External"/><Relationship Id="rId83" Type="http://schemas.openxmlformats.org/officeDocument/2006/relationships/hyperlink" Target="https://doi.org/10.1093/poq/nfz009" TargetMode="External"/><Relationship Id="rId88" Type="http://schemas.openxmlformats.org/officeDocument/2006/relationships/hyperlink" Target="https://doi.org/10.1080/01973533.2020.1785468" TargetMode="External"/><Relationship Id="rId91" Type="http://schemas.openxmlformats.org/officeDocument/2006/relationships/hyperlink" Target="https://doi.org/10.1016/j.dhjo.2021.101150" TargetMode="External"/><Relationship Id="rId96" Type="http://schemas.openxmlformats.org/officeDocument/2006/relationships/hyperlink" Target="https://doi.org/10.1016/j.yebeh.2022.108665" TargetMode="External"/><Relationship Id="rId111" Type="http://schemas.openxmlformats.org/officeDocument/2006/relationships/hyperlink" Target="https://doi.org/10.1016/j.dhjo.2016.01.00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096382800296782" TargetMode="External"/><Relationship Id="rId23" Type="http://schemas.openxmlformats.org/officeDocument/2006/relationships/hyperlink" Target="file:///C:\Users\walshch\AppData\Local\Microsoft\Windows\INetCache\Content.Outlook\CRIXOF4Q\&#160;https:\doi.org\10.5860\crl.79.2.222&#160;" TargetMode="External"/><Relationship Id="rId28" Type="http://schemas.openxmlformats.org/officeDocument/2006/relationships/hyperlink" Target="https://doi.org/10.1007/978-981-13-6106-7_76-1" TargetMode="External"/><Relationship Id="rId36" Type="http://schemas.openxmlformats.org/officeDocument/2006/relationships/hyperlink" Target="http://www.ncbi.nlm.nih.gov/pubmed/15132018" TargetMode="External"/><Relationship Id="rId49" Type="http://schemas.openxmlformats.org/officeDocument/2006/relationships/hyperlink" Target="https://doi.org/10.1111/j.1440-1819.2011.02282.x" TargetMode="External"/><Relationship Id="rId57" Type="http://schemas.openxmlformats.org/officeDocument/2006/relationships/hyperlink" Target="https://doi.org/10.5014/ajot.2021.047423" TargetMode="External"/><Relationship Id="rId106" Type="http://schemas.openxmlformats.org/officeDocument/2006/relationships/hyperlink" Target="https://doi.org/10.1111/1467-8578.12096" TargetMode="External"/><Relationship Id="rId114" Type="http://schemas.openxmlformats.org/officeDocument/2006/relationships/hyperlink" Target="https://doi.org/10.1111/j.1365-2788.2010.01317.x" TargetMode="External"/><Relationship Id="rId119" Type="http://schemas.openxmlformats.org/officeDocument/2006/relationships/hyperlink" Target="https://doi.org/10.1111/ajps.12205" TargetMode="External"/><Relationship Id="rId127" Type="http://schemas.openxmlformats.org/officeDocument/2006/relationships/hyperlink" Target="http://doi.org/10.5334/jopd.ac" TargetMode="External"/><Relationship Id="rId10" Type="http://schemas.openxmlformats.org/officeDocument/2006/relationships/footer" Target="footer2.xml"/><Relationship Id="rId31" Type="http://schemas.openxmlformats.org/officeDocument/2006/relationships/hyperlink" Target="https://doi.org/10.1007/s10803-007-0534-6" TargetMode="External"/><Relationship Id="rId44" Type="http://schemas.openxmlformats.org/officeDocument/2006/relationships/hyperlink" Target="https://doi.org/10.1111/bjc.12180" TargetMode="External"/><Relationship Id="rId52" Type="http://schemas.openxmlformats.org/officeDocument/2006/relationships/hyperlink" Target="https://doi.org/10.1257/rct.8944-1.0" TargetMode="External"/><Relationship Id="rId60" Type="http://schemas.openxmlformats.org/officeDocument/2006/relationships/hyperlink" Target="https://doi.org/10.3758/s13428-014-0533-4" TargetMode="External"/><Relationship Id="rId65" Type="http://schemas.openxmlformats.org/officeDocument/2006/relationships/hyperlink" Target="https://doi.org/10.1007/s11606-007-0258-5" TargetMode="External"/><Relationship Id="rId73" Type="http://schemas.openxmlformats.org/officeDocument/2006/relationships/hyperlink" Target="https://www.proquest.com/openview/59915191b0f729cf13c4d85d62c02a59/1?pq-origsite=gscholar&amp;cbl=18750" TargetMode="External"/><Relationship Id="rId78" Type="http://schemas.openxmlformats.org/officeDocument/2006/relationships/hyperlink" Target="https://doi.org/10.1016/j.ridd.2015.07.032" TargetMode="External"/><Relationship Id="rId81" Type="http://schemas.openxmlformats.org/officeDocument/2006/relationships/hyperlink" Target="https://eric.ed.gov/?id=EJ1047460" TargetMode="External"/><Relationship Id="rId86" Type="http://schemas.openxmlformats.org/officeDocument/2006/relationships/hyperlink" Target="https://doi.org/10.1111/j.1365-3156.2009.02464.x" TargetMode="External"/><Relationship Id="rId94" Type="http://schemas.openxmlformats.org/officeDocument/2006/relationships/hyperlink" Target="https://doi.org/10.1007/s10803-014-2195-6" TargetMode="External"/><Relationship Id="rId99" Type="http://schemas.openxmlformats.org/officeDocument/2006/relationships/hyperlink" Target="https://doi.org/10.1177/0145482X19865391" TargetMode="External"/><Relationship Id="rId101" Type="http://schemas.openxmlformats.org/officeDocument/2006/relationships/hyperlink" Target="https://doi.org/10.1007/s12402-019-00302-x" TargetMode="External"/><Relationship Id="rId122" Type="http://schemas.openxmlformats.org/officeDocument/2006/relationships/hyperlink" Target="https://www.un.org/development/desa/disabilities/resources/factsheet-on-persons-with-disabilities.html"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doi.org/10.1007/s11845-021-02756-3" TargetMode="External"/><Relationship Id="rId18" Type="http://schemas.openxmlformats.org/officeDocument/2006/relationships/hyperlink" Target="https://doi.org/10.1080/02671522.2012.673006" TargetMode="External"/><Relationship Id="rId39" Type="http://schemas.openxmlformats.org/officeDocument/2006/relationships/hyperlink" Target="https://doi.org/10.1093/her/cyg121" TargetMode="External"/><Relationship Id="rId109" Type="http://schemas.openxmlformats.org/officeDocument/2006/relationships/hyperlink" Target="https://doi.org/10.1037/a0032734" TargetMode="External"/><Relationship Id="rId34" Type="http://schemas.openxmlformats.org/officeDocument/2006/relationships/hyperlink" Target="https://doi.org/10.1186/s12874-021-01309-7" TargetMode="External"/><Relationship Id="rId50" Type="http://schemas.openxmlformats.org/officeDocument/2006/relationships/hyperlink" Target="https://doi.org/10.1016/j.drugpo.2017.07.011" TargetMode="External"/><Relationship Id="rId55" Type="http://schemas.openxmlformats.org/officeDocument/2006/relationships/hyperlink" Target="https://doi.org/10.1037/pspa0000160" TargetMode="External"/><Relationship Id="rId76" Type="http://schemas.openxmlformats.org/officeDocument/2006/relationships/hyperlink" Target="https://www.gld.gu.se/media/2684/gld-working-paper-57.pdf" TargetMode="External"/><Relationship Id="rId97" Type="http://schemas.openxmlformats.org/officeDocument/2006/relationships/hyperlink" Target="https://doi.org/10.1177/00343552050480020301" TargetMode="External"/><Relationship Id="rId104" Type="http://schemas.openxmlformats.org/officeDocument/2006/relationships/hyperlink" Target="https://doi.org/10.1111/jir.12008" TargetMode="External"/><Relationship Id="rId120" Type="http://schemas.openxmlformats.org/officeDocument/2006/relationships/hyperlink" Target="https://doi.org/10.1080/136455700294932" TargetMode="External"/><Relationship Id="rId125" Type="http://schemas.openxmlformats.org/officeDocument/2006/relationships/hyperlink" Target="https://doi.org/10.1016/j.ridd.2013.11.003" TargetMode="External"/><Relationship Id="rId7" Type="http://schemas.openxmlformats.org/officeDocument/2006/relationships/endnotes" Target="endnotes.xml"/><Relationship Id="rId71" Type="http://schemas.openxmlformats.org/officeDocument/2006/relationships/hyperlink" Target="https://doi.org/10.1007/bf03395768" TargetMode="External"/><Relationship Id="rId92" Type="http://schemas.openxmlformats.org/officeDocument/2006/relationships/hyperlink" Target="https://egrove.olemiss.edu/hon_thesis/1090/" TargetMode="External"/><Relationship Id="rId2" Type="http://schemas.openxmlformats.org/officeDocument/2006/relationships/numbering" Target="numbering.xml"/><Relationship Id="rId29" Type="http://schemas.openxmlformats.org/officeDocument/2006/relationships/hyperlink" Target="https://doi.org/10.1016/j.socscimed.2006.03.004" TargetMode="External"/><Relationship Id="rId24" Type="http://schemas.openxmlformats.org/officeDocument/2006/relationships/hyperlink" Target="https://doi.org/10.1002/capr.12139" TargetMode="External"/><Relationship Id="rId40" Type="http://schemas.openxmlformats.org/officeDocument/2006/relationships/hyperlink" Target="https://doi.org/10.1016/j.midw.2010.03.001" TargetMode="External"/><Relationship Id="rId45" Type="http://schemas.openxmlformats.org/officeDocument/2006/relationships/hyperlink" Target="https://doi.org/10.1007/s11135-017-0533-4" TargetMode="External"/><Relationship Id="rId66" Type="http://schemas.openxmlformats.org/officeDocument/2006/relationships/hyperlink" Target="https://doi.org/10.1037/pspa0000016" TargetMode="External"/><Relationship Id="rId87" Type="http://schemas.openxmlformats.org/officeDocument/2006/relationships/hyperlink" Target="https://doi.org/10.1016/j.socscimed.2020.113326" TargetMode="External"/><Relationship Id="rId110" Type="http://schemas.openxmlformats.org/officeDocument/2006/relationships/hyperlink" Target="https://doi.org/10.1177/0193945914545177" TargetMode="External"/><Relationship Id="rId115" Type="http://schemas.openxmlformats.org/officeDocument/2006/relationships/hyperlink" Target="https://doi.org/10.1037/0090-5550.51.3.202" TargetMode="External"/><Relationship Id="rId61" Type="http://schemas.openxmlformats.org/officeDocument/2006/relationships/hyperlink" Target="https://doi.org/10.1016/j.jcbs.2013.05.002" TargetMode="External"/><Relationship Id="rId82" Type="http://schemas.openxmlformats.org/officeDocument/2006/relationships/hyperlink" Target="https://doi.org/10.1016/j.ridd.2018.02.00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pHr257x0vGA&amp;t=3028s&amp;ab_channel=EuropeanSocialSurvey" TargetMode="External"/><Relationship Id="rId2" Type="http://schemas.openxmlformats.org/officeDocument/2006/relationships/hyperlink" Target="https://implicit.harvard.edu/implicit/" TargetMode="External"/><Relationship Id="rId1" Type="http://schemas.openxmlformats.org/officeDocument/2006/relationships/hyperlink" Target="https://nda.ie/awareness-raising-and-attitudes/public-attitudes-to-disability-in-ireland" TargetMode="External"/><Relationship Id="rId4" Type="http://schemas.openxmlformats.org/officeDocument/2006/relationships/hyperlink" Target="https://www.techtarget.com/searchbusinessanalytics/definition/noisy-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757DB-B36F-49C7-B6B1-730C92D7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51</Pages>
  <Words>16452</Words>
  <Characters>93782</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 Walsh</dc:creator>
  <cp:keywords/>
  <cp:lastModifiedBy>tammingre</cp:lastModifiedBy>
  <cp:revision>2</cp:revision>
  <cp:lastPrinted>2023-01-05T11:11:00Z</cp:lastPrinted>
  <dcterms:created xsi:type="dcterms:W3CDTF">2023-01-17T16:12:00Z</dcterms:created>
  <dcterms:modified xsi:type="dcterms:W3CDTF">2023-01-17T16:12:00Z</dcterms:modified>
</cp:coreProperties>
</file>