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29" w:rsidRPr="00643B4D" w:rsidRDefault="00A5458A" w:rsidP="00804BF1">
      <w:pPr>
        <w:pStyle w:val="Title"/>
        <w:spacing w:line="240" w:lineRule="auto"/>
      </w:pPr>
      <w:bookmarkStart w:id="0" w:name="_Toc367449240"/>
      <w:bookmarkStart w:id="1" w:name="_Toc367449728"/>
      <w:bookmarkStart w:id="2" w:name="_Toc367888625"/>
      <w:bookmarkStart w:id="3" w:name="_Toc368056828"/>
      <w:bookmarkStart w:id="4" w:name="_Toc368058743"/>
      <w:bookmarkStart w:id="5" w:name="_GoBack"/>
      <w:bookmarkEnd w:id="5"/>
      <w:r>
        <w:t xml:space="preserve">Annual Report </w:t>
      </w:r>
      <w:r w:rsidR="00841E1D">
        <w:br/>
      </w:r>
      <w:r>
        <w:t>2012</w:t>
      </w:r>
      <w:bookmarkEnd w:id="0"/>
      <w:bookmarkEnd w:id="1"/>
      <w:bookmarkEnd w:id="2"/>
      <w:bookmarkEnd w:id="3"/>
      <w:bookmarkEnd w:id="4"/>
    </w:p>
    <w:p w:rsidR="003F6957" w:rsidRDefault="00DD51CC" w:rsidP="003F6957">
      <w:pPr>
        <w:spacing w:before="6000"/>
      </w:pPr>
      <w:r>
        <w:rPr>
          <w:noProof/>
          <w:lang w:eastAsia="en-IE"/>
        </w:rPr>
        <w:drawing>
          <wp:inline distT="0" distB="0" distL="0" distR="0">
            <wp:extent cx="2343150" cy="1666875"/>
            <wp:effectExtent l="0" t="0" r="0" b="0"/>
            <wp:docPr id="3" name="Picture 3"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sability Author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666875"/>
                    </a:xfrm>
                    <a:prstGeom prst="rect">
                      <a:avLst/>
                    </a:prstGeom>
                    <a:noFill/>
                    <a:ln>
                      <a:noFill/>
                    </a:ln>
                  </pic:spPr>
                </pic:pic>
              </a:graphicData>
            </a:graphic>
          </wp:inline>
        </w:drawing>
      </w:r>
    </w:p>
    <w:p w:rsidR="003F6957" w:rsidRDefault="003F6957">
      <w:pPr>
        <w:pStyle w:val="TOC1"/>
        <w:rPr>
          <w:rFonts w:ascii="Times New Roman" w:hAnsi="Times New Roman"/>
          <w:b w:val="0"/>
          <w:noProof/>
          <w:sz w:val="24"/>
          <w:lang w:val="en-GB" w:eastAsia="en-GB"/>
        </w:rPr>
      </w:pPr>
      <w:r>
        <w:lastRenderedPageBreak/>
        <w:fldChar w:fldCharType="begin"/>
      </w:r>
      <w:r>
        <w:instrText xml:space="preserve"> TOC \o "1-1" \h \z \u </w:instrText>
      </w:r>
      <w:r>
        <w:fldChar w:fldCharType="separate"/>
      </w:r>
      <w:hyperlink w:anchor="_Toc368058744" w:history="1">
        <w:r w:rsidRPr="003C62D1">
          <w:rPr>
            <w:rStyle w:val="Hyperlink"/>
            <w:noProof/>
          </w:rPr>
          <w:t>Chairperson’s statement</w:t>
        </w:r>
        <w:r>
          <w:rPr>
            <w:noProof/>
            <w:webHidden/>
          </w:rPr>
          <w:tab/>
        </w:r>
        <w:r>
          <w:rPr>
            <w:noProof/>
            <w:webHidden/>
          </w:rPr>
          <w:fldChar w:fldCharType="begin"/>
        </w:r>
        <w:r>
          <w:rPr>
            <w:noProof/>
            <w:webHidden/>
          </w:rPr>
          <w:instrText xml:space="preserve"> PAGEREF _Toc368058744 \h </w:instrText>
        </w:r>
        <w:r>
          <w:rPr>
            <w:noProof/>
            <w:webHidden/>
          </w:rPr>
        </w:r>
        <w:r>
          <w:rPr>
            <w:noProof/>
            <w:webHidden/>
          </w:rPr>
          <w:fldChar w:fldCharType="separate"/>
        </w:r>
        <w:r w:rsidR="004918E0">
          <w:rPr>
            <w:noProof/>
            <w:webHidden/>
          </w:rPr>
          <w:t>3</w:t>
        </w:r>
        <w:r>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45" w:history="1">
        <w:r w:rsidR="003F6957" w:rsidRPr="003C62D1">
          <w:rPr>
            <w:rStyle w:val="Hyperlink"/>
            <w:noProof/>
          </w:rPr>
          <w:t>Director’s statement</w:t>
        </w:r>
        <w:r w:rsidR="003F6957">
          <w:rPr>
            <w:noProof/>
            <w:webHidden/>
          </w:rPr>
          <w:tab/>
        </w:r>
        <w:r w:rsidR="003F6957">
          <w:rPr>
            <w:noProof/>
            <w:webHidden/>
          </w:rPr>
          <w:fldChar w:fldCharType="begin"/>
        </w:r>
        <w:r w:rsidR="003F6957">
          <w:rPr>
            <w:noProof/>
            <w:webHidden/>
          </w:rPr>
          <w:instrText xml:space="preserve"> PAGEREF _Toc368058745 \h </w:instrText>
        </w:r>
        <w:r w:rsidR="003F6957">
          <w:rPr>
            <w:noProof/>
            <w:webHidden/>
          </w:rPr>
        </w:r>
        <w:r w:rsidR="003F6957">
          <w:rPr>
            <w:noProof/>
            <w:webHidden/>
          </w:rPr>
          <w:fldChar w:fldCharType="separate"/>
        </w:r>
        <w:r w:rsidR="004918E0">
          <w:rPr>
            <w:noProof/>
            <w:webHidden/>
          </w:rPr>
          <w:t>5</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46" w:history="1">
        <w:r w:rsidR="003F6957" w:rsidRPr="003C62D1">
          <w:rPr>
            <w:rStyle w:val="Hyperlink"/>
            <w:noProof/>
          </w:rPr>
          <w:t>Overview and policy context</w:t>
        </w:r>
        <w:r w:rsidR="003F6957">
          <w:rPr>
            <w:noProof/>
            <w:webHidden/>
          </w:rPr>
          <w:tab/>
        </w:r>
        <w:r w:rsidR="003F6957">
          <w:rPr>
            <w:noProof/>
            <w:webHidden/>
          </w:rPr>
          <w:fldChar w:fldCharType="begin"/>
        </w:r>
        <w:r w:rsidR="003F6957">
          <w:rPr>
            <w:noProof/>
            <w:webHidden/>
          </w:rPr>
          <w:instrText xml:space="preserve"> PAGEREF _Toc368058746 \h </w:instrText>
        </w:r>
        <w:r w:rsidR="003F6957">
          <w:rPr>
            <w:noProof/>
            <w:webHidden/>
          </w:rPr>
        </w:r>
        <w:r w:rsidR="003F6957">
          <w:rPr>
            <w:noProof/>
            <w:webHidden/>
          </w:rPr>
          <w:fldChar w:fldCharType="separate"/>
        </w:r>
        <w:r w:rsidR="004918E0">
          <w:rPr>
            <w:noProof/>
            <w:webHidden/>
          </w:rPr>
          <w:t>7</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47" w:history="1">
        <w:r w:rsidR="003F6957" w:rsidRPr="003C62D1">
          <w:rPr>
            <w:rStyle w:val="Hyperlink"/>
            <w:noProof/>
          </w:rPr>
          <w:t>Strategic priority 1</w:t>
        </w:r>
        <w:r w:rsidR="003F6957">
          <w:rPr>
            <w:noProof/>
            <w:webHidden/>
          </w:rPr>
          <w:tab/>
        </w:r>
        <w:r w:rsidR="003F6957">
          <w:rPr>
            <w:noProof/>
            <w:webHidden/>
          </w:rPr>
          <w:fldChar w:fldCharType="begin"/>
        </w:r>
        <w:r w:rsidR="003F6957">
          <w:rPr>
            <w:noProof/>
            <w:webHidden/>
          </w:rPr>
          <w:instrText xml:space="preserve"> PAGEREF _Toc368058747 \h </w:instrText>
        </w:r>
        <w:r w:rsidR="003F6957">
          <w:rPr>
            <w:noProof/>
            <w:webHidden/>
          </w:rPr>
        </w:r>
        <w:r w:rsidR="003F6957">
          <w:rPr>
            <w:noProof/>
            <w:webHidden/>
          </w:rPr>
          <w:fldChar w:fldCharType="separate"/>
        </w:r>
        <w:r w:rsidR="004918E0">
          <w:rPr>
            <w:noProof/>
            <w:webHidden/>
          </w:rPr>
          <w:t>11</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48" w:history="1">
        <w:r w:rsidR="003F6957" w:rsidRPr="003C62D1">
          <w:rPr>
            <w:rStyle w:val="Hyperlink"/>
            <w:noProof/>
          </w:rPr>
          <w:t>Strategic priority 2</w:t>
        </w:r>
        <w:r w:rsidR="003F6957">
          <w:rPr>
            <w:noProof/>
            <w:webHidden/>
          </w:rPr>
          <w:tab/>
        </w:r>
        <w:r w:rsidR="003F6957">
          <w:rPr>
            <w:noProof/>
            <w:webHidden/>
          </w:rPr>
          <w:fldChar w:fldCharType="begin"/>
        </w:r>
        <w:r w:rsidR="003F6957">
          <w:rPr>
            <w:noProof/>
            <w:webHidden/>
          </w:rPr>
          <w:instrText xml:space="preserve"> PAGEREF _Toc368058748 \h </w:instrText>
        </w:r>
        <w:r w:rsidR="003F6957">
          <w:rPr>
            <w:noProof/>
            <w:webHidden/>
          </w:rPr>
        </w:r>
        <w:r w:rsidR="003F6957">
          <w:rPr>
            <w:noProof/>
            <w:webHidden/>
          </w:rPr>
          <w:fldChar w:fldCharType="separate"/>
        </w:r>
        <w:r w:rsidR="004918E0">
          <w:rPr>
            <w:noProof/>
            <w:webHidden/>
          </w:rPr>
          <w:t>19</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49" w:history="1">
        <w:r w:rsidR="003F6957" w:rsidRPr="003C62D1">
          <w:rPr>
            <w:rStyle w:val="Hyperlink"/>
            <w:noProof/>
          </w:rPr>
          <w:t>Strategic priority 3</w:t>
        </w:r>
        <w:r w:rsidR="003F6957">
          <w:rPr>
            <w:noProof/>
            <w:webHidden/>
          </w:rPr>
          <w:tab/>
        </w:r>
        <w:r w:rsidR="003F6957">
          <w:rPr>
            <w:noProof/>
            <w:webHidden/>
          </w:rPr>
          <w:fldChar w:fldCharType="begin"/>
        </w:r>
        <w:r w:rsidR="003F6957">
          <w:rPr>
            <w:noProof/>
            <w:webHidden/>
          </w:rPr>
          <w:instrText xml:space="preserve"> PAGEREF _Toc368058749 \h </w:instrText>
        </w:r>
        <w:r w:rsidR="003F6957">
          <w:rPr>
            <w:noProof/>
            <w:webHidden/>
          </w:rPr>
        </w:r>
        <w:r w:rsidR="003F6957">
          <w:rPr>
            <w:noProof/>
            <w:webHidden/>
          </w:rPr>
          <w:fldChar w:fldCharType="separate"/>
        </w:r>
        <w:r w:rsidR="004918E0">
          <w:rPr>
            <w:noProof/>
            <w:webHidden/>
          </w:rPr>
          <w:t>23</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50" w:history="1">
        <w:r w:rsidR="003F6957" w:rsidRPr="003C62D1">
          <w:rPr>
            <w:rStyle w:val="Hyperlink"/>
            <w:noProof/>
          </w:rPr>
          <w:t>Strategic priority 4</w:t>
        </w:r>
        <w:r w:rsidR="003F6957">
          <w:rPr>
            <w:noProof/>
            <w:webHidden/>
          </w:rPr>
          <w:tab/>
        </w:r>
        <w:r w:rsidR="003F6957">
          <w:rPr>
            <w:noProof/>
            <w:webHidden/>
          </w:rPr>
          <w:fldChar w:fldCharType="begin"/>
        </w:r>
        <w:r w:rsidR="003F6957">
          <w:rPr>
            <w:noProof/>
            <w:webHidden/>
          </w:rPr>
          <w:instrText xml:space="preserve"> PAGEREF _Toc368058750 \h </w:instrText>
        </w:r>
        <w:r w:rsidR="003F6957">
          <w:rPr>
            <w:noProof/>
            <w:webHidden/>
          </w:rPr>
        </w:r>
        <w:r w:rsidR="003F6957">
          <w:rPr>
            <w:noProof/>
            <w:webHidden/>
          </w:rPr>
          <w:fldChar w:fldCharType="separate"/>
        </w:r>
        <w:r w:rsidR="004918E0">
          <w:rPr>
            <w:noProof/>
            <w:webHidden/>
          </w:rPr>
          <w:t>32</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51" w:history="1">
        <w:r w:rsidR="003F6957" w:rsidRPr="003C62D1">
          <w:rPr>
            <w:rStyle w:val="Hyperlink"/>
            <w:noProof/>
            <w:lang w:val="en-GB"/>
          </w:rPr>
          <w:t>Financial statements 2012</w:t>
        </w:r>
        <w:r w:rsidR="003F6957">
          <w:rPr>
            <w:noProof/>
            <w:webHidden/>
          </w:rPr>
          <w:tab/>
        </w:r>
        <w:r w:rsidR="003F6957">
          <w:rPr>
            <w:noProof/>
            <w:webHidden/>
          </w:rPr>
          <w:fldChar w:fldCharType="begin"/>
        </w:r>
        <w:r w:rsidR="003F6957">
          <w:rPr>
            <w:noProof/>
            <w:webHidden/>
          </w:rPr>
          <w:instrText xml:space="preserve"> PAGEREF _Toc368058751 \h </w:instrText>
        </w:r>
        <w:r w:rsidR="003F6957">
          <w:rPr>
            <w:noProof/>
            <w:webHidden/>
          </w:rPr>
        </w:r>
        <w:r w:rsidR="003F6957">
          <w:rPr>
            <w:noProof/>
            <w:webHidden/>
          </w:rPr>
          <w:fldChar w:fldCharType="separate"/>
        </w:r>
        <w:r w:rsidR="004918E0">
          <w:rPr>
            <w:noProof/>
            <w:webHidden/>
          </w:rPr>
          <w:t>35</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52" w:history="1">
        <w:r w:rsidR="003F6957" w:rsidRPr="003C62D1">
          <w:rPr>
            <w:rStyle w:val="Hyperlink"/>
            <w:noProof/>
          </w:rPr>
          <w:t>Appendix 1: Authority and other committees in 2012</w:t>
        </w:r>
        <w:r w:rsidR="003F6957">
          <w:rPr>
            <w:noProof/>
            <w:webHidden/>
          </w:rPr>
          <w:tab/>
        </w:r>
        <w:r w:rsidR="003F6957">
          <w:rPr>
            <w:noProof/>
            <w:webHidden/>
          </w:rPr>
          <w:fldChar w:fldCharType="begin"/>
        </w:r>
        <w:r w:rsidR="003F6957">
          <w:rPr>
            <w:noProof/>
            <w:webHidden/>
          </w:rPr>
          <w:instrText xml:space="preserve"> PAGEREF _Toc368058752 \h </w:instrText>
        </w:r>
        <w:r w:rsidR="003F6957">
          <w:rPr>
            <w:noProof/>
            <w:webHidden/>
          </w:rPr>
        </w:r>
        <w:r w:rsidR="003F6957">
          <w:rPr>
            <w:noProof/>
            <w:webHidden/>
          </w:rPr>
          <w:fldChar w:fldCharType="separate"/>
        </w:r>
        <w:r w:rsidR="004918E0">
          <w:rPr>
            <w:noProof/>
            <w:webHidden/>
          </w:rPr>
          <w:t>62</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53" w:history="1">
        <w:r w:rsidR="003F6957" w:rsidRPr="003C62D1">
          <w:rPr>
            <w:rStyle w:val="Hyperlink"/>
            <w:noProof/>
          </w:rPr>
          <w:t>Appendix 2: Representation on external bodies in 2012</w:t>
        </w:r>
        <w:r w:rsidR="003F6957">
          <w:rPr>
            <w:noProof/>
            <w:webHidden/>
          </w:rPr>
          <w:tab/>
        </w:r>
        <w:r w:rsidR="003F6957">
          <w:rPr>
            <w:noProof/>
            <w:webHidden/>
          </w:rPr>
          <w:fldChar w:fldCharType="begin"/>
        </w:r>
        <w:r w:rsidR="003F6957">
          <w:rPr>
            <w:noProof/>
            <w:webHidden/>
          </w:rPr>
          <w:instrText xml:space="preserve"> PAGEREF _Toc368058753 \h </w:instrText>
        </w:r>
        <w:r w:rsidR="003F6957">
          <w:rPr>
            <w:noProof/>
            <w:webHidden/>
          </w:rPr>
        </w:r>
        <w:r w:rsidR="003F6957">
          <w:rPr>
            <w:noProof/>
            <w:webHidden/>
          </w:rPr>
          <w:fldChar w:fldCharType="separate"/>
        </w:r>
        <w:r w:rsidR="004918E0">
          <w:rPr>
            <w:noProof/>
            <w:webHidden/>
          </w:rPr>
          <w:t>64</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54" w:history="1">
        <w:r w:rsidR="003F6957" w:rsidRPr="003C62D1">
          <w:rPr>
            <w:rStyle w:val="Hyperlink"/>
            <w:noProof/>
          </w:rPr>
          <w:t>Appendix 3: Publications in 2012</w:t>
        </w:r>
        <w:r w:rsidR="003F6957">
          <w:rPr>
            <w:noProof/>
            <w:webHidden/>
          </w:rPr>
          <w:tab/>
        </w:r>
        <w:r w:rsidR="003F6957">
          <w:rPr>
            <w:noProof/>
            <w:webHidden/>
          </w:rPr>
          <w:fldChar w:fldCharType="begin"/>
        </w:r>
        <w:r w:rsidR="003F6957">
          <w:rPr>
            <w:noProof/>
            <w:webHidden/>
          </w:rPr>
          <w:instrText xml:space="preserve"> PAGEREF _Toc368058754 \h </w:instrText>
        </w:r>
        <w:r w:rsidR="003F6957">
          <w:rPr>
            <w:noProof/>
            <w:webHidden/>
          </w:rPr>
        </w:r>
        <w:r w:rsidR="003F6957">
          <w:rPr>
            <w:noProof/>
            <w:webHidden/>
          </w:rPr>
          <w:fldChar w:fldCharType="separate"/>
        </w:r>
        <w:r w:rsidR="004918E0">
          <w:rPr>
            <w:noProof/>
            <w:webHidden/>
          </w:rPr>
          <w:t>67</w:t>
        </w:r>
        <w:r w:rsidR="003F6957">
          <w:rPr>
            <w:noProof/>
            <w:webHidden/>
          </w:rPr>
          <w:fldChar w:fldCharType="end"/>
        </w:r>
      </w:hyperlink>
    </w:p>
    <w:p w:rsidR="003F6957" w:rsidRDefault="00DD51CC">
      <w:pPr>
        <w:pStyle w:val="TOC1"/>
        <w:rPr>
          <w:rFonts w:ascii="Times New Roman" w:hAnsi="Times New Roman"/>
          <w:b w:val="0"/>
          <w:noProof/>
          <w:sz w:val="24"/>
          <w:lang w:val="en-GB" w:eastAsia="en-GB"/>
        </w:rPr>
      </w:pPr>
      <w:hyperlink w:anchor="_Toc368058755" w:history="1">
        <w:r w:rsidR="003F6957" w:rsidRPr="003C62D1">
          <w:rPr>
            <w:rStyle w:val="Hyperlink"/>
            <w:noProof/>
          </w:rPr>
          <w:t>Appendix 4: Policy advice papers in 2012</w:t>
        </w:r>
        <w:r w:rsidR="003F6957">
          <w:rPr>
            <w:noProof/>
            <w:webHidden/>
          </w:rPr>
          <w:tab/>
        </w:r>
        <w:r w:rsidR="003F6957">
          <w:rPr>
            <w:noProof/>
            <w:webHidden/>
          </w:rPr>
          <w:fldChar w:fldCharType="begin"/>
        </w:r>
        <w:r w:rsidR="003F6957">
          <w:rPr>
            <w:noProof/>
            <w:webHidden/>
          </w:rPr>
          <w:instrText xml:space="preserve"> PAGEREF _Toc368058755 \h </w:instrText>
        </w:r>
        <w:r w:rsidR="003F6957">
          <w:rPr>
            <w:noProof/>
            <w:webHidden/>
          </w:rPr>
        </w:r>
        <w:r w:rsidR="003F6957">
          <w:rPr>
            <w:noProof/>
            <w:webHidden/>
          </w:rPr>
          <w:fldChar w:fldCharType="separate"/>
        </w:r>
        <w:r w:rsidR="004918E0">
          <w:rPr>
            <w:noProof/>
            <w:webHidden/>
          </w:rPr>
          <w:t>68</w:t>
        </w:r>
        <w:r w:rsidR="003F6957">
          <w:rPr>
            <w:noProof/>
            <w:webHidden/>
          </w:rPr>
          <w:fldChar w:fldCharType="end"/>
        </w:r>
      </w:hyperlink>
    </w:p>
    <w:p w:rsidR="00900829" w:rsidRDefault="003F6957" w:rsidP="00C83107">
      <w:r>
        <w:fldChar w:fldCharType="end"/>
      </w:r>
    </w:p>
    <w:p w:rsidR="00DD7803" w:rsidRPr="00ED077E" w:rsidRDefault="00BC4DDD" w:rsidP="00ED077E">
      <w:pPr>
        <w:pStyle w:val="Heading1"/>
      </w:pPr>
      <w:bookmarkStart w:id="6" w:name="_Toc368058744"/>
      <w:r w:rsidRPr="00ED077E">
        <w:lastRenderedPageBreak/>
        <w:t>Chairperson’s statement</w:t>
      </w:r>
      <w:bookmarkEnd w:id="6"/>
    </w:p>
    <w:p w:rsidR="00A61BBF" w:rsidRPr="00A61BBF" w:rsidRDefault="00A61BBF" w:rsidP="00804BF1">
      <w:pPr>
        <w:rPr>
          <w:lang w:val="ga-IE" w:eastAsia="en-GB"/>
        </w:rPr>
      </w:pPr>
      <w:r w:rsidRPr="00A61BBF">
        <w:rPr>
          <w:lang w:val="ga-IE" w:eastAsia="en-GB"/>
        </w:rPr>
        <w:t>I am pleased to present the Annual Report of the National Disability Authority for 201</w:t>
      </w:r>
      <w:r>
        <w:t>2</w:t>
      </w:r>
      <w:r w:rsidRPr="00A61BBF">
        <w:rPr>
          <w:lang w:val="ga-IE" w:eastAsia="en-GB"/>
        </w:rPr>
        <w:t xml:space="preserve"> to the Minister for Justice and Equality. </w:t>
      </w:r>
      <w:r w:rsidR="009F30B2">
        <w:t xml:space="preserve">This report outlines the activities </w:t>
      </w:r>
      <w:r w:rsidR="00B2730D" w:rsidRPr="00B2730D">
        <w:t xml:space="preserve">and outputs </w:t>
      </w:r>
      <w:r w:rsidR="009F30B2">
        <w:t>of t</w:t>
      </w:r>
      <w:r w:rsidR="006309CB" w:rsidRPr="006309CB">
        <w:rPr>
          <w:lang w:val="ga-IE" w:eastAsia="en-GB"/>
        </w:rPr>
        <w:t>he National Disability Authority</w:t>
      </w:r>
      <w:r w:rsidR="009F30B2">
        <w:t xml:space="preserve">, </w:t>
      </w:r>
      <w:r w:rsidR="006309CB" w:rsidRPr="006309CB">
        <w:rPr>
          <w:lang w:val="ga-IE" w:eastAsia="en-GB"/>
        </w:rPr>
        <w:t xml:space="preserve">the independent state body providing expert advice on disability policy and practice to the Minister, and promoting Universal Design in </w:t>
      </w:r>
      <w:smartTag w:uri="urn:schemas-microsoft-com:office:smarttags" w:element="place">
        <w:smartTag w:uri="urn:schemas-microsoft-com:office:smarttags" w:element="country-region">
          <w:r w:rsidR="006309CB" w:rsidRPr="006309CB">
            <w:rPr>
              <w:lang w:val="ga-IE" w:eastAsia="en-GB"/>
            </w:rPr>
            <w:t>Ireland</w:t>
          </w:r>
        </w:smartTag>
      </w:smartTag>
      <w:r w:rsidR="006309CB" w:rsidRPr="006309CB">
        <w:rPr>
          <w:lang w:val="ga-IE" w:eastAsia="en-GB"/>
        </w:rPr>
        <w:t>.</w:t>
      </w:r>
    </w:p>
    <w:p w:rsidR="00A61BBF" w:rsidRDefault="00B2730D" w:rsidP="00804BF1">
      <w:pPr>
        <w:pStyle w:val="NormalBeforeandafterlist"/>
      </w:pPr>
      <w:r w:rsidRPr="00B2730D">
        <w:t xml:space="preserve">During 2012 a tremendous amount of work was undertaken by the </w:t>
      </w:r>
      <w:r w:rsidR="00C465CA" w:rsidRPr="006309CB">
        <w:rPr>
          <w:lang w:val="ga-IE" w:eastAsia="en-GB"/>
        </w:rPr>
        <w:t>National Disability Authority</w:t>
      </w:r>
      <w:r w:rsidR="00C465CA" w:rsidRPr="00B2730D">
        <w:t xml:space="preserve"> </w:t>
      </w:r>
      <w:r w:rsidRPr="00B2730D">
        <w:t>in terms of research, expert advice, standards development, and support. A high level of output was achieved which included</w:t>
      </w:r>
      <w:r w:rsidR="006309CB">
        <w:t>:</w:t>
      </w:r>
    </w:p>
    <w:p w:rsidR="00166B48" w:rsidRPr="00166B48" w:rsidRDefault="00166B48" w:rsidP="001E1D09">
      <w:pPr>
        <w:pStyle w:val="ListBullet"/>
      </w:pPr>
      <w:r w:rsidRPr="00166B48">
        <w:t>Building for Everyone: A Universal Design Approach</w:t>
      </w:r>
      <w:r w:rsidR="001E1D09">
        <w:t xml:space="preserve"> offering detailed guidance to building professionals</w:t>
      </w:r>
    </w:p>
    <w:p w:rsidR="00C1563F" w:rsidRDefault="00C1563F" w:rsidP="001E1D09">
      <w:pPr>
        <w:pStyle w:val="ListBullet"/>
      </w:pPr>
      <w:r>
        <w:t>Publication of research on public attitudes to people with disabilities</w:t>
      </w:r>
    </w:p>
    <w:p w:rsidR="00C1563F" w:rsidRDefault="00C1563F" w:rsidP="001E1D09">
      <w:pPr>
        <w:pStyle w:val="ListBullet"/>
      </w:pPr>
      <w:r>
        <w:t>Research on the statutory Assessment of Need for disability services</w:t>
      </w:r>
    </w:p>
    <w:p w:rsidR="00C1563F" w:rsidRDefault="00C1563F" w:rsidP="001E1D09">
      <w:pPr>
        <w:pStyle w:val="ListBullet"/>
      </w:pPr>
      <w:r>
        <w:t xml:space="preserve">Research, consultation and policy advice </w:t>
      </w:r>
      <w:r w:rsidR="0089105A">
        <w:t>to inform the review of Domiciliary Care Allowance</w:t>
      </w:r>
    </w:p>
    <w:p w:rsidR="0089105A" w:rsidRDefault="0089105A" w:rsidP="001E1D09">
      <w:pPr>
        <w:pStyle w:val="ListBullet"/>
      </w:pPr>
      <w:r>
        <w:t>Research on personal budgets and on resource allocation models to underpin their proposed introduction</w:t>
      </w:r>
    </w:p>
    <w:p w:rsidR="009F2C3A" w:rsidRDefault="009F2C3A" w:rsidP="001E1D09">
      <w:pPr>
        <w:pStyle w:val="ListBullet"/>
      </w:pPr>
      <w:r>
        <w:t>Guidance on accessible mainstream health services</w:t>
      </w:r>
    </w:p>
    <w:p w:rsidR="00F21D92" w:rsidRPr="00166B48" w:rsidRDefault="0089105A" w:rsidP="001E1D09">
      <w:pPr>
        <w:pStyle w:val="ListBullet"/>
      </w:pPr>
      <w:r>
        <w:t>The f</w:t>
      </w:r>
      <w:r w:rsidR="00F21D92">
        <w:t>irst national standard on Universal Design</w:t>
      </w:r>
    </w:p>
    <w:p w:rsidR="00166B48" w:rsidRPr="00166B48" w:rsidRDefault="0089105A" w:rsidP="001E1D09">
      <w:pPr>
        <w:pStyle w:val="ListBullet"/>
      </w:pPr>
      <w:r>
        <w:t xml:space="preserve">An </w:t>
      </w:r>
      <w:r w:rsidR="001E1D09">
        <w:t>Accessibility T</w:t>
      </w:r>
      <w:r w:rsidR="00166B48" w:rsidRPr="00166B48">
        <w:t>oolkit for public sector staff</w:t>
      </w:r>
      <w:r w:rsidR="00C1563F">
        <w:t>, and guidance document on public procurement of accessible goods and services</w:t>
      </w:r>
    </w:p>
    <w:p w:rsidR="00166B48" w:rsidRPr="00166B48" w:rsidRDefault="00166B48" w:rsidP="0089105A">
      <w:pPr>
        <w:pStyle w:val="ListBullet"/>
        <w:spacing w:after="240"/>
      </w:pPr>
      <w:r w:rsidRPr="00166B48">
        <w:t xml:space="preserve">Research on the </w:t>
      </w:r>
      <w:r w:rsidR="001E1D09">
        <w:t xml:space="preserve">systems of </w:t>
      </w:r>
      <w:r w:rsidRPr="00166B48">
        <w:t xml:space="preserve">provision of Assistive Technology in </w:t>
      </w:r>
      <w:smartTag w:uri="urn:schemas-microsoft-com:office:smarttags" w:element="place">
        <w:smartTag w:uri="urn:schemas-microsoft-com:office:smarttags" w:element="country-region">
          <w:r w:rsidRPr="00166B48">
            <w:t>Ireland</w:t>
          </w:r>
        </w:smartTag>
      </w:smartTag>
      <w:r w:rsidRPr="00166B48">
        <w:t xml:space="preserve"> and other countries </w:t>
      </w:r>
    </w:p>
    <w:p w:rsidR="003F4546" w:rsidRPr="00B2730D" w:rsidRDefault="00B2730D" w:rsidP="00804BF1">
      <w:pPr>
        <w:pStyle w:val="NormalAfterList"/>
        <w:spacing w:before="0"/>
      </w:pPr>
      <w:r w:rsidRPr="00B2730D">
        <w:t>The challenge of reductions in staff numbers continued in 2012</w:t>
      </w:r>
      <w:r>
        <w:t>;</w:t>
      </w:r>
      <w:r w:rsidRPr="00B2730D">
        <w:t xml:space="preserve"> however</w:t>
      </w:r>
      <w:r>
        <w:t>,</w:t>
      </w:r>
      <w:r w:rsidRPr="00B2730D">
        <w:t xml:space="preserve"> all of the above was made possible through the efforts of a flexible and committed staff team who strove to achieve value for money.</w:t>
      </w:r>
    </w:p>
    <w:p w:rsidR="006309CB" w:rsidRPr="006309CB" w:rsidRDefault="006309CB" w:rsidP="00804BF1">
      <w:r w:rsidRPr="006309CB">
        <w:t>I would like to thank the staff of the Disability Policy section in the Department of Justice and Equality, as well as the staff of the Financial Shared Services unit and the shared IT services</w:t>
      </w:r>
      <w:r>
        <w:t>, for their continued support to the National Disability Authority</w:t>
      </w:r>
      <w:r w:rsidRPr="006309CB">
        <w:t>.</w:t>
      </w:r>
    </w:p>
    <w:p w:rsidR="006309CB" w:rsidRPr="006309CB" w:rsidRDefault="006309CB" w:rsidP="00804BF1">
      <w:r w:rsidRPr="006309CB">
        <w:t xml:space="preserve">I thank the members </w:t>
      </w:r>
      <w:r w:rsidR="00AB37BB">
        <w:t xml:space="preserve">of the Authority </w:t>
      </w:r>
      <w:r w:rsidRPr="006309CB">
        <w:t xml:space="preserve">for their work during </w:t>
      </w:r>
      <w:r w:rsidR="00AB37BB">
        <w:t>2012</w:t>
      </w:r>
      <w:r w:rsidRPr="006309CB">
        <w:t>, and also the members of the Finance and Audit committees. The consistent level of attendance and the high standard of contributions across the board have demonstrated a strong commitment to making a difference.</w:t>
      </w:r>
    </w:p>
    <w:p w:rsidR="00A61BBF" w:rsidRPr="00A61BBF" w:rsidRDefault="00C7324C" w:rsidP="00804BF1">
      <w:pPr>
        <w:rPr>
          <w:lang w:val="ga-IE" w:eastAsia="en-GB"/>
        </w:rPr>
      </w:pPr>
      <w:r w:rsidRPr="00C7324C">
        <w:t>Finally, I would like to recognise the continued dedication, enthusiasm</w:t>
      </w:r>
      <w:r w:rsidR="00894A24">
        <w:t>,</w:t>
      </w:r>
      <w:r w:rsidRPr="00C7324C">
        <w:t xml:space="preserve"> and expertise of the staff of National Disability Authority and the excellent stewardship of the Director and the Executive Management Team. I know that through their continued commitment, and dedication the lives of people with disabilities in </w:t>
      </w:r>
      <w:smartTag w:uri="urn:schemas-microsoft-com:office:smarttags" w:element="country-region">
        <w:smartTag w:uri="urn:schemas-microsoft-com:office:smarttags" w:element="place">
          <w:r w:rsidRPr="00C7324C">
            <w:t>Ireland</w:t>
          </w:r>
        </w:smartTag>
      </w:smartTag>
      <w:r w:rsidRPr="00C7324C">
        <w:t xml:space="preserve"> will be greatly enhanced.</w:t>
      </w:r>
      <w:r w:rsidR="00A61BBF" w:rsidRPr="00A61BBF">
        <w:rPr>
          <w:lang w:val="ga-IE" w:eastAsia="en-GB"/>
        </w:rPr>
        <w:t xml:space="preserve"> </w:t>
      </w:r>
    </w:p>
    <w:p w:rsidR="00A61BBF" w:rsidRPr="00A61BBF" w:rsidRDefault="00A61BBF" w:rsidP="00804BF1">
      <w:pPr>
        <w:rPr>
          <w:lang w:val="ga-IE" w:eastAsia="en-GB"/>
        </w:rPr>
      </w:pPr>
      <w:r w:rsidRPr="00A61BBF">
        <w:rPr>
          <w:lang w:val="ga-IE" w:eastAsia="en-GB"/>
        </w:rPr>
        <w:t>Peter McKevitt</w:t>
      </w:r>
      <w:r>
        <w:br/>
      </w:r>
      <w:r w:rsidRPr="00A61BBF">
        <w:rPr>
          <w:lang w:val="ga-IE" w:eastAsia="en-GB"/>
        </w:rPr>
        <w:t>Chairperson</w:t>
      </w:r>
    </w:p>
    <w:p w:rsidR="00A61BBF" w:rsidRPr="00A61BBF" w:rsidRDefault="00A61BBF" w:rsidP="00804BF1"/>
    <w:p w:rsidR="00BC4DDD" w:rsidRDefault="00BC4DDD" w:rsidP="00804BF1">
      <w:pPr>
        <w:pStyle w:val="Heading1"/>
      </w:pPr>
      <w:bookmarkStart w:id="7" w:name="_Toc368058745"/>
      <w:r>
        <w:t>Director</w:t>
      </w:r>
      <w:r w:rsidRPr="00BC4DDD">
        <w:t xml:space="preserve">’s </w:t>
      </w:r>
      <w:r>
        <w:t>s</w:t>
      </w:r>
      <w:r w:rsidRPr="00BC4DDD">
        <w:t>tatement</w:t>
      </w:r>
      <w:bookmarkEnd w:id="7"/>
    </w:p>
    <w:p w:rsidR="0089105A" w:rsidRDefault="0089105A" w:rsidP="00804BF1">
      <w:r w:rsidRPr="0089105A">
        <w:rPr>
          <w:lang w:val="en-GB"/>
        </w:rPr>
        <w:t>The National Disability Authority has a statutory duty to provide information and</w:t>
      </w:r>
      <w:r w:rsidR="00C56FB4">
        <w:rPr>
          <w:lang w:val="en-GB"/>
        </w:rPr>
        <w:t xml:space="preserve"> evidence-informed</w:t>
      </w:r>
      <w:r w:rsidRPr="0089105A">
        <w:rPr>
          <w:lang w:val="en-GB"/>
        </w:rPr>
        <w:t xml:space="preserve"> advice to the Minister on policy and practice relevant to the lives of persons with disabilities and to assist in the c</w:t>
      </w:r>
      <w:r>
        <w:rPr>
          <w:lang w:val="en-GB"/>
        </w:rPr>
        <w:t xml:space="preserve">o-ordination of such policies. </w:t>
      </w:r>
      <w:r w:rsidR="00894A24" w:rsidRPr="00894A24">
        <w:rPr>
          <w:lang w:val="en-GB"/>
        </w:rPr>
        <w:t>It a</w:t>
      </w:r>
      <w:r w:rsidR="00440A8B">
        <w:rPr>
          <w:lang w:val="en-GB"/>
        </w:rPr>
        <w:t xml:space="preserve">lso has a statutory function </w:t>
      </w:r>
      <w:r w:rsidR="00894A24" w:rsidRPr="00894A24">
        <w:rPr>
          <w:lang w:val="en-GB"/>
        </w:rPr>
        <w:t>to operate the Centre for Excellence in Universal Design, promoting the universal design of the built environment, products, services, information and communication technologies so that they are accessible, easy to use and understand by everyone regardless of their age, size, ability or disability.</w:t>
      </w:r>
      <w:r w:rsidR="00D63B5A">
        <w:rPr>
          <w:lang w:val="en-GB"/>
        </w:rPr>
        <w:t xml:space="preserve"> </w:t>
      </w:r>
    </w:p>
    <w:p w:rsidR="0089105A" w:rsidRPr="0089105A" w:rsidRDefault="0089105A" w:rsidP="0089105A">
      <w:pPr>
        <w:rPr>
          <w:lang w:val="en-GB"/>
        </w:rPr>
      </w:pPr>
      <w:r w:rsidRPr="0089105A">
        <w:rPr>
          <w:lang w:val="en-GB"/>
        </w:rPr>
        <w:t xml:space="preserve">The </w:t>
      </w:r>
      <w:r w:rsidR="00C465CA" w:rsidRPr="006309CB">
        <w:rPr>
          <w:lang w:val="ga-IE" w:eastAsia="en-GB"/>
        </w:rPr>
        <w:t>National Disability Authority</w:t>
      </w:r>
      <w:r w:rsidR="00C465CA">
        <w:rPr>
          <w:lang w:val="en-GB"/>
        </w:rPr>
        <w:t>’</w:t>
      </w:r>
      <w:r w:rsidRPr="0089105A">
        <w:rPr>
          <w:lang w:val="en-GB"/>
        </w:rPr>
        <w:t>s role therefore covers many policy areas including</w:t>
      </w:r>
      <w:r w:rsidR="009F2C3A">
        <w:rPr>
          <w:lang w:val="en-GB"/>
        </w:rPr>
        <w:t xml:space="preserve"> research and advice on reform of disability services, on </w:t>
      </w:r>
      <w:r w:rsidR="0020686C">
        <w:rPr>
          <w:lang w:val="en-GB"/>
        </w:rPr>
        <w:t>housing, transport, employment</w:t>
      </w:r>
      <w:r w:rsidR="00894A24">
        <w:rPr>
          <w:lang w:val="en-GB"/>
        </w:rPr>
        <w:t>,</w:t>
      </w:r>
      <w:r w:rsidR="0020686C">
        <w:rPr>
          <w:lang w:val="en-GB"/>
        </w:rPr>
        <w:t xml:space="preserve"> social welfare, and broadcasting, among others. </w:t>
      </w:r>
      <w:r w:rsidR="00894A24">
        <w:rPr>
          <w:lang w:val="en-GB"/>
        </w:rPr>
        <w:t xml:space="preserve">Our </w:t>
      </w:r>
      <w:r w:rsidR="0020686C">
        <w:rPr>
          <w:lang w:val="en-GB"/>
        </w:rPr>
        <w:t xml:space="preserve">Centre for </w:t>
      </w:r>
      <w:r w:rsidR="0020686C" w:rsidRPr="0089105A">
        <w:rPr>
          <w:lang w:val="en-GB"/>
        </w:rPr>
        <w:t>Excellence in Universal Design</w:t>
      </w:r>
      <w:r w:rsidR="0020686C">
        <w:rPr>
          <w:lang w:val="en-GB"/>
        </w:rPr>
        <w:t>, which is an integral part of the National Disability Authority, promotes Universal Design through standards and guidelines, through development of curricul</w:t>
      </w:r>
      <w:r w:rsidR="00894A24">
        <w:rPr>
          <w:lang w:val="en-GB"/>
        </w:rPr>
        <w:t>a</w:t>
      </w:r>
      <w:r w:rsidR="0020686C">
        <w:rPr>
          <w:lang w:val="en-GB"/>
        </w:rPr>
        <w:t xml:space="preserve"> </w:t>
      </w:r>
      <w:r w:rsidR="007212C8" w:rsidRPr="007212C8">
        <w:rPr>
          <w:lang w:val="en-GB"/>
        </w:rPr>
        <w:t>for education and training of relevant professionals</w:t>
      </w:r>
      <w:r w:rsidR="0020686C">
        <w:rPr>
          <w:lang w:val="en-GB"/>
        </w:rPr>
        <w:t>, and through awareness</w:t>
      </w:r>
      <w:r w:rsidR="00F07DD9">
        <w:rPr>
          <w:lang w:val="en-GB"/>
        </w:rPr>
        <w:t>-</w:t>
      </w:r>
      <w:r w:rsidR="0020686C">
        <w:rPr>
          <w:lang w:val="en-GB"/>
        </w:rPr>
        <w:t xml:space="preserve">raising. </w:t>
      </w:r>
    </w:p>
    <w:p w:rsidR="0020686C" w:rsidRDefault="0020686C" w:rsidP="0020686C">
      <w:r w:rsidRPr="00A61BBF">
        <w:t>The National Disability Authority delivered a full work programme in 201</w:t>
      </w:r>
      <w:r>
        <w:t>2</w:t>
      </w:r>
      <w:r w:rsidRPr="00A61BBF">
        <w:t xml:space="preserve"> under the </w:t>
      </w:r>
      <w:r>
        <w:t xml:space="preserve">last </w:t>
      </w:r>
      <w:r w:rsidRPr="00A61BBF">
        <w:t>year of our Strategic Plan 2010</w:t>
      </w:r>
      <w:r w:rsidR="007212C8">
        <w:t>–</w:t>
      </w:r>
      <w:r w:rsidRPr="00A61BBF">
        <w:t>2012. The focus of our work has been on supporting implementation of the National Disability Strategy; guiding policy to ensure effective supports for independent living in the community; and promoting the universal design and accessibility of goods, services</w:t>
      </w:r>
      <w:r w:rsidR="007212C8">
        <w:t>,</w:t>
      </w:r>
      <w:r w:rsidRPr="00A61BBF">
        <w:t xml:space="preserve"> and places.</w:t>
      </w:r>
    </w:p>
    <w:p w:rsidR="003F4546" w:rsidRDefault="00E63D89" w:rsidP="00B109BF">
      <w:pPr>
        <w:pStyle w:val="NormalBeforeList"/>
        <w:spacing w:after="120"/>
      </w:pPr>
      <w:r>
        <w:t xml:space="preserve">Following the departure on secondment of the </w:t>
      </w:r>
      <w:r w:rsidR="00957ECB">
        <w:t xml:space="preserve">Head of Research and Standards Development, our departments </w:t>
      </w:r>
      <w:r w:rsidR="007A3B86">
        <w:t>were reorganised as follows</w:t>
      </w:r>
      <w:r w:rsidR="00957ECB">
        <w:t>:</w:t>
      </w:r>
    </w:p>
    <w:p w:rsidR="00957ECB" w:rsidRPr="00957ECB" w:rsidRDefault="00B109BF" w:rsidP="00804BF1">
      <w:pPr>
        <w:pStyle w:val="ListBullet"/>
      </w:pPr>
      <w:r>
        <w:t>Research, Policy and</w:t>
      </w:r>
      <w:r w:rsidR="00957ECB" w:rsidRPr="00957ECB">
        <w:t xml:space="preserve"> Public Affairs</w:t>
      </w:r>
    </w:p>
    <w:p w:rsidR="00957ECB" w:rsidRPr="00957ECB" w:rsidRDefault="00957ECB" w:rsidP="00804BF1">
      <w:pPr>
        <w:pStyle w:val="ListBullet"/>
      </w:pPr>
      <w:r w:rsidRPr="00957ECB">
        <w:t>Centre for Excellence in Universal Design &amp; Standards and Monitoring Unit</w:t>
      </w:r>
    </w:p>
    <w:p w:rsidR="00957ECB" w:rsidRDefault="00957ECB" w:rsidP="00ED077E">
      <w:pPr>
        <w:pStyle w:val="ListBullet"/>
        <w:spacing w:after="240"/>
      </w:pPr>
      <w:r w:rsidRPr="00957ECB">
        <w:t>Corporate Services Department</w:t>
      </w:r>
    </w:p>
    <w:p w:rsidR="005E7F9F" w:rsidRPr="005E7F9F" w:rsidRDefault="007212C8" w:rsidP="00804BF1">
      <w:pPr>
        <w:pStyle w:val="NormalBeforeandafterlist"/>
      </w:pPr>
      <w:r w:rsidRPr="007212C8">
        <w:t xml:space="preserve">We also consulted with stakeholders in the development of our strategic plan for the next 3 years. </w:t>
      </w:r>
      <w:r w:rsidR="005E7F9F">
        <w:t xml:space="preserve">The </w:t>
      </w:r>
      <w:r w:rsidR="008E15ED">
        <w:t xml:space="preserve">Minister for Justice and Equality approved the </w:t>
      </w:r>
      <w:r w:rsidR="005E7F9F">
        <w:t>National Disability Authority</w:t>
      </w:r>
      <w:r w:rsidR="008E15ED">
        <w:t>’s</w:t>
      </w:r>
      <w:r w:rsidR="005E7F9F">
        <w:t xml:space="preserve"> </w:t>
      </w:r>
      <w:r w:rsidR="005E7F9F" w:rsidRPr="005E7F9F">
        <w:t>Strategic Plan for 2013</w:t>
      </w:r>
      <w:r w:rsidR="005E7F9F">
        <w:t>–</w:t>
      </w:r>
      <w:r w:rsidR="005E7F9F" w:rsidRPr="005E7F9F">
        <w:t>2015</w:t>
      </w:r>
      <w:r w:rsidR="005E7F9F">
        <w:t xml:space="preserve">, </w:t>
      </w:r>
      <w:r w:rsidR="00DD4843">
        <w:t>setting</w:t>
      </w:r>
      <w:r w:rsidRPr="007212C8">
        <w:t xml:space="preserve"> out our priorities as follows</w:t>
      </w:r>
      <w:r w:rsidR="005E7F9F" w:rsidRPr="005E7F9F">
        <w:t>:</w:t>
      </w:r>
    </w:p>
    <w:p w:rsidR="005E7F9F" w:rsidRPr="005E7F9F" w:rsidRDefault="005E7F9F" w:rsidP="00804BF1">
      <w:pPr>
        <w:pStyle w:val="ListBullet"/>
      </w:pPr>
      <w:r w:rsidRPr="005E7F9F">
        <w:t xml:space="preserve">supporting and monitoring the implementation of the National Disability Strategy </w:t>
      </w:r>
    </w:p>
    <w:p w:rsidR="005E7F9F" w:rsidRPr="005E7F9F" w:rsidRDefault="005E7F9F" w:rsidP="00804BF1">
      <w:pPr>
        <w:pStyle w:val="ListBullet"/>
      </w:pPr>
      <w:r w:rsidRPr="005E7F9F">
        <w:t>research, advice and guidance towards enabling people with disabilities</w:t>
      </w:r>
      <w:r w:rsidR="007212C8">
        <w:t xml:space="preserve"> to</w:t>
      </w:r>
      <w:r w:rsidRPr="005E7F9F">
        <w:t xml:space="preserve"> live independently in the community </w:t>
      </w:r>
      <w:r w:rsidR="00A75007">
        <w:br/>
      </w:r>
    </w:p>
    <w:p w:rsidR="005E7F9F" w:rsidRPr="005E7F9F" w:rsidRDefault="005E7F9F" w:rsidP="00804BF1">
      <w:pPr>
        <w:pStyle w:val="ListBullet"/>
      </w:pPr>
      <w:r w:rsidRPr="005E7F9F">
        <w:t xml:space="preserve">promoting excellence in Universal Design </w:t>
      </w:r>
    </w:p>
    <w:p w:rsidR="005E7F9F" w:rsidRDefault="005E7F9F" w:rsidP="00ED077E">
      <w:pPr>
        <w:pStyle w:val="ListBullet"/>
        <w:spacing w:after="240"/>
      </w:pPr>
      <w:r w:rsidRPr="005E7F9F">
        <w:t>becoming a more efficient and effective organisation</w:t>
      </w:r>
    </w:p>
    <w:p w:rsidR="008D445E" w:rsidRDefault="007212C8" w:rsidP="008D445E">
      <w:r w:rsidRPr="007212C8">
        <w:t>Over the course of the year, we continued to achieve greater efficiencies and effective working, as required by the Public</w:t>
      </w:r>
      <w:r>
        <w:t xml:space="preserve"> Service Agreement 2010–2014</w:t>
      </w:r>
      <w:r w:rsidR="008D445E">
        <w:t xml:space="preserve">. Staff worked to improve internal procedures in areas such as project management and publishing. A </w:t>
      </w:r>
      <w:r w:rsidR="008D445E" w:rsidRPr="002F3DE3">
        <w:t>Good Faith Reporting policy</w:t>
      </w:r>
      <w:r w:rsidR="008D445E">
        <w:t xml:space="preserve"> and a </w:t>
      </w:r>
      <w:r w:rsidR="008D445E" w:rsidRPr="002F3DE3">
        <w:t>Staff Suggestion Scheme</w:t>
      </w:r>
      <w:r w:rsidR="008D445E">
        <w:t xml:space="preserve"> were also introduced.</w:t>
      </w:r>
    </w:p>
    <w:p w:rsidR="0049464A" w:rsidRPr="0049464A" w:rsidRDefault="0049464A" w:rsidP="00804BF1">
      <w:pPr>
        <w:pStyle w:val="NormalAfterList"/>
        <w:rPr>
          <w:lang w:val="en-GB"/>
        </w:rPr>
      </w:pPr>
      <w:r w:rsidRPr="0049464A">
        <w:rPr>
          <w:lang w:val="en-GB"/>
        </w:rPr>
        <w:t>I would also like to thank the Chairman and the members of the Authority for their strategic guidance, vision</w:t>
      </w:r>
      <w:r w:rsidR="00276ACF">
        <w:rPr>
          <w:lang w:val="en-GB"/>
        </w:rPr>
        <w:t>,</w:t>
      </w:r>
      <w:r w:rsidRPr="0049464A">
        <w:rPr>
          <w:lang w:val="en-GB"/>
        </w:rPr>
        <w:t xml:space="preserve"> and support to the executive in delivering on this programme in line with the National Disability Authority</w:t>
      </w:r>
      <w:r>
        <w:t>’</w:t>
      </w:r>
      <w:r w:rsidRPr="0049464A">
        <w:rPr>
          <w:lang w:val="en-GB"/>
        </w:rPr>
        <w:t xml:space="preserve">s strategic objectives. </w:t>
      </w:r>
    </w:p>
    <w:p w:rsidR="0049464A" w:rsidRPr="0049464A" w:rsidRDefault="0049464A" w:rsidP="00804BF1">
      <w:pPr>
        <w:rPr>
          <w:lang w:val="en-GB"/>
        </w:rPr>
      </w:pPr>
      <w:r w:rsidRPr="0049464A">
        <w:rPr>
          <w:lang w:val="en-GB"/>
        </w:rPr>
        <w:t>Siobhan Barron</w:t>
      </w:r>
      <w:r>
        <w:br/>
      </w:r>
      <w:r w:rsidRPr="0049464A">
        <w:rPr>
          <w:lang w:val="en-GB"/>
        </w:rPr>
        <w:t>Director</w:t>
      </w:r>
    </w:p>
    <w:p w:rsidR="00070093" w:rsidRPr="00070093" w:rsidRDefault="00070093" w:rsidP="00804BF1">
      <w:pPr>
        <w:rPr>
          <w:lang w:val="ga-IE"/>
        </w:rPr>
      </w:pPr>
    </w:p>
    <w:p w:rsidR="007A3B86" w:rsidRDefault="007A3B86" w:rsidP="007A3B86">
      <w:pPr>
        <w:pStyle w:val="Heading1"/>
      </w:pPr>
      <w:bookmarkStart w:id="8" w:name="_Toc368058746"/>
      <w:r>
        <w:t>Overview and policy context</w:t>
      </w:r>
      <w:bookmarkEnd w:id="8"/>
    </w:p>
    <w:p w:rsidR="007A3B86" w:rsidRDefault="007A3B86" w:rsidP="007A3B86">
      <w:pPr>
        <w:rPr>
          <w:lang w:val="en-GB"/>
        </w:rPr>
      </w:pPr>
      <w:r w:rsidRPr="0089105A">
        <w:rPr>
          <w:lang w:val="en-GB"/>
        </w:rPr>
        <w:t xml:space="preserve">Each year the </w:t>
      </w:r>
      <w:r w:rsidR="00C465CA" w:rsidRPr="006309CB">
        <w:rPr>
          <w:lang w:val="ga-IE" w:eastAsia="en-GB"/>
        </w:rPr>
        <w:t>National Disability Authority</w:t>
      </w:r>
      <w:r w:rsidR="00C465CA">
        <w:rPr>
          <w:lang w:val="en-GB"/>
        </w:rPr>
        <w:t>’</w:t>
      </w:r>
      <w:r w:rsidRPr="0089105A">
        <w:rPr>
          <w:lang w:val="en-GB"/>
        </w:rPr>
        <w:t xml:space="preserve">s work programme is informed by the strategic priorities and key performance indicators in its Strategic Plan and opportunities to impact on policy developments. In 2012, the need to ensure best value is being achieved for limited resources continued to focus attention on how more effective outcomes can be achieved with the </w:t>
      </w:r>
      <w:r>
        <w:rPr>
          <w:lang w:val="en-GB"/>
        </w:rPr>
        <w:t>e</w:t>
      </w:r>
      <w:r w:rsidRPr="0089105A">
        <w:rPr>
          <w:lang w:val="en-GB"/>
        </w:rPr>
        <w:t xml:space="preserve">xisting resources invested in disability supports. </w:t>
      </w:r>
    </w:p>
    <w:p w:rsidR="007A3B86" w:rsidRDefault="007A3B86" w:rsidP="007A3B86">
      <w:pPr>
        <w:pStyle w:val="Heading2"/>
        <w:rPr>
          <w:lang w:val="en-GB"/>
        </w:rPr>
      </w:pPr>
      <w:r>
        <w:rPr>
          <w:lang w:val="en-GB"/>
        </w:rPr>
        <w:t>Disability service transformation</w:t>
      </w:r>
    </w:p>
    <w:p w:rsidR="007A3B86" w:rsidRDefault="007A3B86" w:rsidP="007A3B86">
      <w:r>
        <w:rPr>
          <w:lang w:val="en-GB"/>
        </w:rPr>
        <w:t xml:space="preserve">One of the key </w:t>
      </w:r>
      <w:r w:rsidRPr="0089105A">
        <w:rPr>
          <w:lang w:val="en-GB"/>
        </w:rPr>
        <w:t xml:space="preserve">developments which informed </w:t>
      </w:r>
      <w:r w:rsidR="00C465CA" w:rsidRPr="006309CB">
        <w:rPr>
          <w:lang w:val="ga-IE" w:eastAsia="en-GB"/>
        </w:rPr>
        <w:t>National Disability Authority</w:t>
      </w:r>
      <w:r w:rsidR="00C465CA">
        <w:rPr>
          <w:lang w:val="en-GB"/>
        </w:rPr>
        <w:t>’</w:t>
      </w:r>
      <w:r w:rsidRPr="0089105A">
        <w:rPr>
          <w:lang w:val="en-GB"/>
        </w:rPr>
        <w:t>s work</w:t>
      </w:r>
      <w:r>
        <w:rPr>
          <w:lang w:val="en-GB"/>
        </w:rPr>
        <w:t xml:space="preserve"> in 2012</w:t>
      </w:r>
      <w:r w:rsidRPr="0089105A">
        <w:rPr>
          <w:lang w:val="en-GB"/>
        </w:rPr>
        <w:t xml:space="preserve"> </w:t>
      </w:r>
      <w:r>
        <w:rPr>
          <w:lang w:val="en-GB"/>
        </w:rPr>
        <w:t>was p</w:t>
      </w:r>
      <w:r w:rsidRPr="0089105A">
        <w:rPr>
          <w:lang w:val="en-GB"/>
        </w:rPr>
        <w:t xml:space="preserve">ublication of the Report of the Value for Money and Disability Policy </w:t>
      </w:r>
      <w:r>
        <w:rPr>
          <w:lang w:val="en-GB"/>
        </w:rPr>
        <w:t xml:space="preserve">Review </w:t>
      </w:r>
      <w:r w:rsidRPr="0089105A">
        <w:rPr>
          <w:lang w:val="en-GB"/>
        </w:rPr>
        <w:t>by the Minister for</w:t>
      </w:r>
      <w:r>
        <w:rPr>
          <w:lang w:val="en-GB"/>
        </w:rPr>
        <w:t xml:space="preserve"> Health. This set out an agenda for reform of disability services to put the individual with disabilities at the centre, with greater choice and control, and measures to ensure more effective deployment of resources. At the heart of this is a vision of people with disabilities supported to be fully included in the community. Among the recommendations are a new model of resource allocation to better link resources to assessed needs</w:t>
      </w:r>
      <w:r w:rsidR="00E5058F">
        <w:rPr>
          <w:lang w:val="en-GB"/>
        </w:rPr>
        <w:t>,</w:t>
      </w:r>
      <w:r>
        <w:rPr>
          <w:lang w:val="en-GB"/>
        </w:rPr>
        <w:t xml:space="preserve"> progressive closure of residential institutions</w:t>
      </w:r>
      <w:r w:rsidR="00E5058F">
        <w:rPr>
          <w:lang w:val="en-GB"/>
        </w:rPr>
        <w:t>,</w:t>
      </w:r>
      <w:r>
        <w:rPr>
          <w:lang w:val="en-GB"/>
        </w:rPr>
        <w:t xml:space="preserve"> a common assessment method</w:t>
      </w:r>
      <w:r w:rsidR="00E5058F">
        <w:rPr>
          <w:lang w:val="en-GB"/>
        </w:rPr>
        <w:t>,</w:t>
      </w:r>
      <w:r>
        <w:rPr>
          <w:lang w:val="en-GB"/>
        </w:rPr>
        <w:t xml:space="preserve"> a changed skill mix</w:t>
      </w:r>
      <w:r w:rsidR="00E5058F">
        <w:rPr>
          <w:lang w:val="en-GB"/>
        </w:rPr>
        <w:t>,</w:t>
      </w:r>
      <w:r>
        <w:rPr>
          <w:lang w:val="en-GB"/>
        </w:rPr>
        <w:t xml:space="preserve"> a quality framework</w:t>
      </w:r>
      <w:r w:rsidR="00E5058F">
        <w:rPr>
          <w:lang w:val="en-GB"/>
        </w:rPr>
        <w:t>,</w:t>
      </w:r>
      <w:r>
        <w:rPr>
          <w:lang w:val="en-GB"/>
        </w:rPr>
        <w:t xml:space="preserve"> reconfigured governance and accountability</w:t>
      </w:r>
      <w:r w:rsidR="00E5058F">
        <w:rPr>
          <w:lang w:val="en-GB"/>
        </w:rPr>
        <w:t>,</w:t>
      </w:r>
      <w:r>
        <w:rPr>
          <w:lang w:val="en-GB"/>
        </w:rPr>
        <w:t xml:space="preserve"> better data systems and measures of outcomes. </w:t>
      </w:r>
      <w:r w:rsidRPr="0089105A">
        <w:rPr>
          <w:lang w:val="en-GB"/>
        </w:rPr>
        <w:t xml:space="preserve">Implementation of the recommendations </w:t>
      </w:r>
      <w:r>
        <w:rPr>
          <w:lang w:val="en-GB"/>
        </w:rPr>
        <w:t xml:space="preserve">of this Review </w:t>
      </w:r>
      <w:r w:rsidRPr="0089105A">
        <w:rPr>
          <w:lang w:val="en-GB"/>
        </w:rPr>
        <w:t xml:space="preserve">will be key to delivering models of support that enable people with disabilities to live ordinary lives as part of the community. </w:t>
      </w:r>
      <w:r>
        <w:rPr>
          <w:lang w:val="en-GB"/>
        </w:rPr>
        <w:t xml:space="preserve">These changes </w:t>
      </w:r>
      <w:r w:rsidRPr="0089105A">
        <w:rPr>
          <w:lang w:val="en-GB"/>
        </w:rPr>
        <w:t>will see the move away from living in large residential homes to living independently as part of the community</w:t>
      </w:r>
      <w:r>
        <w:rPr>
          <w:lang w:val="en-GB"/>
        </w:rPr>
        <w:t>,</w:t>
      </w:r>
      <w:r w:rsidRPr="0089105A">
        <w:rPr>
          <w:lang w:val="en-GB"/>
        </w:rPr>
        <w:t xml:space="preserve"> and from traditional adult day service models to opportunities to participate in </w:t>
      </w:r>
      <w:r>
        <w:rPr>
          <w:lang w:val="en-GB"/>
        </w:rPr>
        <w:t xml:space="preserve">the mainstream </w:t>
      </w:r>
      <w:r w:rsidRPr="0089105A">
        <w:rPr>
          <w:lang w:val="en-GB"/>
        </w:rPr>
        <w:t>life of the com</w:t>
      </w:r>
      <w:r>
        <w:rPr>
          <w:lang w:val="en-GB"/>
        </w:rPr>
        <w:t xml:space="preserve">munity, including employment. </w:t>
      </w:r>
    </w:p>
    <w:p w:rsidR="007A3B86" w:rsidRDefault="007A3B86" w:rsidP="007A3B86">
      <w:r>
        <w:rPr>
          <w:lang w:val="en-GB"/>
        </w:rPr>
        <w:t xml:space="preserve">The </w:t>
      </w:r>
      <w:r w:rsidR="00C465CA" w:rsidRPr="006309CB">
        <w:rPr>
          <w:lang w:val="ga-IE" w:eastAsia="en-GB"/>
        </w:rPr>
        <w:t>National Disability Authority</w:t>
      </w:r>
      <w:r>
        <w:rPr>
          <w:lang w:val="en-GB"/>
        </w:rPr>
        <w:t xml:space="preserve">’s work is designed to underpin this major programme of change, providing research and guidance on the policies and systems needed to transform disability services. </w:t>
      </w:r>
      <w:r>
        <w:t xml:space="preserve">The </w:t>
      </w:r>
      <w:r w:rsidRPr="00326457">
        <w:t>National Disability Authority</w:t>
      </w:r>
      <w:r>
        <w:t>’s</w:t>
      </w:r>
      <w:r w:rsidRPr="00326457">
        <w:t xml:space="preserve"> </w:t>
      </w:r>
      <w:r>
        <w:t>research on r</w:t>
      </w:r>
      <w:r w:rsidRPr="00326457">
        <w:t>esource allocation</w:t>
      </w:r>
      <w:r>
        <w:t xml:space="preserve"> </w:t>
      </w:r>
      <w:r w:rsidRPr="00326457">
        <w:t>methodologies for disability services</w:t>
      </w:r>
      <w:r>
        <w:t xml:space="preserve">, and </w:t>
      </w:r>
      <w:r w:rsidRPr="00326457">
        <w:t>outcome measures in disability services provision</w:t>
      </w:r>
      <w:r>
        <w:t xml:space="preserve"> was acknowledged as important in delivering on the major programme of change stemming from this Review. </w:t>
      </w:r>
      <w:r w:rsidR="005C758C">
        <w:t xml:space="preserve"> </w:t>
      </w:r>
      <w:r>
        <w:t xml:space="preserve">Our research on assessment of need, and </w:t>
      </w:r>
      <w:r>
        <w:rPr>
          <w:lang w:val="en-GB"/>
        </w:rPr>
        <w:t xml:space="preserve">advice and guidance </w:t>
      </w:r>
      <w:r>
        <w:t xml:space="preserve">on quality standards for disability services, are other areas where we have been supporting this change agenda. </w:t>
      </w:r>
    </w:p>
    <w:p w:rsidR="007A3B86" w:rsidRDefault="007A3B86" w:rsidP="007A3B86">
      <w:pPr>
        <w:rPr>
          <w:lang w:val="en-GB"/>
        </w:rPr>
      </w:pPr>
      <w:r>
        <w:rPr>
          <w:lang w:val="en-GB"/>
        </w:rPr>
        <w:t xml:space="preserve">The </w:t>
      </w:r>
      <w:r w:rsidR="00C465CA" w:rsidRPr="006309CB">
        <w:rPr>
          <w:lang w:val="ga-IE" w:eastAsia="en-GB"/>
        </w:rPr>
        <w:t>National Disability Authority</w:t>
      </w:r>
      <w:r>
        <w:rPr>
          <w:lang w:val="en-GB"/>
        </w:rPr>
        <w:t xml:space="preserve"> participated in the HSE’s National Consultative Forum on disability and in implementation groups on replacing institutions and other congregated settings with community living options, and on new models of day services and supports. </w:t>
      </w:r>
    </w:p>
    <w:p w:rsidR="007A3B86" w:rsidRDefault="007A3B86" w:rsidP="007A3B86">
      <w:pPr>
        <w:pStyle w:val="Heading2"/>
        <w:rPr>
          <w:lang w:val="en-GB"/>
        </w:rPr>
      </w:pPr>
      <w:r>
        <w:rPr>
          <w:lang w:val="en-GB"/>
        </w:rPr>
        <w:t>Housing Strategy for People with Disabilities</w:t>
      </w:r>
    </w:p>
    <w:p w:rsidR="007A3B86" w:rsidRDefault="007A3B86" w:rsidP="007A3B86">
      <w:pPr>
        <w:rPr>
          <w:lang w:val="en-GB"/>
        </w:rPr>
      </w:pPr>
      <w:r>
        <w:rPr>
          <w:lang w:val="en-GB"/>
        </w:rPr>
        <w:t xml:space="preserve">The implementation plan for the Housing Strategy for People with Disabilities was published in 2012. This strategy places responsibility for housing people with disabilities with housing authorities rather than the HSE, and provides for the co-ordinated delivery of health and housing supports to people with disabilities. It also provides for the provision of housing in the community for those moving from residential institutions, which are being phased out. The </w:t>
      </w:r>
      <w:r w:rsidR="00C465CA" w:rsidRPr="006309CB">
        <w:rPr>
          <w:lang w:val="ga-IE" w:eastAsia="en-GB"/>
        </w:rPr>
        <w:t>National Disability Authority</w:t>
      </w:r>
      <w:r w:rsidR="00C465CA">
        <w:rPr>
          <w:lang w:val="en-GB"/>
        </w:rPr>
        <w:t xml:space="preserve"> </w:t>
      </w:r>
      <w:r>
        <w:rPr>
          <w:lang w:val="en-GB"/>
        </w:rPr>
        <w:t xml:space="preserve">was appointed to the group to monitor implementation of the strategy. </w:t>
      </w:r>
      <w:r w:rsidR="00C465CA" w:rsidRPr="006309CB">
        <w:rPr>
          <w:lang w:val="ga-IE" w:eastAsia="en-GB"/>
        </w:rPr>
        <w:t>National Disability Authority</w:t>
      </w:r>
      <w:r w:rsidR="00C465CA">
        <w:rPr>
          <w:lang w:val="en-GB"/>
        </w:rPr>
        <w:t xml:space="preserve"> </w:t>
      </w:r>
      <w:r>
        <w:rPr>
          <w:lang w:val="en-GB"/>
        </w:rPr>
        <w:t xml:space="preserve">work in 2012 to support this housing strategy included the development of guidelines for housing staff in relation to housing people with mental health difficulties, work on universally-designed housing which would be readily adaptable as people’s circumstances change, and research on housing standards for people with dementia, to enable them live at home as long as possible. </w:t>
      </w:r>
    </w:p>
    <w:p w:rsidR="007A3B86" w:rsidRPr="0089105A" w:rsidRDefault="007A3B86" w:rsidP="007A3B86">
      <w:pPr>
        <w:pStyle w:val="Heading2"/>
        <w:rPr>
          <w:lang w:val="en-GB"/>
        </w:rPr>
      </w:pPr>
      <w:r>
        <w:rPr>
          <w:lang w:val="en-GB"/>
        </w:rPr>
        <w:t>Review of Domiciliary Care Allowance</w:t>
      </w:r>
    </w:p>
    <w:p w:rsidR="007A3B86" w:rsidRDefault="007A3B86" w:rsidP="007A3B86">
      <w:r>
        <w:rPr>
          <w:lang w:val="en-GB"/>
        </w:rPr>
        <w:t xml:space="preserve">A </w:t>
      </w:r>
      <w:r w:rsidRPr="0089105A">
        <w:rPr>
          <w:lang w:val="en-GB"/>
        </w:rPr>
        <w:t xml:space="preserve">Review of the Domiciliary Care Allowance </w:t>
      </w:r>
      <w:r>
        <w:rPr>
          <w:lang w:val="en-GB"/>
        </w:rPr>
        <w:t xml:space="preserve">was undertaken </w:t>
      </w:r>
      <w:r w:rsidRPr="0089105A">
        <w:rPr>
          <w:lang w:val="en-GB"/>
        </w:rPr>
        <w:t>by a committee appointed by the Minister for Social Protection, which looked at the policy objectives and future options to effectively administer and target this i</w:t>
      </w:r>
      <w:r>
        <w:rPr>
          <w:lang w:val="en-GB"/>
        </w:rPr>
        <w:t xml:space="preserve">mportant support to families. </w:t>
      </w:r>
      <w:r w:rsidRPr="0089105A">
        <w:rPr>
          <w:lang w:val="en-GB"/>
        </w:rPr>
        <w:t xml:space="preserve">The </w:t>
      </w:r>
      <w:r w:rsidR="00C465CA" w:rsidRPr="006309CB">
        <w:rPr>
          <w:lang w:val="ga-IE" w:eastAsia="en-GB"/>
        </w:rPr>
        <w:t>National Disability Authority</w:t>
      </w:r>
      <w:r w:rsidRPr="0089105A">
        <w:rPr>
          <w:lang w:val="en-GB"/>
        </w:rPr>
        <w:t xml:space="preserve"> was </w:t>
      </w:r>
      <w:r>
        <w:rPr>
          <w:lang w:val="en-GB"/>
        </w:rPr>
        <w:t xml:space="preserve">a member of the Review Group. The </w:t>
      </w:r>
      <w:r w:rsidR="00C465CA" w:rsidRPr="006309CB">
        <w:rPr>
          <w:lang w:val="ga-IE" w:eastAsia="en-GB"/>
        </w:rPr>
        <w:t>National Disability Authority</w:t>
      </w:r>
      <w:r w:rsidR="00C465CA">
        <w:rPr>
          <w:lang w:val="en-GB"/>
        </w:rPr>
        <w:t xml:space="preserve"> </w:t>
      </w:r>
      <w:r>
        <w:rPr>
          <w:lang w:val="en-GB"/>
        </w:rPr>
        <w:t>also</w:t>
      </w:r>
      <w:r w:rsidRPr="0089105A">
        <w:rPr>
          <w:lang w:val="en-GB"/>
        </w:rPr>
        <w:t xml:space="preserve"> </w:t>
      </w:r>
      <w:r>
        <w:rPr>
          <w:lang w:val="en-GB"/>
        </w:rPr>
        <w:t xml:space="preserve">undertook some pieces of </w:t>
      </w:r>
      <w:r w:rsidRPr="0089105A">
        <w:rPr>
          <w:lang w:val="en-GB"/>
        </w:rPr>
        <w:t xml:space="preserve">research to guide </w:t>
      </w:r>
      <w:r>
        <w:rPr>
          <w:lang w:val="en-GB"/>
        </w:rPr>
        <w:t xml:space="preserve">the Group’s </w:t>
      </w:r>
      <w:r w:rsidRPr="0089105A">
        <w:rPr>
          <w:lang w:val="en-GB"/>
        </w:rPr>
        <w:t>deliberations.</w:t>
      </w:r>
      <w:r>
        <w:rPr>
          <w:lang w:val="en-GB"/>
        </w:rPr>
        <w:t xml:space="preserve"> The </w:t>
      </w:r>
      <w:r w:rsidR="00C465CA" w:rsidRPr="006309CB">
        <w:rPr>
          <w:lang w:val="ga-IE" w:eastAsia="en-GB"/>
        </w:rPr>
        <w:t>National Disability Authority</w:t>
      </w:r>
      <w:r w:rsidR="00C465CA">
        <w:rPr>
          <w:lang w:val="en-GB"/>
        </w:rPr>
        <w:t xml:space="preserve"> </w:t>
      </w:r>
      <w:r>
        <w:rPr>
          <w:lang w:val="en-GB"/>
        </w:rPr>
        <w:t xml:space="preserve">also </w:t>
      </w:r>
      <w:r w:rsidRPr="0089105A">
        <w:rPr>
          <w:lang w:val="en-GB"/>
        </w:rPr>
        <w:t xml:space="preserve">facilitated consultation with </w:t>
      </w:r>
      <w:r>
        <w:rPr>
          <w:lang w:val="en-GB"/>
        </w:rPr>
        <w:t xml:space="preserve">parents and other </w:t>
      </w:r>
      <w:r w:rsidRPr="0089105A">
        <w:rPr>
          <w:lang w:val="en-GB"/>
        </w:rPr>
        <w:t>stakeholders.</w:t>
      </w:r>
    </w:p>
    <w:p w:rsidR="007A3B86" w:rsidRDefault="007A3B86" w:rsidP="007A3B86">
      <w:pPr>
        <w:pStyle w:val="Heading2"/>
        <w:rPr>
          <w:lang w:val="en-GB"/>
        </w:rPr>
      </w:pPr>
      <w:r>
        <w:rPr>
          <w:lang w:val="en-GB"/>
        </w:rPr>
        <w:t>National Disability Strategy Implementation Plan</w:t>
      </w:r>
    </w:p>
    <w:p w:rsidR="007A3B86" w:rsidRDefault="007A3B86" w:rsidP="007A3B86">
      <w:pPr>
        <w:rPr>
          <w:lang w:val="en-GB"/>
        </w:rPr>
      </w:pPr>
      <w:r>
        <w:rPr>
          <w:lang w:val="en-GB"/>
        </w:rPr>
        <w:t xml:space="preserve">The Minister of State for </w:t>
      </w:r>
      <w:r w:rsidR="00DD4843" w:rsidRPr="00DD4843">
        <w:rPr>
          <w:lang w:val="en-GB"/>
        </w:rPr>
        <w:t>Disability, Equality, Mental Health and Older People</w:t>
      </w:r>
      <w:r>
        <w:rPr>
          <w:lang w:val="en-GB"/>
        </w:rPr>
        <w:t xml:space="preserve"> appointed a group at </w:t>
      </w:r>
      <w:r w:rsidR="00A666F5">
        <w:rPr>
          <w:lang w:val="en-GB"/>
        </w:rPr>
        <w:t xml:space="preserve">the </w:t>
      </w:r>
      <w:r>
        <w:rPr>
          <w:lang w:val="en-GB"/>
        </w:rPr>
        <w:t xml:space="preserve">end </w:t>
      </w:r>
      <w:r w:rsidR="00DD4843">
        <w:rPr>
          <w:lang w:val="en-GB"/>
        </w:rPr>
        <w:t xml:space="preserve">of </w:t>
      </w:r>
      <w:r>
        <w:rPr>
          <w:lang w:val="en-GB"/>
        </w:rPr>
        <w:t xml:space="preserve">2011 to prepare an Implementation Plan for the National Disability Strategy, to which the </w:t>
      </w:r>
      <w:r w:rsidR="00C465CA" w:rsidRPr="006309CB">
        <w:rPr>
          <w:lang w:val="ga-IE" w:eastAsia="en-GB"/>
        </w:rPr>
        <w:t>National Disability Authority</w:t>
      </w:r>
      <w:r w:rsidR="00C465CA">
        <w:rPr>
          <w:lang w:val="en-GB"/>
        </w:rPr>
        <w:t xml:space="preserve"> </w:t>
      </w:r>
      <w:r>
        <w:rPr>
          <w:lang w:val="en-GB"/>
        </w:rPr>
        <w:t xml:space="preserve">was nominated. </w:t>
      </w:r>
    </w:p>
    <w:p w:rsidR="007A3B86" w:rsidRDefault="007A3B86" w:rsidP="007A3B86">
      <w:pPr>
        <w:rPr>
          <w:lang w:val="en-GB"/>
        </w:rPr>
      </w:pPr>
      <w:r>
        <w:t xml:space="preserve">The National Disability Authority offered advice on the strategic priorities for the National Disability Strategy Implementation Plan, and on individual actions which could be delivered. </w:t>
      </w:r>
      <w:r w:rsidR="00DD4843" w:rsidRPr="00DD4843">
        <w:t xml:space="preserve">At the invitation of the Minister, the </w:t>
      </w:r>
      <w:r w:rsidR="00C465CA" w:rsidRPr="006309CB">
        <w:rPr>
          <w:lang w:val="ga-IE" w:eastAsia="en-GB"/>
        </w:rPr>
        <w:t>National Disability Authority</w:t>
      </w:r>
      <w:r w:rsidR="00C465CA" w:rsidRPr="00DD4843">
        <w:t xml:space="preserve"> </w:t>
      </w:r>
      <w:r w:rsidR="00DD4843" w:rsidRPr="00DD4843">
        <w:t>hosted “Your Voice Your Choice”, a consultation event to facilitate</w:t>
      </w:r>
      <w:r w:rsidRPr="00957ECB">
        <w:t xml:space="preserve"> a </w:t>
      </w:r>
      <w:r>
        <w:t xml:space="preserve">national </w:t>
      </w:r>
      <w:r w:rsidRPr="00957ECB">
        <w:t xml:space="preserve">forum for people with </w:t>
      </w:r>
      <w:r>
        <w:t xml:space="preserve">disabilities and their families to </w:t>
      </w:r>
      <w:r w:rsidRPr="00957ECB">
        <w:t>express their views and experiences in order to guide the National Disability Strategy Implementation Plan</w:t>
      </w:r>
      <w:r>
        <w:t xml:space="preserve">. </w:t>
      </w:r>
      <w:r>
        <w:rPr>
          <w:lang w:val="en-GB"/>
        </w:rPr>
        <w:t xml:space="preserve">The </w:t>
      </w:r>
      <w:r w:rsidR="00C465CA" w:rsidRPr="006309CB">
        <w:rPr>
          <w:lang w:val="ga-IE" w:eastAsia="en-GB"/>
        </w:rPr>
        <w:t>National Disability Authority</w:t>
      </w:r>
      <w:r w:rsidR="00C465CA">
        <w:rPr>
          <w:lang w:val="en-GB"/>
        </w:rPr>
        <w:t xml:space="preserve"> </w:t>
      </w:r>
      <w:r>
        <w:rPr>
          <w:lang w:val="en-GB"/>
        </w:rPr>
        <w:t xml:space="preserve">also provided the independent Chair and secretariat for the Disability Stakeholder Group. </w:t>
      </w:r>
    </w:p>
    <w:p w:rsidR="007A3B86" w:rsidRDefault="007A3B86" w:rsidP="007A3B86">
      <w:r w:rsidRPr="00D436D7">
        <w:t>The National Disability Authority has continued to advise Departments on their individual programmes which form the National Disability Strategy.</w:t>
      </w:r>
      <w:r>
        <w:t xml:space="preserve"> </w:t>
      </w:r>
    </w:p>
    <w:p w:rsidR="007A3B86" w:rsidRDefault="007A3B86" w:rsidP="007A3B86">
      <w:pPr>
        <w:pStyle w:val="Heading2"/>
      </w:pPr>
      <w:r>
        <w:t>Attitudes</w:t>
      </w:r>
    </w:p>
    <w:p w:rsidR="007A3B86" w:rsidRDefault="007A3B86" w:rsidP="007A3B86">
      <w:r>
        <w:t>In 2012, our research found that attitudes towards people with disabilities had unfortunately hardened since our previous survey. We continue to work to improve attitudes through initiatives such as our free disability equality eLearning for public sector staff. We worked with the Broadcasting Authority of Ireland to initiate work on the representation of people with disabilities in the broadcast media. We continued to engage with employer and trade union bodies around issues for people with disabilities in the workplace.</w:t>
      </w:r>
      <w:r w:rsidR="00D63B5A">
        <w:t xml:space="preserve"> </w:t>
      </w:r>
    </w:p>
    <w:p w:rsidR="007A3B86" w:rsidRDefault="007A3B86" w:rsidP="007A3B86">
      <w:pPr>
        <w:pStyle w:val="Heading2"/>
      </w:pPr>
      <w:r>
        <w:t>Employment of people with disabilities in the public sector</w:t>
      </w:r>
    </w:p>
    <w:p w:rsidR="007A3B86" w:rsidRDefault="007A3B86" w:rsidP="007A3B86">
      <w:pPr>
        <w:pStyle w:val="NormalAfterList"/>
      </w:pPr>
      <w:r>
        <w:t>On a more positive note, the 3% target for public sector employment of people with disabilities was achieved for the first time, and the National Disability Authority’s guidance on retaining people with disabilities will help to maintain that momentum.</w:t>
      </w:r>
    </w:p>
    <w:p w:rsidR="007A3B86" w:rsidRDefault="007A3B86" w:rsidP="007A3B86">
      <w:pPr>
        <w:pStyle w:val="Heading2"/>
      </w:pPr>
      <w:r>
        <w:t>Accessibility</w:t>
      </w:r>
    </w:p>
    <w:p w:rsidR="007A3B86" w:rsidRDefault="007A3B86" w:rsidP="007A3B86">
      <w:pPr>
        <w:pStyle w:val="Heading3"/>
      </w:pPr>
      <w:r>
        <w:t>Toolkit</w:t>
      </w:r>
    </w:p>
    <w:p w:rsidR="007A3B86" w:rsidRPr="00A409FA" w:rsidRDefault="007A3B86" w:rsidP="007A3B86">
      <w:r>
        <w:t xml:space="preserve">An online toolkit was developed which brings together in one place guidance on various aspects of accessibility, including buildings, services, information and websites. This will be a particularly valuable resource for Access Officers in ensuring that public services are accessible to people with disabilities. Guidance was also produced for public bodies on how best to procure accessible goods and services, in line with the obligations in </w:t>
      </w:r>
      <w:r w:rsidR="00A666F5">
        <w:t xml:space="preserve">section </w:t>
      </w:r>
      <w:r>
        <w:t xml:space="preserve">27 of the Disability Act 2005. </w:t>
      </w:r>
    </w:p>
    <w:p w:rsidR="007A3B86" w:rsidRDefault="007A3B86" w:rsidP="007A3B86">
      <w:pPr>
        <w:pStyle w:val="Heading2"/>
      </w:pPr>
      <w:r>
        <w:t>Universal Design</w:t>
      </w:r>
    </w:p>
    <w:p w:rsidR="007A3B86" w:rsidRDefault="007A3B86" w:rsidP="007A3B86">
      <w:r>
        <w:t>The Centre for Excellence in Universal Design undertook a full programme of advancing standards and guidelines, and development of curricula in universal design at both second and third level, with all this work underpinned by appropriate research.</w:t>
      </w:r>
    </w:p>
    <w:p w:rsidR="007A3B86" w:rsidRDefault="007A3B86" w:rsidP="007A3B86">
      <w:pPr>
        <w:pStyle w:val="Heading3"/>
      </w:pPr>
      <w:r>
        <w:t>Building for Everyone</w:t>
      </w:r>
    </w:p>
    <w:p w:rsidR="007A3B86" w:rsidRDefault="007A3B86" w:rsidP="007A3B86">
      <w:r w:rsidRPr="003D4702">
        <w:rPr>
          <w:b/>
        </w:rPr>
        <w:t>Building for Everyone – a Universal Design approach</w:t>
      </w:r>
      <w:r>
        <w:t xml:space="preserve"> was launched by the </w:t>
      </w:r>
      <w:r w:rsidR="00DD4843" w:rsidRPr="00DD4843">
        <w:t>Minister for the Environment, Community and Local Government, Phil Hogan</w:t>
      </w:r>
      <w:r w:rsidR="00E5058F">
        <w:t>,</w:t>
      </w:r>
      <w:r w:rsidR="00DD4843" w:rsidRPr="00DD4843">
        <w:t xml:space="preserve"> T</w:t>
      </w:r>
      <w:r w:rsidR="00E5058F">
        <w:t>.</w:t>
      </w:r>
      <w:r w:rsidR="00DD4843" w:rsidRPr="00DD4843">
        <w:t>D</w:t>
      </w:r>
      <w:r w:rsidR="00E5058F">
        <w:t>.</w:t>
      </w:r>
      <w:r>
        <w:t xml:space="preserve"> This updated and greatly extended guidance will be of value to all those with responsibility for designing, building and managing buildings, in giving the practical know how to ensure that buildings are accessible to all, irrespective of age, size, ability or disability. </w:t>
      </w:r>
    </w:p>
    <w:p w:rsidR="007A3B86" w:rsidRDefault="007A3B86" w:rsidP="007A3B86">
      <w:pPr>
        <w:pStyle w:val="Heading3"/>
      </w:pPr>
      <w:r>
        <w:t>Standard on customer service for energy suppliers</w:t>
      </w:r>
    </w:p>
    <w:p w:rsidR="007A3B86" w:rsidRDefault="007A3B86" w:rsidP="007A3B86">
      <w:r>
        <w:t xml:space="preserve">The </w:t>
      </w:r>
      <w:r w:rsidRPr="003E6776">
        <w:t xml:space="preserve">National Disability Authority </w:t>
      </w:r>
      <w:r>
        <w:t xml:space="preserve">in partnership with the </w:t>
      </w:r>
      <w:r w:rsidRPr="003E6776">
        <w:t>N</w:t>
      </w:r>
      <w:r>
        <w:t xml:space="preserve">ational </w:t>
      </w:r>
      <w:r w:rsidRPr="003E6776">
        <w:t>S</w:t>
      </w:r>
      <w:r>
        <w:t xml:space="preserve">tandards </w:t>
      </w:r>
      <w:r w:rsidRPr="003E6776">
        <w:t>A</w:t>
      </w:r>
      <w:r>
        <w:t xml:space="preserve">uthority of </w:t>
      </w:r>
      <w:r w:rsidRPr="003E6776">
        <w:t>I</w:t>
      </w:r>
      <w:r>
        <w:t xml:space="preserve">reland developed and launched </w:t>
      </w:r>
      <w:r w:rsidRPr="003E6776">
        <w:t xml:space="preserve">a new standard on Universal Design </w:t>
      </w:r>
      <w:r>
        <w:t xml:space="preserve">in Energy Customer Services, which </w:t>
      </w:r>
      <w:r w:rsidRPr="003E6776">
        <w:t xml:space="preserve">is the first </w:t>
      </w:r>
      <w:r>
        <w:t xml:space="preserve">such </w:t>
      </w:r>
      <w:r w:rsidRPr="003E6776">
        <w:t>U</w:t>
      </w:r>
      <w:r>
        <w:t xml:space="preserve">niversal </w:t>
      </w:r>
      <w:r w:rsidRPr="003E6776">
        <w:t>D</w:t>
      </w:r>
      <w:r>
        <w:t>esign</w:t>
      </w:r>
      <w:r w:rsidRPr="003E6776">
        <w:t xml:space="preserve"> standard </w:t>
      </w:r>
      <w:r>
        <w:t xml:space="preserve">not only in </w:t>
      </w:r>
      <w:smartTag w:uri="urn:schemas-microsoft-com:office:smarttags" w:element="place">
        <w:smartTag w:uri="urn:schemas-microsoft-com:office:smarttags" w:element="country-region">
          <w:r>
            <w:t>Ireland</w:t>
          </w:r>
        </w:smartTag>
      </w:smartTag>
      <w:r>
        <w:t xml:space="preserve">, but </w:t>
      </w:r>
      <w:r w:rsidRPr="003E6776">
        <w:t>also in the world.</w:t>
      </w:r>
    </w:p>
    <w:p w:rsidR="007A3B86" w:rsidRPr="007A3B86" w:rsidRDefault="007A3B86" w:rsidP="007A3B86"/>
    <w:p w:rsidR="003F5876" w:rsidRDefault="00BC4DDD" w:rsidP="00804BF1">
      <w:pPr>
        <w:pStyle w:val="Heading1"/>
      </w:pPr>
      <w:bookmarkStart w:id="9" w:name="_Toc368058747"/>
      <w:r w:rsidRPr="00BC4DDD">
        <w:t xml:space="preserve">Strategic </w:t>
      </w:r>
      <w:r w:rsidR="0002481D">
        <w:t>p</w:t>
      </w:r>
      <w:r w:rsidRPr="00BC4DDD">
        <w:t>riority 1</w:t>
      </w:r>
      <w:bookmarkEnd w:id="9"/>
    </w:p>
    <w:p w:rsidR="00E00EE7" w:rsidRPr="00EA7ECD" w:rsidRDefault="00E00EE7" w:rsidP="00EA7ECD">
      <w:pPr>
        <w:spacing w:after="120"/>
        <w:rPr>
          <w:b/>
          <w:lang w:val="en-GB"/>
        </w:rPr>
      </w:pPr>
      <w:r w:rsidRPr="00EA7ECD">
        <w:rPr>
          <w:b/>
          <w:lang w:val="en-GB"/>
        </w:rPr>
        <w:t>To provide suppor</w:t>
      </w:r>
      <w:r w:rsidR="00973CCA">
        <w:rPr>
          <w:b/>
          <w:lang w:val="en-GB"/>
        </w:rPr>
        <w:t>t and evidence-based advice to Government D</w:t>
      </w:r>
      <w:r w:rsidRPr="00EA7ECD">
        <w:rPr>
          <w:b/>
          <w:lang w:val="en-GB"/>
        </w:rPr>
        <w:t>epartments and public bodi</w:t>
      </w:r>
      <w:r w:rsidR="00EA7ECD" w:rsidRPr="00EA7ECD">
        <w:rPr>
          <w:b/>
          <w:lang w:val="en-GB"/>
        </w:rPr>
        <w:t>es by</w:t>
      </w:r>
    </w:p>
    <w:p w:rsidR="00E00EE7" w:rsidRPr="00EA7ECD" w:rsidRDefault="00E00EE7" w:rsidP="00EA7ECD">
      <w:pPr>
        <w:pStyle w:val="ListBullet"/>
        <w:rPr>
          <w:b/>
          <w:lang w:val="en-GB"/>
        </w:rPr>
      </w:pPr>
      <w:r w:rsidRPr="00EA7ECD">
        <w:rPr>
          <w:b/>
          <w:lang w:val="en-GB"/>
        </w:rPr>
        <w:t>supporting the effective implementation of the National Disability Strategy</w:t>
      </w:r>
    </w:p>
    <w:p w:rsidR="00E00EE7" w:rsidRDefault="00E00EE7" w:rsidP="00EA7ECD">
      <w:pPr>
        <w:pStyle w:val="ListBullet"/>
        <w:spacing w:after="240"/>
      </w:pPr>
      <w:r w:rsidRPr="00EA7ECD">
        <w:rPr>
          <w:b/>
          <w:lang w:val="en-GB"/>
        </w:rPr>
        <w:t>monitoring the impact of the National Disability Strategy</w:t>
      </w:r>
    </w:p>
    <w:p w:rsidR="00456BDE" w:rsidRDefault="00456BDE" w:rsidP="00A7103D">
      <w:pPr>
        <w:pStyle w:val="Heading2"/>
      </w:pPr>
      <w:r>
        <w:t>National Disability Strategy Implementation Plan</w:t>
      </w:r>
    </w:p>
    <w:p w:rsidR="00456BDE" w:rsidRDefault="00456BDE" w:rsidP="00804BF1">
      <w:r>
        <w:t xml:space="preserve">The National Disability Authority </w:t>
      </w:r>
      <w:r w:rsidR="00F04891">
        <w:t>provided</w:t>
      </w:r>
      <w:r>
        <w:t xml:space="preserve"> detailed guidance to the </w:t>
      </w:r>
      <w:r w:rsidR="00DD4843" w:rsidRPr="00DD4843">
        <w:t>Department of Justice and Equality</w:t>
      </w:r>
      <w:r>
        <w:t xml:space="preserve"> to inform the structure, actions, monitoring arrangement</w:t>
      </w:r>
      <w:r w:rsidR="00EA7ECD">
        <w:t>s and outcome indicators for a draft</w:t>
      </w:r>
      <w:r>
        <w:t xml:space="preserve"> National Disability Strategy Implementation Plan </w:t>
      </w:r>
      <w:r w:rsidR="00B63D5C">
        <w:t>being developed</w:t>
      </w:r>
      <w:r>
        <w:t>.</w:t>
      </w:r>
    </w:p>
    <w:p w:rsidR="00EA7ECD" w:rsidRPr="00EA7ECD" w:rsidRDefault="00456BDE" w:rsidP="00804BF1">
      <w:r>
        <w:t xml:space="preserve">The </w:t>
      </w:r>
      <w:r w:rsidR="007C09D2">
        <w:t>National Disability Authority</w:t>
      </w:r>
      <w:r>
        <w:t xml:space="preserve"> also held bilateral meetings </w:t>
      </w:r>
      <w:r w:rsidR="00EA7ECD">
        <w:t xml:space="preserve">with each Government Department, </w:t>
      </w:r>
      <w:r w:rsidR="00EA7ECD" w:rsidRPr="001A58FE">
        <w:t>to guide on actions in their areas</w:t>
      </w:r>
      <w:r w:rsidR="00B63D5C" w:rsidRPr="001A58FE">
        <w:t xml:space="preserve"> of responsibility</w:t>
      </w:r>
      <w:r w:rsidR="00EA7ECD" w:rsidRPr="001A58FE">
        <w:t xml:space="preserve">. The </w:t>
      </w:r>
      <w:r w:rsidR="00C465CA" w:rsidRPr="006309CB">
        <w:rPr>
          <w:lang w:val="ga-IE" w:eastAsia="en-GB"/>
        </w:rPr>
        <w:t>National Disability Authority</w:t>
      </w:r>
      <w:r w:rsidR="00EC2EAE" w:rsidRPr="001A58FE">
        <w:t xml:space="preserve"> is also a </w:t>
      </w:r>
      <w:r w:rsidR="00EA7ECD" w:rsidRPr="001A58FE">
        <w:t>member of the National Disability</w:t>
      </w:r>
      <w:r w:rsidR="00EC2EAE" w:rsidRPr="001A58FE">
        <w:t xml:space="preserve"> Strategy Implementation Group</w:t>
      </w:r>
      <w:r w:rsidR="001942D3" w:rsidRPr="001A58FE">
        <w:t>,</w:t>
      </w:r>
      <w:r w:rsidR="00EC2EAE" w:rsidRPr="001A58FE">
        <w:t xml:space="preserve"> </w:t>
      </w:r>
      <w:r w:rsidR="00EA7ECD" w:rsidRPr="001A58FE">
        <w:t>chaired by the Minister</w:t>
      </w:r>
      <w:r w:rsidR="001942D3" w:rsidRPr="001A58FE">
        <w:t xml:space="preserve"> of State for Disability, Equality, Mental Health, and Older </w:t>
      </w:r>
      <w:r w:rsidR="00DD4843" w:rsidRPr="001A58FE">
        <w:t>People</w:t>
      </w:r>
      <w:r w:rsidR="00EA7ECD" w:rsidRPr="001A58FE">
        <w:t xml:space="preserve">. During 2012, the </w:t>
      </w:r>
      <w:r w:rsidR="00C465CA" w:rsidRPr="006309CB">
        <w:rPr>
          <w:lang w:val="ga-IE" w:eastAsia="en-GB"/>
        </w:rPr>
        <w:t>National Disability Authority</w:t>
      </w:r>
      <w:r w:rsidR="00C465CA" w:rsidRPr="001A58FE">
        <w:t xml:space="preserve"> </w:t>
      </w:r>
      <w:r w:rsidR="00EA7ECD" w:rsidRPr="001A58FE">
        <w:t xml:space="preserve">submitted </w:t>
      </w:r>
      <w:r w:rsidR="00EC2EAE" w:rsidRPr="001A58FE">
        <w:t xml:space="preserve">a number of advice </w:t>
      </w:r>
      <w:r w:rsidR="00EA7ECD" w:rsidRPr="001A58FE">
        <w:t>papers to the Group</w:t>
      </w:r>
      <w:r w:rsidR="00EC2EAE" w:rsidRPr="001A58FE">
        <w:t>,</w:t>
      </w:r>
      <w:r w:rsidR="00EA7ECD" w:rsidRPr="001A58FE">
        <w:t xml:space="preserve"> including a proposed suite of indicators to measure progress </w:t>
      </w:r>
      <w:r w:rsidR="00E66FB1" w:rsidRPr="001A58FE">
        <w:t>o</w:t>
      </w:r>
      <w:r w:rsidR="00EA7ECD" w:rsidRPr="001A58FE">
        <w:t>n implementing the Plan.</w:t>
      </w:r>
    </w:p>
    <w:p w:rsidR="00456BDE" w:rsidRDefault="00456BDE" w:rsidP="00804BF1">
      <w:pPr>
        <w:pStyle w:val="Heading3"/>
      </w:pPr>
      <w:r>
        <w:t>Disability Stakeholder Group</w:t>
      </w:r>
    </w:p>
    <w:p w:rsidR="00456BDE" w:rsidRDefault="00456BDE" w:rsidP="00804BF1">
      <w:r>
        <w:t xml:space="preserve">The National Disability Authority Director </w:t>
      </w:r>
      <w:r w:rsidR="00D1187E">
        <w:t xml:space="preserve">is the </w:t>
      </w:r>
      <w:r>
        <w:t xml:space="preserve">independent chair of </w:t>
      </w:r>
      <w:r w:rsidR="007B6576">
        <w:t>the</w:t>
      </w:r>
      <w:r>
        <w:t xml:space="preserve"> </w:t>
      </w:r>
      <w:r w:rsidR="00D1187E">
        <w:t>D</w:t>
      </w:r>
      <w:r>
        <w:t xml:space="preserve">isability </w:t>
      </w:r>
      <w:r w:rsidR="00D1187E">
        <w:t>S</w:t>
      </w:r>
      <w:r>
        <w:t>takeholder</w:t>
      </w:r>
      <w:r w:rsidR="007B6576">
        <w:t xml:space="preserve"> </w:t>
      </w:r>
      <w:r w:rsidR="00D1187E">
        <w:t>G</w:t>
      </w:r>
      <w:r w:rsidR="007B6576">
        <w:t>roup</w:t>
      </w:r>
      <w:r>
        <w:t xml:space="preserve">, which comprises key umbrella </w:t>
      </w:r>
      <w:r w:rsidR="00D1187E">
        <w:t xml:space="preserve">disability </w:t>
      </w:r>
      <w:r>
        <w:t xml:space="preserve">bodies and individuals with lived experience of disability, </w:t>
      </w:r>
      <w:r w:rsidR="00D1187E">
        <w:t xml:space="preserve">and </w:t>
      </w:r>
      <w:r>
        <w:t xml:space="preserve">which was appointed by the Minister of State to provide a co-ordinated input to the work on the </w:t>
      </w:r>
      <w:r w:rsidRPr="00456BDE">
        <w:t>National Disability Strategy Implementation Plan.</w:t>
      </w:r>
      <w:r w:rsidR="00DD1D6C">
        <w:t xml:space="preserve"> </w:t>
      </w:r>
      <w:r w:rsidR="00DD1D6C" w:rsidRPr="00456BDE">
        <w:t xml:space="preserve">The </w:t>
      </w:r>
      <w:r w:rsidR="00DD1D6C">
        <w:t>National Disability Authority</w:t>
      </w:r>
      <w:r w:rsidR="00DD1D6C" w:rsidRPr="00456BDE">
        <w:t xml:space="preserve"> also provides the secretariat to the group.</w:t>
      </w:r>
      <w:r w:rsidR="00DD1D6C">
        <w:t xml:space="preserve"> </w:t>
      </w:r>
      <w:r w:rsidR="00DD1D6C" w:rsidRPr="00DD1D6C">
        <w:t xml:space="preserve">In 2012 the Disability Stakeholders Group </w:t>
      </w:r>
      <w:r w:rsidR="001942D3" w:rsidRPr="00DD1D6C">
        <w:rPr>
          <w:lang w:val="en-GB"/>
        </w:rPr>
        <w:t xml:space="preserve">had seven ordinary meetings and two briefing sessions with Government Departments. </w:t>
      </w:r>
      <w:r w:rsidR="00A666F5" w:rsidRPr="00A666F5">
        <w:rPr>
          <w:lang w:val="en-GB"/>
        </w:rPr>
        <w:t>The Disability Stakeholder Group also participated in three National Disability Strategy Implementation Group meetings.</w:t>
      </w:r>
      <w:r w:rsidR="00DD1D6C">
        <w:rPr>
          <w:lang w:val="en-GB"/>
        </w:rPr>
        <w:t xml:space="preserve"> </w:t>
      </w:r>
    </w:p>
    <w:p w:rsidR="00456BDE" w:rsidRDefault="00456BDE" w:rsidP="00804BF1">
      <w:pPr>
        <w:pStyle w:val="Heading3"/>
      </w:pPr>
      <w:r>
        <w:t>Your Voice Your Choice consultation event</w:t>
      </w:r>
    </w:p>
    <w:p w:rsidR="00456BDE" w:rsidRDefault="00456BDE" w:rsidP="00804BF1">
      <w:r w:rsidRPr="000D6D65">
        <w:t>At the request of the Minister for Disability, Equality, Mental Health and Older People, the National Disability Authority held a consultation event</w:t>
      </w:r>
      <w:r>
        <w:t xml:space="preserve"> </w:t>
      </w:r>
      <w:r w:rsidR="0050485E">
        <w:t>—</w:t>
      </w:r>
      <w:r w:rsidRPr="000D6D65">
        <w:t xml:space="preserve"> </w:t>
      </w:r>
      <w:r w:rsidRPr="00456BDE">
        <w:t>Your Voice Your Choice</w:t>
      </w:r>
      <w:r w:rsidRPr="000D6D65">
        <w:t xml:space="preserve"> </w:t>
      </w:r>
      <w:r w:rsidR="0050485E">
        <w:t>—</w:t>
      </w:r>
      <w:r>
        <w:t xml:space="preserve"> </w:t>
      </w:r>
      <w:r w:rsidRPr="000D6D65">
        <w:t xml:space="preserve">with people with disabilities in Dublin </w:t>
      </w:r>
      <w:r>
        <w:t>in</w:t>
      </w:r>
      <w:r w:rsidRPr="000D6D65">
        <w:t xml:space="preserve"> June 2012</w:t>
      </w:r>
      <w:r>
        <w:t>, to</w:t>
      </w:r>
      <w:r w:rsidR="00D1187E">
        <w:t xml:space="preserve"> hear their views and help</w:t>
      </w:r>
      <w:r>
        <w:t xml:space="preserve"> inform the National Disability Strategy Implementation Plan, and </w:t>
      </w:r>
      <w:r w:rsidRPr="00557D5B">
        <w:t xml:space="preserve">to guide </w:t>
      </w:r>
      <w:r>
        <w:t>policy and service development.</w:t>
      </w:r>
      <w:r w:rsidRPr="000D6D65">
        <w:t xml:space="preserve"> </w:t>
      </w:r>
    </w:p>
    <w:p w:rsidR="00456BDE" w:rsidRPr="000D6D65" w:rsidRDefault="00456BDE" w:rsidP="00A7103D">
      <w:pPr>
        <w:pStyle w:val="NormalBeforeList"/>
        <w:spacing w:after="120"/>
      </w:pPr>
      <w:r>
        <w:t xml:space="preserve">This event brought </w:t>
      </w:r>
      <w:r w:rsidRPr="000D6D65">
        <w:t>together individuals with disabilities, parents of children and young people with disabilities, and advocates</w:t>
      </w:r>
      <w:r>
        <w:t>,</w:t>
      </w:r>
      <w:r w:rsidRPr="000D6D65">
        <w:t xml:space="preserve"> to have a constructive dialogue guided by their experiences in their daily lives. It provided a space to hear about what the challenges are and what supports are needed in daily living. It gave people an opportunity to ha</w:t>
      </w:r>
      <w:r>
        <w:t>ve their say about what they saw</w:t>
      </w:r>
      <w:r w:rsidRPr="000D6D65">
        <w:t xml:space="preserve"> </w:t>
      </w:r>
      <w:r>
        <w:t>we</w:t>
      </w:r>
      <w:r w:rsidRPr="000D6D65">
        <w:t>re the</w:t>
      </w:r>
      <w:r w:rsidRPr="00557D5B">
        <w:t xml:space="preserve"> priorities and to capture this important information</w:t>
      </w:r>
      <w:r>
        <w:t xml:space="preserve">. Between the event and an </w:t>
      </w:r>
      <w:r w:rsidRPr="000D6D65">
        <w:t>online facility which was available to those who would have liked to be there but could not attend</w:t>
      </w:r>
      <w:r>
        <w:t>, the views of about 250 people were captured and published, covering</w:t>
      </w:r>
      <w:r w:rsidR="000F56EB">
        <w:t>:</w:t>
      </w:r>
      <w:r w:rsidRPr="00557D5B">
        <w:t xml:space="preserve"> </w:t>
      </w:r>
    </w:p>
    <w:p w:rsidR="00456BDE" w:rsidRPr="000D6D65" w:rsidRDefault="00456BDE" w:rsidP="00804BF1">
      <w:pPr>
        <w:pStyle w:val="ListBullet"/>
      </w:pPr>
      <w:r w:rsidRPr="000D6D65">
        <w:t>Everyday life and what matters most to them</w:t>
      </w:r>
    </w:p>
    <w:p w:rsidR="00456BDE" w:rsidRPr="000D6D65" w:rsidRDefault="00456BDE" w:rsidP="00804BF1">
      <w:pPr>
        <w:pStyle w:val="ListBullet"/>
      </w:pPr>
      <w:r w:rsidRPr="000D6D65">
        <w:t>What is important in making the most of one’s potential</w:t>
      </w:r>
    </w:p>
    <w:p w:rsidR="00456BDE" w:rsidRPr="000D6D65" w:rsidRDefault="00456BDE" w:rsidP="00804BF1">
      <w:pPr>
        <w:pStyle w:val="ListBullet"/>
      </w:pPr>
      <w:r w:rsidRPr="000D6D65">
        <w:t>Being treated as equals</w:t>
      </w:r>
    </w:p>
    <w:p w:rsidR="00456BDE" w:rsidRPr="000D6D65" w:rsidRDefault="00456BDE" w:rsidP="00804BF1">
      <w:pPr>
        <w:pStyle w:val="ListBullet"/>
      </w:pPr>
      <w:r w:rsidRPr="000D6D65">
        <w:t>Having choice and living independently</w:t>
      </w:r>
    </w:p>
    <w:p w:rsidR="00456BDE" w:rsidRPr="000D6D65" w:rsidRDefault="00456BDE" w:rsidP="00A7103D">
      <w:pPr>
        <w:pStyle w:val="ListBullet"/>
        <w:spacing w:after="240"/>
      </w:pPr>
      <w:r w:rsidRPr="000D6D65">
        <w:t>Participating in the life of the community</w:t>
      </w:r>
    </w:p>
    <w:p w:rsidR="00A7103D" w:rsidRDefault="00456BDE" w:rsidP="00A7103D">
      <w:pPr>
        <w:pStyle w:val="NormalAfterList"/>
      </w:pPr>
      <w:r>
        <w:t>The</w:t>
      </w:r>
      <w:r w:rsidRPr="000D6D65">
        <w:t xml:space="preserve"> </w:t>
      </w:r>
      <w:r>
        <w:t>report was given to the Minister of State and circulated to the relevant officials tasked with developing the National Disability Strategy Implementation Plan</w:t>
      </w:r>
      <w:r w:rsidR="00B63D5C">
        <w:t>, and is available on www.nda.ie</w:t>
      </w:r>
      <w:r>
        <w:t xml:space="preserve">. </w:t>
      </w:r>
    </w:p>
    <w:p w:rsidR="00456BDE" w:rsidRDefault="00456BDE" w:rsidP="00A7103D">
      <w:pPr>
        <w:pStyle w:val="Heading2"/>
      </w:pPr>
      <w:r>
        <w:t>Individual aspects of the National Disability</w:t>
      </w:r>
      <w:r w:rsidR="00987AF0">
        <w:t> </w:t>
      </w:r>
      <w:r>
        <w:t>Strategy</w:t>
      </w:r>
    </w:p>
    <w:p w:rsidR="00A7103D" w:rsidRDefault="00456BDE" w:rsidP="00A7103D">
      <w:r>
        <w:t xml:space="preserve">The </w:t>
      </w:r>
      <w:r w:rsidR="007C09D2">
        <w:t>National Disability Authority</w:t>
      </w:r>
      <w:r>
        <w:t xml:space="preserve"> continued to advise individual Government Departments and agencies such as the Health Service Executive and local authorities on aspects of the National Disability Strategy and on areas of policy and practice in relation to disability. </w:t>
      </w:r>
    </w:p>
    <w:p w:rsidR="00456BDE" w:rsidRDefault="00456BDE" w:rsidP="00A7103D">
      <w:pPr>
        <w:pStyle w:val="Heading2"/>
      </w:pPr>
      <w:r>
        <w:t>Health and disability services</w:t>
      </w:r>
    </w:p>
    <w:p w:rsidR="00456BDE" w:rsidRDefault="00456BDE" w:rsidP="00804BF1">
      <w:pPr>
        <w:pStyle w:val="Heading3"/>
      </w:pPr>
      <w:r>
        <w:t>Progressing the reform agenda in disability services</w:t>
      </w:r>
    </w:p>
    <w:p w:rsidR="00456BDE" w:rsidRDefault="00456BDE" w:rsidP="00804BF1">
      <w:r>
        <w:t xml:space="preserve">The National Disability Authority participated in the implementation teams set up to progress the recommendations of key HSE reports </w:t>
      </w:r>
      <w:r w:rsidR="0050485E">
        <w:t>—</w:t>
      </w:r>
      <w:r>
        <w:t xml:space="preserve"> on closure of residential institutions for people with disabilities (Time to Move on from Congregated Settings) and on review of adult day services (New Directions).</w:t>
      </w:r>
    </w:p>
    <w:p w:rsidR="00456BDE" w:rsidRPr="00BB36D6" w:rsidRDefault="00456BDE" w:rsidP="00804BF1">
      <w:pPr>
        <w:pStyle w:val="Heading3"/>
      </w:pPr>
      <w:r w:rsidRPr="00BB36D6">
        <w:t>Assessment of Need</w:t>
      </w:r>
    </w:p>
    <w:p w:rsidR="00D1187E" w:rsidRDefault="00456BDE" w:rsidP="00804BF1">
      <w:r w:rsidRPr="00BB36D6">
        <w:t>The National Disability</w:t>
      </w:r>
      <w:r>
        <w:t xml:space="preserve"> Authority published a</w:t>
      </w:r>
      <w:r w:rsidRPr="00BB36D6">
        <w:t xml:space="preserve"> report </w:t>
      </w:r>
      <w:r w:rsidR="00D1187E" w:rsidRPr="00D1187E">
        <w:t xml:space="preserve">of a study it conducted </w:t>
      </w:r>
      <w:r w:rsidRPr="00D1187E">
        <w:t xml:space="preserve">on </w:t>
      </w:r>
      <w:r w:rsidRPr="00BB36D6">
        <w:t>the operation of the statutory assessment of need process under the Disability Act 2005. This work was done in partnership with Department of Health</w:t>
      </w:r>
      <w:r>
        <w:t xml:space="preserve"> and the Health Service Executive. </w:t>
      </w:r>
    </w:p>
    <w:p w:rsidR="00456BDE" w:rsidRPr="00F951C3" w:rsidRDefault="00456BDE" w:rsidP="00804BF1">
      <w:r w:rsidRPr="00BB36D6">
        <w:t xml:space="preserve">The findings </w:t>
      </w:r>
      <w:r w:rsidR="00B63D5C">
        <w:t xml:space="preserve">highlight areas of good practice and also identify issues that need to be addressed. It </w:t>
      </w:r>
      <w:r>
        <w:t>showed that one of the factors driving the significant resources</w:t>
      </w:r>
      <w:r w:rsidR="00C02418">
        <w:t xml:space="preserve"> devoted</w:t>
      </w:r>
      <w:r>
        <w:t xml:space="preserve"> to the process of assessment is the search for a </w:t>
      </w:r>
      <w:r w:rsidR="00F951C3">
        <w:t>diagnosis</w:t>
      </w:r>
      <w:r w:rsidR="00C02418">
        <w:t xml:space="preserve">. This can reflect </w:t>
      </w:r>
      <w:r w:rsidR="00F951C3">
        <w:t>the fact</w:t>
      </w:r>
      <w:r>
        <w:t xml:space="preserve"> that resources in education and entry to some disability services are driven primarily by diagnosis rather than needs more broadly defined. The report also identified some practical steps which can be taken to streamline the process of assessment for parents and for the HSE.</w:t>
      </w:r>
      <w:r w:rsidR="00F951C3">
        <w:t xml:space="preserve"> </w:t>
      </w:r>
      <w:r w:rsidR="00F951C3" w:rsidRPr="001A58FE">
        <w:t xml:space="preserve">The </w:t>
      </w:r>
      <w:r w:rsidR="00C465CA" w:rsidRPr="006309CB">
        <w:rPr>
          <w:lang w:val="ga-IE" w:eastAsia="en-GB"/>
        </w:rPr>
        <w:t>National Disability Authority</w:t>
      </w:r>
      <w:r w:rsidR="00F951C3" w:rsidRPr="001A58FE">
        <w:t xml:space="preserve"> continued to engage with the project partners on advancing recommendations identified in the study.</w:t>
      </w:r>
    </w:p>
    <w:p w:rsidR="00456BDE" w:rsidRDefault="00456BDE" w:rsidP="00804BF1">
      <w:pPr>
        <w:pStyle w:val="Heading3"/>
      </w:pPr>
      <w:r>
        <w:t>Resource Allocation research</w:t>
      </w:r>
      <w:r w:rsidR="00F3277E">
        <w:t xml:space="preserve"> – phase 1 feasibility study</w:t>
      </w:r>
    </w:p>
    <w:p w:rsidR="00F3277E" w:rsidRPr="00936BCD" w:rsidRDefault="00F951C3" w:rsidP="001A58FE">
      <w:r w:rsidRPr="001A58FE">
        <w:t>In light of new policy directions emerging from the Value for Money and Policy Review of Disability Services, t</w:t>
      </w:r>
      <w:r w:rsidR="00456BDE" w:rsidRPr="00F951C3">
        <w:t>he</w:t>
      </w:r>
      <w:r w:rsidR="00456BDE">
        <w:t xml:space="preserve"> </w:t>
      </w:r>
      <w:r w:rsidR="007C09D2">
        <w:t>National Disability Authority</w:t>
      </w:r>
      <w:r w:rsidR="00456BDE">
        <w:t xml:space="preserve"> conducted</w:t>
      </w:r>
      <w:r w:rsidR="001942D3">
        <w:t xml:space="preserve"> a feasibility study</w:t>
      </w:r>
      <w:r w:rsidR="00456BDE">
        <w:t xml:space="preserve"> on </w:t>
      </w:r>
      <w:r w:rsidR="00F0688B">
        <w:t xml:space="preserve">resource allocation models. This consisted of trials of </w:t>
      </w:r>
      <w:r w:rsidR="00456BDE">
        <w:t>two different resource allocation systems</w:t>
      </w:r>
      <w:r w:rsidR="00F0688B">
        <w:t xml:space="preserve"> to provide a better match of resources to individual needs for disability supports</w:t>
      </w:r>
      <w:r w:rsidR="001942D3">
        <w:t xml:space="preserve">. </w:t>
      </w:r>
      <w:r w:rsidR="001942D3" w:rsidRPr="001A58FE">
        <w:t xml:space="preserve">The study entailed </w:t>
      </w:r>
      <w:r w:rsidR="00456BDE">
        <w:t xml:space="preserve">a feasibility trial of the US </w:t>
      </w:r>
      <w:r w:rsidR="00456BDE" w:rsidRPr="000F4724">
        <w:t xml:space="preserve">Supports Intensity Scale (SIS) system and </w:t>
      </w:r>
      <w:r w:rsidR="00456BDE">
        <w:t xml:space="preserve">the UK </w:t>
      </w:r>
      <w:r w:rsidR="00456BDE" w:rsidRPr="000F4724">
        <w:t xml:space="preserve">In Control’s RAS 5. The research was a process evaluation of these two established tools. As part of the research, </w:t>
      </w:r>
      <w:r w:rsidR="00456BDE">
        <w:t xml:space="preserve">112 </w:t>
      </w:r>
      <w:r w:rsidR="00456BDE" w:rsidRPr="000F4724">
        <w:t xml:space="preserve">adults with disabilities </w:t>
      </w:r>
      <w:r w:rsidR="00456BDE">
        <w:t xml:space="preserve">across a wide range of disabilities and living arrangements </w:t>
      </w:r>
      <w:r w:rsidR="00456BDE" w:rsidRPr="000F4724">
        <w:t>were interviewed using both the SIS and RAS 5 questionnaires. An external evaluator document</w:t>
      </w:r>
      <w:r w:rsidR="00456BDE">
        <w:t>ed</w:t>
      </w:r>
      <w:r w:rsidR="00456BDE" w:rsidRPr="000F4724">
        <w:t xml:space="preserve"> the strengths and weaknesses of each system.</w:t>
      </w:r>
      <w:r w:rsidR="001942D3">
        <w:t xml:space="preserve"> </w:t>
      </w:r>
      <w:r w:rsidR="00F3277E" w:rsidRPr="00936BCD">
        <w:t xml:space="preserve">An Advisory Committee comprised of nominees of key disability representative bodies, along with members of the Department of Health and the Health Service Executive was also convened for the duration of the study. </w:t>
      </w:r>
    </w:p>
    <w:p w:rsidR="00456BDE" w:rsidRPr="001942D3" w:rsidRDefault="001942D3" w:rsidP="001A58FE">
      <w:r w:rsidRPr="001942D3">
        <w:rPr>
          <w:lang w:val="en-GB" w:eastAsia="en-GB"/>
        </w:rPr>
        <w:t>It is intended to trial two further resource allocation models in 2013 before concluding advice on an effective and appropriate system.</w:t>
      </w:r>
    </w:p>
    <w:p w:rsidR="00456BDE" w:rsidRDefault="00456BDE" w:rsidP="00804BF1">
      <w:pPr>
        <w:pStyle w:val="Heading3"/>
      </w:pPr>
      <w:r>
        <w:t>Personal Budgets research</w:t>
      </w:r>
    </w:p>
    <w:p w:rsidR="00456BDE" w:rsidRPr="005A24BB" w:rsidRDefault="007E72AA" w:rsidP="00804BF1">
      <w:r>
        <w:t xml:space="preserve">The </w:t>
      </w:r>
      <w:r w:rsidR="007C09D2">
        <w:t>National Disability Authority</w:t>
      </w:r>
      <w:r w:rsidR="00456BDE">
        <w:t xml:space="preserve"> </w:t>
      </w:r>
      <w:r>
        <w:t xml:space="preserve">commissioned a review </w:t>
      </w:r>
      <w:r w:rsidR="007B76BB">
        <w:t xml:space="preserve">of international literature on the implementation </w:t>
      </w:r>
      <w:r w:rsidR="00456BDE">
        <w:t>of personal budget</w:t>
      </w:r>
      <w:r w:rsidR="007B76BB">
        <w:t xml:space="preserve"> </w:t>
      </w:r>
      <w:r w:rsidR="00456BDE">
        <w:t>s</w:t>
      </w:r>
      <w:r w:rsidR="007B76BB">
        <w:t xml:space="preserve">ystems. The report looked at five jurisdictions – </w:t>
      </w:r>
      <w:smartTag w:uri="urn:schemas-microsoft-com:office:smarttags" w:element="country-region">
        <w:r w:rsidR="007B76BB">
          <w:t>UK</w:t>
        </w:r>
      </w:smartTag>
      <w:r w:rsidR="007B76BB">
        <w:t xml:space="preserve">, US, </w:t>
      </w:r>
      <w:smartTag w:uri="urn:schemas-microsoft-com:office:smarttags" w:element="country-region">
        <w:r w:rsidR="007B76BB">
          <w:t>Canada</w:t>
        </w:r>
      </w:smartTag>
      <w:r w:rsidR="007B76BB">
        <w:t xml:space="preserve">, </w:t>
      </w:r>
      <w:smartTag w:uri="urn:schemas-microsoft-com:office:smarttags" w:element="country-region">
        <w:r w:rsidR="007B76BB">
          <w:t>Australia</w:t>
        </w:r>
      </w:smartTag>
      <w:r w:rsidR="007B76BB">
        <w:t xml:space="preserve"> and the </w:t>
      </w:r>
      <w:smartTag w:uri="urn:schemas-microsoft-com:office:smarttags" w:element="place">
        <w:smartTag w:uri="urn:schemas-microsoft-com:office:smarttags" w:element="country-region">
          <w:r w:rsidR="007B76BB">
            <w:t>Netherlands</w:t>
          </w:r>
        </w:smartTag>
      </w:smartTag>
      <w:r w:rsidR="007B76BB">
        <w:t xml:space="preserve">. </w:t>
      </w:r>
      <w:r w:rsidR="007B76BB" w:rsidRPr="00EF0A8F">
        <w:t>This review of experiences in comparator countries identifies the opportunities and limitations that have been encountered with the introduction of personal budgets for people with disabilities.</w:t>
      </w:r>
      <w:r w:rsidR="00D63B5A">
        <w:t xml:space="preserve"> </w:t>
      </w:r>
    </w:p>
    <w:p w:rsidR="00456BDE" w:rsidRDefault="00456BDE" w:rsidP="00804BF1">
      <w:pPr>
        <w:pStyle w:val="Heading3"/>
      </w:pPr>
      <w:r>
        <w:t>Guidelines on accessible mainstream health services</w:t>
      </w:r>
    </w:p>
    <w:p w:rsidR="00456BDE" w:rsidRPr="004907C8" w:rsidRDefault="00456BDE" w:rsidP="00804BF1">
      <w:r>
        <w:t xml:space="preserve">The </w:t>
      </w:r>
      <w:r w:rsidR="007C09D2">
        <w:t>National Disability Authority</w:t>
      </w:r>
      <w:r>
        <w:t xml:space="preserve"> developed a suite of guidelines on how to ensure mainstream health services would be accessible to people with disabilities</w:t>
      </w:r>
      <w:r w:rsidR="00E8089D">
        <w:t xml:space="preserve">. These </w:t>
      </w:r>
      <w:r>
        <w:t>have been presented to the Health Service Executive. The gu</w:t>
      </w:r>
      <w:r w:rsidR="00E8089D">
        <w:t>idelines drew on a review of relevant</w:t>
      </w:r>
      <w:r>
        <w:t xml:space="preserve"> literature</w:t>
      </w:r>
      <w:r w:rsidR="00E8089D">
        <w:t xml:space="preserve"> and comparable guidelines in other jurisdictions</w:t>
      </w:r>
      <w:r>
        <w:t xml:space="preserve">, which has </w:t>
      </w:r>
      <w:r w:rsidR="00E8089D">
        <w:t xml:space="preserve">now </w:t>
      </w:r>
      <w:r>
        <w:t xml:space="preserve">been published by the </w:t>
      </w:r>
      <w:r w:rsidR="007C09D2">
        <w:t>National Disability Authority</w:t>
      </w:r>
      <w:r w:rsidR="00E8089D">
        <w:t>, as well as a</w:t>
      </w:r>
      <w:r>
        <w:t xml:space="preserve"> process of consultatio</w:t>
      </w:r>
      <w:r w:rsidR="00E8089D">
        <w:t>n with disability organisations. The guidelines</w:t>
      </w:r>
      <w:r>
        <w:t xml:space="preserve"> were developed in partnership with the HSE’s accessibility team. The guidelines include general guidance around accessible premises, services, communication and information, as well as specific guidance for primary care services (including GP), for maternity services, and for hospital services. </w:t>
      </w:r>
    </w:p>
    <w:p w:rsidR="00456BDE" w:rsidRDefault="00456BDE" w:rsidP="00804BF1">
      <w:pPr>
        <w:pStyle w:val="Heading3"/>
      </w:pPr>
      <w:r>
        <w:t>Universal Health Insurance</w:t>
      </w:r>
    </w:p>
    <w:p w:rsidR="00456BDE" w:rsidRPr="0002424B" w:rsidRDefault="00456BDE" w:rsidP="00804BF1">
      <w:r>
        <w:t xml:space="preserve">The </w:t>
      </w:r>
      <w:r w:rsidR="007C09D2">
        <w:t>National Disability Authority</w:t>
      </w:r>
      <w:r>
        <w:t xml:space="preserve"> published a commissioned report which summarised the available research literature on issues for people with disabilities in a universal health insurance model. This informed the policy advice provided to the Minister for Health on the issues to consider for people with disabilities in planning the introduction of Universal Health Insurance, including equal access to insurance cover at reasonable cost, and the range of services which insurance would cover.</w:t>
      </w:r>
    </w:p>
    <w:p w:rsidR="00456BDE" w:rsidRDefault="00456BDE" w:rsidP="00804BF1">
      <w:pPr>
        <w:pStyle w:val="Heading3"/>
      </w:pPr>
      <w:r>
        <w:t>Other policy advice in the health area</w:t>
      </w:r>
    </w:p>
    <w:p w:rsidR="00456BDE" w:rsidRDefault="00456BDE" w:rsidP="00804BF1">
      <w:pPr>
        <w:pStyle w:val="NormalBeforeList"/>
      </w:pPr>
      <w:r>
        <w:t xml:space="preserve">The </w:t>
      </w:r>
      <w:r w:rsidR="007C09D2">
        <w:t>National Disability Authority</w:t>
      </w:r>
      <w:r>
        <w:t xml:space="preserve"> also issued advice papers in the following areas</w:t>
      </w:r>
      <w:r w:rsidR="000F56EB">
        <w:t>:</w:t>
      </w:r>
    </w:p>
    <w:p w:rsidR="00456BDE" w:rsidRDefault="00456BDE" w:rsidP="00804BF1">
      <w:pPr>
        <w:pStyle w:val="ListBullet"/>
      </w:pPr>
      <w:r>
        <w:t>To Vision for Change Monitoring Group, on progressing the mental health strategy</w:t>
      </w:r>
    </w:p>
    <w:p w:rsidR="00456BDE" w:rsidRDefault="00456BDE" w:rsidP="00804BF1">
      <w:pPr>
        <w:pStyle w:val="ListBullet"/>
      </w:pPr>
      <w:r>
        <w:t>Consultation on mental health and the criminal justice system</w:t>
      </w:r>
    </w:p>
    <w:p w:rsidR="00456BDE" w:rsidRDefault="00456BDE" w:rsidP="00804BF1">
      <w:pPr>
        <w:pStyle w:val="ListBullet"/>
      </w:pPr>
      <w:r>
        <w:t xml:space="preserve">Consultation on the National Dementia Strategy </w:t>
      </w:r>
    </w:p>
    <w:p w:rsidR="00456BDE" w:rsidRDefault="00456BDE" w:rsidP="00804BF1">
      <w:pPr>
        <w:pStyle w:val="ListBullet"/>
      </w:pPr>
      <w:r>
        <w:t>Advice paper on Mobility Allowance</w:t>
      </w:r>
    </w:p>
    <w:p w:rsidR="00A7103D" w:rsidRDefault="00456BDE" w:rsidP="00A7103D">
      <w:pPr>
        <w:pStyle w:val="ListBullet"/>
        <w:spacing w:after="240"/>
      </w:pPr>
      <w:r>
        <w:t xml:space="preserve">Advice on regulation of private audiology services </w:t>
      </w:r>
    </w:p>
    <w:p w:rsidR="00E31B99" w:rsidRDefault="00E31B99" w:rsidP="00E31B99">
      <w:pPr>
        <w:pStyle w:val="Heading2"/>
      </w:pPr>
      <w:r>
        <w:t>Standards for people with disabilities</w:t>
      </w:r>
    </w:p>
    <w:p w:rsidR="00E31B99" w:rsidRPr="00936BCD" w:rsidRDefault="00E31B99" w:rsidP="00E31B99">
      <w:pPr>
        <w:pStyle w:val="Heading3"/>
      </w:pPr>
      <w:r w:rsidRPr="00E53955">
        <w:t>National Standards for</w:t>
      </w:r>
      <w:r>
        <w:t xml:space="preserve"> </w:t>
      </w:r>
      <w:r w:rsidRPr="00B04EA3">
        <w:t xml:space="preserve">Residential Centres </w:t>
      </w:r>
    </w:p>
    <w:p w:rsidR="00E31B99" w:rsidRDefault="00E31B99" w:rsidP="00E31B99">
      <w:r w:rsidRPr="00936BCD">
        <w:t xml:space="preserve">The Health Information and Quality Authority (HIQA) published Draft National Standards for Residential Centres for People with Disabilities for public consultation in 2012. </w:t>
      </w:r>
      <w:r w:rsidR="00E66FB1">
        <w:t xml:space="preserve">The </w:t>
      </w:r>
      <w:r>
        <w:t>National Disability Authority</w:t>
      </w:r>
      <w:r w:rsidRPr="00936BCD">
        <w:t xml:space="preserve"> made a submission to HIQA in response to this public consultation.</w:t>
      </w:r>
      <w:r>
        <w:t xml:space="preserve"> </w:t>
      </w:r>
    </w:p>
    <w:p w:rsidR="00E31B99" w:rsidRPr="00872908" w:rsidRDefault="00E31B99" w:rsidP="00E31B99">
      <w:pPr>
        <w:pStyle w:val="Heading3"/>
      </w:pPr>
      <w:r w:rsidRPr="00872908">
        <w:t>Interim Standards for Adult Day Services</w:t>
      </w:r>
    </w:p>
    <w:p w:rsidR="00E31B99" w:rsidRPr="00936BCD" w:rsidRDefault="00E31B99" w:rsidP="00E31B99">
      <w:r w:rsidRPr="00936BCD">
        <w:t xml:space="preserve">The review of HSE Adult Day Services entitled New Directions was published in February 2012. </w:t>
      </w:r>
      <w:r w:rsidR="0053246B">
        <w:t>This envisages a new model of service which emphasises support for people with disabilities to engage in mainstream activities in the community.</w:t>
      </w:r>
      <w:r w:rsidR="00D63B5A">
        <w:t xml:space="preserve"> </w:t>
      </w:r>
      <w:r w:rsidR="0053246B">
        <w:t xml:space="preserve">The </w:t>
      </w:r>
      <w:r w:rsidR="00C465CA" w:rsidRPr="006309CB">
        <w:rPr>
          <w:lang w:val="ga-IE" w:eastAsia="en-GB"/>
        </w:rPr>
        <w:t>National Disability Authority</w:t>
      </w:r>
      <w:r w:rsidR="0053246B">
        <w:t xml:space="preserve"> is represented on the implementation group. </w:t>
      </w:r>
      <w:r w:rsidR="000F4EB3">
        <w:t xml:space="preserve">Under the implementation plan, the National Disability Authority was requested to develop draft interim standards for the new model set out in New Directions. </w:t>
      </w:r>
      <w:r w:rsidRPr="00936BCD">
        <w:t>It is expected that draft Interim Standards will be published for public consultation in September 2013.</w:t>
      </w:r>
    </w:p>
    <w:p w:rsidR="00456BDE" w:rsidRDefault="00456BDE" w:rsidP="00A7103D">
      <w:pPr>
        <w:pStyle w:val="Heading2"/>
      </w:pPr>
      <w:r>
        <w:t>Employment</w:t>
      </w:r>
    </w:p>
    <w:p w:rsidR="00E8089D" w:rsidRDefault="00456BDE" w:rsidP="00804BF1">
      <w:r>
        <w:t xml:space="preserve">The </w:t>
      </w:r>
      <w:r w:rsidR="007C09D2">
        <w:t>National Disability Authority</w:t>
      </w:r>
      <w:r>
        <w:t xml:space="preserve"> prepared </w:t>
      </w:r>
      <w:r w:rsidR="00E8089D">
        <w:t xml:space="preserve">a </w:t>
      </w:r>
      <w:r>
        <w:t>brief</w:t>
      </w:r>
      <w:r w:rsidR="00E8089D">
        <w:t xml:space="preserve"> for Ministers </w:t>
      </w:r>
      <w:r>
        <w:t xml:space="preserve">on the </w:t>
      </w:r>
      <w:r w:rsidR="00E8089D">
        <w:t xml:space="preserve">areas which </w:t>
      </w:r>
      <w:r>
        <w:t>a comprehensive employment strategy for people with disabilities</w:t>
      </w:r>
      <w:r w:rsidR="00E8089D">
        <w:t xml:space="preserve"> could cover</w:t>
      </w:r>
      <w:r w:rsidR="00754792">
        <w:t xml:space="preserve">. </w:t>
      </w:r>
    </w:p>
    <w:p w:rsidR="00456BDE" w:rsidRDefault="00456BDE" w:rsidP="00804BF1">
      <w:pPr>
        <w:pStyle w:val="Heading3"/>
      </w:pPr>
      <w:r>
        <w:t>New further education and training agency</w:t>
      </w:r>
    </w:p>
    <w:p w:rsidR="00456BDE" w:rsidRPr="0015170C" w:rsidRDefault="00456BDE" w:rsidP="00804BF1">
      <w:r w:rsidRPr="00557D5B">
        <w:t>The National Disability Authority made a submission to the Department of Education and Skills regarding Solas</w:t>
      </w:r>
      <w:r>
        <w:t>,</w:t>
      </w:r>
      <w:r w:rsidRPr="00557D5B">
        <w:t xml:space="preserve"> the new agency for further education and training</w:t>
      </w:r>
      <w:r>
        <w:t xml:space="preserve">, with </w:t>
      </w:r>
      <w:r w:rsidRPr="00557D5B">
        <w:t>key recommendations on how the agency can provide inclusive and comprehensive services for people with disabilities.</w:t>
      </w:r>
      <w:r w:rsidR="006309CB">
        <w:t xml:space="preserve"> </w:t>
      </w:r>
    </w:p>
    <w:p w:rsidR="00456BDE" w:rsidRDefault="00456BDE" w:rsidP="00804BF1">
      <w:pPr>
        <w:pStyle w:val="Heading3"/>
      </w:pPr>
      <w:r>
        <w:t>Employment seminars</w:t>
      </w:r>
    </w:p>
    <w:p w:rsidR="00456BDE" w:rsidRDefault="00456BDE" w:rsidP="00A7103D">
      <w:pPr>
        <w:pStyle w:val="NormalBeforeList"/>
        <w:spacing w:after="120"/>
      </w:pPr>
      <w:r>
        <w:t xml:space="preserve">The </w:t>
      </w:r>
      <w:r w:rsidR="007C09D2">
        <w:t>National Disability Authority</w:t>
      </w:r>
      <w:r>
        <w:t xml:space="preserve"> held a series of seminars </w:t>
      </w:r>
      <w:r w:rsidR="00754792">
        <w:t xml:space="preserve">to guide </w:t>
      </w:r>
      <w:r>
        <w:t xml:space="preserve">on </w:t>
      </w:r>
      <w:r w:rsidR="00754792">
        <w:t>policy and practice in relation to employment of people with disabilities. Key</w:t>
      </w:r>
      <w:r>
        <w:t xml:space="preserve"> learning </w:t>
      </w:r>
      <w:r w:rsidR="00754792">
        <w:t xml:space="preserve">from these seminars is </w:t>
      </w:r>
      <w:r>
        <w:t>recorded in a set of briefing papers on the website</w:t>
      </w:r>
      <w:r w:rsidR="00754792">
        <w:t>.</w:t>
      </w:r>
    </w:p>
    <w:p w:rsidR="00456BDE" w:rsidRDefault="00754792" w:rsidP="00804BF1">
      <w:pPr>
        <w:pStyle w:val="ListBullet"/>
      </w:pPr>
      <w:r>
        <w:t>A seminar for trade union</w:t>
      </w:r>
      <w:r w:rsidR="00456BDE">
        <w:t>s on employment issues for people with disabilities</w:t>
      </w:r>
    </w:p>
    <w:p w:rsidR="00456BDE" w:rsidRDefault="00456BDE" w:rsidP="00804BF1">
      <w:pPr>
        <w:pStyle w:val="ListBullet"/>
      </w:pPr>
      <w:r>
        <w:t xml:space="preserve">A seminar on employment </w:t>
      </w:r>
      <w:r w:rsidR="00754792">
        <w:t xml:space="preserve">strategies for </w:t>
      </w:r>
      <w:r>
        <w:t>people with autism</w:t>
      </w:r>
    </w:p>
    <w:p w:rsidR="00456BDE" w:rsidRDefault="00456BDE" w:rsidP="00A7103D">
      <w:pPr>
        <w:pStyle w:val="ListBullet"/>
        <w:spacing w:after="240"/>
      </w:pPr>
      <w:r w:rsidRPr="00456BDE">
        <w:t>The role of enterprise in supporting the transition of people with disabilities from vocational education and training into employment, bringing the learning from the EU Grundtvig project</w:t>
      </w:r>
      <w:r>
        <w:t xml:space="preserve"> </w:t>
      </w:r>
    </w:p>
    <w:p w:rsidR="002F69F2" w:rsidRPr="00F04891" w:rsidRDefault="002F69F2" w:rsidP="002F69F2">
      <w:r>
        <w:t xml:space="preserve">The </w:t>
      </w:r>
      <w:r w:rsidR="00C465CA" w:rsidRPr="006309CB">
        <w:rPr>
          <w:lang w:val="ga-IE" w:eastAsia="en-GB"/>
        </w:rPr>
        <w:t>National Disability Authority</w:t>
      </w:r>
      <w:r>
        <w:t xml:space="preserve"> also hosted a </w:t>
      </w:r>
      <w:r w:rsidRPr="00FD4446">
        <w:t xml:space="preserve">meeting </w:t>
      </w:r>
      <w:r w:rsidR="00F04891">
        <w:t xml:space="preserve">in February </w:t>
      </w:r>
      <w:r w:rsidRPr="00FD4446">
        <w:t xml:space="preserve">for members of </w:t>
      </w:r>
      <w:r w:rsidRPr="00F04891">
        <w:t>Rehabilitation International Europe</w:t>
      </w:r>
      <w:r>
        <w:t xml:space="preserve"> at which the findings of </w:t>
      </w:r>
      <w:r w:rsidR="00C465CA" w:rsidRPr="006309CB">
        <w:rPr>
          <w:lang w:val="ga-IE" w:eastAsia="en-GB"/>
        </w:rPr>
        <w:t>National Disability Authority</w:t>
      </w:r>
      <w:r w:rsidR="00754792">
        <w:t>’s</w:t>
      </w:r>
      <w:r w:rsidRPr="00FD4446">
        <w:t xml:space="preserve"> </w:t>
      </w:r>
      <w:r w:rsidR="00F04891">
        <w:t xml:space="preserve">mapping of relevant research </w:t>
      </w:r>
      <w:r w:rsidR="00987AF0">
        <w:t>were</w:t>
      </w:r>
      <w:r w:rsidR="00F04891">
        <w:t xml:space="preserve"> presented. Jointly with this event, a seminar was held where </w:t>
      </w:r>
      <w:r w:rsidRPr="00FD4446">
        <w:rPr>
          <w:rFonts w:cs="Arial"/>
        </w:rPr>
        <w:t xml:space="preserve">Dr Christopher Prinz of the Organisation for Economic Cooperation and Development </w:t>
      </w:r>
      <w:r w:rsidR="00F04891">
        <w:rPr>
          <w:rFonts w:cs="Arial"/>
        </w:rPr>
        <w:t>presented</w:t>
      </w:r>
      <w:r w:rsidRPr="00FD4446">
        <w:rPr>
          <w:rFonts w:cs="Arial"/>
        </w:rPr>
        <w:t xml:space="preserve"> on a </w:t>
      </w:r>
      <w:r w:rsidR="00F04891">
        <w:rPr>
          <w:rFonts w:cs="Arial"/>
        </w:rPr>
        <w:t>recent research report they had done entitled</w:t>
      </w:r>
      <w:r w:rsidRPr="00FD4446">
        <w:rPr>
          <w:rFonts w:cs="Arial"/>
        </w:rPr>
        <w:t xml:space="preserve"> </w:t>
      </w:r>
      <w:r w:rsidRPr="00FD4446">
        <w:rPr>
          <w:rFonts w:cs="Arial"/>
          <w:b/>
        </w:rPr>
        <w:t>Sick on the Job: Myths and Realitie</w:t>
      </w:r>
      <w:r w:rsidR="00F04891">
        <w:rPr>
          <w:rFonts w:cs="Arial"/>
          <w:b/>
        </w:rPr>
        <w:t>s about mental health and work.</w:t>
      </w:r>
      <w:r w:rsidRPr="00FD4446">
        <w:rPr>
          <w:rFonts w:cs="Arial"/>
          <w:b/>
        </w:rPr>
        <w:t xml:space="preserve"> </w:t>
      </w:r>
    </w:p>
    <w:p w:rsidR="00456BDE" w:rsidRDefault="00456BDE" w:rsidP="00804BF1">
      <w:pPr>
        <w:pStyle w:val="Heading3"/>
      </w:pPr>
      <w:r>
        <w:t>Dissemination to employers</w:t>
      </w:r>
    </w:p>
    <w:p w:rsidR="00456BDE" w:rsidRPr="00456BDE" w:rsidRDefault="00456BDE" w:rsidP="00804BF1">
      <w:r w:rsidRPr="00456BDE">
        <w:t xml:space="preserve">The National Disability Authority’s guide for employers </w:t>
      </w:r>
      <w:r w:rsidR="00754792">
        <w:t xml:space="preserve">on retaining staff with disabilities, </w:t>
      </w:r>
      <w:r w:rsidRPr="00456BDE">
        <w:t xml:space="preserve">and the </w:t>
      </w:r>
      <w:r w:rsidR="002E20E8" w:rsidRPr="00456BDE">
        <w:t>eLearning</w:t>
      </w:r>
      <w:r w:rsidRPr="00456BDE">
        <w:t xml:space="preserve"> training course in customer service were disseminated to 3,000 IBEC members, to public bodies and to a number of </w:t>
      </w:r>
      <w:r w:rsidR="00754792">
        <w:t xml:space="preserve">individual large </w:t>
      </w:r>
      <w:r w:rsidRPr="00456BDE">
        <w:t xml:space="preserve">private companies. </w:t>
      </w:r>
    </w:p>
    <w:p w:rsidR="00456BDE" w:rsidRDefault="00456BDE" w:rsidP="00804BF1">
      <w:pPr>
        <w:pStyle w:val="Heading3"/>
      </w:pPr>
      <w:r>
        <w:t>Meetings with international employment groups</w:t>
      </w:r>
    </w:p>
    <w:p w:rsidR="00456BDE" w:rsidRPr="00456BDE" w:rsidRDefault="00754792" w:rsidP="00804BF1">
      <w:r>
        <w:t xml:space="preserve">The </w:t>
      </w:r>
      <w:r w:rsidR="007C09D2">
        <w:t>National Disability Authority</w:t>
      </w:r>
      <w:r w:rsidR="00456BDE">
        <w:t xml:space="preserve"> met with international delegations and groups including a Belgian supported employment group; </w:t>
      </w:r>
      <w:r w:rsidR="00456BDE" w:rsidRPr="00456BDE">
        <w:t xml:space="preserve">the Department for the Affairs of Disabled at the Lithuanian Ministry of Social Security and Labour; Disability Employment Australia; and Tanzanian employment colleagues. </w:t>
      </w:r>
    </w:p>
    <w:p w:rsidR="00A7103D" w:rsidRDefault="00A7103D" w:rsidP="008F28C7">
      <w:pPr>
        <w:pStyle w:val="Heading2"/>
      </w:pPr>
      <w:r>
        <w:t>Employment in the public sector</w:t>
      </w:r>
    </w:p>
    <w:p w:rsidR="00456BDE" w:rsidRDefault="00456BDE" w:rsidP="00804BF1">
      <w:r>
        <w:t xml:space="preserve">The National Disability Authority compiles an annual statutory report on compliance with Part 5 of the Disability Act 2005 </w:t>
      </w:r>
      <w:r w:rsidR="008F28C7">
        <w:t xml:space="preserve">which sets out obligations on </w:t>
      </w:r>
      <w:r>
        <w:t xml:space="preserve">employment of people with disabilities in the public sector. </w:t>
      </w:r>
    </w:p>
    <w:p w:rsidR="008F28C7" w:rsidRDefault="008F28C7" w:rsidP="008F28C7">
      <w:pPr>
        <w:pStyle w:val="Heading3"/>
      </w:pPr>
      <w:r>
        <w:t xml:space="preserve">3% employment target reached for first time </w:t>
      </w:r>
    </w:p>
    <w:p w:rsidR="00456BDE" w:rsidRPr="002C53B0" w:rsidRDefault="00456BDE" w:rsidP="00804BF1">
      <w:r w:rsidRPr="002C53B0">
        <w:t xml:space="preserve">The annual report </w:t>
      </w:r>
      <w:r>
        <w:t xml:space="preserve">for 2011, published </w:t>
      </w:r>
      <w:r w:rsidRPr="002C53B0">
        <w:t xml:space="preserve">in November 2012 showed that the proportion of staff with disabilities reported across the public service as a whole reached 3.1% in 2011. This is the first time the 3% jobs target for people with disabilities has been reached since it became a legal obligation in 2006. </w:t>
      </w:r>
    </w:p>
    <w:p w:rsidR="00456BDE" w:rsidRDefault="00456BDE" w:rsidP="00804BF1">
      <w:r w:rsidRPr="002C53B0">
        <w:t xml:space="preserve">This marks an important milestone, and shows the impact of positive steps taken across the public service to recruit, support and retain staff with disabilities, as well as the impact of better systems to record and report the number of staff with disabilities. </w:t>
      </w:r>
      <w:r w:rsidR="00417005">
        <w:t xml:space="preserve">It is a particularly notable achievement because it has occurred against a backdrop of a fall in public service numbers and a moratorium on recruitment or filling of vacancies across a large part of the public service. </w:t>
      </w:r>
    </w:p>
    <w:p w:rsidR="00456BDE" w:rsidRPr="00456BDE" w:rsidRDefault="00456BDE" w:rsidP="00804BF1">
      <w:r w:rsidRPr="00456BDE">
        <w:t xml:space="preserve">The total number of staff working in the public service has been decreasing since 2007 with a fall of more than 33,000 since its peak. However, there has been an increase in the reported number of people with disabilities working in the public service from 5,879 in 2007 to 6,171 in 2011. The 2011 figure represented a reported increase of 423 employees with disabilities as compared with 2010. </w:t>
      </w:r>
    </w:p>
    <w:p w:rsidR="00456BDE" w:rsidRPr="00456BDE" w:rsidRDefault="00456BDE" w:rsidP="00804BF1">
      <w:r w:rsidRPr="00456BDE">
        <w:t>Along with</w:t>
      </w:r>
      <w:r w:rsidR="00F10412">
        <w:t xml:space="preserve"> active</w:t>
      </w:r>
      <w:r w:rsidRPr="00456BDE">
        <w:t xml:space="preserve"> steps to promote and support employment of staff with disabilities, one of the main reasons for the reported change since 2010 has been </w:t>
      </w:r>
      <w:r w:rsidR="00195A2E">
        <w:t xml:space="preserve">that some larger public bodies have improved their data </w:t>
      </w:r>
      <w:r w:rsidRPr="00456BDE">
        <w:t xml:space="preserve">on </w:t>
      </w:r>
      <w:r w:rsidR="00195A2E">
        <w:t xml:space="preserve">the number of staff </w:t>
      </w:r>
      <w:r w:rsidRPr="00456BDE">
        <w:t>with disabilities</w:t>
      </w:r>
      <w:r w:rsidR="00F10412">
        <w:t xml:space="preserve">, with positive input from public sector trade unions </w:t>
      </w:r>
      <w:r w:rsidR="000E4C14">
        <w:t>helping ensure</w:t>
      </w:r>
      <w:r w:rsidR="00F10412">
        <w:t xml:space="preserve"> a more accurate count</w:t>
      </w:r>
      <w:r w:rsidRPr="00456BDE">
        <w:t>.</w:t>
      </w:r>
      <w:r w:rsidR="002F2760">
        <w:t xml:space="preserve"> </w:t>
      </w:r>
    </w:p>
    <w:p w:rsidR="00456BDE" w:rsidRPr="00456BDE" w:rsidRDefault="00456BDE" w:rsidP="00804BF1">
      <w:pPr>
        <w:pStyle w:val="Heading3"/>
      </w:pPr>
      <w:r w:rsidRPr="00456BDE">
        <w:t>Follow-up with public bodies</w:t>
      </w:r>
      <w:r w:rsidR="002145CE">
        <w:t xml:space="preserve"> with fewer than</w:t>
      </w:r>
      <w:r w:rsidRPr="00456BDE">
        <w:t xml:space="preserve"> 3%</w:t>
      </w:r>
      <w:r w:rsidR="002145CE">
        <w:t xml:space="preserve"> employed</w:t>
      </w:r>
    </w:p>
    <w:p w:rsidR="00456BDE" w:rsidRPr="00456BDE" w:rsidRDefault="00456BDE" w:rsidP="00804BF1">
      <w:r w:rsidRPr="00456BDE">
        <w:t xml:space="preserve">The </w:t>
      </w:r>
      <w:r w:rsidR="007C09D2">
        <w:t>National Disability Authority</w:t>
      </w:r>
      <w:r w:rsidRPr="00456BDE">
        <w:t xml:space="preserve"> sought and received more in-depth information from those public bodies, with a capacity to recruit in 2011, which had not reached the 3% target. The </w:t>
      </w:r>
      <w:r w:rsidR="007C09D2">
        <w:t>National Disability Authority</w:t>
      </w:r>
      <w:r w:rsidRPr="00456BDE">
        <w:t xml:space="preserve"> issued tailored advice to some fifty public bodies which had not reached the target, and followed up in more detail with the eight largest </w:t>
      </w:r>
      <w:r w:rsidR="00195A2E">
        <w:t xml:space="preserve">of these </w:t>
      </w:r>
      <w:r w:rsidRPr="00456BDE">
        <w:t xml:space="preserve">bodies to ascertain the challenges in reaching the target and to offer specific guidance. </w:t>
      </w:r>
    </w:p>
    <w:p w:rsidR="00456BDE" w:rsidRDefault="00456BDE" w:rsidP="00804BF1">
      <w:r w:rsidRPr="00456BDE">
        <w:t xml:space="preserve">The </w:t>
      </w:r>
      <w:r w:rsidR="007C09D2">
        <w:t>National Disability Authority</w:t>
      </w:r>
      <w:r w:rsidRPr="00456BDE">
        <w:t xml:space="preserve"> also published generic guidance on </w:t>
      </w:r>
      <w:r w:rsidR="00195A2E">
        <w:t>h</w:t>
      </w:r>
      <w:r w:rsidRPr="00456BDE">
        <w:t>ow to reach and build on 3% jobs target</w:t>
      </w:r>
      <w:r>
        <w:t xml:space="preserve">. </w:t>
      </w:r>
    </w:p>
    <w:p w:rsidR="005A17CC" w:rsidRDefault="005A17CC" w:rsidP="005A17CC">
      <w:pPr>
        <w:rPr>
          <w:b/>
          <w:bCs/>
        </w:rPr>
      </w:pPr>
      <w:r w:rsidRPr="005A17CC">
        <w:t xml:space="preserve">The </w:t>
      </w:r>
      <w:r w:rsidR="00C465CA" w:rsidRPr="006309CB">
        <w:rPr>
          <w:lang w:val="ga-IE" w:eastAsia="en-GB"/>
        </w:rPr>
        <w:t>National Disability Authority</w:t>
      </w:r>
      <w:r w:rsidRPr="005A17CC">
        <w:t xml:space="preserve"> also briefed an Irish Congress of Trade Unions seminar on the role and work of the National Disability Authority, the National Disability Strategy, the </w:t>
      </w:r>
      <w:r w:rsidR="00C465CA" w:rsidRPr="006309CB">
        <w:rPr>
          <w:lang w:val="ga-IE" w:eastAsia="en-GB"/>
        </w:rPr>
        <w:t>National Disability Authority</w:t>
      </w:r>
      <w:r w:rsidR="00C465CA">
        <w:t>’</w:t>
      </w:r>
      <w:r w:rsidRPr="005A17CC">
        <w:t>s e-learning course, research on attitudes towards people with disabilities, retention of workers who acquire disabilities, accessibility, and Universal Design.</w:t>
      </w:r>
    </w:p>
    <w:p w:rsidR="00456BDE" w:rsidRPr="00456BDE" w:rsidRDefault="00456BDE" w:rsidP="005A17CC">
      <w:pPr>
        <w:pStyle w:val="Heading3"/>
      </w:pPr>
      <w:r w:rsidRPr="00456BDE">
        <w:t>Conference for public sector bodies on employment</w:t>
      </w:r>
    </w:p>
    <w:p w:rsidR="00456BDE" w:rsidRDefault="00456BDE" w:rsidP="00804BF1">
      <w:r w:rsidRPr="00456BDE">
        <w:t>The National Disability Authority hosted a conference for public bodies in June 2012 on employment of people with disabilities</w:t>
      </w:r>
      <w:r w:rsidR="00B82195">
        <w:t>. This was intended to guide public sector bodies on delivering their statutory obligations in this area</w:t>
      </w:r>
      <w:r w:rsidRPr="00456BDE">
        <w:t xml:space="preserve">, to showcase good practice and share information and ideas. </w:t>
      </w:r>
    </w:p>
    <w:p w:rsidR="00B82195" w:rsidRPr="00456BDE" w:rsidRDefault="00B82195" w:rsidP="00B82195">
      <w:r>
        <w:t xml:space="preserve">The </w:t>
      </w:r>
      <w:r w:rsidR="00C465CA" w:rsidRPr="006309CB">
        <w:rPr>
          <w:lang w:val="ga-IE" w:eastAsia="en-GB"/>
        </w:rPr>
        <w:t>National Disability Authority</w:t>
      </w:r>
      <w:r w:rsidR="00C465CA">
        <w:t xml:space="preserve"> </w:t>
      </w:r>
      <w:r>
        <w:t xml:space="preserve">also hosted a seminar on employment for </w:t>
      </w:r>
      <w:r w:rsidRPr="00456BDE">
        <w:t xml:space="preserve">Institutes of Technology to enable them to share good practice </w:t>
      </w:r>
      <w:r>
        <w:t xml:space="preserve">specific to their sector </w:t>
      </w:r>
      <w:r w:rsidRPr="00456BDE">
        <w:t>with each other.</w:t>
      </w:r>
    </w:p>
    <w:p w:rsidR="0053246B" w:rsidRDefault="0053246B" w:rsidP="0053246B">
      <w:pPr>
        <w:pStyle w:val="Heading2"/>
      </w:pPr>
      <w:r>
        <w:t>Social Protection</w:t>
      </w:r>
    </w:p>
    <w:p w:rsidR="0053246B" w:rsidRDefault="0053246B" w:rsidP="0053246B">
      <w:pPr>
        <w:pStyle w:val="Heading3"/>
      </w:pPr>
      <w:r>
        <w:t>Single social assistance payment</w:t>
      </w:r>
    </w:p>
    <w:p w:rsidR="0053246B" w:rsidRDefault="0053246B" w:rsidP="0053246B">
      <w:r>
        <w:t xml:space="preserve">The National Disability Authority prepared a paper for the Department of Social Protection, in the context of the discussion paper on a single social assistance payment and the focus on activation, setting out the different roles and linkages across Departments and agencies that would best deliver seamless supports to people with disabilities seeking work. </w:t>
      </w:r>
    </w:p>
    <w:p w:rsidR="0053246B" w:rsidRDefault="0053246B" w:rsidP="0053246B">
      <w:pPr>
        <w:pStyle w:val="Heading3"/>
      </w:pPr>
      <w:r>
        <w:t>Review of Disability Allowance</w:t>
      </w:r>
    </w:p>
    <w:p w:rsidR="0053246B" w:rsidRPr="00830CB3" w:rsidRDefault="0053246B" w:rsidP="0053246B">
      <w:r>
        <w:t xml:space="preserve">The National Disability Authority prepared a paper for the Tax and Welfare Advisory Group on the question of payments to people with disabilities aged under 25. The National Disability Authority reiterated its advice that social welfare payments in respect of persons under 18 should be via Domiciliary Care Allowance. </w:t>
      </w:r>
    </w:p>
    <w:p w:rsidR="0053246B" w:rsidRPr="00456BDE" w:rsidRDefault="0053246B" w:rsidP="0053246B">
      <w:pPr>
        <w:pStyle w:val="Heading3"/>
      </w:pPr>
      <w:r w:rsidRPr="00456BDE">
        <w:t xml:space="preserve">Review of Domiciliary Care Allowance </w:t>
      </w:r>
    </w:p>
    <w:p w:rsidR="0053246B" w:rsidRDefault="0053246B" w:rsidP="0053246B">
      <w:pPr>
        <w:pStyle w:val="NormalBeforeList"/>
        <w:spacing w:after="120"/>
      </w:pPr>
      <w:r w:rsidRPr="00557D5B">
        <w:t xml:space="preserve">The </w:t>
      </w:r>
      <w:r>
        <w:t xml:space="preserve">Director of the </w:t>
      </w:r>
      <w:r w:rsidRPr="00557D5B">
        <w:t>Nation</w:t>
      </w:r>
      <w:r>
        <w:t>al Disability Authority</w:t>
      </w:r>
      <w:r w:rsidRPr="00557D5B">
        <w:t xml:space="preserve"> </w:t>
      </w:r>
      <w:r>
        <w:t xml:space="preserve">was a member </w:t>
      </w:r>
      <w:r w:rsidRPr="00557D5B">
        <w:t>of the Review Group for the Domiciliary Care Allowance</w:t>
      </w:r>
      <w:r>
        <w:t xml:space="preserve"> which reported in December 2012</w:t>
      </w:r>
      <w:r w:rsidRPr="00557D5B">
        <w:t xml:space="preserve">. </w:t>
      </w:r>
      <w:r>
        <w:t>The National Disability Authority also assisted the work of the Review Group by:</w:t>
      </w:r>
    </w:p>
    <w:p w:rsidR="0053246B" w:rsidRDefault="0053246B" w:rsidP="0053246B">
      <w:pPr>
        <w:pStyle w:val="ListBullet"/>
      </w:pPr>
      <w:r>
        <w:t>Research on practice in other jurisdictions</w:t>
      </w:r>
    </w:p>
    <w:p w:rsidR="0053246B" w:rsidRDefault="0053246B" w:rsidP="0053246B">
      <w:pPr>
        <w:pStyle w:val="ListBullet"/>
      </w:pPr>
      <w:r>
        <w:t>Advising on a survey of parents, and conducting some statistical analysis of the results and the consultation process</w:t>
      </w:r>
    </w:p>
    <w:p w:rsidR="0053246B" w:rsidRDefault="0053246B" w:rsidP="0053246B">
      <w:pPr>
        <w:pStyle w:val="ListBullet"/>
      </w:pPr>
      <w:r>
        <w:t xml:space="preserve">Advising on a written and face to face consultation process, and conducting 2 focus groups, in Sligo and in </w:t>
      </w:r>
      <w:smartTag w:uri="urn:schemas-microsoft-com:office:smarttags" w:element="place">
        <w:smartTag w:uri="urn:schemas-microsoft-com:office:smarttags" w:element="City">
          <w:r>
            <w:t>Dublin</w:t>
          </w:r>
        </w:smartTag>
      </w:smartTag>
      <w:r>
        <w:t xml:space="preserve"> as part of that consultation</w:t>
      </w:r>
    </w:p>
    <w:p w:rsidR="0053246B" w:rsidRDefault="0053246B" w:rsidP="0053246B">
      <w:pPr>
        <w:pStyle w:val="ListBullet"/>
      </w:pPr>
      <w:r>
        <w:t xml:space="preserve">Preparing a research paper on validated tools for assessing children’s support needs </w:t>
      </w:r>
    </w:p>
    <w:p w:rsidR="0053246B" w:rsidRDefault="0053246B" w:rsidP="0053246B">
      <w:pPr>
        <w:pStyle w:val="ListBullet"/>
      </w:pPr>
      <w:r>
        <w:t xml:space="preserve">Participating in a group which mapped the different supports available to parents of children with disabilities </w:t>
      </w:r>
    </w:p>
    <w:p w:rsidR="0053246B" w:rsidRDefault="0053246B" w:rsidP="0053246B">
      <w:pPr>
        <w:pStyle w:val="ListBullet"/>
        <w:spacing w:after="240"/>
      </w:pPr>
      <w:r>
        <w:t>Submitting a policy advice paper</w:t>
      </w:r>
    </w:p>
    <w:p w:rsidR="00B82195" w:rsidRDefault="00B82195" w:rsidP="00B82195">
      <w:pPr>
        <w:pStyle w:val="Heading2"/>
      </w:pPr>
      <w:r>
        <w:t>Housing</w:t>
      </w:r>
    </w:p>
    <w:p w:rsidR="00B82195" w:rsidRPr="00456BDE" w:rsidRDefault="00B82195" w:rsidP="00B82195">
      <w:r w:rsidRPr="00456BDE">
        <w:t xml:space="preserve">The </w:t>
      </w:r>
      <w:r>
        <w:t>National Disability Authority</w:t>
      </w:r>
      <w:r w:rsidRPr="00456BDE">
        <w:t xml:space="preserve"> continued to work closely with the Department of the Environment, Community and Local Government, the Housing Agency and disability organisations on the implementation of the National Housing Strategy for People with a Disability. The </w:t>
      </w:r>
      <w:r>
        <w:t>National Disability Authority</w:t>
      </w:r>
      <w:r w:rsidRPr="00456BDE">
        <w:t xml:space="preserve"> participated on the Monitoring Group </w:t>
      </w:r>
      <w:r>
        <w:t xml:space="preserve">which is overseeing the implementation of </w:t>
      </w:r>
      <w:r w:rsidRPr="00456BDE">
        <w:t>that strategy.</w:t>
      </w:r>
    </w:p>
    <w:p w:rsidR="00B82195" w:rsidRPr="00456BDE" w:rsidRDefault="00B82195" w:rsidP="00B82195">
      <w:pPr>
        <w:pStyle w:val="Heading3"/>
      </w:pPr>
      <w:r w:rsidRPr="00456BDE">
        <w:t>Mental health guidelines for housing staff</w:t>
      </w:r>
    </w:p>
    <w:p w:rsidR="00B82195" w:rsidRPr="00557D5B" w:rsidRDefault="00B82195" w:rsidP="00B82195">
      <w:r w:rsidRPr="00456BDE">
        <w:t xml:space="preserve">The </w:t>
      </w:r>
      <w:r>
        <w:t>National Disability Authority</w:t>
      </w:r>
      <w:r w:rsidRPr="00456BDE">
        <w:t xml:space="preserve"> has produced guidelines to support local authority housing staff to work with customers with mental health difficulties</w:t>
      </w:r>
      <w:r>
        <w:t>, which was one of the action items in the national housing strategy</w:t>
      </w:r>
      <w:r w:rsidRPr="00456BDE">
        <w:t xml:space="preserve">. These guidelines were produced in consultation with relevant </w:t>
      </w:r>
      <w:r>
        <w:t xml:space="preserve">stakeholders </w:t>
      </w:r>
      <w:r w:rsidRPr="00456BDE">
        <w:t>and are to be published in 2013.</w:t>
      </w:r>
    </w:p>
    <w:p w:rsidR="0053246B" w:rsidRDefault="0053246B" w:rsidP="0053246B">
      <w:pPr>
        <w:pStyle w:val="Heading2"/>
      </w:pPr>
      <w:r>
        <w:t>Transport</w:t>
      </w:r>
    </w:p>
    <w:p w:rsidR="0053246B" w:rsidRDefault="0053246B" w:rsidP="0053246B">
      <w:pPr>
        <w:pStyle w:val="Heading3"/>
      </w:pPr>
      <w:r>
        <w:t>Taxi Regulation Bill</w:t>
      </w:r>
    </w:p>
    <w:p w:rsidR="0053246B" w:rsidRPr="00BB36D6" w:rsidRDefault="0053246B" w:rsidP="0053246B">
      <w:r w:rsidRPr="00BB36D6">
        <w:t>The National Disability Authority submitted comments on the Taxi Regulation Bill 2012</w:t>
      </w:r>
      <w:r>
        <w:t>.</w:t>
      </w:r>
      <w:r w:rsidRPr="00BB36D6">
        <w:t xml:space="preserve"> </w:t>
      </w:r>
    </w:p>
    <w:p w:rsidR="0053246B" w:rsidRPr="00BB36D6" w:rsidRDefault="0053246B" w:rsidP="0053246B">
      <w:pPr>
        <w:pStyle w:val="Heading3"/>
      </w:pPr>
      <w:bookmarkStart w:id="10" w:name="_Toc335836314"/>
      <w:r w:rsidRPr="00BB36D6">
        <w:t>National Transport Authority</w:t>
      </w:r>
      <w:bookmarkEnd w:id="10"/>
    </w:p>
    <w:p w:rsidR="0053246B" w:rsidRDefault="0053246B" w:rsidP="0053246B">
      <w:r w:rsidRPr="00BB36D6">
        <w:t xml:space="preserve">The National Disability Authority </w:t>
      </w:r>
      <w:r>
        <w:t xml:space="preserve">gave </w:t>
      </w:r>
      <w:r w:rsidRPr="00BB36D6">
        <w:t>comment</w:t>
      </w:r>
      <w:r>
        <w:t>s</w:t>
      </w:r>
      <w:r w:rsidRPr="00BB36D6">
        <w:t xml:space="preserve"> on draft guidelines for drivers of taxis, hackneys and limousines on carrying people with disabilities. </w:t>
      </w:r>
    </w:p>
    <w:p w:rsidR="0053246B" w:rsidRDefault="0053246B" w:rsidP="0053246B">
      <w:pPr>
        <w:pStyle w:val="Heading3"/>
      </w:pPr>
      <w:r>
        <w:t>Bus Service Contracts</w:t>
      </w:r>
    </w:p>
    <w:p w:rsidR="0053246B" w:rsidRPr="00BB36D6" w:rsidRDefault="0053246B" w:rsidP="0053246B">
      <w:r w:rsidRPr="00BB36D6">
        <w:t>The National Disability Authority also contributed to the public consultation on the 2014 Bus Public Service Contracts</w:t>
      </w:r>
      <w:r>
        <w:t>, and</w:t>
      </w:r>
      <w:r w:rsidRPr="00BB36D6">
        <w:t xml:space="preserve"> recommended that universal design be built-in as a condition of public procurement. This would mean that contracted services would be accessible to anyone regardless of age, size, ability or disability. </w:t>
      </w:r>
    </w:p>
    <w:p w:rsidR="0053246B" w:rsidRPr="00BB36D6" w:rsidRDefault="0053246B" w:rsidP="0053246B">
      <w:pPr>
        <w:pStyle w:val="Heading3"/>
      </w:pPr>
      <w:r w:rsidRPr="00BB36D6">
        <w:t>Road Safety Authority</w:t>
      </w:r>
    </w:p>
    <w:p w:rsidR="007064BD" w:rsidRPr="007064BD" w:rsidRDefault="0053246B" w:rsidP="00804BF1">
      <w:pPr>
        <w:rPr>
          <w:lang w:val="ga-IE"/>
        </w:rPr>
      </w:pPr>
      <w:r w:rsidRPr="00BB36D6">
        <w:t xml:space="preserve">The National Disability Authority provided advice as part of a public consultation on the development of the </w:t>
      </w:r>
      <w:r w:rsidRPr="00456BDE">
        <w:t>National Road Safety Strategy 2013</w:t>
      </w:r>
      <w:r w:rsidR="0050485E">
        <w:t>–</w:t>
      </w:r>
      <w:r w:rsidRPr="00456BDE">
        <w:t>2020</w:t>
      </w:r>
      <w:r>
        <w:t xml:space="preserve"> and </w:t>
      </w:r>
      <w:r w:rsidRPr="00BB36D6">
        <w:t xml:space="preserve">advised using public procurement and </w:t>
      </w:r>
      <w:r w:rsidR="005A17CC">
        <w:t>U</w:t>
      </w:r>
      <w:r w:rsidRPr="00BB36D6">
        <w:t xml:space="preserve">niversal </w:t>
      </w:r>
      <w:r w:rsidR="005A17CC">
        <w:t>D</w:t>
      </w:r>
      <w:r w:rsidRPr="00BB36D6">
        <w:t>esign to plan safer and better</w:t>
      </w:r>
      <w:r w:rsidR="005A17CC">
        <w:t>-</w:t>
      </w:r>
      <w:r w:rsidRPr="00BB36D6">
        <w:t>designed environments that would enhance future safety for all road users.</w:t>
      </w:r>
    </w:p>
    <w:p w:rsidR="003F5876" w:rsidRDefault="0002481D" w:rsidP="00804BF1">
      <w:pPr>
        <w:pStyle w:val="Heading1"/>
      </w:pPr>
      <w:bookmarkStart w:id="11" w:name="_Toc368058748"/>
      <w:r w:rsidRPr="0002481D">
        <w:t xml:space="preserve">Strategic </w:t>
      </w:r>
      <w:r>
        <w:t>p</w:t>
      </w:r>
      <w:r w:rsidRPr="0002481D">
        <w:t>riority 2</w:t>
      </w:r>
      <w:bookmarkEnd w:id="11"/>
    </w:p>
    <w:p w:rsidR="0002481D" w:rsidRPr="00582FAD" w:rsidRDefault="0002481D" w:rsidP="00804BF1">
      <w:pPr>
        <w:rPr>
          <w:b/>
        </w:rPr>
      </w:pPr>
      <w:r w:rsidRPr="00582FAD">
        <w:rPr>
          <w:b/>
        </w:rPr>
        <w:t>To provide evidence-based policy advice to promote independence and the quality of daily life for people with disabilities across the lifecycle</w:t>
      </w:r>
    </w:p>
    <w:p w:rsidR="00456BDE" w:rsidRPr="00BB36D6" w:rsidRDefault="00456BDE" w:rsidP="00804BF1">
      <w:pPr>
        <w:pStyle w:val="Heading3"/>
      </w:pPr>
      <w:r w:rsidRPr="00BB36D6">
        <w:t>UN Convention on the Rights of Persons with Disabilities</w:t>
      </w:r>
      <w:r>
        <w:t xml:space="preserve"> </w:t>
      </w:r>
    </w:p>
    <w:p w:rsidR="00456BDE" w:rsidRPr="00456BDE" w:rsidRDefault="00456BDE" w:rsidP="00804BF1">
      <w:r>
        <w:t xml:space="preserve">The </w:t>
      </w:r>
      <w:r w:rsidR="007C09D2">
        <w:t>National Disability Authority</w:t>
      </w:r>
      <w:r w:rsidRPr="00BB36D6">
        <w:t xml:space="preserve"> worked in partnership with the </w:t>
      </w:r>
      <w:r w:rsidR="00DD4843" w:rsidRPr="00DD4843">
        <w:t>Department of Justice and Equality</w:t>
      </w:r>
      <w:r w:rsidR="00DD4843">
        <w:t xml:space="preserve"> </w:t>
      </w:r>
      <w:r w:rsidRPr="00BB36D6">
        <w:t xml:space="preserve">in organising a seminar </w:t>
      </w:r>
      <w:r>
        <w:t>i</w:t>
      </w:r>
      <w:r w:rsidRPr="00BB36D6">
        <w:t xml:space="preserve">n April for Government Departments. The aim of the seminar was to assist Departments in </w:t>
      </w:r>
      <w:r w:rsidRPr="00456BDE">
        <w:t>identifying requirements under the UN</w:t>
      </w:r>
      <w:r w:rsidR="00582FAD">
        <w:t xml:space="preserve"> </w:t>
      </w:r>
      <w:r w:rsidRPr="00456BDE">
        <w:t>C</w:t>
      </w:r>
      <w:r w:rsidR="00582FAD">
        <w:t>onvention on the Rights of Persons with Disabilities</w:t>
      </w:r>
      <w:r w:rsidRPr="00456BDE">
        <w:t xml:space="preserve"> relevant to them, and possible actions required. The </w:t>
      </w:r>
      <w:r w:rsidR="007C09D2">
        <w:t>National Disability Authority</w:t>
      </w:r>
      <w:r w:rsidRPr="00456BDE">
        <w:t xml:space="preserve"> made two presentations at the seminar and produced the seminar proceedings report for the </w:t>
      </w:r>
      <w:r w:rsidR="00DD4843" w:rsidRPr="00DD4843">
        <w:t>Department of Justice and Equality</w:t>
      </w:r>
      <w:r w:rsidR="00DD4843">
        <w:t>.</w:t>
      </w:r>
    </w:p>
    <w:p w:rsidR="00456BDE" w:rsidRPr="00456BDE" w:rsidRDefault="00456BDE" w:rsidP="00804BF1">
      <w:r w:rsidRPr="00456BDE">
        <w:t xml:space="preserve">The </w:t>
      </w:r>
      <w:r w:rsidR="007C09D2">
        <w:t>National Disability Authority</w:t>
      </w:r>
      <w:r w:rsidRPr="00456BDE">
        <w:t xml:space="preserve"> also tendered for research to identify</w:t>
      </w:r>
      <w:r w:rsidR="00B82195">
        <w:t xml:space="preserve"> </w:t>
      </w:r>
      <w:r w:rsidR="00824712">
        <w:t xml:space="preserve">issues from a legal perspective </w:t>
      </w:r>
      <w:r w:rsidRPr="00456BDE">
        <w:t xml:space="preserve">in relation to ratification. </w:t>
      </w:r>
    </w:p>
    <w:p w:rsidR="00456BDE" w:rsidRPr="00456BDE" w:rsidRDefault="00456BDE" w:rsidP="00804BF1">
      <w:r w:rsidRPr="00456BDE">
        <w:t xml:space="preserve">The </w:t>
      </w:r>
      <w:r w:rsidR="007C09D2">
        <w:t>National Disability Authority</w:t>
      </w:r>
      <w:r w:rsidRPr="00456BDE">
        <w:t xml:space="preserve"> also met the Department of Justice and Equality to guide on the drafting of the Mental Capacity legislation, and presented </w:t>
      </w:r>
      <w:r w:rsidR="007C09D2">
        <w:t>National Disability Authority</w:t>
      </w:r>
      <w:r w:rsidRPr="00456BDE">
        <w:t xml:space="preserve"> commissioned research summarising the international research evidence on supported decision making. </w:t>
      </w:r>
    </w:p>
    <w:p w:rsidR="00163E7A" w:rsidRDefault="00163E7A" w:rsidP="00582FAD">
      <w:pPr>
        <w:pStyle w:val="Heading2"/>
      </w:pPr>
      <w:r>
        <w:t>Seminar on World Report on Disability</w:t>
      </w:r>
    </w:p>
    <w:p w:rsidR="00163E7A" w:rsidRPr="00163E7A" w:rsidRDefault="00163E7A" w:rsidP="001A58FE">
      <w:r>
        <w:t>All mem</w:t>
      </w:r>
      <w:r w:rsidR="002F69F2">
        <w:t>ber states of the World Health O</w:t>
      </w:r>
      <w:r>
        <w:t>rganisation w</w:t>
      </w:r>
      <w:r w:rsidR="002F69F2">
        <w:t xml:space="preserve">ere invited to host a seminar on the findings of the </w:t>
      </w:r>
      <w:r w:rsidRPr="00E47796">
        <w:t xml:space="preserve">World Report on Disability </w:t>
      </w:r>
      <w:r w:rsidR="002F69F2">
        <w:t xml:space="preserve">2011, </w:t>
      </w:r>
      <w:r w:rsidRPr="00E47796">
        <w:t xml:space="preserve">produced </w:t>
      </w:r>
      <w:r w:rsidR="002F69F2">
        <w:t xml:space="preserve">jointly by the WHO and the World Bank. The National Disability Authority hosted a seminar in January 2012, with Tom Shakespeare, one of the report’s authors, as keynote speaker, followed by workshops on some of the report’s key themes. </w:t>
      </w:r>
    </w:p>
    <w:p w:rsidR="00456BDE" w:rsidRPr="00456BDE" w:rsidRDefault="00456BDE" w:rsidP="00582FAD">
      <w:pPr>
        <w:pStyle w:val="Heading2"/>
      </w:pPr>
      <w:r w:rsidRPr="00456BDE">
        <w:t xml:space="preserve">Promoting positive attitudes </w:t>
      </w:r>
    </w:p>
    <w:p w:rsidR="00456BDE" w:rsidRPr="00456BDE" w:rsidRDefault="00456BDE" w:rsidP="00804BF1">
      <w:pPr>
        <w:pStyle w:val="Heading3"/>
      </w:pPr>
      <w:r w:rsidRPr="00456BDE">
        <w:t>Research on mental health</w:t>
      </w:r>
    </w:p>
    <w:p w:rsidR="00456BDE" w:rsidRPr="00456BDE" w:rsidRDefault="00456BDE" w:rsidP="00804BF1">
      <w:r w:rsidRPr="00456BDE">
        <w:t xml:space="preserve">The </w:t>
      </w:r>
      <w:r w:rsidR="007C09D2">
        <w:t>National Disability Authority</w:t>
      </w:r>
      <w:r w:rsidRPr="00456BDE">
        <w:t xml:space="preserve"> and the National Office for Suicide Prevention jointly funded research on attitudes to people with mental health difficulties, as part of the </w:t>
      </w:r>
      <w:r w:rsidR="007C09D2">
        <w:t>National Disability Authority</w:t>
      </w:r>
      <w:r w:rsidRPr="00456BDE">
        <w:t xml:space="preserve"> contribution to the See Change campaign. This research was a follow-up to similar research co-funded by the </w:t>
      </w:r>
      <w:r w:rsidR="007C09D2">
        <w:t>National Disability Authority</w:t>
      </w:r>
      <w:r w:rsidRPr="00456BDE">
        <w:t xml:space="preserve"> two years previously, and highlighted the impact of the recession and financial strain on mental health issues. </w:t>
      </w:r>
    </w:p>
    <w:p w:rsidR="00456BDE" w:rsidRPr="00456BDE" w:rsidRDefault="00456BDE" w:rsidP="00804BF1">
      <w:pPr>
        <w:pStyle w:val="Heading3"/>
      </w:pPr>
      <w:r w:rsidRPr="00456BDE">
        <w:t>Representation of people with disabilities in broadcast media</w:t>
      </w:r>
    </w:p>
    <w:p w:rsidR="00456BDE" w:rsidRDefault="00456BDE" w:rsidP="00804BF1">
      <w:r w:rsidRPr="00456BDE">
        <w:t xml:space="preserve">Following joint research published in 2009, the National Disability Authority and the Broadcasting Authority of Ireland held a seminar on these research findings, </w:t>
      </w:r>
      <w:r w:rsidR="00B82195">
        <w:t xml:space="preserve">as a precursor </w:t>
      </w:r>
      <w:r w:rsidRPr="00456BDE">
        <w:t>to commenc</w:t>
      </w:r>
      <w:r w:rsidR="00B82195">
        <w:t>ing</w:t>
      </w:r>
      <w:r w:rsidRPr="00456BDE">
        <w:t xml:space="preserve"> the work of developing voluntary guidelines in this area by the Broadcasting Authority of Ireland. A Steering Group has now been established to advance these guidelines, </w:t>
      </w:r>
      <w:r w:rsidRPr="00BB36D6">
        <w:t>representing all aspects of broadcasting</w:t>
      </w:r>
      <w:r>
        <w:t>,</w:t>
      </w:r>
      <w:r w:rsidRPr="00BB36D6">
        <w:t xml:space="preserve"> and people with disabilities</w:t>
      </w:r>
      <w:r>
        <w:t xml:space="preserve">, and including the </w:t>
      </w:r>
      <w:r w:rsidR="007C09D2">
        <w:t>National Disability Authority</w:t>
      </w:r>
      <w:r>
        <w:t xml:space="preserve">. </w:t>
      </w:r>
    </w:p>
    <w:p w:rsidR="00456BDE" w:rsidRDefault="00456BDE" w:rsidP="00804BF1">
      <w:pPr>
        <w:pStyle w:val="Heading3"/>
      </w:pPr>
      <w:r>
        <w:t>Broadcast Access Rules</w:t>
      </w:r>
    </w:p>
    <w:p w:rsidR="00456BDE" w:rsidRPr="00951096" w:rsidRDefault="00456BDE" w:rsidP="00804BF1">
      <w:r>
        <w:t xml:space="preserve">The </w:t>
      </w:r>
      <w:r w:rsidR="007C09D2">
        <w:t>National Disability Authority</w:t>
      </w:r>
      <w:r>
        <w:t xml:space="preserve"> made a submission to the consultation on the Access Rules which set out requirements for broadcasters to have a minimum proportion of their content with subtitles or with Irish Sign Language interpretation.</w:t>
      </w:r>
    </w:p>
    <w:p w:rsidR="00456BDE" w:rsidRPr="00456BDE" w:rsidRDefault="00456BDE" w:rsidP="00804BF1">
      <w:pPr>
        <w:pStyle w:val="Heading3"/>
      </w:pPr>
      <w:r w:rsidRPr="00456BDE">
        <w:t>Irish Sign Language recognition</w:t>
      </w:r>
    </w:p>
    <w:p w:rsidR="00456BDE" w:rsidRPr="00456BDE" w:rsidRDefault="00456BDE" w:rsidP="00804BF1">
      <w:r w:rsidRPr="00456BDE">
        <w:t xml:space="preserve">The </w:t>
      </w:r>
      <w:r w:rsidR="007C09D2">
        <w:t>National Disability Authority</w:t>
      </w:r>
      <w:r w:rsidRPr="00456BDE">
        <w:t xml:space="preserve"> prepared a briefing paper for the Department of Justice and Equality on recognition of sign languages in other jurisdictions, and on issues in </w:t>
      </w:r>
      <w:smartTag w:uri="urn:schemas-microsoft-com:office:smarttags" w:element="place">
        <w:smartTag w:uri="urn:schemas-microsoft-com:office:smarttags" w:element="country-region">
          <w:r w:rsidRPr="00456BDE">
            <w:t>Ireland</w:t>
          </w:r>
        </w:smartTag>
      </w:smartTag>
      <w:r w:rsidRPr="00456BDE">
        <w:t>.</w:t>
      </w:r>
      <w:r w:rsidR="006309CB">
        <w:t xml:space="preserve"> </w:t>
      </w:r>
      <w:r w:rsidRPr="00456BDE">
        <w:t xml:space="preserve">The </w:t>
      </w:r>
      <w:r w:rsidR="007C09D2">
        <w:t>National Disability Authority</w:t>
      </w:r>
      <w:r w:rsidRPr="00456BDE">
        <w:t xml:space="preserve"> hosted a Roundtable on this issue in May, to provide an opportunity for the Deaf community and policymakers to discuss priorities for communication and interpretation, and practical ways to make progress.</w:t>
      </w:r>
    </w:p>
    <w:p w:rsidR="00456BDE" w:rsidRPr="00456BDE" w:rsidRDefault="00456BDE" w:rsidP="00582FAD">
      <w:pPr>
        <w:pStyle w:val="Heading2"/>
      </w:pPr>
      <w:r w:rsidRPr="00456BDE">
        <w:t>Independent living in the community</w:t>
      </w:r>
    </w:p>
    <w:p w:rsidR="00456BDE" w:rsidRDefault="00456BDE" w:rsidP="00804BF1">
      <w:r w:rsidRPr="00456BDE">
        <w:t xml:space="preserve">The </w:t>
      </w:r>
      <w:r w:rsidR="007C09D2">
        <w:t>National Disability Authority</w:t>
      </w:r>
      <w:r w:rsidRPr="00456BDE">
        <w:t xml:space="preserve"> published research entitled </w:t>
      </w:r>
      <w:r w:rsidRPr="00824712">
        <w:rPr>
          <w:b/>
        </w:rPr>
        <w:t>Living in your own home with a disability</w:t>
      </w:r>
      <w:r w:rsidR="0058243F">
        <w:t xml:space="preserve">, based on interviews with </w:t>
      </w:r>
      <w:r w:rsidRPr="00456BDE">
        <w:t>some fifty people with disabilities</w:t>
      </w:r>
      <w:r w:rsidR="0058243F">
        <w:t>. This study explored what supports people found effective in enabling them live independently and remain living at home.</w:t>
      </w:r>
      <w:r w:rsidRPr="00456BDE">
        <w:t xml:space="preserve"> </w:t>
      </w:r>
    </w:p>
    <w:p w:rsidR="00077885" w:rsidRPr="00872908" w:rsidRDefault="00077885" w:rsidP="00077885">
      <w:pPr>
        <w:pStyle w:val="Heading2"/>
      </w:pPr>
      <w:r w:rsidRPr="00872908">
        <w:t>Standards for the Protection and Welfare of</w:t>
      </w:r>
      <w:r w:rsidR="005A17CC">
        <w:t> </w:t>
      </w:r>
      <w:r w:rsidRPr="00872908">
        <w:t xml:space="preserve">Children </w:t>
      </w:r>
    </w:p>
    <w:p w:rsidR="00077885" w:rsidRDefault="00077885" w:rsidP="00077885">
      <w:r w:rsidRPr="00936BCD">
        <w:t xml:space="preserve">The Health Information and Quality Authority (HIQA) published Draft </w:t>
      </w:r>
      <w:r w:rsidRPr="00936BCD">
        <w:rPr>
          <w:lang w:val="en-GB"/>
        </w:rPr>
        <w:t>National Standards for the Protection and Welfare of Children for HSE Children and Family Services</w:t>
      </w:r>
      <w:r w:rsidRPr="00936BCD">
        <w:t xml:space="preserve"> for public consultation in 2012. </w:t>
      </w:r>
      <w:r>
        <w:t>The National Disability Authority</w:t>
      </w:r>
      <w:r w:rsidRPr="00936BCD">
        <w:t xml:space="preserve"> </w:t>
      </w:r>
      <w:r>
        <w:t xml:space="preserve">provided advice </w:t>
      </w:r>
      <w:r w:rsidRPr="00936BCD">
        <w:t xml:space="preserve">to HIQA </w:t>
      </w:r>
      <w:r>
        <w:t>on these draft standards.</w:t>
      </w:r>
    </w:p>
    <w:p w:rsidR="00456BDE" w:rsidRPr="00456BDE" w:rsidRDefault="00456BDE" w:rsidP="00973CCA">
      <w:pPr>
        <w:pStyle w:val="Heading2"/>
      </w:pPr>
      <w:r w:rsidRPr="00456BDE">
        <w:t>Assistive technology</w:t>
      </w:r>
    </w:p>
    <w:p w:rsidR="00456BDE" w:rsidRDefault="00456BDE" w:rsidP="00804BF1">
      <w:r w:rsidRPr="00456BDE">
        <w:t xml:space="preserve">The </w:t>
      </w:r>
      <w:r w:rsidR="007C09D2">
        <w:t>National Disability Authority</w:t>
      </w:r>
      <w:r w:rsidRPr="00456BDE">
        <w:t xml:space="preserve"> published r</w:t>
      </w:r>
      <w:r w:rsidR="0058243F">
        <w:t xml:space="preserve">esearch on assistive technology, </w:t>
      </w:r>
      <w:r w:rsidR="00D06254">
        <w:t xml:space="preserve">which </w:t>
      </w:r>
      <w:r w:rsidR="0058243F">
        <w:t>play</w:t>
      </w:r>
      <w:r w:rsidR="00D06254">
        <w:t>s</w:t>
      </w:r>
      <w:r w:rsidR="0058243F">
        <w:t xml:space="preserve"> a crucial role in enabling people live independently, and access education and employment. </w:t>
      </w:r>
      <w:r w:rsidR="00D06254">
        <w:t xml:space="preserve">The study </w:t>
      </w:r>
      <w:r w:rsidRPr="00456BDE">
        <w:t>look</w:t>
      </w:r>
      <w:r w:rsidR="00D06254">
        <w:t>ed</w:t>
      </w:r>
      <w:r w:rsidRPr="00456BDE">
        <w:t xml:space="preserve"> at </w:t>
      </w:r>
      <w:r w:rsidR="00D06254">
        <w:t xml:space="preserve">the </w:t>
      </w:r>
      <w:r w:rsidRPr="00456BDE">
        <w:t xml:space="preserve">national </w:t>
      </w:r>
      <w:r w:rsidR="00D06254">
        <w:t xml:space="preserve">system in </w:t>
      </w:r>
      <w:smartTag w:uri="urn:schemas-microsoft-com:office:smarttags" w:element="country-region">
        <w:r w:rsidR="00D06254">
          <w:t>Ireland</w:t>
        </w:r>
      </w:smartTag>
      <w:r w:rsidR="00D06254">
        <w:t xml:space="preserve"> </w:t>
      </w:r>
      <w:r w:rsidRPr="00456BDE">
        <w:t xml:space="preserve">and </w:t>
      </w:r>
      <w:r w:rsidR="00D06254">
        <w:t xml:space="preserve">at </w:t>
      </w:r>
      <w:r w:rsidRPr="00456BDE">
        <w:t>international</w:t>
      </w:r>
      <w:r w:rsidR="00D06254">
        <w:t xml:space="preserve"> systems</w:t>
      </w:r>
      <w:r w:rsidR="0058243F">
        <w:t xml:space="preserve"> in </w:t>
      </w:r>
      <w:smartTag w:uri="urn:schemas-microsoft-com:office:smarttags" w:element="country-region">
        <w:r w:rsidR="0058243F">
          <w:t>Denmark</w:t>
        </w:r>
      </w:smartTag>
      <w:r w:rsidR="0058243F">
        <w:t xml:space="preserve">, </w:t>
      </w:r>
      <w:smartTag w:uri="urn:schemas-microsoft-com:office:smarttags" w:element="country-region">
        <w:r w:rsidR="0058243F">
          <w:t>Norway</w:t>
        </w:r>
      </w:smartTag>
      <w:r w:rsidR="0058243F">
        <w:t xml:space="preserve">, </w:t>
      </w:r>
      <w:smartTag w:uri="urn:schemas-microsoft-com:office:smarttags" w:element="country-region">
        <w:r w:rsidR="0058243F">
          <w:t>Netherlands</w:t>
        </w:r>
      </w:smartTag>
      <w:r w:rsidR="0058243F">
        <w:t xml:space="preserve">, </w:t>
      </w:r>
      <w:smartTag w:uri="urn:schemas-microsoft-com:office:smarttags" w:element="country-region">
        <w:r w:rsidR="0058243F">
          <w:t>Italy</w:t>
        </w:r>
      </w:smartTag>
      <w:r w:rsidR="0058243F">
        <w:t xml:space="preserve">, the </w:t>
      </w:r>
      <w:smartTag w:uri="urn:schemas-microsoft-com:office:smarttags" w:element="country-region">
        <w:r w:rsidR="0058243F">
          <w:t>UK</w:t>
        </w:r>
      </w:smartTag>
      <w:r w:rsidR="0058243F">
        <w:t xml:space="preserve">, and </w:t>
      </w:r>
      <w:smartTag w:uri="urn:schemas-microsoft-com:office:smarttags" w:element="place">
        <w:smartTag w:uri="urn:schemas-microsoft-com:office:smarttags" w:element="country-region">
          <w:r w:rsidR="0058243F">
            <w:t>Germany</w:t>
          </w:r>
        </w:smartTag>
      </w:smartTag>
      <w:r w:rsidR="00D06254">
        <w:t xml:space="preserve"> around provision of assistive technology to people with disabilities and older people</w:t>
      </w:r>
      <w:r w:rsidR="0058243F">
        <w:t xml:space="preserve">. The research </w:t>
      </w:r>
      <w:r w:rsidR="00D06254">
        <w:t xml:space="preserve">covered systems for </w:t>
      </w:r>
      <w:r w:rsidRPr="00456BDE">
        <w:t>assessment, guidance, maintenance of equipment, and</w:t>
      </w:r>
      <w:r w:rsidR="00D06254">
        <w:t xml:space="preserve"> examined differences in systems across the health</w:t>
      </w:r>
      <w:r w:rsidR="004C36B2">
        <w:t xml:space="preserve"> and social care</w:t>
      </w:r>
      <w:r w:rsidR="00D06254">
        <w:t xml:space="preserve">, education and employment areas. </w:t>
      </w:r>
      <w:r w:rsidR="004C36B2">
        <w:t>The report concluded that the Irish system was underdeveloped relative to other countries, and that there is considerable scope for better coordination of the currently mainly separate systems of provision of assistive technology in the three different settings.</w:t>
      </w:r>
    </w:p>
    <w:p w:rsidR="00C86D8A" w:rsidRPr="00456BDE" w:rsidRDefault="00C86D8A" w:rsidP="00C86D8A">
      <w:r>
        <w:t xml:space="preserve">This is the first national research on Assistive Technology in </w:t>
      </w:r>
      <w:smartTag w:uri="urn:schemas-microsoft-com:office:smarttags" w:element="place">
        <w:smartTag w:uri="urn:schemas-microsoft-com:office:smarttags" w:element="country-region">
          <w:r>
            <w:t>Ireland</w:t>
          </w:r>
        </w:smartTag>
      </w:smartTag>
      <w:r>
        <w:t xml:space="preserve"> and discussions have started on implementing a number of the recommendations.</w:t>
      </w:r>
    </w:p>
    <w:p w:rsidR="00456BDE" w:rsidRPr="00456BDE" w:rsidRDefault="00456BDE" w:rsidP="00973CCA">
      <w:pPr>
        <w:pStyle w:val="Heading2"/>
      </w:pPr>
      <w:r w:rsidRPr="00456BDE">
        <w:t>Access to justice</w:t>
      </w:r>
    </w:p>
    <w:p w:rsidR="00456BDE" w:rsidRPr="00456BDE" w:rsidRDefault="00456BDE" w:rsidP="00973CCA">
      <w:pPr>
        <w:spacing w:after="120"/>
      </w:pPr>
      <w:r w:rsidRPr="00456BDE">
        <w:t xml:space="preserve">In 2012, the </w:t>
      </w:r>
      <w:r w:rsidR="007C09D2">
        <w:t>National Disability Authority</w:t>
      </w:r>
      <w:r w:rsidRPr="00456BDE">
        <w:t xml:space="preserve"> published research it had grant-aided under the 2011 Research Promotion Grant Scheme in relation to</w:t>
      </w:r>
    </w:p>
    <w:p w:rsidR="00456BDE" w:rsidRPr="00456BDE" w:rsidRDefault="00456BDE" w:rsidP="002C404A">
      <w:pPr>
        <w:pStyle w:val="ListBullet"/>
      </w:pPr>
      <w:r w:rsidRPr="00456BDE">
        <w:t>Access to the justice system for people with disabilities (UCC)</w:t>
      </w:r>
      <w:r w:rsidR="002C404A">
        <w:t>, which documented from national interviews and the international literature the obstacles faced by people with disabilities</w:t>
      </w:r>
    </w:p>
    <w:p w:rsidR="002C404A" w:rsidRDefault="00456BDE" w:rsidP="002C404A">
      <w:pPr>
        <w:pStyle w:val="ListBullet"/>
        <w:spacing w:after="240"/>
      </w:pPr>
      <w:r w:rsidRPr="00456BDE">
        <w:t>Sexual violence against people with disabilities (National Rape Crisis Network of Ireland)</w:t>
      </w:r>
      <w:r w:rsidR="004C36B2">
        <w:t xml:space="preserve">, which showed that almost 200 people </w:t>
      </w:r>
      <w:r w:rsidR="002C404A">
        <w:t>with disabilities had accessed Rape C</w:t>
      </w:r>
      <w:r w:rsidR="004C36B2">
        <w:t>risis services between 2008 and 2010</w:t>
      </w:r>
    </w:p>
    <w:p w:rsidR="00456BDE" w:rsidRPr="00456BDE" w:rsidRDefault="00456BDE" w:rsidP="00804BF1">
      <w:pPr>
        <w:pStyle w:val="Heading3"/>
      </w:pPr>
      <w:r w:rsidRPr="00456BDE">
        <w:t>Follow up with Gardaí</w:t>
      </w:r>
    </w:p>
    <w:p w:rsidR="00973CCA" w:rsidRDefault="00456BDE" w:rsidP="00973CCA">
      <w:r w:rsidRPr="00456BDE">
        <w:t xml:space="preserve">The </w:t>
      </w:r>
      <w:r w:rsidR="007C09D2">
        <w:t>National Disability Authority</w:t>
      </w:r>
      <w:r w:rsidRPr="00456BDE">
        <w:t xml:space="preserve"> met an official from the Garda Racial, Intercultural and Diversity Office in May to discuss how disability and people with disabilities feature in the work and training of the </w:t>
      </w:r>
      <w:r w:rsidR="002E20E8" w:rsidRPr="00456BDE">
        <w:t>Gardaí</w:t>
      </w:r>
      <w:r w:rsidRPr="00456BDE">
        <w:t xml:space="preserve">, and issues arising for people with disabilities in the criminal justice system. The </w:t>
      </w:r>
      <w:r w:rsidR="007C09D2">
        <w:t>National Disability Authority</w:t>
      </w:r>
      <w:r w:rsidRPr="00456BDE">
        <w:t xml:space="preserve"> met with the </w:t>
      </w:r>
      <w:r w:rsidR="002E20E8" w:rsidRPr="00456BDE">
        <w:t>Garda</w:t>
      </w:r>
      <w:r w:rsidR="002E20E8">
        <w:t>í</w:t>
      </w:r>
      <w:r w:rsidR="002E20E8" w:rsidRPr="00456BDE">
        <w:t>’s</w:t>
      </w:r>
      <w:r w:rsidRPr="00456BDE">
        <w:t xml:space="preserve"> representative on National Steering Committee on Violence against Women in September. The </w:t>
      </w:r>
      <w:r w:rsidR="007C09D2">
        <w:t>National Disability Authority</w:t>
      </w:r>
      <w:r w:rsidRPr="00456BDE">
        <w:t xml:space="preserve"> made a follow-up submission as an input to the development of the Gardaí’s 4</w:t>
      </w:r>
      <w:r w:rsidR="00987AF0">
        <w:t>-</w:t>
      </w:r>
      <w:r w:rsidRPr="00456BDE">
        <w:t>year Strategy.</w:t>
      </w:r>
      <w:bookmarkStart w:id="12" w:name="_Toc335836316"/>
    </w:p>
    <w:p w:rsidR="00456BDE" w:rsidRPr="00456BDE" w:rsidRDefault="00456BDE" w:rsidP="00973CCA">
      <w:pPr>
        <w:pStyle w:val="Heading2"/>
      </w:pPr>
      <w:r w:rsidRPr="00456BDE">
        <w:t>Voting</w:t>
      </w:r>
    </w:p>
    <w:p w:rsidR="00973CCA" w:rsidRDefault="00456BDE" w:rsidP="00973CCA">
      <w:r w:rsidRPr="00456BDE">
        <w:t xml:space="preserve">The </w:t>
      </w:r>
      <w:r w:rsidR="007C09D2">
        <w:t>National Disability Authority</w:t>
      </w:r>
      <w:r w:rsidRPr="00456BDE">
        <w:t xml:space="preserve"> prepared a discussion paper on Accessible Voting, which highlighted barriers to voting for people with sight loss and people with intellectual disabilities. This paper showed a number of international approaches to addressing these barriers, and explored how these solutions might work in the context of the Irish electoral system. Discussions were held with the Department of Environment</w:t>
      </w:r>
      <w:r w:rsidR="00E66FB1">
        <w:t>,</w:t>
      </w:r>
      <w:r w:rsidRPr="00456BDE">
        <w:t xml:space="preserve"> Community and Local Government on the </w:t>
      </w:r>
      <w:r w:rsidR="00FA447E" w:rsidRPr="00456BDE">
        <w:t>practical</w:t>
      </w:r>
      <w:r w:rsidRPr="00456BDE">
        <w:t xml:space="preserve"> suggestions in the paper. </w:t>
      </w:r>
    </w:p>
    <w:p w:rsidR="00456BDE" w:rsidRPr="00BB36D6" w:rsidRDefault="00456BDE" w:rsidP="00973CCA">
      <w:pPr>
        <w:pStyle w:val="Heading2"/>
      </w:pPr>
      <w:r w:rsidRPr="00BB36D6">
        <w:t>Tourism</w:t>
      </w:r>
      <w:bookmarkEnd w:id="12"/>
    </w:p>
    <w:p w:rsidR="00456BDE" w:rsidRDefault="00456BDE" w:rsidP="00804BF1">
      <w:r w:rsidRPr="00BB36D6">
        <w:t xml:space="preserve">The National Disability Authority </w:t>
      </w:r>
      <w:r>
        <w:t xml:space="preserve">advised </w:t>
      </w:r>
      <w:r w:rsidRPr="00BB36D6">
        <w:t>the Minister fo</w:t>
      </w:r>
      <w:r>
        <w:t xml:space="preserve">r Transport, Tourism and Sport and </w:t>
      </w:r>
      <w:r w:rsidRPr="00BB36D6">
        <w:t xml:space="preserve">Fáilte </w:t>
      </w:r>
      <w:smartTag w:uri="urn:schemas-microsoft-com:office:smarttags" w:element="place">
        <w:smartTag w:uri="urn:schemas-microsoft-com:office:smarttags" w:element="country-region">
          <w:r>
            <w:t>Ireland</w:t>
          </w:r>
        </w:smartTag>
      </w:smartTag>
      <w:r>
        <w:t xml:space="preserve"> </w:t>
      </w:r>
      <w:r w:rsidRPr="00BB36D6">
        <w:t xml:space="preserve">regarding </w:t>
      </w:r>
      <w:r w:rsidRPr="00456BDE">
        <w:t>The Gathering Ireland 2013</w:t>
      </w:r>
      <w:r w:rsidRPr="00AD5835">
        <w:t>, offering guidance</w:t>
      </w:r>
      <w:r w:rsidRPr="00456BDE">
        <w:t xml:space="preserve"> </w:t>
      </w:r>
      <w:r w:rsidRPr="00AD5835">
        <w:t>on</w:t>
      </w:r>
      <w:r w:rsidRPr="00456BDE">
        <w:t xml:space="preserve"> </w:t>
      </w:r>
      <w:r w:rsidRPr="00BB36D6">
        <w:t xml:space="preserve">developing an inclusive tourism experience for people with disabilities and older people. </w:t>
      </w:r>
      <w:r w:rsidR="00E66FB1">
        <w:t xml:space="preserve">The </w:t>
      </w:r>
      <w:r w:rsidR="007C09D2">
        <w:t>National Disability Authority</w:t>
      </w:r>
      <w:r>
        <w:t xml:space="preserve"> also advised </w:t>
      </w:r>
      <w:r w:rsidRPr="00BB36D6">
        <w:t xml:space="preserve">Tourism </w:t>
      </w:r>
      <w:smartTag w:uri="urn:schemas-microsoft-com:office:smarttags" w:element="country-region">
        <w:smartTag w:uri="urn:schemas-microsoft-com:office:smarttags" w:element="place">
          <w:r w:rsidRPr="00BB36D6">
            <w:t>Ireland</w:t>
          </w:r>
        </w:smartTag>
      </w:smartTag>
      <w:r w:rsidRPr="00BB36D6">
        <w:t xml:space="preserve"> </w:t>
      </w:r>
      <w:r>
        <w:t xml:space="preserve">on </w:t>
      </w:r>
      <w:r w:rsidRPr="00BB36D6">
        <w:t xml:space="preserve">updated information for disabled travellers as part of a redevelopment of its website: </w:t>
      </w:r>
      <w:hyperlink r:id="rId9" w:history="1">
        <w:r w:rsidRPr="00BB36D6">
          <w:rPr>
            <w:rStyle w:val="Hyperlink"/>
          </w:rPr>
          <w:t>www.discoverireland.com</w:t>
        </w:r>
      </w:hyperlink>
      <w:r w:rsidRPr="00BB36D6">
        <w:t xml:space="preserve">. </w:t>
      </w:r>
    </w:p>
    <w:p w:rsidR="00456BDE" w:rsidRPr="00BB36D6" w:rsidRDefault="00456BDE" w:rsidP="00973CCA">
      <w:pPr>
        <w:pStyle w:val="Heading2"/>
      </w:pPr>
      <w:r w:rsidRPr="00BB36D6">
        <w:t>Sport</w:t>
      </w:r>
    </w:p>
    <w:p w:rsidR="00973CCA" w:rsidRDefault="00456BDE" w:rsidP="00973CCA">
      <w:r w:rsidRPr="00BB36D6">
        <w:t xml:space="preserve">The National Disability Authority </w:t>
      </w:r>
      <w:r>
        <w:t xml:space="preserve">hosted a </w:t>
      </w:r>
      <w:r w:rsidRPr="00BB36D6">
        <w:t xml:space="preserve">seminar on </w:t>
      </w:r>
      <w:r>
        <w:t xml:space="preserve">participation of people with disabilities in sport and in </w:t>
      </w:r>
      <w:r w:rsidRPr="00BB36D6">
        <w:t xml:space="preserve">physical activity </w:t>
      </w:r>
      <w:r>
        <w:t>with a nation</w:t>
      </w:r>
      <w:r w:rsidR="002C404A">
        <w:t>al and an international expert, to highlight the importance of sport and physical activity for people with disabilities, and the opportunities in that area.</w:t>
      </w:r>
    </w:p>
    <w:p w:rsidR="00456BDE" w:rsidRDefault="00456BDE" w:rsidP="00973CCA">
      <w:pPr>
        <w:pStyle w:val="Heading2"/>
      </w:pPr>
      <w:r>
        <w:t>Education</w:t>
      </w:r>
    </w:p>
    <w:p w:rsidR="00456BDE" w:rsidRDefault="00456BDE" w:rsidP="00804BF1">
      <w:pPr>
        <w:pStyle w:val="Heading3"/>
      </w:pPr>
      <w:r>
        <w:t>Partnership</w:t>
      </w:r>
    </w:p>
    <w:p w:rsidR="00456BDE" w:rsidRPr="00456BDE" w:rsidRDefault="00456BDE" w:rsidP="00804BF1">
      <w:r w:rsidRPr="00456BDE">
        <w:t xml:space="preserve">The </w:t>
      </w:r>
      <w:r w:rsidR="007C09D2">
        <w:t>National Disability Authority</w:t>
      </w:r>
      <w:r w:rsidRPr="00456BDE">
        <w:t xml:space="preserve"> worked in partnership with the National Council for Special Education in its work to map further education and training opportunities for people with disabilities. Further areas of collaboration in relation to young people with special needs are being explored.</w:t>
      </w:r>
      <w:r w:rsidR="006309CB">
        <w:t xml:space="preserve"> </w:t>
      </w:r>
    </w:p>
    <w:p w:rsidR="00456BDE" w:rsidRPr="0015170C" w:rsidRDefault="00456BDE" w:rsidP="00804BF1">
      <w:pPr>
        <w:pStyle w:val="Heading3"/>
      </w:pPr>
      <w:r>
        <w:t>Bullying</w:t>
      </w:r>
      <w:r w:rsidR="00077885">
        <w:t xml:space="preserve"> and children with special education needs</w:t>
      </w:r>
    </w:p>
    <w:p w:rsidR="006E57D3" w:rsidRDefault="00456BDE" w:rsidP="00973CCA">
      <w:r w:rsidRPr="00EC1FC5">
        <w:t>The National Disability Authority met with the Department of Education</w:t>
      </w:r>
      <w:r w:rsidR="00DD4843">
        <w:t xml:space="preserve"> </w:t>
      </w:r>
      <w:r w:rsidR="00DD4843" w:rsidRPr="00DD4843">
        <w:t>and Skills</w:t>
      </w:r>
      <w:r w:rsidRPr="00EC1FC5">
        <w:t xml:space="preserve"> and provided advice in relation to the Department’s </w:t>
      </w:r>
      <w:r w:rsidRPr="00456BDE">
        <w:t xml:space="preserve">Action Plan on Bullying. </w:t>
      </w:r>
      <w:r w:rsidRPr="00AE0F61">
        <w:t>As part of that Action Plan,</w:t>
      </w:r>
      <w:r w:rsidRPr="00456BDE">
        <w:t xml:space="preserve"> </w:t>
      </w:r>
      <w:r w:rsidRPr="00EC1FC5">
        <w:t>the National Disability Authority will conduct research in 2013 on good practice and effective interventions in Irish schools for the prevention of bullying of children with special educational needs.</w:t>
      </w:r>
      <w:r>
        <w:t xml:space="preserve"> </w:t>
      </w:r>
    </w:p>
    <w:p w:rsidR="006E57D3" w:rsidRDefault="006E57D3" w:rsidP="006E57D3">
      <w:pPr>
        <w:pStyle w:val="Heading3"/>
      </w:pPr>
      <w:r>
        <w:t>Anti-bullying guidance</w:t>
      </w:r>
    </w:p>
    <w:p w:rsidR="006E57D3" w:rsidRPr="00456BDE" w:rsidRDefault="006E57D3" w:rsidP="006E57D3">
      <w:r>
        <w:t xml:space="preserve">The </w:t>
      </w:r>
      <w:r w:rsidR="006B750E" w:rsidRPr="006309CB">
        <w:rPr>
          <w:lang w:val="ga-IE" w:eastAsia="en-GB"/>
        </w:rPr>
        <w:t>National Disability Authority</w:t>
      </w:r>
      <w:r>
        <w:t>’s Research Promotion Grant Scheme funded a project on research and guidelines on prevention of bullying of people with intellectual disabilities (TCD). This work has been published and was also given to the Department of Education and Skills</w:t>
      </w:r>
      <w:r w:rsidR="00077885">
        <w:t>.</w:t>
      </w:r>
      <w:r>
        <w:t xml:space="preserve"> </w:t>
      </w:r>
    </w:p>
    <w:p w:rsidR="00865DB4" w:rsidRDefault="00865DB4" w:rsidP="00973CCA">
      <w:pPr>
        <w:pStyle w:val="Heading2"/>
      </w:pPr>
      <w:bookmarkStart w:id="13" w:name="_Toc335836323"/>
      <w:r w:rsidRPr="00936BCD">
        <w:t>National Disability Authority Annual Conference</w:t>
      </w:r>
      <w:bookmarkEnd w:id="13"/>
      <w:r w:rsidRPr="00936BCD">
        <w:t xml:space="preserve"> </w:t>
      </w:r>
    </w:p>
    <w:p w:rsidR="00865DB4" w:rsidRDefault="00865DB4" w:rsidP="00804BF1">
      <w:r w:rsidRPr="00865DB4">
        <w:t xml:space="preserve">The </w:t>
      </w:r>
      <w:r w:rsidR="007C09D2">
        <w:t>National Disability Authority</w:t>
      </w:r>
      <w:r w:rsidR="002D2A56">
        <w:t xml:space="preserve"> held its annual</w:t>
      </w:r>
      <w:r w:rsidRPr="00865DB4">
        <w:t xml:space="preserve"> conference </w:t>
      </w:r>
      <w:r w:rsidR="006E57D3">
        <w:t>in October.</w:t>
      </w:r>
      <w:r w:rsidR="00D63B5A">
        <w:t xml:space="preserve"> </w:t>
      </w:r>
      <w:r w:rsidR="006E57D3">
        <w:t xml:space="preserve">The plenary sessions covered </w:t>
      </w:r>
      <w:r w:rsidR="00D65E3D">
        <w:t xml:space="preserve">the themes of </w:t>
      </w:r>
      <w:r w:rsidR="006E57D3">
        <w:t xml:space="preserve">natural community supports, hate crime, </w:t>
      </w:r>
      <w:r w:rsidR="00D65E3D">
        <w:t xml:space="preserve">resource allocation, and personalisation of services and supports. </w:t>
      </w:r>
      <w:r w:rsidR="00F3277E">
        <w:t>Three</w:t>
      </w:r>
      <w:r w:rsidRPr="00865DB4">
        <w:t xml:space="preserve"> simultaneous workshops in the afternoon</w:t>
      </w:r>
      <w:r w:rsidR="00F3277E">
        <w:t xml:space="preserve"> ad</w:t>
      </w:r>
      <w:r w:rsidR="00D65E3D">
        <w:t>dressed education and inclusion,</w:t>
      </w:r>
      <w:r w:rsidR="00F3277E">
        <w:t xml:space="preserve"> enabling environments</w:t>
      </w:r>
      <w:r w:rsidR="00D65E3D">
        <w:t>,</w:t>
      </w:r>
      <w:r w:rsidR="00F3277E">
        <w:t xml:space="preserve"> and changing attitudes</w:t>
      </w:r>
      <w:r w:rsidRPr="00865DB4">
        <w:t xml:space="preserve">. </w:t>
      </w:r>
      <w:r w:rsidR="00D65E3D">
        <w:t xml:space="preserve">Conference papers and a link to the video of conference proceedings are available on the website. </w:t>
      </w:r>
    </w:p>
    <w:p w:rsidR="00F43A5D" w:rsidRDefault="00F43A5D" w:rsidP="00F43A5D">
      <w:pPr>
        <w:pStyle w:val="Heading2"/>
      </w:pPr>
      <w:r>
        <w:t>Analysis of National Disability Survey data</w:t>
      </w:r>
    </w:p>
    <w:p w:rsidR="00F43A5D" w:rsidRDefault="00AB2FA8" w:rsidP="00AB2FA8">
      <w:pPr>
        <w:spacing w:after="120"/>
      </w:pPr>
      <w:r>
        <w:t>The National Disability Survey 2006 is a rich resource on the lives of people with disabilities, with data on about 13,000 people. The microdata from this survey became available during the year, and t</w:t>
      </w:r>
      <w:r w:rsidR="00F43A5D">
        <w:t>he National Disability Authority initiated commissioned research to analyse the microdata</w:t>
      </w:r>
      <w:r>
        <w:t xml:space="preserve"> to gain further insights</w:t>
      </w:r>
      <w:r w:rsidR="00F43A5D">
        <w:t>. Three projects were awarded contracts, to complete in 2013</w:t>
      </w:r>
      <w:r w:rsidR="00AC70DA">
        <w:t>,</w:t>
      </w:r>
      <w:r w:rsidR="00F43A5D">
        <w:t xml:space="preserve"> on</w:t>
      </w:r>
      <w:r w:rsidR="00F75B1A">
        <w:t>:</w:t>
      </w:r>
    </w:p>
    <w:p w:rsidR="00F43A5D" w:rsidRDefault="00AB2FA8" w:rsidP="00F43A5D">
      <w:pPr>
        <w:pStyle w:val="ListBullet"/>
      </w:pPr>
      <w:r>
        <w:t>Children with disabilities</w:t>
      </w:r>
    </w:p>
    <w:p w:rsidR="00AB2FA8" w:rsidRDefault="00AB2FA8" w:rsidP="00F43A5D">
      <w:pPr>
        <w:pStyle w:val="ListBullet"/>
      </w:pPr>
      <w:r>
        <w:t>People with mental health difficulties</w:t>
      </w:r>
    </w:p>
    <w:p w:rsidR="00AB2FA8" w:rsidRPr="00F43A5D" w:rsidRDefault="00AB2FA8" w:rsidP="00F43A5D">
      <w:pPr>
        <w:pStyle w:val="ListBullet"/>
      </w:pPr>
      <w:r>
        <w:t xml:space="preserve">Access </w:t>
      </w:r>
      <w:r w:rsidR="00AC70DA">
        <w:t>to transport</w:t>
      </w:r>
    </w:p>
    <w:p w:rsidR="003F5876" w:rsidRDefault="0002481D" w:rsidP="00804BF1">
      <w:pPr>
        <w:pStyle w:val="Heading1"/>
      </w:pPr>
      <w:bookmarkStart w:id="14" w:name="_Toc368058749"/>
      <w:r w:rsidRPr="0002481D">
        <w:t xml:space="preserve">Strategic </w:t>
      </w:r>
      <w:r>
        <w:t>p</w:t>
      </w:r>
      <w:r w:rsidRPr="0002481D">
        <w:t>riority 3</w:t>
      </w:r>
      <w:bookmarkEnd w:id="14"/>
    </w:p>
    <w:p w:rsidR="0002481D" w:rsidRPr="00C40852" w:rsidRDefault="0002481D" w:rsidP="00804BF1">
      <w:pPr>
        <w:rPr>
          <w:b/>
        </w:rPr>
      </w:pPr>
      <w:r w:rsidRPr="00C40852">
        <w:rPr>
          <w:b/>
        </w:rPr>
        <w:t>To promote inclusion through accessibility and universal design</w:t>
      </w:r>
    </w:p>
    <w:p w:rsidR="00872908" w:rsidRDefault="00872908" w:rsidP="00C40852">
      <w:pPr>
        <w:pStyle w:val="Heading2"/>
      </w:pPr>
      <w:bookmarkStart w:id="15" w:name="_Toc335836337"/>
      <w:r w:rsidRPr="004B5DB7">
        <w:t>Guidance and standards</w:t>
      </w:r>
      <w:bookmarkEnd w:id="15"/>
    </w:p>
    <w:p w:rsidR="00166FC3" w:rsidRDefault="00166FC3" w:rsidP="00166FC3">
      <w:pPr>
        <w:pStyle w:val="Heading3"/>
        <w:rPr>
          <w:lang w:val="en-GB" w:eastAsia="en-GB"/>
        </w:rPr>
      </w:pPr>
      <w:r>
        <w:rPr>
          <w:lang w:val="en-GB" w:eastAsia="en-GB"/>
        </w:rPr>
        <w:t>Guidance</w:t>
      </w:r>
    </w:p>
    <w:p w:rsidR="00166FC3" w:rsidRDefault="00166FC3" w:rsidP="00166FC3">
      <w:pPr>
        <w:autoSpaceDE w:val="0"/>
        <w:autoSpaceDN w:val="0"/>
        <w:adjustRightInd w:val="0"/>
        <w:rPr>
          <w:rFonts w:cs="Gill Sans"/>
          <w:szCs w:val="26"/>
          <w:lang w:val="en-GB" w:eastAsia="en-GB"/>
        </w:rPr>
      </w:pPr>
      <w:r>
        <w:rPr>
          <w:rFonts w:cs="Gill Sans"/>
          <w:szCs w:val="26"/>
          <w:lang w:val="en-GB" w:eastAsia="en-GB"/>
        </w:rPr>
        <w:t xml:space="preserve">The </w:t>
      </w:r>
      <w:r w:rsidR="006B750E" w:rsidRPr="006309CB">
        <w:rPr>
          <w:lang w:val="ga-IE" w:eastAsia="en-GB"/>
        </w:rPr>
        <w:t>National Disability Authority</w:t>
      </w:r>
      <w:r>
        <w:rPr>
          <w:rFonts w:cs="Gill Sans"/>
          <w:szCs w:val="26"/>
          <w:lang w:val="en-GB" w:eastAsia="en-GB"/>
        </w:rPr>
        <w:t xml:space="preserve"> also</w:t>
      </w:r>
      <w:r w:rsidRPr="00936BCD">
        <w:rPr>
          <w:rFonts w:cs="Gill Sans"/>
          <w:szCs w:val="26"/>
          <w:lang w:val="en-GB" w:eastAsia="en-GB"/>
        </w:rPr>
        <w:t xml:space="preserve"> worked closely with the Department of Arts, Heritage and </w:t>
      </w:r>
      <w:r w:rsidR="00A666F5">
        <w:rPr>
          <w:rFonts w:cs="Gill Sans"/>
          <w:szCs w:val="26"/>
          <w:lang w:val="en-GB" w:eastAsia="en-GB"/>
        </w:rPr>
        <w:t xml:space="preserve">the </w:t>
      </w:r>
      <w:r w:rsidRPr="00936BCD">
        <w:rPr>
          <w:rFonts w:cs="Gill Sans"/>
          <w:szCs w:val="26"/>
          <w:lang w:val="en-GB" w:eastAsia="en-GB"/>
        </w:rPr>
        <w:t xml:space="preserve">Gaeltacht on </w:t>
      </w:r>
      <w:r>
        <w:rPr>
          <w:rFonts w:cs="Gill Sans"/>
          <w:szCs w:val="26"/>
          <w:lang w:val="en-GB" w:eastAsia="en-GB"/>
        </w:rPr>
        <w:t xml:space="preserve">the </w:t>
      </w:r>
      <w:r w:rsidRPr="00C40852">
        <w:rPr>
          <w:rFonts w:cs="Gill Sans"/>
          <w:szCs w:val="26"/>
          <w:lang w:val="en-GB" w:eastAsia="en-GB"/>
        </w:rPr>
        <w:t xml:space="preserve">publication </w:t>
      </w:r>
      <w:r w:rsidRPr="00C40852">
        <w:rPr>
          <w:rFonts w:cs="Gill Sans"/>
          <w:b/>
          <w:szCs w:val="26"/>
          <w:lang w:val="en-GB" w:eastAsia="en-GB"/>
        </w:rPr>
        <w:t>Improving the Accessibility of Historic Buildings and Places</w:t>
      </w:r>
      <w:r>
        <w:rPr>
          <w:rFonts w:cs="Gill Sans"/>
          <w:b/>
          <w:szCs w:val="26"/>
          <w:lang w:val="en-GB" w:eastAsia="en-GB"/>
        </w:rPr>
        <w:t xml:space="preserve"> </w:t>
      </w:r>
      <w:r>
        <w:rPr>
          <w:rFonts w:cs="Gill Sans"/>
          <w:szCs w:val="26"/>
          <w:lang w:val="en-GB" w:eastAsia="en-GB"/>
        </w:rPr>
        <w:t>which offers more detailed guidance and complements the Code of Practice</w:t>
      </w:r>
      <w:r w:rsidRPr="00C40852">
        <w:rPr>
          <w:rFonts w:cs="Gill Sans"/>
          <w:b/>
          <w:szCs w:val="26"/>
          <w:lang w:val="en-GB" w:eastAsia="en-GB"/>
        </w:rPr>
        <w:t>.</w:t>
      </w:r>
      <w:r w:rsidRPr="00936BCD">
        <w:rPr>
          <w:rFonts w:cs="Gill Sans"/>
          <w:szCs w:val="26"/>
          <w:lang w:val="en-GB" w:eastAsia="en-GB"/>
        </w:rPr>
        <w:t xml:space="preserve"> </w:t>
      </w:r>
    </w:p>
    <w:p w:rsidR="00166FC3" w:rsidRDefault="00166FC3" w:rsidP="00166FC3">
      <w:pPr>
        <w:pStyle w:val="Heading3"/>
        <w:rPr>
          <w:lang w:val="en-GB" w:eastAsia="en-GB"/>
        </w:rPr>
      </w:pPr>
      <w:r>
        <w:rPr>
          <w:lang w:val="en-GB" w:eastAsia="en-GB"/>
        </w:rPr>
        <w:t>Conference</w:t>
      </w:r>
    </w:p>
    <w:p w:rsidR="00166FC3" w:rsidRPr="00936BCD" w:rsidRDefault="00166FC3" w:rsidP="00166FC3">
      <w:pPr>
        <w:autoSpaceDE w:val="0"/>
        <w:autoSpaceDN w:val="0"/>
        <w:adjustRightInd w:val="0"/>
        <w:rPr>
          <w:rFonts w:cs="Gill Sans"/>
          <w:szCs w:val="26"/>
          <w:lang w:val="en-GB" w:eastAsia="en-GB"/>
        </w:rPr>
      </w:pPr>
      <w:r w:rsidRPr="00936BCD">
        <w:rPr>
          <w:rFonts w:cs="Gill Sans"/>
          <w:szCs w:val="26"/>
          <w:lang w:val="en-GB" w:eastAsia="en-GB"/>
        </w:rPr>
        <w:t xml:space="preserve">In 2012, the </w:t>
      </w:r>
      <w:r>
        <w:rPr>
          <w:rFonts w:cs="Gill Sans"/>
          <w:szCs w:val="26"/>
          <w:lang w:val="en-GB" w:eastAsia="en-GB"/>
        </w:rPr>
        <w:t>National Disability Authority</w:t>
      </w:r>
      <w:r w:rsidRPr="00936BCD">
        <w:rPr>
          <w:rFonts w:cs="Gill Sans"/>
          <w:szCs w:val="26"/>
          <w:lang w:val="en-GB" w:eastAsia="en-GB"/>
        </w:rPr>
        <w:t xml:space="preserve"> co-hosted a conference on Access to </w:t>
      </w:r>
      <w:smartTag w:uri="urn:schemas-microsoft-com:office:smarttags" w:element="place">
        <w:smartTag w:uri="urn:schemas-microsoft-com:office:smarttags" w:element="PlaceName">
          <w:r w:rsidRPr="00936BCD">
            <w:rPr>
              <w:rFonts w:cs="Gill Sans"/>
              <w:szCs w:val="26"/>
              <w:lang w:val="en-GB" w:eastAsia="en-GB"/>
            </w:rPr>
            <w:t>Historic</w:t>
          </w:r>
        </w:smartTag>
        <w:r w:rsidRPr="00936BCD">
          <w:rPr>
            <w:rFonts w:cs="Gill Sans"/>
            <w:szCs w:val="26"/>
            <w:lang w:val="en-GB" w:eastAsia="en-GB"/>
          </w:rPr>
          <w:t xml:space="preserve"> </w:t>
        </w:r>
        <w:smartTag w:uri="urn:schemas-microsoft-com:office:smarttags" w:element="PlaceType">
          <w:r w:rsidRPr="00936BCD">
            <w:rPr>
              <w:rFonts w:cs="Gill Sans"/>
              <w:szCs w:val="26"/>
              <w:lang w:val="en-GB" w:eastAsia="en-GB"/>
            </w:rPr>
            <w:t>Buildings</w:t>
          </w:r>
        </w:smartTag>
      </w:smartTag>
      <w:r w:rsidRPr="00936BCD">
        <w:rPr>
          <w:rFonts w:cs="Gill Sans"/>
          <w:szCs w:val="26"/>
          <w:lang w:val="en-GB" w:eastAsia="en-GB"/>
        </w:rPr>
        <w:t xml:space="preserve"> and Places with the Department of Arts, Heritage and </w:t>
      </w:r>
      <w:r w:rsidR="00A666F5">
        <w:rPr>
          <w:rFonts w:cs="Gill Sans"/>
          <w:szCs w:val="26"/>
          <w:lang w:val="en-GB" w:eastAsia="en-GB"/>
        </w:rPr>
        <w:t xml:space="preserve">the </w:t>
      </w:r>
      <w:r w:rsidRPr="00936BCD">
        <w:rPr>
          <w:rFonts w:cs="Gill Sans"/>
          <w:szCs w:val="26"/>
          <w:lang w:val="en-GB" w:eastAsia="en-GB"/>
        </w:rPr>
        <w:t xml:space="preserve">Gaeltacht and the Irish Georgian Society. Over 200 people including architects, engineers, managers of historic facilities and access officers attended this conference. There were presentations by experts from </w:t>
      </w:r>
      <w:smartTag w:uri="urn:schemas-microsoft-com:office:smarttags" w:element="country-region">
        <w:r w:rsidRPr="00936BCD">
          <w:rPr>
            <w:rFonts w:cs="Gill Sans"/>
            <w:szCs w:val="26"/>
            <w:lang w:val="en-GB" w:eastAsia="en-GB"/>
          </w:rPr>
          <w:t>UK</w:t>
        </w:r>
      </w:smartTag>
      <w:r w:rsidRPr="00936BCD">
        <w:rPr>
          <w:rFonts w:cs="Gill Sans"/>
          <w:szCs w:val="26"/>
          <w:lang w:val="en-GB" w:eastAsia="en-GB"/>
        </w:rPr>
        <w:t xml:space="preserve">, </w:t>
      </w:r>
      <w:smartTag w:uri="urn:schemas-microsoft-com:office:smarttags" w:element="country-region">
        <w:r w:rsidRPr="00936BCD">
          <w:rPr>
            <w:rFonts w:cs="Gill Sans"/>
            <w:szCs w:val="26"/>
            <w:lang w:val="en-GB" w:eastAsia="en-GB"/>
          </w:rPr>
          <w:t>Sweden</w:t>
        </w:r>
      </w:smartTag>
      <w:r w:rsidRPr="00936BCD">
        <w:rPr>
          <w:rFonts w:cs="Gill Sans"/>
          <w:szCs w:val="26"/>
          <w:lang w:val="en-GB" w:eastAsia="en-GB"/>
        </w:rPr>
        <w:t xml:space="preserve"> and </w:t>
      </w:r>
      <w:smartTag w:uri="urn:schemas-microsoft-com:office:smarttags" w:element="place">
        <w:smartTag w:uri="urn:schemas-microsoft-com:office:smarttags" w:element="country-region">
          <w:r w:rsidRPr="00936BCD">
            <w:rPr>
              <w:rFonts w:cs="Gill Sans"/>
              <w:szCs w:val="26"/>
              <w:lang w:val="en-GB" w:eastAsia="en-GB"/>
            </w:rPr>
            <w:t>Ireland</w:t>
          </w:r>
        </w:smartTag>
      </w:smartTag>
      <w:r w:rsidRPr="00936BCD">
        <w:rPr>
          <w:rFonts w:cs="Gill Sans"/>
          <w:szCs w:val="26"/>
          <w:lang w:val="en-GB" w:eastAsia="en-GB"/>
        </w:rPr>
        <w:t xml:space="preserve"> showing good practices in this topic. </w:t>
      </w:r>
    </w:p>
    <w:p w:rsidR="007651F3" w:rsidRPr="007651F3" w:rsidRDefault="007651F3" w:rsidP="00804BF1">
      <w:pPr>
        <w:pStyle w:val="Heading3"/>
      </w:pPr>
      <w:r w:rsidRPr="007651F3">
        <w:t>Accessibility Resource Pack</w:t>
      </w:r>
    </w:p>
    <w:p w:rsidR="007651F3" w:rsidRPr="007651F3" w:rsidRDefault="007651F3" w:rsidP="00804BF1">
      <w:r w:rsidRPr="007651F3">
        <w:t xml:space="preserve">The </w:t>
      </w:r>
      <w:r w:rsidR="007C09D2">
        <w:t>National Disability Authority</w:t>
      </w:r>
      <w:r w:rsidR="002B3FEF">
        <w:t xml:space="preserve"> produced an </w:t>
      </w:r>
      <w:r w:rsidRPr="002B3FEF">
        <w:rPr>
          <w:b/>
        </w:rPr>
        <w:t xml:space="preserve">Accessibility </w:t>
      </w:r>
      <w:r w:rsidR="002B3FEF" w:rsidRPr="002B3FEF">
        <w:rPr>
          <w:b/>
        </w:rPr>
        <w:t>Toolkit for public sector staff</w:t>
      </w:r>
      <w:r w:rsidRPr="002B3FEF">
        <w:rPr>
          <w:b/>
        </w:rPr>
        <w:t xml:space="preserve"> </w:t>
      </w:r>
      <w:r w:rsidRPr="007651F3">
        <w:t xml:space="preserve">at </w:t>
      </w:r>
      <w:r w:rsidR="002B3FEF">
        <w:t>http://</w:t>
      </w:r>
      <w:r w:rsidRPr="007651F3">
        <w:t>accessibility.ie to explain how to make public services, buildings, information, and websites more accessible to customers with disabilities.</w:t>
      </w:r>
    </w:p>
    <w:p w:rsidR="00077885" w:rsidRDefault="00077885" w:rsidP="00804BF1">
      <w:r>
        <w:t xml:space="preserve">It covers a range </w:t>
      </w:r>
      <w:r w:rsidR="002E229D">
        <w:t>of topics to guide Access Officers and others in implementing best practice in accessibility and meeting the</w:t>
      </w:r>
      <w:r w:rsidR="00A879D0">
        <w:t xml:space="preserve"> </w:t>
      </w:r>
      <w:r w:rsidR="002E229D">
        <w:t xml:space="preserve">legal obligations </w:t>
      </w:r>
      <w:r w:rsidR="00A879D0">
        <w:t xml:space="preserve">set </w:t>
      </w:r>
      <w:r w:rsidR="002E229D">
        <w:t>out in Part 3 of the Disability Act.</w:t>
      </w:r>
      <w:r w:rsidR="001C2266">
        <w:t xml:space="preserve"> It provides guidance and links on accessible buildings, safe evacuation for people with disabilities</w:t>
      </w:r>
      <w:r w:rsidR="00A879D0">
        <w:t>,</w:t>
      </w:r>
      <w:r w:rsidR="001C2266">
        <w:t xml:space="preserve"> accessible information, accessible websites, and </w:t>
      </w:r>
      <w:r w:rsidR="00A879D0">
        <w:t xml:space="preserve">on </w:t>
      </w:r>
      <w:r w:rsidR="001C2266">
        <w:t xml:space="preserve">how to plan for accessibility. </w:t>
      </w:r>
    </w:p>
    <w:p w:rsidR="007651F3" w:rsidRPr="007651F3" w:rsidRDefault="007651F3" w:rsidP="00804BF1">
      <w:r w:rsidRPr="007651F3">
        <w:t xml:space="preserve">Public sector staff can access </w:t>
      </w:r>
      <w:r w:rsidR="002B3FEF">
        <w:t>this website</w:t>
      </w:r>
      <w:r w:rsidRPr="007651F3">
        <w:t xml:space="preserve"> on any device, anywhere</w:t>
      </w:r>
      <w:r w:rsidR="001C2266">
        <w:t>—so they can always get expert</w:t>
      </w:r>
      <w:r w:rsidRPr="007651F3">
        <w:t xml:space="preserve"> advice about accessibility. </w:t>
      </w:r>
      <w:r w:rsidR="001C2266">
        <w:t xml:space="preserve">There is </w:t>
      </w:r>
      <w:r w:rsidR="00A879D0">
        <w:t xml:space="preserve">also </w:t>
      </w:r>
      <w:r w:rsidR="001C2266">
        <w:t>a</w:t>
      </w:r>
      <w:r w:rsidRPr="007651F3">
        <w:t xml:space="preserve"> 17-minute, closed-captioned video of </w:t>
      </w:r>
      <w:r w:rsidR="001C2266">
        <w:t xml:space="preserve">a </w:t>
      </w:r>
      <w:r w:rsidRPr="007651F3">
        <w:t xml:space="preserve">presentation </w:t>
      </w:r>
      <w:r w:rsidR="001C2266">
        <w:t xml:space="preserve">on the accessibility toolkit </w:t>
      </w:r>
      <w:r w:rsidR="00A879D0">
        <w:t xml:space="preserve">available </w:t>
      </w:r>
      <w:r w:rsidRPr="007651F3">
        <w:t xml:space="preserve">on the </w:t>
      </w:r>
      <w:r w:rsidR="007C09D2">
        <w:t>National Disability Authority</w:t>
      </w:r>
      <w:r w:rsidRPr="007651F3">
        <w:t>’s YouTube channel.</w:t>
      </w:r>
    </w:p>
    <w:p w:rsidR="002B3FEF" w:rsidRDefault="002B3FEF" w:rsidP="002B3FEF">
      <w:pPr>
        <w:pStyle w:val="Heading3"/>
      </w:pPr>
      <w:r>
        <w:t>Conference on accessibility</w:t>
      </w:r>
    </w:p>
    <w:p w:rsidR="002B3FEF" w:rsidRPr="002B3FEF" w:rsidRDefault="002B3FEF" w:rsidP="002B3FEF">
      <w:r>
        <w:t xml:space="preserve">The </w:t>
      </w:r>
      <w:r w:rsidR="006B750E" w:rsidRPr="006309CB">
        <w:rPr>
          <w:lang w:val="ga-IE" w:eastAsia="en-GB"/>
        </w:rPr>
        <w:t>National Disability Authority</w:t>
      </w:r>
      <w:r>
        <w:t xml:space="preserve"> hosted a conference in June for public sector staff, including Access Officers, to highlight accessibility issues and </w:t>
      </w:r>
      <w:r w:rsidR="00C465CA" w:rsidRPr="006309CB">
        <w:rPr>
          <w:lang w:val="ga-IE" w:eastAsia="en-GB"/>
        </w:rPr>
        <w:t>National Disability Authority</w:t>
      </w:r>
      <w:r>
        <w:t>’s accessibility resources, including the Accessib</w:t>
      </w:r>
      <w:r w:rsidR="00A879D0">
        <w:t>i</w:t>
      </w:r>
      <w:r>
        <w:t xml:space="preserve">lity Resource Toolkit and the e-learning Disability Equality training, and to provide a forum for sharing of good practice. </w:t>
      </w:r>
    </w:p>
    <w:p w:rsidR="002D2A56" w:rsidRDefault="002D2A56" w:rsidP="002D2A56">
      <w:pPr>
        <w:pStyle w:val="Heading2"/>
      </w:pPr>
      <w:bookmarkStart w:id="16" w:name="_Toc335836335"/>
      <w:r w:rsidRPr="007651F3">
        <w:t>Procurement</w:t>
      </w:r>
      <w:bookmarkEnd w:id="16"/>
    </w:p>
    <w:p w:rsidR="002D2A56" w:rsidRPr="00872908" w:rsidRDefault="002D2A56" w:rsidP="002D2A56">
      <w:r w:rsidRPr="007651F3">
        <w:t xml:space="preserve">Section 27 of the Disability Act 2005 requires staff in public bodies to ensure that goods or services supplied to them are accessible to people with disabilities. The </w:t>
      </w:r>
      <w:r>
        <w:t>National Disability Authority</w:t>
      </w:r>
      <w:r w:rsidRPr="007651F3">
        <w:t xml:space="preserve"> published a guidance document to increase awareness of the legal requirements about accessibility and procurement, and to guide public bodies on how they can build accessibility into their procurement pol</w:t>
      </w:r>
      <w:r>
        <w:t>icies, procedures and practice.</w:t>
      </w:r>
      <w:r w:rsidR="00D65E3D">
        <w:t xml:space="preserve"> The guidance </w:t>
      </w:r>
      <w:r w:rsidRPr="007651F3">
        <w:t>suggests ways of modifying existing procurement processes, and gives sample criteria for procurers to use in their requests for tenders.</w:t>
      </w:r>
    </w:p>
    <w:p w:rsidR="00872908" w:rsidRPr="00936BCD" w:rsidRDefault="00C40852" w:rsidP="00166FC3">
      <w:pPr>
        <w:pStyle w:val="Heading2"/>
      </w:pPr>
      <w:r>
        <w:t xml:space="preserve">In-home displays for </w:t>
      </w:r>
      <w:r w:rsidR="00872908" w:rsidRPr="00936BCD">
        <w:t xml:space="preserve">smart metering systems </w:t>
      </w:r>
    </w:p>
    <w:p w:rsidR="00872908" w:rsidRPr="00936BCD" w:rsidRDefault="00872908" w:rsidP="00804BF1">
      <w:r w:rsidRPr="00936BCD">
        <w:t xml:space="preserve">In 2012, the Commission for Energy Regulation (CER) announced the planned deployment of electricity and gas smart meters across </w:t>
      </w:r>
      <w:smartTag w:uri="urn:schemas-microsoft-com:office:smarttags" w:element="place">
        <w:smartTag w:uri="urn:schemas-microsoft-com:office:smarttags" w:element="country-region">
          <w:r w:rsidRPr="00936BCD">
            <w:t>Ireland</w:t>
          </w:r>
        </w:smartTag>
      </w:smartTag>
      <w:r w:rsidRPr="00936BCD">
        <w:t xml:space="preserve"> between 2016 and 2019. As part of this smart meter rollout, all household customers will receive an In-Home Display capable of displaying near real-time information on their energy consumption.</w:t>
      </w:r>
    </w:p>
    <w:p w:rsidR="00872908" w:rsidRPr="00936BCD" w:rsidRDefault="00872908" w:rsidP="00804BF1">
      <w:r w:rsidRPr="00936BCD">
        <w:t xml:space="preserve">The </w:t>
      </w:r>
      <w:r w:rsidR="007C09D2">
        <w:t>National Disability Authority</w:t>
      </w:r>
      <w:r w:rsidRPr="00936BCD">
        <w:t xml:space="preserve"> commissioned research and the development of technical guidelines for the Universal Design of In-Home Displays. The technical guidelines will guide industry leaders, stakeholders, designers and procurement agencies on the design of In-Home Displays so that they can be accessed, understood and used to the greatest practicable extent by household customers regardless of age, size, ability or disability. A three-stage research process was undertaken comprising a literature review, usability testing and consultation with key stakeholders. This project is due to be completed in the first half of 2013.</w:t>
      </w:r>
    </w:p>
    <w:p w:rsidR="00872908" w:rsidRPr="00936BCD" w:rsidRDefault="00872908" w:rsidP="00166FC3">
      <w:pPr>
        <w:pStyle w:val="Heading2"/>
      </w:pPr>
      <w:bookmarkStart w:id="17" w:name="_Toc335836338"/>
      <w:r w:rsidRPr="00936BCD">
        <w:t>Building for Everyone</w:t>
      </w:r>
      <w:bookmarkEnd w:id="17"/>
    </w:p>
    <w:p w:rsidR="00872908" w:rsidRPr="00936BCD" w:rsidRDefault="00872908" w:rsidP="00804BF1">
      <w:r w:rsidRPr="00936BCD">
        <w:t xml:space="preserve">The Centre for Excellence in Universal Design </w:t>
      </w:r>
      <w:r w:rsidR="00166FC3">
        <w:t xml:space="preserve">published </w:t>
      </w:r>
      <w:r w:rsidRPr="00936BCD">
        <w:t xml:space="preserve">the revised </w:t>
      </w:r>
      <w:r w:rsidRPr="00754F2B">
        <w:rPr>
          <w:b/>
        </w:rPr>
        <w:t>Building for Everyone</w:t>
      </w:r>
      <w:r w:rsidR="00194648">
        <w:t xml:space="preserve"> – </w:t>
      </w:r>
      <w:r w:rsidR="00194648">
        <w:rPr>
          <w:b/>
        </w:rPr>
        <w:t xml:space="preserve">A Universal Design Approach </w:t>
      </w:r>
      <w:r w:rsidRPr="00936BCD">
        <w:t>series on 23rd February 2012.</w:t>
      </w:r>
      <w:r w:rsidR="00194648">
        <w:t xml:space="preserve"> This greatly extends the previous 2002 version, adopts a Universal Design approach and incorporates the most up to date standards. For the first time, it incorporates specific guidance around planning and development</w:t>
      </w:r>
      <w:r w:rsidR="004807BB">
        <w:t xml:space="preserve">. </w:t>
      </w:r>
    </w:p>
    <w:p w:rsidR="00872908" w:rsidRPr="00936BCD" w:rsidRDefault="00872908" w:rsidP="00804BF1">
      <w:r w:rsidRPr="00936BCD">
        <w:t>The new version of Building for Everyone comprises a series of 10 booklets covering different aspects of building design including external space, vertical and horizontal circulation, and the planning process. There is detailed practical guidance, along with diagrams, photographs and checklists, to encourage developers, architects, designers, builders and building managers to be innovative and think creatively about solutions that meet the needs of all, regardless of their age, size, ability or disability. The series embodies in a practical way the concepts and philosophy of universal design. The series was launched by Phil Hogan, T.D</w:t>
      </w:r>
      <w:r w:rsidR="008442EC">
        <w:t>.,</w:t>
      </w:r>
      <w:r w:rsidRPr="00936BCD">
        <w:t xml:space="preserve"> Minister for the Environment, Community and Local Government</w:t>
      </w:r>
      <w:r w:rsidR="008442EC">
        <w:t>,</w:t>
      </w:r>
      <w:r w:rsidRPr="00936BCD">
        <w:t xml:space="preserve"> with keynote speakers Michelle Fagan</w:t>
      </w:r>
      <w:r w:rsidR="008442EC">
        <w:t>,</w:t>
      </w:r>
      <w:r w:rsidRPr="00936BCD">
        <w:t xml:space="preserve"> President Royal Institute of Architects Ireland (RIAI)</w:t>
      </w:r>
      <w:r w:rsidR="008442EC">
        <w:t>,</w:t>
      </w:r>
      <w:r w:rsidRPr="00936BCD">
        <w:t xml:space="preserve"> and Onny Eikhaug</w:t>
      </w:r>
      <w:r w:rsidR="008442EC">
        <w:t>,</w:t>
      </w:r>
      <w:r w:rsidRPr="00936BCD">
        <w:t xml:space="preserve"> Programme Leader Design for All, Norwegian Design Council.</w:t>
      </w:r>
    </w:p>
    <w:p w:rsidR="00872908" w:rsidRPr="00936BCD" w:rsidRDefault="00872908" w:rsidP="00804BF1">
      <w:r w:rsidRPr="00936BCD">
        <w:t>Over 200 people attended</w:t>
      </w:r>
      <w:r w:rsidR="00194648">
        <w:t xml:space="preserve"> the event. Those attending included</w:t>
      </w:r>
      <w:r w:rsidRPr="00936BCD">
        <w:t xml:space="preserve"> built environment professionals from the</w:t>
      </w:r>
      <w:r w:rsidR="00194648">
        <w:t xml:space="preserve"> public and private sectors. </w:t>
      </w:r>
    </w:p>
    <w:p w:rsidR="00872908" w:rsidRPr="00936BCD" w:rsidRDefault="00872908" w:rsidP="00194648">
      <w:pPr>
        <w:pStyle w:val="Heading2"/>
      </w:pPr>
      <w:bookmarkStart w:id="18" w:name="_Toc335836339"/>
      <w:r w:rsidRPr="00936BCD">
        <w:t xml:space="preserve">Universal </w:t>
      </w:r>
      <w:r w:rsidR="005C52A3">
        <w:t>D</w:t>
      </w:r>
      <w:r w:rsidR="005C52A3" w:rsidRPr="00936BCD">
        <w:t>esign</w:t>
      </w:r>
      <w:r w:rsidR="005C52A3">
        <w:t xml:space="preserve"> </w:t>
      </w:r>
      <w:r w:rsidR="00C40852">
        <w:t>S</w:t>
      </w:r>
      <w:r>
        <w:t>tandard</w:t>
      </w:r>
      <w:r w:rsidRPr="00936BCD">
        <w:t xml:space="preserve"> for Energy Suppliers</w:t>
      </w:r>
      <w:bookmarkEnd w:id="18"/>
    </w:p>
    <w:p w:rsidR="00872908" w:rsidRPr="00936BCD" w:rsidRDefault="00872908" w:rsidP="00804BF1">
      <w:pPr>
        <w:rPr>
          <w:lang w:val="en-GB"/>
        </w:rPr>
      </w:pPr>
      <w:r w:rsidRPr="00936BCD">
        <w:rPr>
          <w:lang w:val="en-GB"/>
        </w:rPr>
        <w:t>The National Disability Authority</w:t>
      </w:r>
      <w:r w:rsidRPr="00936BCD">
        <w:t>’s</w:t>
      </w:r>
      <w:r w:rsidRPr="00936BCD">
        <w:rPr>
          <w:lang w:val="en-GB"/>
        </w:rPr>
        <w:t xml:space="preserve"> Centre for Excellence in Universal Design collaborated with the Commission </w:t>
      </w:r>
      <w:r w:rsidRPr="00936BCD">
        <w:t>for Energy Regulation</w:t>
      </w:r>
      <w:r w:rsidRPr="00936BCD">
        <w:rPr>
          <w:lang w:val="en-GB"/>
        </w:rPr>
        <w:t xml:space="preserve"> and the National Standards Authority of Ireland to produce and launch a SWiFT (Standard Written in Fast Track) standard for universal design </w:t>
      </w:r>
      <w:r w:rsidR="00DA764C">
        <w:rPr>
          <w:lang w:val="en-GB"/>
        </w:rPr>
        <w:t xml:space="preserve">of customer services </w:t>
      </w:r>
      <w:r w:rsidRPr="00936BCD">
        <w:rPr>
          <w:lang w:val="en-GB"/>
        </w:rPr>
        <w:t>for energy suppliers</w:t>
      </w:r>
      <w:r w:rsidR="008442EC">
        <w:rPr>
          <w:lang w:val="en-GB"/>
        </w:rPr>
        <w:t>—</w:t>
      </w:r>
      <w:r w:rsidRPr="00936BCD">
        <w:rPr>
          <w:lang w:val="en-GB"/>
        </w:rPr>
        <w:t>the first of its kind in the world.</w:t>
      </w:r>
    </w:p>
    <w:p w:rsidR="00872908" w:rsidRPr="00936BCD" w:rsidRDefault="00872908" w:rsidP="00804BF1">
      <w:pPr>
        <w:rPr>
          <w:b/>
        </w:rPr>
      </w:pPr>
      <w:r w:rsidRPr="00936BCD">
        <w:t xml:space="preserve">The 2012 standard provides tools to </w:t>
      </w:r>
      <w:r w:rsidR="005C52A3">
        <w:t>help</w:t>
      </w:r>
      <w:r w:rsidRPr="00936BCD">
        <w:t xml:space="preserve"> ensure that </w:t>
      </w:r>
      <w:r w:rsidR="00D362B5" w:rsidRPr="00936BCD">
        <w:t>energy suppliers</w:t>
      </w:r>
      <w:r w:rsidR="00D362B5">
        <w:t>’</w:t>
      </w:r>
      <w:r w:rsidR="00D362B5" w:rsidRPr="00936BCD">
        <w:t xml:space="preserve"> </w:t>
      </w:r>
      <w:r w:rsidRPr="00936BCD">
        <w:t>written, verbal and web</w:t>
      </w:r>
      <w:r w:rsidR="00D362B5">
        <w:t>-b</w:t>
      </w:r>
      <w:r w:rsidRPr="00936BCD">
        <w:t>ased customer communications are designed</w:t>
      </w:r>
      <w:r w:rsidR="00D362B5">
        <w:t xml:space="preserve"> to meet the requirements of all their customers across the spectrum of age, ability and disability</w:t>
      </w:r>
      <w:r w:rsidRPr="00936BCD">
        <w:t>. The standard is targeted to align Irish energy suppliers with recent related legislation</w:t>
      </w:r>
      <w:r w:rsidR="00194648">
        <w:t>,</w:t>
      </w:r>
      <w:r w:rsidRPr="00936BCD">
        <w:t xml:space="preserve"> and to improve the accessibility </w:t>
      </w:r>
      <w:r w:rsidR="005C52A3">
        <w:t xml:space="preserve">and usability </w:t>
      </w:r>
      <w:r w:rsidRPr="00936BCD">
        <w:t>of information and communications for over 1.5 million Irish energy customers.</w:t>
      </w:r>
    </w:p>
    <w:p w:rsidR="00872908" w:rsidRPr="00936BCD" w:rsidRDefault="00872908" w:rsidP="00194648">
      <w:pPr>
        <w:pStyle w:val="Heading2"/>
      </w:pPr>
      <w:bookmarkStart w:id="19" w:name="_Toc335836340"/>
      <w:r w:rsidRPr="00936BCD">
        <w:t xml:space="preserve">Universal </w:t>
      </w:r>
      <w:r w:rsidR="00FB2FF2">
        <w:t>D</w:t>
      </w:r>
      <w:r w:rsidR="00FB2FF2" w:rsidRPr="00936BCD">
        <w:t xml:space="preserve">esign </w:t>
      </w:r>
      <w:r w:rsidRPr="00936BCD">
        <w:t xml:space="preserve">guidelines for digital television </w:t>
      </w:r>
      <w:bookmarkEnd w:id="19"/>
    </w:p>
    <w:p w:rsidR="00872908" w:rsidRDefault="00872908" w:rsidP="00804BF1">
      <w:r w:rsidRPr="005B7491">
        <w:t xml:space="preserve">Universal Design guidelines for Digital TV equipment and services were published and disseminated to key stakeholders. With the switch-over from terrestrial to Digital TV in </w:t>
      </w:r>
      <w:smartTag w:uri="urn:schemas-microsoft-com:office:smarttags" w:element="place">
        <w:smartTag w:uri="urn:schemas-microsoft-com:office:smarttags" w:element="country-region">
          <w:r w:rsidRPr="005B7491">
            <w:t>Ireland</w:t>
          </w:r>
        </w:smartTag>
      </w:smartTag>
      <w:r w:rsidRPr="005B7491">
        <w:t xml:space="preserve"> many people, particularly older people are facing challenges in using this new interaction paradigm. These Digital TV guidelines</w:t>
      </w:r>
      <w:r w:rsidR="00CE3055">
        <w:t xml:space="preserve"> are the first to focus on</w:t>
      </w:r>
      <w:r w:rsidRPr="005B7491">
        <w:t xml:space="preserve"> the needs of a wide range of users and are not exclusively focused on the needs of so-called extreme users, such as persons with disabilities.</w:t>
      </w:r>
      <w:r w:rsidR="008442EC" w:rsidRPr="005B7491">
        <w:t xml:space="preserve"> </w:t>
      </w:r>
    </w:p>
    <w:p w:rsidR="00CE3055" w:rsidRPr="005B7491" w:rsidRDefault="00CE3055" w:rsidP="00804BF1">
      <w:r>
        <w:t xml:space="preserve">The </w:t>
      </w:r>
      <w:r w:rsidR="00C465CA" w:rsidRPr="006309CB">
        <w:rPr>
          <w:lang w:val="ga-IE" w:eastAsia="en-GB"/>
        </w:rPr>
        <w:t>National Disability Authority</w:t>
      </w:r>
      <w:r>
        <w:t xml:space="preserve"> also held a seminar with a </w:t>
      </w:r>
      <w:smartTag w:uri="urn:schemas-microsoft-com:office:smarttags" w:element="place">
        <w:smartTag w:uri="urn:schemas-microsoft-com:office:smarttags" w:element="country-region">
          <w:r>
            <w:t>US</w:t>
          </w:r>
        </w:smartTag>
      </w:smartTag>
      <w:r>
        <w:t xml:space="preserve"> expert in this area.</w:t>
      </w:r>
    </w:p>
    <w:p w:rsidR="00872908" w:rsidRPr="00936BCD" w:rsidRDefault="00872908" w:rsidP="00CE3055">
      <w:pPr>
        <w:pStyle w:val="Heading2"/>
      </w:pPr>
      <w:bookmarkStart w:id="20" w:name="_Toc335836341"/>
      <w:r w:rsidRPr="00936BCD">
        <w:t>European Procurement Toolkit for Accessible ICT</w:t>
      </w:r>
      <w:bookmarkEnd w:id="20"/>
    </w:p>
    <w:p w:rsidR="00872908" w:rsidRPr="00936BCD" w:rsidRDefault="00872908" w:rsidP="00804BF1">
      <w:r w:rsidRPr="00936BCD">
        <w:t>The National Disability Authority’s Centre for Excellence in Universal Design continues to contribute to the</w:t>
      </w:r>
      <w:r w:rsidR="004807BB">
        <w:t xml:space="preserve"> European Commission’s work on </w:t>
      </w:r>
      <w:r w:rsidR="004807BB" w:rsidRPr="004807BB">
        <w:t>European Accessibility Requirements for Public Procurement of Products and Services in the ICT Domain</w:t>
      </w:r>
      <w:r w:rsidR="004807BB">
        <w:t xml:space="preserve"> (Mandate 376), alongside </w:t>
      </w:r>
      <w:r w:rsidRPr="00936BCD">
        <w:t>two European standardisation bodies, CEN and ETSI</w:t>
      </w:r>
      <w:r w:rsidR="004807BB">
        <w:t>. The aim is</w:t>
      </w:r>
      <w:r w:rsidRPr="00936BCD">
        <w:t xml:space="preserve"> to develop a European standard and accompanying toolkit to enable the public procurement of </w:t>
      </w:r>
      <w:r w:rsidR="004807BB">
        <w:t xml:space="preserve">accessible </w:t>
      </w:r>
      <w:r w:rsidRPr="00936BCD">
        <w:t>information and communication technologies. Work in 2012 comprised of completing the text of the standard and managing the development of the content and design for the toolkit website.</w:t>
      </w:r>
      <w:r w:rsidR="008442EC">
        <w:t xml:space="preserve"> </w:t>
      </w:r>
      <w:r w:rsidR="00CE3055">
        <w:t xml:space="preserve">The </w:t>
      </w:r>
      <w:r w:rsidRPr="00936BCD">
        <w:t xml:space="preserve">toolkit </w:t>
      </w:r>
      <w:r w:rsidR="00CE3055">
        <w:t xml:space="preserve">is </w:t>
      </w:r>
      <w:r w:rsidRPr="00936BCD">
        <w:t xml:space="preserve">now </w:t>
      </w:r>
      <w:r w:rsidR="00CE3055">
        <w:t xml:space="preserve">expected to </w:t>
      </w:r>
      <w:r w:rsidR="005C52A3">
        <w:t xml:space="preserve">be </w:t>
      </w:r>
      <w:r w:rsidRPr="00936BCD">
        <w:t>available in 2014.</w:t>
      </w:r>
    </w:p>
    <w:p w:rsidR="00872908" w:rsidRPr="00936BCD" w:rsidRDefault="00872908" w:rsidP="004807BB">
      <w:pPr>
        <w:pStyle w:val="Heading2"/>
      </w:pPr>
      <w:r w:rsidRPr="00936BCD">
        <w:t>Universa</w:t>
      </w:r>
      <w:r w:rsidR="004807BB">
        <w:t>l Design in Customer Engagement</w:t>
      </w:r>
      <w:r w:rsidRPr="00936BCD">
        <w:t xml:space="preserve"> </w:t>
      </w:r>
    </w:p>
    <w:p w:rsidR="00872908" w:rsidRPr="00936BCD" w:rsidRDefault="00872908" w:rsidP="00804BF1">
      <w:pPr>
        <w:rPr>
          <w:rFonts w:eastAsia="MS Mincho"/>
          <w:lang w:val="en-GB" w:eastAsia="ja-JP"/>
        </w:rPr>
      </w:pPr>
      <w:r w:rsidRPr="00936BCD">
        <w:rPr>
          <w:rFonts w:eastAsia="MS Mincho"/>
          <w:lang w:val="en-GB" w:eastAsia="ja-JP"/>
        </w:rPr>
        <w:t xml:space="preserve">The </w:t>
      </w:r>
      <w:r w:rsidR="007C09D2">
        <w:rPr>
          <w:rFonts w:eastAsia="MS Mincho"/>
          <w:lang w:val="en-GB" w:eastAsia="ja-JP"/>
        </w:rPr>
        <w:t>National Disability Authority</w:t>
      </w:r>
      <w:r w:rsidRPr="00936BCD">
        <w:rPr>
          <w:rFonts w:eastAsia="MS Mincho"/>
          <w:lang w:val="en-GB" w:eastAsia="ja-JP"/>
        </w:rPr>
        <w:t>’s Cent</w:t>
      </w:r>
      <w:r w:rsidR="00C86D8A">
        <w:rPr>
          <w:rFonts w:eastAsia="MS Mincho"/>
          <w:lang w:val="en-GB" w:eastAsia="ja-JP"/>
        </w:rPr>
        <w:t>re for Excellence in Universal D</w:t>
      </w:r>
      <w:r w:rsidRPr="00936BCD">
        <w:rPr>
          <w:rFonts w:eastAsia="MS Mincho"/>
          <w:lang w:val="en-GB" w:eastAsia="ja-JP"/>
        </w:rPr>
        <w:t>esign commenced a project to develop</w:t>
      </w:r>
      <w:r w:rsidR="008442EC">
        <w:rPr>
          <w:rFonts w:eastAsia="MS Mincho"/>
          <w:lang w:val="en-GB" w:eastAsia="ja-JP"/>
        </w:rPr>
        <w:t xml:space="preserve"> </w:t>
      </w:r>
      <w:r w:rsidRPr="00936BCD">
        <w:rPr>
          <w:rFonts w:eastAsia="MS Mincho"/>
          <w:lang w:val="en-GB" w:eastAsia="ja-JP"/>
        </w:rPr>
        <w:t xml:space="preserve">a series of toolkits to inform both the Energy Supply Sector and Tourism sector on how to implement a </w:t>
      </w:r>
      <w:r w:rsidR="005C52A3">
        <w:rPr>
          <w:rFonts w:eastAsia="MS Mincho"/>
        </w:rPr>
        <w:t>Universal Design</w:t>
      </w:r>
      <w:r w:rsidR="005C52A3" w:rsidRPr="00936BCD">
        <w:rPr>
          <w:rFonts w:eastAsia="MS Mincho"/>
          <w:lang w:val="en-GB" w:eastAsia="ja-JP"/>
        </w:rPr>
        <w:t xml:space="preserve"> </w:t>
      </w:r>
      <w:r w:rsidR="004807BB">
        <w:rPr>
          <w:rFonts w:eastAsia="MS Mincho"/>
          <w:lang w:val="en-GB" w:eastAsia="ja-JP"/>
        </w:rPr>
        <w:t xml:space="preserve">approach </w:t>
      </w:r>
      <w:r w:rsidR="00FB2FF2">
        <w:rPr>
          <w:rFonts w:eastAsia="MS Mincho"/>
        </w:rPr>
        <w:t xml:space="preserve">to improve </w:t>
      </w:r>
      <w:r w:rsidRPr="00936BCD">
        <w:rPr>
          <w:rFonts w:eastAsia="MS Mincho"/>
          <w:lang w:val="en-GB" w:eastAsia="ja-JP"/>
        </w:rPr>
        <w:t xml:space="preserve">customer engagement </w:t>
      </w:r>
      <w:r w:rsidR="00FB2FF2">
        <w:rPr>
          <w:rFonts w:eastAsia="MS Mincho"/>
        </w:rPr>
        <w:t xml:space="preserve">in their </w:t>
      </w:r>
      <w:r w:rsidRPr="00936BCD">
        <w:rPr>
          <w:rFonts w:eastAsia="MS Mincho"/>
          <w:lang w:val="en-GB" w:eastAsia="ja-JP"/>
        </w:rPr>
        <w:t>service</w:t>
      </w:r>
      <w:r w:rsidR="00FB2FF2">
        <w:rPr>
          <w:rFonts w:eastAsia="MS Mincho"/>
        </w:rPr>
        <w:t>s</w:t>
      </w:r>
      <w:r w:rsidRPr="00936BCD">
        <w:rPr>
          <w:rFonts w:eastAsia="MS Mincho"/>
          <w:lang w:val="en-GB" w:eastAsia="ja-JP"/>
        </w:rPr>
        <w:t>.</w:t>
      </w:r>
      <w:r w:rsidR="008442EC">
        <w:rPr>
          <w:rFonts w:eastAsia="MS Mincho"/>
          <w:lang w:val="en-GB" w:eastAsia="ja-JP"/>
        </w:rPr>
        <w:t xml:space="preserve"> </w:t>
      </w:r>
      <w:r w:rsidRPr="00936BCD">
        <w:rPr>
          <w:rFonts w:eastAsia="MS Mincho"/>
          <w:lang w:val="en-GB" w:eastAsia="ja-JP"/>
        </w:rPr>
        <w:t>The toolkits will provide practical example</w:t>
      </w:r>
      <w:r w:rsidR="00FB2FF2">
        <w:rPr>
          <w:rFonts w:eastAsia="MS Mincho"/>
        </w:rPr>
        <w:t>s</w:t>
      </w:r>
      <w:r w:rsidRPr="00936BCD">
        <w:rPr>
          <w:rFonts w:eastAsia="MS Mincho"/>
          <w:lang w:val="en-GB" w:eastAsia="ja-JP"/>
        </w:rPr>
        <w:t>, tips, checklist</w:t>
      </w:r>
      <w:r w:rsidR="00FB2FF2">
        <w:rPr>
          <w:rFonts w:eastAsia="MS Mincho"/>
        </w:rPr>
        <w:t>s</w:t>
      </w:r>
      <w:r w:rsidRPr="00936BCD">
        <w:rPr>
          <w:rFonts w:eastAsia="MS Mincho"/>
          <w:lang w:val="en-GB" w:eastAsia="ja-JP"/>
        </w:rPr>
        <w:t xml:space="preserve"> and other tools </w:t>
      </w:r>
      <w:r w:rsidR="00FB2FF2">
        <w:rPr>
          <w:rFonts w:eastAsia="MS Mincho"/>
        </w:rPr>
        <w:t>for use by</w:t>
      </w:r>
      <w:r w:rsidRPr="00936BCD">
        <w:rPr>
          <w:rFonts w:eastAsia="MS Mincho"/>
          <w:lang w:val="en-GB" w:eastAsia="ja-JP"/>
        </w:rPr>
        <w:t xml:space="preserve"> energy and tourism suppliers</w:t>
      </w:r>
      <w:r w:rsidR="00FB2FF2">
        <w:rPr>
          <w:rFonts w:eastAsia="MS Mincho"/>
        </w:rPr>
        <w:t>. The Toolkit will help to apply the requirement</w:t>
      </w:r>
      <w:r w:rsidRPr="00936BCD">
        <w:rPr>
          <w:rFonts w:eastAsia="MS Mincho"/>
          <w:lang w:val="en-GB" w:eastAsia="ja-JP"/>
        </w:rPr>
        <w:t xml:space="preserve"> contained in the NSAI SWiFT 9:2012 “Universal design for energy Suppliers” and </w:t>
      </w:r>
      <w:r w:rsidR="00FB2FF2">
        <w:rPr>
          <w:rFonts w:eastAsia="MS Mincho"/>
        </w:rPr>
        <w:t xml:space="preserve">the NSAI, </w:t>
      </w:r>
      <w:r w:rsidRPr="00936BCD">
        <w:rPr>
          <w:rFonts w:eastAsia="MS Mincho"/>
          <w:lang w:val="en-GB" w:eastAsia="ja-JP"/>
        </w:rPr>
        <w:t xml:space="preserve">IS 373: 2013 “Universal Design for Customer Engagement in Tourism </w:t>
      </w:r>
      <w:r w:rsidR="00FB2FF2">
        <w:rPr>
          <w:rFonts w:eastAsia="MS Mincho"/>
        </w:rPr>
        <w:t>S</w:t>
      </w:r>
      <w:r w:rsidR="00FB2FF2" w:rsidRPr="00936BCD">
        <w:rPr>
          <w:rFonts w:eastAsia="MS Mincho"/>
          <w:lang w:val="en-GB" w:eastAsia="ja-JP"/>
        </w:rPr>
        <w:t>ervices</w:t>
      </w:r>
      <w:r w:rsidRPr="00936BCD">
        <w:rPr>
          <w:rFonts w:eastAsia="MS Mincho"/>
          <w:lang w:val="en-GB" w:eastAsia="ja-JP"/>
        </w:rPr>
        <w:t>”.</w:t>
      </w:r>
      <w:r w:rsidR="008442EC">
        <w:rPr>
          <w:rFonts w:eastAsia="MS Mincho"/>
          <w:lang w:val="en-GB" w:eastAsia="ja-JP"/>
        </w:rPr>
        <w:t xml:space="preserve"> </w:t>
      </w:r>
      <w:r w:rsidRPr="00936BCD">
        <w:rPr>
          <w:rFonts w:eastAsia="MS Mincho"/>
          <w:lang w:val="en-GB" w:eastAsia="ja-JP"/>
        </w:rPr>
        <w:t>The toolkits will be made available at the official launch of the standard in May 2013.</w:t>
      </w:r>
    </w:p>
    <w:p w:rsidR="00872908" w:rsidRPr="00936BCD" w:rsidRDefault="00872908" w:rsidP="00804BF1">
      <w:pPr>
        <w:pStyle w:val="Heading3"/>
      </w:pPr>
      <w:r w:rsidRPr="00936BCD">
        <w:t>Customer Engagement in</w:t>
      </w:r>
      <w:r w:rsidR="00115141">
        <w:t xml:space="preserve"> </w:t>
      </w:r>
      <w:r w:rsidRPr="00936BCD">
        <w:t>Tourism</w:t>
      </w:r>
      <w:r w:rsidR="008442EC">
        <w:t> </w:t>
      </w:r>
      <w:r w:rsidRPr="00936BCD">
        <w:t>Services</w:t>
      </w:r>
    </w:p>
    <w:p w:rsidR="00872908" w:rsidRPr="004B5DB7" w:rsidRDefault="00872908" w:rsidP="00804BF1">
      <w:r w:rsidRPr="004B5DB7">
        <w:t xml:space="preserve">The National Disability Authority’s Centre for Excellence in Universal Design in collaboration with the Equality Authority </w:t>
      </w:r>
      <w:r w:rsidR="00CE3055">
        <w:t xml:space="preserve">commenced </w:t>
      </w:r>
      <w:r w:rsidRPr="004B5DB7">
        <w:t xml:space="preserve">work with the National Standards Authority, </w:t>
      </w:r>
      <w:r w:rsidR="008442EC" w:rsidRPr="004B5DB7">
        <w:t>Fáilte</w:t>
      </w:r>
      <w:r w:rsidRPr="004B5DB7">
        <w:t xml:space="preserve"> Ireland and key stakeholders in the Transport and Tourism sector </w:t>
      </w:r>
      <w:r w:rsidR="008442EC">
        <w:t>(</w:t>
      </w:r>
      <w:r w:rsidR="00CE3055">
        <w:t>Government D</w:t>
      </w:r>
      <w:r w:rsidRPr="004B5DB7">
        <w:t>epartments, state agencies, private sector and end users</w:t>
      </w:r>
      <w:r w:rsidR="008442EC">
        <w:t>)</w:t>
      </w:r>
      <w:r w:rsidRPr="004B5DB7">
        <w:t xml:space="preserve"> in developing</w:t>
      </w:r>
      <w:r w:rsidR="00D63B5A">
        <w:t xml:space="preserve"> </w:t>
      </w:r>
      <w:r w:rsidR="009652DB">
        <w:t>NSAI, IS 373</w:t>
      </w:r>
      <w:r w:rsidRPr="004B5DB7">
        <w:t xml:space="preserve"> Universal Design </w:t>
      </w:r>
      <w:r w:rsidR="004C272E">
        <w:t>for</w:t>
      </w:r>
      <w:r w:rsidR="004C272E" w:rsidRPr="004B5DB7">
        <w:t xml:space="preserve"> </w:t>
      </w:r>
      <w:r w:rsidR="004C272E">
        <w:t>C</w:t>
      </w:r>
      <w:r w:rsidRPr="004B5DB7">
        <w:t xml:space="preserve">ustomer </w:t>
      </w:r>
      <w:r w:rsidR="004C272E">
        <w:t>Engagement in</w:t>
      </w:r>
      <w:r w:rsidR="008442EC">
        <w:t xml:space="preserve"> </w:t>
      </w:r>
      <w:r w:rsidR="004C272E">
        <w:t>Tourism Services</w:t>
      </w:r>
      <w:r w:rsidR="00700DAF">
        <w:t xml:space="preserve"> standard</w:t>
      </w:r>
      <w:r w:rsidRPr="004B5DB7">
        <w:t xml:space="preserve">. This </w:t>
      </w:r>
      <w:r w:rsidR="004C272E">
        <w:t xml:space="preserve">world first </w:t>
      </w:r>
      <w:r w:rsidRPr="004B5DB7">
        <w:t xml:space="preserve">standard is to be launched </w:t>
      </w:r>
      <w:r w:rsidR="004C272E" w:rsidRPr="004B5DB7">
        <w:t>a</w:t>
      </w:r>
      <w:r w:rsidR="004C272E">
        <w:t>t</w:t>
      </w:r>
      <w:r w:rsidR="004C272E" w:rsidRPr="004B5DB7">
        <w:t xml:space="preserve"> </w:t>
      </w:r>
      <w:r w:rsidRPr="004B5DB7">
        <w:t xml:space="preserve">an EU Presidency Associated Event in May, 2013. The standard is being </w:t>
      </w:r>
      <w:r w:rsidR="004C272E">
        <w:t>offered</w:t>
      </w:r>
      <w:r w:rsidRPr="004B5DB7">
        <w:t xml:space="preserve"> free of charge to </w:t>
      </w:r>
      <w:r w:rsidR="004C272E">
        <w:t xml:space="preserve">over 18,000 Tourism Service Providers </w:t>
      </w:r>
      <w:r w:rsidRPr="004B5DB7">
        <w:t xml:space="preserve">and </w:t>
      </w:r>
      <w:r w:rsidR="004C272E">
        <w:t>will be</w:t>
      </w:r>
      <w:r w:rsidR="004C272E" w:rsidRPr="004B5DB7">
        <w:t xml:space="preserve"> </w:t>
      </w:r>
      <w:r w:rsidRPr="004B5DB7">
        <w:t xml:space="preserve">accompanied by a </w:t>
      </w:r>
      <w:r w:rsidR="00C40852">
        <w:t>Toolkit.</w:t>
      </w:r>
    </w:p>
    <w:p w:rsidR="00F37605" w:rsidRDefault="001548CE" w:rsidP="00F37605">
      <w:pPr>
        <w:pStyle w:val="Heading2"/>
      </w:pPr>
      <w:r>
        <w:t>I</w:t>
      </w:r>
      <w:r w:rsidR="00104B2C">
        <w:t xml:space="preserve">nternational guidelines </w:t>
      </w:r>
      <w:r>
        <w:t>on standards</w:t>
      </w:r>
      <w:r w:rsidR="00D63B5A">
        <w:t xml:space="preserve"> </w:t>
      </w:r>
      <w:r w:rsidR="0050485E">
        <w:t>—</w:t>
      </w:r>
      <w:r>
        <w:t xml:space="preserve"> Guide 71 </w:t>
      </w:r>
    </w:p>
    <w:p w:rsidR="00872908" w:rsidRDefault="00104B2C" w:rsidP="00804BF1">
      <w:r>
        <w:t>The National Disability Authority’</w:t>
      </w:r>
      <w:r w:rsidRPr="00104B2C">
        <w:t xml:space="preserve"> </w:t>
      </w:r>
      <w:r w:rsidRPr="004B5DB7">
        <w:t>Centre for Excellence in Universal Design</w:t>
      </w:r>
      <w:r>
        <w:t xml:space="preserve"> is involved as an expert on the </w:t>
      </w:r>
      <w:r w:rsidR="00F37605">
        <w:t xml:space="preserve">Joint Technical Advisory Group </w:t>
      </w:r>
      <w:r>
        <w:t xml:space="preserve">which is updating and rewriting the key </w:t>
      </w:r>
      <w:r w:rsidR="00872908" w:rsidRPr="00936BCD">
        <w:t>international document</w:t>
      </w:r>
      <w:r w:rsidR="001548CE">
        <w:t xml:space="preserve"> </w:t>
      </w:r>
      <w:r w:rsidR="00872908" w:rsidRPr="00936BCD">
        <w:t>on accessible de</w:t>
      </w:r>
      <w:r w:rsidR="004C272E">
        <w:t>s</w:t>
      </w:r>
      <w:r>
        <w:t xml:space="preserve">ign, </w:t>
      </w:r>
      <w:r w:rsidR="00872908" w:rsidRPr="00104B2C">
        <w:rPr>
          <w:b/>
        </w:rPr>
        <w:t>Guidelines for standards developers to address the needs of older persons and persons with disabilities</w:t>
      </w:r>
      <w:r>
        <w:t xml:space="preserve">, known as </w:t>
      </w:r>
      <w:r w:rsidR="00F37605">
        <w:t xml:space="preserve">ISO/IEC </w:t>
      </w:r>
      <w:r>
        <w:t>Guide 71</w:t>
      </w:r>
      <w:r w:rsidR="00872908" w:rsidRPr="00936BCD">
        <w:t xml:space="preserve">. </w:t>
      </w:r>
      <w:r w:rsidR="00F37605">
        <w:t xml:space="preserve">In particular, the </w:t>
      </w:r>
      <w:r w:rsidR="00C465CA" w:rsidRPr="006309CB">
        <w:rPr>
          <w:lang w:val="ga-IE" w:eastAsia="en-GB"/>
        </w:rPr>
        <w:t>National Disability Authority</w:t>
      </w:r>
      <w:r w:rsidR="00F37605">
        <w:t xml:space="preserve"> has done work around incorporating the </w:t>
      </w:r>
      <w:r w:rsidR="00F37605" w:rsidRPr="00936BCD">
        <w:t>World Health Organization International Classification of Functioning (ICF)</w:t>
      </w:r>
      <w:r w:rsidR="00F37605">
        <w:t xml:space="preserve"> into this</w:t>
      </w:r>
      <w:r w:rsidR="001548CE">
        <w:t xml:space="preserve"> international document</w:t>
      </w:r>
      <w:r w:rsidR="00F37605">
        <w:t xml:space="preserve">, and has also integrated our work on size data into this project. </w:t>
      </w:r>
    </w:p>
    <w:p w:rsidR="00F37605" w:rsidRDefault="00F37605" w:rsidP="00F37605">
      <w:pPr>
        <w:pStyle w:val="Heading3"/>
      </w:pPr>
      <w:r>
        <w:t>Seminar</w:t>
      </w:r>
    </w:p>
    <w:p w:rsidR="00872908" w:rsidRPr="00936BCD" w:rsidRDefault="001548CE" w:rsidP="00804BF1">
      <w:r>
        <w:t xml:space="preserve">In furtherance of our cooperation with this Joint Technical Advisory Group, </w:t>
      </w:r>
      <w:r w:rsidR="002415A4">
        <w:t xml:space="preserve">the </w:t>
      </w:r>
      <w:r w:rsidR="00C465CA" w:rsidRPr="006309CB">
        <w:rPr>
          <w:lang w:val="ga-IE" w:eastAsia="en-GB"/>
        </w:rPr>
        <w:t>National Disability Authority</w:t>
      </w:r>
      <w:r w:rsidR="00C465CA">
        <w:t xml:space="preserve"> </w:t>
      </w:r>
      <w:r>
        <w:t xml:space="preserve">co-organised a seminar (with the </w:t>
      </w:r>
      <w:r w:rsidRPr="00936BCD">
        <w:t xml:space="preserve">National Standards Authority </w:t>
      </w:r>
      <w:smartTag w:uri="urn:schemas-microsoft-com:office:smarttags" w:element="country-region">
        <w:smartTag w:uri="urn:schemas-microsoft-com:office:smarttags" w:element="place">
          <w:r w:rsidRPr="00936BCD">
            <w:t>Ireland</w:t>
          </w:r>
        </w:smartTag>
      </w:smartTag>
      <w:r>
        <w:t xml:space="preserve">) on </w:t>
      </w:r>
      <w:r w:rsidR="00872908" w:rsidRPr="00936BCD">
        <w:t>Innovation Lead D</w:t>
      </w:r>
      <w:r>
        <w:t>esign for Competitive Advantag</w:t>
      </w:r>
      <w:r w:rsidR="002415A4">
        <w:t>e</w:t>
      </w:r>
      <w:r w:rsidR="00872908" w:rsidRPr="00936BCD">
        <w:t>.</w:t>
      </w:r>
      <w:r w:rsidR="008442EC">
        <w:t xml:space="preserve"> </w:t>
      </w:r>
      <w:r w:rsidR="00872908" w:rsidRPr="00936BCD">
        <w:t xml:space="preserve">The event included three speakers on Advances in Accessibility and Usability in Standards and finished with a moderated panel discussion. The event was attended by international </w:t>
      </w:r>
      <w:r w:rsidR="00C641D8">
        <w:t>members of the</w:t>
      </w:r>
      <w:r w:rsidR="00872908" w:rsidRPr="00936BCD">
        <w:t xml:space="preserve"> ISO/IEC Guide 71 </w:t>
      </w:r>
      <w:r>
        <w:t>Joint Technical Advisory Group</w:t>
      </w:r>
      <w:r w:rsidRPr="00936BCD">
        <w:t xml:space="preserve"> </w:t>
      </w:r>
      <w:r w:rsidR="00872908" w:rsidRPr="00936BCD">
        <w:t xml:space="preserve">and </w:t>
      </w:r>
      <w:r w:rsidR="00C641D8">
        <w:t xml:space="preserve">by </w:t>
      </w:r>
      <w:r w:rsidR="00872908" w:rsidRPr="00936BCD">
        <w:t xml:space="preserve">an invited Irish audience. </w:t>
      </w:r>
    </w:p>
    <w:p w:rsidR="00872908" w:rsidRPr="00936BCD" w:rsidRDefault="00872908" w:rsidP="00804BF1">
      <w:pPr>
        <w:pStyle w:val="Heading3"/>
      </w:pPr>
      <w:r w:rsidRPr="00936BCD">
        <w:t xml:space="preserve">Accessibility for All Standards Consultative Committee </w:t>
      </w:r>
    </w:p>
    <w:p w:rsidR="00872908" w:rsidRPr="005B7491" w:rsidRDefault="00872908" w:rsidP="00804BF1">
      <w:r w:rsidRPr="00936BCD">
        <w:t xml:space="preserve">The National Disability Authority collaborates with the National Standards Authority of Ireland through </w:t>
      </w:r>
      <w:r w:rsidR="009C64F2">
        <w:t xml:space="preserve">the </w:t>
      </w:r>
      <w:r w:rsidRPr="00936BCD">
        <w:t xml:space="preserve">work of the Accessibility for All Standards Consultative Committee (AASCC) and </w:t>
      </w:r>
      <w:r w:rsidR="009C64F2">
        <w:t>its</w:t>
      </w:r>
      <w:r w:rsidR="009C64F2" w:rsidRPr="00936BCD">
        <w:t xml:space="preserve"> </w:t>
      </w:r>
      <w:r w:rsidRPr="00936BCD">
        <w:t>seven working groups</w:t>
      </w:r>
      <w:r w:rsidR="009C64F2">
        <w:t>.</w:t>
      </w:r>
      <w:r w:rsidR="00D63B5A">
        <w:t xml:space="preserve"> </w:t>
      </w:r>
      <w:r w:rsidR="009C64F2">
        <w:t xml:space="preserve">The working group advise standard development on </w:t>
      </w:r>
      <w:r w:rsidR="00A85CC0">
        <w:t>U</w:t>
      </w:r>
      <w:r w:rsidR="00A85CC0" w:rsidRPr="00936BCD">
        <w:t xml:space="preserve">niversal </w:t>
      </w:r>
      <w:r w:rsidR="00A85CC0">
        <w:t>D</w:t>
      </w:r>
      <w:r w:rsidR="00A85CC0" w:rsidRPr="00936BCD">
        <w:t xml:space="preserve">esign </w:t>
      </w:r>
      <w:r w:rsidRPr="00936BCD">
        <w:t xml:space="preserve">of products, services, information and communication </w:t>
      </w:r>
      <w:r w:rsidR="009C64F2" w:rsidRPr="00936BCD">
        <w:t>technolog</w:t>
      </w:r>
      <w:r w:rsidR="009C64F2">
        <w:t>ies</w:t>
      </w:r>
      <w:r w:rsidR="009C64F2" w:rsidRPr="00936BCD">
        <w:t xml:space="preserve"> </w:t>
      </w:r>
      <w:r w:rsidRPr="00936BCD">
        <w:t xml:space="preserve">and the built environment. The working groups have made submissions on a number of European and </w:t>
      </w:r>
      <w:r w:rsidR="00600D0E">
        <w:t>I</w:t>
      </w:r>
      <w:r w:rsidR="00600D0E" w:rsidRPr="00936BCD">
        <w:t xml:space="preserve">nternational </w:t>
      </w:r>
      <w:r w:rsidRPr="00936BCD">
        <w:t>standards</w:t>
      </w:r>
      <w:r w:rsidR="00600D0E">
        <w:t>.</w:t>
      </w:r>
      <w:r w:rsidRPr="00936BCD">
        <w:t xml:space="preserve"> The highlight of the year was </w:t>
      </w:r>
      <w:r w:rsidR="00600D0E">
        <w:t>its participation in</w:t>
      </w:r>
      <w:r w:rsidRPr="00936BCD">
        <w:t xml:space="preserve"> developing the first national standard on </w:t>
      </w:r>
      <w:r w:rsidR="00A85CC0">
        <w:t>U</w:t>
      </w:r>
      <w:r w:rsidR="00A85CC0" w:rsidRPr="00936BCD">
        <w:t xml:space="preserve">niversal </w:t>
      </w:r>
      <w:r w:rsidR="00A85CC0">
        <w:t>D</w:t>
      </w:r>
      <w:r w:rsidR="00A85CC0" w:rsidRPr="00936BCD">
        <w:t xml:space="preserve">esign </w:t>
      </w:r>
      <w:r w:rsidRPr="00936BCD">
        <w:t xml:space="preserve">in tourism services. </w:t>
      </w:r>
    </w:p>
    <w:p w:rsidR="00872908" w:rsidRPr="00936BCD" w:rsidRDefault="00872908" w:rsidP="001548CE">
      <w:pPr>
        <w:pStyle w:val="Heading2"/>
      </w:pPr>
      <w:bookmarkStart w:id="21" w:name="_Toc335836342"/>
      <w:r w:rsidRPr="00936BCD">
        <w:t>Universal design homes guidelines</w:t>
      </w:r>
      <w:bookmarkEnd w:id="21"/>
    </w:p>
    <w:p w:rsidR="00872908" w:rsidRPr="005B7491" w:rsidRDefault="00872908" w:rsidP="00804BF1">
      <w:r w:rsidRPr="005B7491">
        <w:t xml:space="preserve">The </w:t>
      </w:r>
      <w:r w:rsidRPr="00936BCD">
        <w:t>National Disability Authority</w:t>
      </w:r>
      <w:r w:rsidRPr="005B7491">
        <w:t xml:space="preserve"> is working to develop </w:t>
      </w:r>
      <w:r w:rsidRPr="00936BCD">
        <w:t>guidelines for universal design homes</w:t>
      </w:r>
      <w:r w:rsidR="0085005D">
        <w:t>—“</w:t>
      </w:r>
      <w:r w:rsidRPr="00936BCD">
        <w:t>Guidelines for Universal Design Homes for Ireland</w:t>
      </w:r>
      <w:r w:rsidR="0085005D">
        <w:t>”—</w:t>
      </w:r>
      <w:r w:rsidRPr="00936BCD">
        <w:t>homes that are suited to people of different age, size, ability or disability and are readily adaptable to the different life stages</w:t>
      </w:r>
      <w:r w:rsidRPr="005B7491">
        <w:t xml:space="preserve">. It is intended that these guidelines would be </w:t>
      </w:r>
      <w:r w:rsidRPr="00936BCD">
        <w:t>appropriate for all houses and apartments. This work was the final phase in this particular element of the Universal</w:t>
      </w:r>
      <w:r w:rsidR="0085005D">
        <w:t xml:space="preserve"> </w:t>
      </w:r>
      <w:r w:rsidR="002415A4">
        <w:t>D</w:t>
      </w:r>
      <w:r w:rsidR="0085005D">
        <w:t>esign Homes Guidance project.</w:t>
      </w:r>
      <w:r w:rsidR="001548CE">
        <w:t xml:space="preserve"> The next phase is a</w:t>
      </w:r>
      <w:r w:rsidRPr="00936BCD">
        <w:t xml:space="preserve"> Cost Benefit Analysis of Universal Design Homes</w:t>
      </w:r>
      <w:r w:rsidR="001548CE">
        <w:t xml:space="preserve"> to be completed in 2013</w:t>
      </w:r>
      <w:r w:rsidRPr="00936BCD">
        <w:t xml:space="preserve">. </w:t>
      </w:r>
    </w:p>
    <w:p w:rsidR="00872908" w:rsidRPr="004B5DB7" w:rsidRDefault="00872908" w:rsidP="004970B4">
      <w:pPr>
        <w:pStyle w:val="Heading2"/>
      </w:pPr>
      <w:bookmarkStart w:id="22" w:name="_Toc335836344"/>
      <w:r w:rsidRPr="004B5DB7">
        <w:t>Award schemes</w:t>
      </w:r>
      <w:bookmarkEnd w:id="22"/>
    </w:p>
    <w:p w:rsidR="00872908" w:rsidRPr="00936BCD" w:rsidRDefault="00872908" w:rsidP="00804BF1">
      <w:pPr>
        <w:pStyle w:val="Heading3"/>
      </w:pPr>
      <w:bookmarkStart w:id="23" w:name="_Toc335836345"/>
      <w:bookmarkStart w:id="24" w:name="_Toc335836346"/>
      <w:r w:rsidRPr="00936BCD">
        <w:t>Universal Design Award 201</w:t>
      </w:r>
      <w:bookmarkEnd w:id="23"/>
      <w:r w:rsidRPr="00936BCD">
        <w:t>2</w:t>
      </w:r>
    </w:p>
    <w:p w:rsidR="00872908" w:rsidRPr="00936BCD" w:rsidRDefault="00872908" w:rsidP="00804BF1">
      <w:r w:rsidRPr="00936BCD">
        <w:t xml:space="preserve">The National Disability Authority’s Centre for Excellence in Universal Design collaborated with the </w:t>
      </w:r>
      <w:smartTag w:uri="urn:schemas-microsoft-com:office:smarttags" w:element="place">
        <w:smartTag w:uri="urn:schemas-microsoft-com:office:smarttags" w:element="PlaceType">
          <w:r w:rsidRPr="00936BCD">
            <w:t>Institute</w:t>
          </w:r>
        </w:smartTag>
        <w:r w:rsidRPr="00936BCD">
          <w:t xml:space="preserve"> of </w:t>
        </w:r>
        <w:smartTag w:uri="urn:schemas-microsoft-com:office:smarttags" w:element="PlaceName">
          <w:r w:rsidRPr="00936BCD">
            <w:t>Designers</w:t>
          </w:r>
        </w:smartTag>
      </w:smartTag>
      <w:r w:rsidRPr="00936BCD">
        <w:t xml:space="preserve"> in Ireland (IDI) to establish and present the first IDI Universal Design Award. The award was co-presented by the Director of the </w:t>
      </w:r>
      <w:r w:rsidR="007C09D2">
        <w:t>National Disability Authority</w:t>
      </w:r>
      <w:r w:rsidRPr="00936BCD">
        <w:t xml:space="preserve"> and the President of the IDI at the IDI 2012 Awards event. A young Irish product designer won the </w:t>
      </w:r>
      <w:r w:rsidR="003215B1">
        <w:t>competition</w:t>
      </w:r>
      <w:r w:rsidR="003215B1" w:rsidRPr="00936BCD">
        <w:t xml:space="preserve"> </w:t>
      </w:r>
      <w:r w:rsidRPr="00936BCD">
        <w:t xml:space="preserve">for the award for his new </w:t>
      </w:r>
      <w:r w:rsidR="003215B1">
        <w:t xml:space="preserve">chair </w:t>
      </w:r>
      <w:r w:rsidRPr="00936BCD">
        <w:t xml:space="preserve">design </w:t>
      </w:r>
      <w:r w:rsidR="003215B1">
        <w:t xml:space="preserve">called </w:t>
      </w:r>
      <w:r w:rsidR="002415A4">
        <w:t>“</w:t>
      </w:r>
      <w:r w:rsidRPr="00936BCD">
        <w:t>Comfort Plus</w:t>
      </w:r>
      <w:r w:rsidR="002415A4">
        <w:t>”</w:t>
      </w:r>
      <w:r w:rsidRPr="00936BCD">
        <w:t xml:space="preserve"> chair for children. Many of the IDI national members have participated in the </w:t>
      </w:r>
      <w:r w:rsidR="007C09D2">
        <w:t>National Disability Authority</w:t>
      </w:r>
      <w:r w:rsidRPr="00936BCD">
        <w:t>/</w:t>
      </w:r>
      <w:r w:rsidR="003215B1" w:rsidRPr="00936BCD">
        <w:t>C</w:t>
      </w:r>
      <w:r w:rsidR="003215B1">
        <w:t>entre for Excellence in Universal Designs</w:t>
      </w:r>
      <w:r w:rsidR="003215B1" w:rsidRPr="00936BCD">
        <w:t xml:space="preserve"> </w:t>
      </w:r>
      <w:r w:rsidRPr="00936BCD">
        <w:t xml:space="preserve">24 Hour Universal Design Challenge events. The IDI Universal Design Award was selected by an international jury using design criteria based on the 7 Principles </w:t>
      </w:r>
      <w:r w:rsidR="003215B1">
        <w:t xml:space="preserve">and 29 guidelines </w:t>
      </w:r>
      <w:r w:rsidRPr="00936BCD">
        <w:t>of Universal Design.</w:t>
      </w:r>
    </w:p>
    <w:p w:rsidR="00872908" w:rsidRPr="004B5DB7" w:rsidRDefault="00872908" w:rsidP="004970B4">
      <w:pPr>
        <w:pStyle w:val="Heading2"/>
      </w:pPr>
      <w:r w:rsidRPr="004B5DB7">
        <w:t>Awareness</w:t>
      </w:r>
      <w:bookmarkEnd w:id="24"/>
    </w:p>
    <w:p w:rsidR="00872908" w:rsidRPr="00936BCD" w:rsidRDefault="00872908" w:rsidP="00804BF1">
      <w:pPr>
        <w:pStyle w:val="Heading3"/>
      </w:pPr>
      <w:r w:rsidRPr="00936BCD">
        <w:t>Online Disability Equality Training for public sector staff</w:t>
      </w:r>
    </w:p>
    <w:p w:rsidR="00872908" w:rsidRPr="00936BCD" w:rsidRDefault="00872908" w:rsidP="00804BF1">
      <w:pPr>
        <w:rPr>
          <w:lang w:val="en-GB" w:eastAsia="en-GB"/>
        </w:rPr>
      </w:pPr>
      <w:r w:rsidRPr="00936BCD">
        <w:rPr>
          <w:lang w:val="en-GB" w:eastAsia="en-GB"/>
        </w:rPr>
        <w:t xml:space="preserve">The </w:t>
      </w:r>
      <w:r w:rsidR="007C09D2">
        <w:rPr>
          <w:lang w:val="en-GB" w:eastAsia="en-GB"/>
        </w:rPr>
        <w:t>National Disability Authority</w:t>
      </w:r>
      <w:r w:rsidRPr="00936BCD">
        <w:rPr>
          <w:lang w:val="en-GB" w:eastAsia="en-GB"/>
        </w:rPr>
        <w:t xml:space="preserve"> continued to provide online disability equality training to public sector staff. The </w:t>
      </w:r>
      <w:r w:rsidR="007C09D2">
        <w:rPr>
          <w:lang w:val="en-GB" w:eastAsia="en-GB"/>
        </w:rPr>
        <w:t>National Disability Authority</w:t>
      </w:r>
      <w:r w:rsidRPr="00936BCD">
        <w:rPr>
          <w:lang w:val="en-GB" w:eastAsia="en-GB"/>
        </w:rPr>
        <w:t xml:space="preserve"> collaborated with the Local Authorities Access Officers Network on the </w:t>
      </w:r>
      <w:r w:rsidR="005506AF">
        <w:rPr>
          <w:lang w:val="en-GB" w:eastAsia="en-GB"/>
        </w:rPr>
        <w:t>“</w:t>
      </w:r>
      <w:r w:rsidRPr="00936BCD">
        <w:rPr>
          <w:lang w:val="en-GB" w:eastAsia="en-GB"/>
        </w:rPr>
        <w:t xml:space="preserve">Enabling Access </w:t>
      </w:r>
      <w:r w:rsidR="002E20E8" w:rsidRPr="00936BCD">
        <w:rPr>
          <w:lang w:val="en-GB" w:eastAsia="en-GB"/>
        </w:rPr>
        <w:t>across</w:t>
      </w:r>
      <w:r w:rsidRPr="00936BCD">
        <w:rPr>
          <w:lang w:val="en-GB" w:eastAsia="en-GB"/>
        </w:rPr>
        <w:t xml:space="preserve"> Generations</w:t>
      </w:r>
      <w:r w:rsidR="005506AF">
        <w:rPr>
          <w:lang w:val="en-GB" w:eastAsia="en-GB"/>
        </w:rPr>
        <w:t>”</w:t>
      </w:r>
      <w:r w:rsidRPr="00936BCD">
        <w:rPr>
          <w:lang w:val="en-GB" w:eastAsia="en-GB"/>
        </w:rPr>
        <w:t xml:space="preserve"> programme for Transition Year students. Close to 1,000 transition</w:t>
      </w:r>
      <w:r w:rsidR="002E20E8">
        <w:t>-</w:t>
      </w:r>
      <w:r w:rsidRPr="00936BCD">
        <w:rPr>
          <w:lang w:val="en-GB" w:eastAsia="en-GB"/>
        </w:rPr>
        <w:t xml:space="preserve">year students used the </w:t>
      </w:r>
      <w:r w:rsidR="007C09D2">
        <w:rPr>
          <w:lang w:val="en-GB" w:eastAsia="en-GB"/>
        </w:rPr>
        <w:t>National Disability Authority</w:t>
      </w:r>
      <w:r w:rsidRPr="00936BCD">
        <w:rPr>
          <w:lang w:val="en-GB" w:eastAsia="en-GB"/>
        </w:rPr>
        <w:t xml:space="preserve"> eLearning module to prepare to deal with customers with disabilities during their work experience.</w:t>
      </w:r>
    </w:p>
    <w:p w:rsidR="00C54D8C" w:rsidRDefault="00872908" w:rsidP="00804BF1">
      <w:r w:rsidRPr="00936BCD">
        <w:t>The National Disability Authority’s Centre for Excellence in Universal Design hosted a series of seminars and presented at various seminars / conferences to create awareness and understanding of universal design and promote its adoption by stakeholders including</w:t>
      </w:r>
      <w:r w:rsidR="00C54D8C">
        <w:t xml:space="preserve"> </w:t>
      </w:r>
      <w:r w:rsidRPr="00936BCD">
        <w:t xml:space="preserve">a lecture on Universal Design and the built environment to the Chartered Institute of Building (Southern Centre) in </w:t>
      </w:r>
      <w:smartTag w:uri="urn:schemas-microsoft-com:office:smarttags" w:element="place">
        <w:smartTag w:uri="urn:schemas-microsoft-com:office:smarttags" w:element="City">
          <w:r w:rsidRPr="00936BCD">
            <w:t>Cork</w:t>
          </w:r>
        </w:smartTag>
      </w:smartTag>
      <w:r w:rsidRPr="00936BCD">
        <w:t xml:space="preserve">. </w:t>
      </w:r>
    </w:p>
    <w:p w:rsidR="00872908" w:rsidRPr="00936BCD" w:rsidRDefault="00C54D8C" w:rsidP="00804BF1">
      <w:pPr>
        <w:rPr>
          <w:rFonts w:cs="Arial"/>
        </w:rPr>
      </w:pPr>
      <w:r>
        <w:rPr>
          <w:rFonts w:cs="Arial"/>
        </w:rPr>
        <w:t xml:space="preserve">The </w:t>
      </w:r>
      <w:r w:rsidR="00C465CA" w:rsidRPr="006309CB">
        <w:rPr>
          <w:lang w:val="ga-IE" w:eastAsia="en-GB"/>
        </w:rPr>
        <w:t>National Disability Authority</w:t>
      </w:r>
      <w:r>
        <w:rPr>
          <w:rFonts w:cs="Arial"/>
        </w:rPr>
        <w:t xml:space="preserve"> also engaged with</w:t>
      </w:r>
      <w:r w:rsidR="00872908" w:rsidRPr="00936BCD">
        <w:rPr>
          <w:rFonts w:cs="Arial"/>
        </w:rPr>
        <w:t xml:space="preserve"> the Dublin City Council Architects involved in the refurbishment of the Grafton Street Area network to review the proposed works.</w:t>
      </w:r>
    </w:p>
    <w:p w:rsidR="004970B4" w:rsidRDefault="00872908" w:rsidP="004970B4">
      <w:r w:rsidRPr="00936BCD">
        <w:rPr>
          <w:rFonts w:cs="Arial"/>
        </w:rPr>
        <w:t>CEUD</w:t>
      </w:r>
      <w:r w:rsidR="00C54D8C">
        <w:rPr>
          <w:rFonts w:cs="Arial"/>
        </w:rPr>
        <w:t xml:space="preserve"> also</w:t>
      </w:r>
      <w:r w:rsidRPr="00936BCD">
        <w:rPr>
          <w:rFonts w:cs="Arial"/>
        </w:rPr>
        <w:t xml:space="preserve"> attended a series of Royal Institute of Architects Ireland (</w:t>
      </w:r>
      <w:r w:rsidRPr="005B7491">
        <w:t>RIAI) seminar</w:t>
      </w:r>
      <w:r w:rsidR="00B523E7">
        <w:t>s</w:t>
      </w:r>
      <w:r w:rsidRPr="005B7491">
        <w:t xml:space="preserve"> on Primary School Design. The purpose of the series was to create discussion about particular areas of the design of primary schools and to inform the review of the Primary School Brief that is currently being undertaken by the Planning and Building Unit and the Inspectorate of the Department of Education &amp; Skills. </w:t>
      </w:r>
      <w:bookmarkStart w:id="25" w:name="_Toc335836347"/>
    </w:p>
    <w:p w:rsidR="00872908" w:rsidRPr="004B5DB7" w:rsidRDefault="00872908" w:rsidP="004970B4">
      <w:pPr>
        <w:pStyle w:val="Heading2"/>
      </w:pPr>
      <w:r w:rsidRPr="004B5DB7">
        <w:t>Research and information</w:t>
      </w:r>
      <w:bookmarkEnd w:id="25"/>
    </w:p>
    <w:p w:rsidR="00872908" w:rsidRPr="00936BCD" w:rsidRDefault="00872908" w:rsidP="00804BF1">
      <w:pPr>
        <w:pStyle w:val="Heading3"/>
      </w:pPr>
      <w:r w:rsidRPr="00936BCD">
        <w:t xml:space="preserve">Universal Design &amp; Technology for Older People </w:t>
      </w:r>
      <w:r w:rsidR="008442EC">
        <w:t>r</w:t>
      </w:r>
      <w:r w:rsidRPr="00936BCD">
        <w:t>esear</w:t>
      </w:r>
      <w:r w:rsidR="008442EC">
        <w:t xml:space="preserve">ch </w:t>
      </w:r>
    </w:p>
    <w:p w:rsidR="00872908" w:rsidRPr="00936BCD" w:rsidRDefault="00872908" w:rsidP="00804BF1">
      <w:pPr>
        <w:rPr>
          <w:lang w:val="en-GB" w:eastAsia="en-GB"/>
        </w:rPr>
      </w:pPr>
      <w:r w:rsidRPr="00936BCD">
        <w:rPr>
          <w:lang w:val="en-GB" w:eastAsia="en-GB"/>
        </w:rPr>
        <w:t>The National Disability Authority partnered with St James’s Hospital in conjunction with T</w:t>
      </w:r>
      <w:r w:rsidR="003215B1">
        <w:t xml:space="preserve">rinity </w:t>
      </w:r>
      <w:r w:rsidRPr="00936BCD">
        <w:rPr>
          <w:lang w:val="en-GB" w:eastAsia="en-GB"/>
        </w:rPr>
        <w:t>C</w:t>
      </w:r>
      <w:r w:rsidR="003215B1">
        <w:t xml:space="preserve">ollege </w:t>
      </w:r>
      <w:r w:rsidRPr="00936BCD">
        <w:rPr>
          <w:lang w:val="en-GB" w:eastAsia="en-GB"/>
        </w:rPr>
        <w:t>D</w:t>
      </w:r>
      <w:r w:rsidR="003215B1">
        <w:t>ublin</w:t>
      </w:r>
      <w:r w:rsidRPr="00936BCD">
        <w:rPr>
          <w:lang w:val="en-GB" w:eastAsia="en-GB"/>
        </w:rPr>
        <w:t xml:space="preserve"> as part of Dublin City of Science 2012</w:t>
      </w:r>
      <w:r w:rsidR="00737725">
        <w:t>,</w:t>
      </w:r>
      <w:r w:rsidRPr="00936BCD">
        <w:rPr>
          <w:lang w:val="en-GB" w:eastAsia="en-GB"/>
        </w:rPr>
        <w:t xml:space="preserve"> on a research project focused on </w:t>
      </w:r>
      <w:r w:rsidR="008442EC">
        <w:rPr>
          <w:lang w:val="en-GB" w:eastAsia="en-GB"/>
        </w:rPr>
        <w:t>“</w:t>
      </w:r>
      <w:r w:rsidRPr="00936BCD">
        <w:rPr>
          <w:lang w:val="en-GB" w:eastAsia="en-GB"/>
        </w:rPr>
        <w:t>Universal Design &amp; Technology for Older People</w:t>
      </w:r>
      <w:r w:rsidR="008442EC">
        <w:rPr>
          <w:lang w:val="en-GB" w:eastAsia="en-GB"/>
        </w:rPr>
        <w:t>”</w:t>
      </w:r>
      <w:r w:rsidRPr="00936BCD">
        <w:rPr>
          <w:lang w:val="en-GB" w:eastAsia="en-GB"/>
        </w:rPr>
        <w:t>.</w:t>
      </w:r>
      <w:r w:rsidR="008442EC">
        <w:rPr>
          <w:lang w:val="en-GB" w:eastAsia="en-GB"/>
        </w:rPr>
        <w:t xml:space="preserve"> </w:t>
      </w:r>
      <w:r w:rsidRPr="00936BCD">
        <w:rPr>
          <w:lang w:val="en-GB" w:eastAsia="en-GB"/>
        </w:rPr>
        <w:t>The research captured qualitative and quantitative data on older people</w:t>
      </w:r>
      <w:r w:rsidR="002415A4">
        <w:rPr>
          <w:lang w:val="en-GB" w:eastAsia="en-GB"/>
        </w:rPr>
        <w:t>’</w:t>
      </w:r>
      <w:r w:rsidRPr="00936BCD">
        <w:rPr>
          <w:lang w:val="en-GB" w:eastAsia="en-GB"/>
        </w:rPr>
        <w:t>s interactions with everyday products</w:t>
      </w:r>
      <w:r w:rsidR="00737725">
        <w:t>. It focused on</w:t>
      </w:r>
      <w:r w:rsidRPr="00936BCD">
        <w:rPr>
          <w:lang w:val="en-GB" w:eastAsia="en-GB"/>
        </w:rPr>
        <w:t xml:space="preserve"> monitoring and alarm technology used by older people </w:t>
      </w:r>
      <w:r w:rsidR="00737725">
        <w:t xml:space="preserve">also on </w:t>
      </w:r>
      <w:r w:rsidRPr="00936BCD">
        <w:rPr>
          <w:lang w:val="en-GB" w:eastAsia="en-GB"/>
        </w:rPr>
        <w:t xml:space="preserve">and self reported </w:t>
      </w:r>
      <w:r w:rsidR="005506AF">
        <w:rPr>
          <w:lang w:val="en-GB" w:eastAsia="en-GB"/>
        </w:rPr>
        <w:t>“</w:t>
      </w:r>
      <w:r w:rsidRPr="00936BCD">
        <w:rPr>
          <w:lang w:val="en-GB" w:eastAsia="en-GB"/>
        </w:rPr>
        <w:t>difficult to use</w:t>
      </w:r>
      <w:r w:rsidR="005506AF">
        <w:rPr>
          <w:lang w:val="en-GB" w:eastAsia="en-GB"/>
        </w:rPr>
        <w:t>”</w:t>
      </w:r>
      <w:r w:rsidRPr="00936BCD">
        <w:rPr>
          <w:lang w:val="en-GB" w:eastAsia="en-GB"/>
        </w:rPr>
        <w:t xml:space="preserve"> technologies such as DVDs. The project established the degree to which Universal Design principles are embodied in these technologies,</w:t>
      </w:r>
      <w:r w:rsidR="002415A4">
        <w:rPr>
          <w:lang w:val="en-GB" w:eastAsia="en-GB"/>
        </w:rPr>
        <w:t xml:space="preserve"> and</w:t>
      </w:r>
      <w:r w:rsidR="008442EC">
        <w:rPr>
          <w:lang w:val="en-GB" w:eastAsia="en-GB"/>
        </w:rPr>
        <w:t xml:space="preserve"> </w:t>
      </w:r>
      <w:r w:rsidRPr="00936BCD">
        <w:rPr>
          <w:lang w:val="en-GB" w:eastAsia="en-GB"/>
        </w:rPr>
        <w:t>the relative importance of Universal Design principles in overall usability</w:t>
      </w:r>
      <w:r w:rsidR="00737725">
        <w:t>.</w:t>
      </w:r>
      <w:r w:rsidRPr="00936BCD">
        <w:rPr>
          <w:lang w:val="en-GB" w:eastAsia="en-GB"/>
        </w:rPr>
        <w:t xml:space="preserve"> </w:t>
      </w:r>
      <w:r w:rsidR="00737725">
        <w:t xml:space="preserve">It documented </w:t>
      </w:r>
      <w:r w:rsidRPr="00936BCD">
        <w:rPr>
          <w:lang w:val="en-GB" w:eastAsia="en-GB"/>
        </w:rPr>
        <w:t xml:space="preserve">the effectiveness and satisfaction with these technologies as well as older users needs, likes, dislikes, expectations, preferences and utilisation of these technologies. The project developed and piloted a test tool for assessing Universal Design in situ in an Irish context. To present the findings of the research in an engaging way, a theatrical presentation entitled “Red button, </w:t>
      </w:r>
      <w:r w:rsidR="00737725">
        <w:t>G</w:t>
      </w:r>
      <w:r w:rsidR="00737725" w:rsidRPr="00936BCD">
        <w:rPr>
          <w:lang w:val="en-GB" w:eastAsia="en-GB"/>
        </w:rPr>
        <w:t xml:space="preserve">reen </w:t>
      </w:r>
      <w:r w:rsidRPr="00936BCD">
        <w:rPr>
          <w:lang w:val="en-GB" w:eastAsia="en-GB"/>
        </w:rPr>
        <w:t>button” was commissioned and performed at the “ActivAge 2012: Exploring Successful Ageing with the Aid of Technology” held in November.</w:t>
      </w:r>
      <w:r w:rsidR="008442EC">
        <w:rPr>
          <w:lang w:val="en-GB" w:eastAsia="en-GB"/>
        </w:rPr>
        <w:t xml:space="preserve"> </w:t>
      </w:r>
      <w:r w:rsidRPr="00936BCD">
        <w:rPr>
          <w:lang w:val="en-GB" w:eastAsia="en-GB"/>
        </w:rPr>
        <w:t xml:space="preserve">An academic paper for publication to a journal on design is being prepared and the tool developed to assess Universal Design in situ is being used to inform the design of other </w:t>
      </w:r>
      <w:r w:rsidR="00737725">
        <w:t xml:space="preserve">related </w:t>
      </w:r>
      <w:r w:rsidRPr="00936BCD">
        <w:rPr>
          <w:lang w:val="en-GB" w:eastAsia="en-GB"/>
        </w:rPr>
        <w:t>tools and projects.</w:t>
      </w:r>
    </w:p>
    <w:p w:rsidR="00872908" w:rsidRPr="00936BCD" w:rsidRDefault="00872908" w:rsidP="00804BF1">
      <w:pPr>
        <w:pStyle w:val="Heading3"/>
      </w:pPr>
      <w:bookmarkStart w:id="26" w:name="_Toc335836348"/>
      <w:r w:rsidRPr="00936BCD">
        <w:t>The ICF and Universal Design</w:t>
      </w:r>
    </w:p>
    <w:p w:rsidR="00872908" w:rsidRPr="00936BCD" w:rsidRDefault="00872908" w:rsidP="00804BF1">
      <w:r w:rsidRPr="00936BCD">
        <w:t xml:space="preserve">The National Disability Authority’s Centre for Excellence in Universal Design </w:t>
      </w:r>
      <w:r w:rsidR="00C54D8C">
        <w:t xml:space="preserve">commissioned research on </w:t>
      </w:r>
      <w:r w:rsidRPr="00936BCD">
        <w:t xml:space="preserve">Integrating the WHO-ICF and Related Resources to Improve Universal Design Guidance Standards. </w:t>
      </w:r>
      <w:r w:rsidR="00C54D8C">
        <w:t>K</w:t>
      </w:r>
      <w:r w:rsidRPr="00936BCD">
        <w:t xml:space="preserve">ey attributes </w:t>
      </w:r>
      <w:r w:rsidR="00737725">
        <w:t xml:space="preserve">that </w:t>
      </w:r>
      <w:r w:rsidRPr="00936BCD">
        <w:t>related to Universal Design were identified</w:t>
      </w:r>
      <w:r w:rsidR="00296B9E">
        <w:t>.</w:t>
      </w:r>
      <w:r w:rsidR="00D63B5A">
        <w:t xml:space="preserve"> </w:t>
      </w:r>
      <w:r w:rsidR="00296B9E">
        <w:t xml:space="preserve">The attributes were </w:t>
      </w:r>
      <w:r w:rsidRPr="00936BCD">
        <w:t xml:space="preserve">mapped into guidance to inform </w:t>
      </w:r>
      <w:r w:rsidR="00296B9E">
        <w:t xml:space="preserve">the </w:t>
      </w:r>
      <w:r w:rsidRPr="00936BCD">
        <w:t>use of terminology and process considerations for specifying and selecting everyday designs.</w:t>
      </w:r>
      <w:r w:rsidR="008442EC">
        <w:t xml:space="preserve"> </w:t>
      </w:r>
      <w:r w:rsidRPr="00936BCD">
        <w:t>The 2012 project involved a</w:t>
      </w:r>
      <w:r w:rsidR="00296B9E">
        <w:t xml:space="preserve"> systematic</w:t>
      </w:r>
      <w:r w:rsidRPr="00936BCD">
        <w:t xml:space="preserve"> review of the international literature and the development of a guidance document that includes examples for </w:t>
      </w:r>
      <w:r w:rsidR="00296B9E">
        <w:t xml:space="preserve">each of </w:t>
      </w:r>
      <w:r w:rsidRPr="00936BCD">
        <w:t xml:space="preserve">the design areas; products, services, </w:t>
      </w:r>
      <w:r w:rsidR="00296B9E">
        <w:t xml:space="preserve">the </w:t>
      </w:r>
      <w:r w:rsidRPr="00936BCD">
        <w:t>built environment and Information and Communication Technologies.</w:t>
      </w:r>
    </w:p>
    <w:p w:rsidR="00872908" w:rsidRPr="00936BCD" w:rsidRDefault="00872908" w:rsidP="00804BF1">
      <w:pPr>
        <w:pStyle w:val="Heading3"/>
      </w:pPr>
      <w:r w:rsidRPr="00936BCD">
        <w:t xml:space="preserve">Size for </w:t>
      </w:r>
      <w:r w:rsidR="00737725">
        <w:t>U</w:t>
      </w:r>
      <w:r w:rsidR="00737725" w:rsidRPr="00936BCD">
        <w:t xml:space="preserve">niversal </w:t>
      </w:r>
      <w:bookmarkEnd w:id="26"/>
      <w:r w:rsidR="00737725">
        <w:t>D</w:t>
      </w:r>
      <w:r w:rsidR="00737725" w:rsidRPr="00936BCD">
        <w:t>esign</w:t>
      </w:r>
    </w:p>
    <w:p w:rsidR="00872908" w:rsidRPr="00936BCD" w:rsidRDefault="00872908" w:rsidP="00804BF1">
      <w:r w:rsidRPr="00936BCD">
        <w:t>The National Disability Authority commissioned research to determine how human body size impacts on the development of universal design, as</w:t>
      </w:r>
      <w:r w:rsidR="00296B9E">
        <w:t xml:space="preserve"> size</w:t>
      </w:r>
      <w:r w:rsidRPr="00936BCD">
        <w:t xml:space="preserve"> is a core </w:t>
      </w:r>
      <w:r w:rsidR="00296B9E">
        <w:t>consideration</w:t>
      </w:r>
      <w:r w:rsidR="00296B9E" w:rsidRPr="00936BCD">
        <w:t xml:space="preserve"> </w:t>
      </w:r>
      <w:r w:rsidRPr="00936BCD">
        <w:t xml:space="preserve">of universal design as </w:t>
      </w:r>
      <w:r w:rsidR="00296B9E">
        <w:t>identified</w:t>
      </w:r>
      <w:r w:rsidR="00296B9E" w:rsidRPr="00936BCD">
        <w:t xml:space="preserve"> </w:t>
      </w:r>
      <w:r w:rsidRPr="00936BCD">
        <w:t xml:space="preserve">in the Disability Act 2005. The three-part project includes an international review of the literature, a national survey of designers, design students and procurement specialists and guidance on future best practice. The guidance </w:t>
      </w:r>
      <w:r w:rsidR="00296B9E">
        <w:t>for</w:t>
      </w:r>
      <w:r w:rsidR="00296B9E" w:rsidRPr="00936BCD">
        <w:t xml:space="preserve"> </w:t>
      </w:r>
      <w:r w:rsidRPr="00936BCD">
        <w:t xml:space="preserve">designers, educators and procurement specialists </w:t>
      </w:r>
      <w:r w:rsidR="00296B9E">
        <w:t>is to</w:t>
      </w:r>
      <w:r w:rsidRPr="00936BCD">
        <w:t xml:space="preserve"> be published in 2013.</w:t>
      </w:r>
    </w:p>
    <w:p w:rsidR="00872908" w:rsidRPr="00936BCD" w:rsidRDefault="00872908" w:rsidP="00804BF1">
      <w:pPr>
        <w:pStyle w:val="Heading3"/>
      </w:pPr>
      <w:bookmarkStart w:id="27" w:name="_Toc335836349"/>
      <w:r w:rsidRPr="00936BCD">
        <w:t>Public sector websites</w:t>
      </w:r>
      <w:bookmarkEnd w:id="27"/>
    </w:p>
    <w:p w:rsidR="00872908" w:rsidRPr="00936BCD" w:rsidRDefault="00C54D8C" w:rsidP="00804BF1">
      <w:pPr>
        <w:rPr>
          <w:rFonts w:cs="Arial"/>
        </w:rPr>
      </w:pPr>
      <w:r>
        <w:t>R</w:t>
      </w:r>
      <w:r w:rsidR="00872908" w:rsidRPr="00936BCD">
        <w:t xml:space="preserve">esearch </w:t>
      </w:r>
      <w:r>
        <w:t xml:space="preserve">was completed </w:t>
      </w:r>
      <w:r w:rsidR="00872908" w:rsidRPr="00936BCD">
        <w:t>into how the design of online public information and services can be improved to enable a better online experience for users and to improve efficiencies for government and public bodies. Interviews and surveys with a wide range of stakeholders, as well as an analysis of key public sector websites, have informed the development of design guidelines.</w:t>
      </w:r>
      <w:r w:rsidR="008442EC">
        <w:t xml:space="preserve"> </w:t>
      </w:r>
      <w:r w:rsidR="00872908" w:rsidRPr="00936BCD">
        <w:t>The guidelines will be launched at an event for public sector web managers in partnership with the Department of Public Expenditure and Reform in 2013.</w:t>
      </w:r>
      <w:r w:rsidR="008442EC">
        <w:t xml:space="preserve"> </w:t>
      </w:r>
      <w:r w:rsidR="00872908" w:rsidRPr="00936BCD">
        <w:t>The guidelines are expected to</w:t>
      </w:r>
      <w:r>
        <w:t xml:space="preserve"> assist public bodies meet their</w:t>
      </w:r>
      <w:r w:rsidR="00872908" w:rsidRPr="00936BCD">
        <w:t xml:space="preserve"> obligations under the Public Sector Reform </w:t>
      </w:r>
      <w:r w:rsidR="000976F6" w:rsidRPr="00936BCD">
        <w:t>eGovernment</w:t>
      </w:r>
      <w:r w:rsidR="00872908" w:rsidRPr="00936BCD">
        <w:t xml:space="preserve"> Strategy 2012</w:t>
      </w:r>
      <w:r w:rsidR="0050485E">
        <w:t>–</w:t>
      </w:r>
      <w:r w:rsidR="00872908" w:rsidRPr="00936BCD">
        <w:t>2015</w:t>
      </w:r>
      <w:r w:rsidR="00E34A61">
        <w:t xml:space="preserve"> to </w:t>
      </w:r>
      <w:r w:rsidR="00A666F5">
        <w:t>p</w:t>
      </w:r>
      <w:r w:rsidR="00E34A61">
        <w:t xml:space="preserve">ut </w:t>
      </w:r>
      <w:r w:rsidR="00872908" w:rsidRPr="00936BCD">
        <w:t>the needs of citizen</w:t>
      </w:r>
      <w:r w:rsidR="00E34A61">
        <w:t>s at the centre of eGovernment</w:t>
      </w:r>
      <w:r w:rsidR="00872908" w:rsidRPr="00936BCD">
        <w:t>.</w:t>
      </w:r>
      <w:r w:rsidR="008442EC">
        <w:t xml:space="preserve"> </w:t>
      </w:r>
      <w:r w:rsidR="002E20E8" w:rsidRPr="00936BCD">
        <w:t>The guidelines are referenced within the National Digital Strategy (</w:t>
      </w:r>
      <w:r w:rsidR="00A666F5" w:rsidRPr="00A666F5">
        <w:t>Department of Communications, Energy, and Natural Resources</w:t>
      </w:r>
      <w:r w:rsidR="002E20E8" w:rsidRPr="00936BCD">
        <w:t>) as recommended resources to</w:t>
      </w:r>
      <w:r w:rsidR="002E20E8">
        <w:t xml:space="preserve"> be</w:t>
      </w:r>
      <w:r w:rsidR="00CE54C7">
        <w:t xml:space="preserve"> used in </w:t>
      </w:r>
      <w:r w:rsidR="002E20E8" w:rsidRPr="00936BCD">
        <w:t>achieving better more accessible and</w:t>
      </w:r>
      <w:r w:rsidR="00CE54C7">
        <w:t xml:space="preserve"> more appealing online services</w:t>
      </w:r>
      <w:r w:rsidR="002E20E8" w:rsidRPr="00936BCD">
        <w:t>.</w:t>
      </w:r>
    </w:p>
    <w:p w:rsidR="00872908" w:rsidRPr="00936BCD" w:rsidRDefault="00872908" w:rsidP="00804BF1">
      <w:pPr>
        <w:pStyle w:val="Heading3"/>
      </w:pPr>
      <w:bookmarkStart w:id="28" w:name="_Toc335836350"/>
      <w:r w:rsidRPr="00936BCD">
        <w:t>Research of shared spaces and surfaces</w:t>
      </w:r>
      <w:bookmarkEnd w:id="28"/>
    </w:p>
    <w:p w:rsidR="004013E7" w:rsidRDefault="004013E7" w:rsidP="00804BF1">
      <w:pPr>
        <w:rPr>
          <w:rFonts w:cs="Arial"/>
          <w:lang w:eastAsia="en-GB"/>
        </w:rPr>
      </w:pPr>
      <w:r>
        <w:rPr>
          <w:rFonts w:cs="Helv"/>
          <w:lang w:eastAsia="en-GB"/>
        </w:rPr>
        <w:t xml:space="preserve">Research was commissioned on </w:t>
      </w:r>
      <w:r w:rsidR="00872908" w:rsidRPr="00936BCD">
        <w:rPr>
          <w:lang w:eastAsia="en-GB"/>
        </w:rPr>
        <w:t xml:space="preserve">contemporary national and international </w:t>
      </w:r>
      <w:r w:rsidR="00872908" w:rsidRPr="00936BCD">
        <w:rPr>
          <w:rFonts w:cs="Helv"/>
          <w:lang w:eastAsia="en-GB"/>
        </w:rPr>
        <w:t>practices</w:t>
      </w:r>
      <w:r w:rsidR="00872908" w:rsidRPr="00936BCD">
        <w:rPr>
          <w:lang w:eastAsia="en-GB"/>
        </w:rPr>
        <w:t xml:space="preserve"> and thinking</w:t>
      </w:r>
      <w:r w:rsidR="00872908" w:rsidRPr="00936BCD">
        <w:rPr>
          <w:rFonts w:cs="Helv"/>
          <w:lang w:eastAsia="en-GB"/>
        </w:rPr>
        <w:t xml:space="preserve"> on shared spaces, shared surfaces and “home zones” </w:t>
      </w:r>
      <w:r w:rsidR="00872908" w:rsidRPr="00936BCD">
        <w:rPr>
          <w:lang w:eastAsia="en-GB"/>
        </w:rPr>
        <w:t xml:space="preserve">with key recommendations on the direction that the National Disability Authority should take on this issue. </w:t>
      </w:r>
      <w:r w:rsidR="00872908" w:rsidRPr="00936BCD">
        <w:rPr>
          <w:rFonts w:cs="Arial"/>
          <w:lang w:eastAsia="en-GB"/>
        </w:rPr>
        <w:t xml:space="preserve">The Research </w:t>
      </w:r>
      <w:r w:rsidR="00B523E7">
        <w:rPr>
          <w:rFonts w:cs="Arial"/>
          <w:lang w:eastAsia="en-GB"/>
        </w:rPr>
        <w:t>and</w:t>
      </w:r>
      <w:r w:rsidR="00872908" w:rsidRPr="00936BCD">
        <w:rPr>
          <w:rFonts w:cs="Arial"/>
          <w:lang w:eastAsia="en-GB"/>
        </w:rPr>
        <w:t xml:space="preserve"> Recommendations Report was published in September 2012. </w:t>
      </w:r>
    </w:p>
    <w:p w:rsidR="004013E7" w:rsidRDefault="004013E7" w:rsidP="00804BF1">
      <w:pPr>
        <w:rPr>
          <w:rFonts w:cs="Arial"/>
          <w:lang w:eastAsia="en-GB"/>
        </w:rPr>
      </w:pPr>
      <w:r>
        <w:rPr>
          <w:rFonts w:cs="Arial"/>
          <w:lang w:eastAsia="en-GB"/>
        </w:rPr>
        <w:t xml:space="preserve">The </w:t>
      </w:r>
      <w:r w:rsidR="00C465CA" w:rsidRPr="006309CB">
        <w:rPr>
          <w:lang w:val="ga-IE" w:eastAsia="en-GB"/>
        </w:rPr>
        <w:t>National Disability Authority</w:t>
      </w:r>
      <w:r>
        <w:rPr>
          <w:rFonts w:cs="Arial"/>
          <w:lang w:eastAsia="en-GB"/>
        </w:rPr>
        <w:t xml:space="preserve"> advised officials in the </w:t>
      </w:r>
      <w:r w:rsidR="00A666F5" w:rsidRPr="00A666F5">
        <w:rPr>
          <w:rFonts w:cs="Arial"/>
          <w:lang w:eastAsia="en-GB"/>
        </w:rPr>
        <w:t>Department of Transport, Tourism and Sport</w:t>
      </w:r>
      <w:r w:rsidR="00872908" w:rsidRPr="00936BCD">
        <w:rPr>
          <w:rFonts w:cs="Arial"/>
          <w:lang w:eastAsia="en-GB"/>
        </w:rPr>
        <w:t xml:space="preserve"> involved in the revision of the Design Manual for Urban Roads and Streets to inform them about th</w:t>
      </w:r>
      <w:r>
        <w:rPr>
          <w:rFonts w:cs="Arial"/>
          <w:lang w:eastAsia="en-GB"/>
        </w:rPr>
        <w:t xml:space="preserve">is research. </w:t>
      </w:r>
    </w:p>
    <w:p w:rsidR="00872908" w:rsidRPr="00936BCD" w:rsidRDefault="00872908" w:rsidP="00804BF1">
      <w:pPr>
        <w:rPr>
          <w:rFonts w:cs="Arial"/>
          <w:lang w:eastAsia="en-GB"/>
        </w:rPr>
      </w:pPr>
      <w:r w:rsidRPr="00936BCD">
        <w:rPr>
          <w:rFonts w:cs="Arial"/>
          <w:lang w:eastAsia="en-GB"/>
        </w:rPr>
        <w:t>The next phase of this work is Pilot Studies doing pre and post evaluation research on Shared Space design from a Universal Design approach. CEUD is engaged with Local Authorities on possible Shared Space site locations</w:t>
      </w:r>
      <w:r w:rsidR="004013E7">
        <w:rPr>
          <w:rFonts w:cs="Arial"/>
          <w:lang w:eastAsia="en-GB"/>
        </w:rPr>
        <w:t>.</w:t>
      </w:r>
    </w:p>
    <w:p w:rsidR="00872908" w:rsidRPr="00936BCD" w:rsidRDefault="00872908" w:rsidP="00804BF1">
      <w:pPr>
        <w:pStyle w:val="Heading3"/>
      </w:pPr>
      <w:bookmarkStart w:id="29" w:name="_Toc335836351"/>
      <w:r w:rsidRPr="00936BCD">
        <w:t xml:space="preserve">Research on Universal Design Educational Campuses </w:t>
      </w:r>
    </w:p>
    <w:p w:rsidR="00872908" w:rsidRPr="00936BCD" w:rsidRDefault="00872908" w:rsidP="00804BF1">
      <w:r w:rsidRPr="00936BCD">
        <w:t xml:space="preserve">This project is to research contemporary national and international best practice on Educational Campuses across the Life-Cycle </w:t>
      </w:r>
      <w:r w:rsidR="0050485E">
        <w:t>—</w:t>
      </w:r>
      <w:r w:rsidRPr="00936BCD">
        <w:t xml:space="preserve"> investigating how Universal Design informs the design of such campuses in </w:t>
      </w:r>
      <w:smartTag w:uri="urn:schemas-microsoft-com:office:smarttags" w:element="country-region">
        <w:r w:rsidRPr="00936BCD">
          <w:t>Ireland</w:t>
        </w:r>
      </w:smartTag>
      <w:r w:rsidRPr="00936BCD">
        <w:t xml:space="preserve"> for people of any age, size, ability or disability </w:t>
      </w:r>
      <w:r w:rsidR="0050485E">
        <w:t>—</w:t>
      </w:r>
      <w:r w:rsidRPr="00936BCD">
        <w:t xml:space="preserve"> with key recommendations on the direction that </w:t>
      </w:r>
      <w:smartTag w:uri="urn:schemas-microsoft-com:office:smarttags" w:element="country-region">
        <w:smartTag w:uri="urn:schemas-microsoft-com:office:smarttags" w:element="place">
          <w:r w:rsidRPr="00936BCD">
            <w:t>Ireland</w:t>
          </w:r>
        </w:smartTag>
      </w:smartTag>
      <w:r w:rsidRPr="00936BCD">
        <w:t xml:space="preserve"> should take with regard to a Universal Design approach to Life-Cycle Educational Campuses. This research has been commissioned in 2012 and will be completed in 2013</w:t>
      </w:r>
    </w:p>
    <w:p w:rsidR="004970B4" w:rsidRDefault="004013E7" w:rsidP="004013E7">
      <w:pPr>
        <w:pStyle w:val="Heading2"/>
      </w:pPr>
      <w:r>
        <w:t>H</w:t>
      </w:r>
      <w:r w:rsidR="004970B4">
        <w:t>ome design for people with dementia</w:t>
      </w:r>
    </w:p>
    <w:p w:rsidR="00872908" w:rsidRPr="00936BCD" w:rsidRDefault="004013E7" w:rsidP="00804BF1">
      <w:pPr>
        <w:autoSpaceDE w:val="0"/>
        <w:autoSpaceDN w:val="0"/>
        <w:adjustRightInd w:val="0"/>
        <w:rPr>
          <w:rFonts w:cs="Arial"/>
        </w:rPr>
      </w:pPr>
      <w:r>
        <w:rPr>
          <w:rFonts w:cs="Arial"/>
        </w:rPr>
        <w:t>This project aims to guid</w:t>
      </w:r>
      <w:r w:rsidR="00872908" w:rsidRPr="00936BCD">
        <w:rPr>
          <w:rFonts w:cs="Arial"/>
        </w:rPr>
        <w:t xml:space="preserve">e design professionals and relevant stakeholders with the necessary Universal Design </w:t>
      </w:r>
      <w:r>
        <w:rPr>
          <w:rFonts w:cs="Arial"/>
        </w:rPr>
        <w:t xml:space="preserve">on the </w:t>
      </w:r>
      <w:r w:rsidR="00872908" w:rsidRPr="00936BCD">
        <w:rPr>
          <w:rFonts w:cs="Arial"/>
        </w:rPr>
        <w:t>design</w:t>
      </w:r>
      <w:r w:rsidR="002415A4">
        <w:rPr>
          <w:rFonts w:cs="Arial"/>
        </w:rPr>
        <w:t xml:space="preserve"> of</w:t>
      </w:r>
      <w:r w:rsidR="00872908" w:rsidRPr="00936BCD">
        <w:rPr>
          <w:rFonts w:cs="Arial"/>
        </w:rPr>
        <w:t xml:space="preserve"> new homes or retro-fit </w:t>
      </w:r>
      <w:r>
        <w:rPr>
          <w:rFonts w:cs="Arial"/>
        </w:rPr>
        <w:t xml:space="preserve">of </w:t>
      </w:r>
      <w:r w:rsidR="00872908" w:rsidRPr="00936BCD">
        <w:rPr>
          <w:rFonts w:cs="Arial"/>
        </w:rPr>
        <w:t xml:space="preserve">existing housing stock in order to </w:t>
      </w:r>
      <w:r>
        <w:rPr>
          <w:rFonts w:cs="Arial"/>
        </w:rPr>
        <w:t xml:space="preserve">address needs of </w:t>
      </w:r>
      <w:r w:rsidR="00872908" w:rsidRPr="00936BCD">
        <w:rPr>
          <w:rFonts w:cs="Arial"/>
        </w:rPr>
        <w:t>people with dementia</w:t>
      </w:r>
      <w:r>
        <w:rPr>
          <w:rFonts w:cs="Arial"/>
        </w:rPr>
        <w:t>. Appropriate home design can help support people with dementia</w:t>
      </w:r>
      <w:r w:rsidR="00872908" w:rsidRPr="00936BCD">
        <w:rPr>
          <w:rFonts w:cs="Arial"/>
        </w:rPr>
        <w:t xml:space="preserve"> to live in their own homes and communities</w:t>
      </w:r>
      <w:r>
        <w:rPr>
          <w:rFonts w:cs="Arial"/>
        </w:rPr>
        <w:t xml:space="preserve"> as long as possible</w:t>
      </w:r>
      <w:r w:rsidR="00872908" w:rsidRPr="00936BCD">
        <w:rPr>
          <w:rFonts w:cs="Arial"/>
        </w:rPr>
        <w:t xml:space="preserve">. The Research, Recommendations and Design Guidance will also </w:t>
      </w:r>
      <w:r>
        <w:rPr>
          <w:rFonts w:cs="Arial"/>
        </w:rPr>
        <w:t xml:space="preserve">address the needs of </w:t>
      </w:r>
      <w:r w:rsidR="00872908" w:rsidRPr="00936BCD">
        <w:rPr>
          <w:rFonts w:cs="Arial"/>
        </w:rPr>
        <w:t>families of those living with dementia. This work was commissioned in late 2012 and will be completed in late 2013.</w:t>
      </w:r>
    </w:p>
    <w:p w:rsidR="00872908" w:rsidRPr="0041089E" w:rsidRDefault="004013E7" w:rsidP="00971080">
      <w:pPr>
        <w:pStyle w:val="Heading2"/>
      </w:pPr>
      <w:r>
        <w:t>S</w:t>
      </w:r>
      <w:r w:rsidR="00971080">
        <w:t xml:space="preserve">upported </w:t>
      </w:r>
      <w:r w:rsidR="00872908" w:rsidRPr="0041089E">
        <w:t>research project</w:t>
      </w:r>
      <w:bookmarkEnd w:id="29"/>
      <w:r w:rsidR="00872908" w:rsidRPr="0041089E">
        <w:t>s</w:t>
      </w:r>
    </w:p>
    <w:p w:rsidR="00872908" w:rsidRDefault="00872908" w:rsidP="00804BF1">
      <w:r w:rsidRPr="00936BCD">
        <w:t xml:space="preserve">The National Disability Authority is supervising and supporting, </w:t>
      </w:r>
      <w:r>
        <w:t xml:space="preserve">a </w:t>
      </w:r>
      <w:r w:rsidRPr="00936BCD">
        <w:t xml:space="preserve">post-doctoral </w:t>
      </w:r>
      <w:r>
        <w:t>and a doctoral research pr</w:t>
      </w:r>
      <w:r w:rsidR="00971080">
        <w:t>oject under the Irish Research C</w:t>
      </w:r>
      <w:r>
        <w:t>ouncil “Enterprise Partner Research” scheme.</w:t>
      </w:r>
      <w:r w:rsidRPr="00936BCD">
        <w:t xml:space="preserve"> </w:t>
      </w:r>
    </w:p>
    <w:p w:rsidR="00C664AF" w:rsidRDefault="00872908" w:rsidP="004013E7">
      <w:pPr>
        <w:pStyle w:val="Heading3"/>
      </w:pPr>
      <w:r>
        <w:t>Universal Design product and process engineering research</w:t>
      </w:r>
    </w:p>
    <w:p w:rsidR="00C664AF" w:rsidRDefault="00C664AF" w:rsidP="00C664AF">
      <w:r>
        <w:t xml:space="preserve">1. </w:t>
      </w:r>
      <w:r w:rsidR="00872908" w:rsidRPr="000C3F24">
        <w:t>A two</w:t>
      </w:r>
      <w:r w:rsidR="00DE0186">
        <w:t>-</w:t>
      </w:r>
      <w:r w:rsidR="00872908" w:rsidRPr="000C3F24">
        <w:t>year research project was completed on Universal Design for enginee</w:t>
      </w:r>
      <w:r w:rsidR="00971080">
        <w:t>ring in Trinity College Dublin</w:t>
      </w:r>
      <w:r w:rsidR="00872908" w:rsidRPr="000C3F24">
        <w:t>. The project demonstrated how Universal Design can be applied to both product research and design engineering</w:t>
      </w:r>
      <w:r w:rsidR="00B175ED">
        <w:t>, and to engineering</w:t>
      </w:r>
      <w:r w:rsidR="00971080">
        <w:t xml:space="preserve"> </w:t>
      </w:r>
      <w:r w:rsidR="00872908" w:rsidRPr="000C3F24">
        <w:t>teaching and learning.</w:t>
      </w:r>
    </w:p>
    <w:p w:rsidR="00872908" w:rsidRDefault="00B175ED" w:rsidP="00C664AF">
      <w:r>
        <w:t xml:space="preserve">One </w:t>
      </w:r>
      <w:r w:rsidR="00872908">
        <w:t>outcome of the project was a Universal Design</w:t>
      </w:r>
      <w:r w:rsidR="00B523E7">
        <w:t>-inspired</w:t>
      </w:r>
      <w:r w:rsidR="00872908">
        <w:t xml:space="preserve"> new product concept for sensing pressure against the body. Trinity College Dublin has patented the intellectual property and </w:t>
      </w:r>
      <w:smartTag w:uri="urn:schemas-microsoft-com:office:smarttags" w:element="City">
        <w:r w:rsidR="00872908">
          <w:t>Enterprise</w:t>
        </w:r>
      </w:smartTag>
      <w:r w:rsidR="00872908">
        <w:t xml:space="preserve"> </w:t>
      </w:r>
      <w:smartTag w:uri="urn:schemas-microsoft-com:office:smarttags" w:element="place">
        <w:smartTag w:uri="urn:schemas-microsoft-com:office:smarttags" w:element="country-region">
          <w:r w:rsidR="00872908">
            <w:t>Ireland</w:t>
          </w:r>
        </w:smartTag>
      </w:smartTag>
      <w:r w:rsidR="00872908">
        <w:t xml:space="preserve"> has funded the researcher to operate a project to </w:t>
      </w:r>
      <w:r>
        <w:t xml:space="preserve">further </w:t>
      </w:r>
      <w:r w:rsidR="00872908">
        <w:t xml:space="preserve">develop the concept into </w:t>
      </w:r>
      <w:r>
        <w:t xml:space="preserve">possible </w:t>
      </w:r>
      <w:r w:rsidR="00872908">
        <w:t xml:space="preserve">product applications. The </w:t>
      </w:r>
      <w:r>
        <w:t xml:space="preserve">second key outcome is on </w:t>
      </w:r>
      <w:r w:rsidR="00872908">
        <w:t xml:space="preserve">innovative product engineering research process </w:t>
      </w:r>
      <w:r>
        <w:t xml:space="preserve">that </w:t>
      </w:r>
      <w:r w:rsidR="00872908">
        <w:t>was used to develop numerous engineering curriculum materials</w:t>
      </w:r>
      <w:r>
        <w:t xml:space="preserve">. </w:t>
      </w:r>
      <w:r w:rsidR="00971080">
        <w:t>T</w:t>
      </w:r>
      <w:r>
        <w:t>hese are being trialled</w:t>
      </w:r>
      <w:r w:rsidR="00872908">
        <w:t xml:space="preserve"> as a new basis for</w:t>
      </w:r>
      <w:r>
        <w:t xml:space="preserve"> approaches to integrat</w:t>
      </w:r>
      <w:r w:rsidR="00971080">
        <w:t>e</w:t>
      </w:r>
      <w:r>
        <w:t xml:space="preserve"> Universal Design into</w:t>
      </w:r>
      <w:r w:rsidR="00872908">
        <w:t xml:space="preserve"> teaching, course planning and design competitions.</w:t>
      </w:r>
      <w:r w:rsidR="008442EC">
        <w:t xml:space="preserve"> </w:t>
      </w:r>
    </w:p>
    <w:p w:rsidR="00872908" w:rsidRPr="00936BCD" w:rsidRDefault="00C664AF" w:rsidP="00C664AF">
      <w:r>
        <w:t xml:space="preserve">2. </w:t>
      </w:r>
      <w:r w:rsidR="00872908">
        <w:t xml:space="preserve">The </w:t>
      </w:r>
      <w:r w:rsidR="00DE0186">
        <w:t>second</w:t>
      </w:r>
      <w:r w:rsidR="00872908">
        <w:t xml:space="preserve"> joint funded d</w:t>
      </w:r>
      <w:r w:rsidR="00872908" w:rsidRPr="00936BCD">
        <w:t xml:space="preserve">octoral research </w:t>
      </w:r>
      <w:r w:rsidR="00872908">
        <w:t xml:space="preserve">is </w:t>
      </w:r>
      <w:r w:rsidR="00872908" w:rsidRPr="00936BCD">
        <w:t xml:space="preserve">on defining a </w:t>
      </w:r>
      <w:r w:rsidR="000C07B2">
        <w:t>U</w:t>
      </w:r>
      <w:r w:rsidR="000C07B2" w:rsidRPr="00936BCD">
        <w:t xml:space="preserve">niversal </w:t>
      </w:r>
      <w:r w:rsidR="000C07B2">
        <w:t>D</w:t>
      </w:r>
      <w:r w:rsidR="000C07B2" w:rsidRPr="00936BCD">
        <w:t xml:space="preserve">esign </w:t>
      </w:r>
      <w:r w:rsidR="00872908" w:rsidRPr="00936BCD">
        <w:t xml:space="preserve">rating system for buildings. A Trinity College Dublin architectural researcher is investigating this area and in particular, how it may work </w:t>
      </w:r>
      <w:r w:rsidR="000C07B2">
        <w:t>similar to</w:t>
      </w:r>
      <w:r w:rsidR="000C07B2" w:rsidRPr="00936BCD">
        <w:t xml:space="preserve"> </w:t>
      </w:r>
      <w:r w:rsidR="00872908" w:rsidRPr="00936BCD">
        <w:t xml:space="preserve">the Building Energy Rating system already in place in </w:t>
      </w:r>
      <w:smartTag w:uri="urn:schemas-microsoft-com:office:smarttags" w:element="place">
        <w:smartTag w:uri="urn:schemas-microsoft-com:office:smarttags" w:element="country-region">
          <w:r w:rsidR="00872908" w:rsidRPr="00936BCD">
            <w:t>Ireland</w:t>
          </w:r>
        </w:smartTag>
      </w:smartTag>
      <w:r w:rsidR="00872908" w:rsidRPr="00936BCD">
        <w:t xml:space="preserve">. </w:t>
      </w:r>
      <w:r w:rsidR="00872908" w:rsidRPr="00936BCD">
        <w:rPr>
          <w:rFonts w:cs="Arial"/>
        </w:rPr>
        <w:t>This work is progressing and is due to be completed by September 2013</w:t>
      </w:r>
      <w:r w:rsidR="008442EC">
        <w:rPr>
          <w:rFonts w:cs="Arial"/>
        </w:rPr>
        <w:t>.</w:t>
      </w:r>
    </w:p>
    <w:p w:rsidR="00872908" w:rsidRPr="00936BCD" w:rsidRDefault="00971080" w:rsidP="00804BF1">
      <w:pPr>
        <w:pStyle w:val="Heading3"/>
      </w:pPr>
      <w:r>
        <w:t>Telecare and Telehealth seminar</w:t>
      </w:r>
    </w:p>
    <w:p w:rsidR="00872908" w:rsidRPr="00936BCD" w:rsidRDefault="00971080" w:rsidP="00804BF1">
      <w:r>
        <w:t xml:space="preserve">A </w:t>
      </w:r>
      <w:r w:rsidR="00872908" w:rsidRPr="00936BCD">
        <w:t xml:space="preserve">seminar </w:t>
      </w:r>
      <w:r>
        <w:t xml:space="preserve">was hosted </w:t>
      </w:r>
      <w:r w:rsidR="00872908" w:rsidRPr="00936BCD">
        <w:t>on</w:t>
      </w:r>
      <w:r>
        <w:t xml:space="preserve"> the theme </w:t>
      </w:r>
      <w:r w:rsidR="00872908" w:rsidRPr="00936BCD">
        <w:t>Enabling Independent Living through promoting Universal Design of Health Servic</w:t>
      </w:r>
      <w:r>
        <w:t xml:space="preserve">es for Telecare and Telehealth </w:t>
      </w:r>
      <w:r w:rsidR="00872908" w:rsidRPr="00936BCD">
        <w:t>on 23</w:t>
      </w:r>
      <w:r w:rsidR="00872908" w:rsidRPr="00936BCD">
        <w:rPr>
          <w:vertAlign w:val="superscript"/>
        </w:rPr>
        <w:t>rd</w:t>
      </w:r>
      <w:r w:rsidR="00872908" w:rsidRPr="00936BCD">
        <w:t xml:space="preserve"> May </w:t>
      </w:r>
      <w:r w:rsidR="000C07B2">
        <w:t xml:space="preserve">2012 </w:t>
      </w:r>
      <w:r w:rsidR="00872908" w:rsidRPr="00936BCD">
        <w:t xml:space="preserve">in </w:t>
      </w:r>
      <w:smartTag w:uri="urn:schemas-microsoft-com:office:smarttags" w:element="place">
        <w:smartTag w:uri="urn:schemas-microsoft-com:office:smarttags" w:element="PlaceName">
          <w:r w:rsidR="00872908" w:rsidRPr="00936BCD">
            <w:t>Croke</w:t>
          </w:r>
        </w:smartTag>
        <w:r w:rsidR="00872908" w:rsidRPr="00936BCD">
          <w:t xml:space="preserve"> </w:t>
        </w:r>
        <w:smartTag w:uri="urn:schemas-microsoft-com:office:smarttags" w:element="PlaceType">
          <w:r w:rsidR="00872908" w:rsidRPr="00936BCD">
            <w:t>Park</w:t>
          </w:r>
        </w:smartTag>
      </w:smartTag>
      <w:r w:rsidR="00872908" w:rsidRPr="00936BCD">
        <w:t>.</w:t>
      </w:r>
      <w:r w:rsidR="008442EC">
        <w:t xml:space="preserve"> </w:t>
      </w:r>
      <w:r w:rsidR="00872908" w:rsidRPr="00936BCD">
        <w:t xml:space="preserve">Keynote speeches were delivered by Cathal Magee, CEO of the HSE and Prof Stan Newman, Principal Investigator of the Whole Systems Demonstrator project, </w:t>
      </w:r>
      <w:smartTag w:uri="urn:schemas-microsoft-com:office:smarttags" w:element="place">
        <w:smartTag w:uri="urn:schemas-microsoft-com:office:smarttags" w:element="country-region">
          <w:r w:rsidR="00872908" w:rsidRPr="00936BCD">
            <w:t>UK</w:t>
          </w:r>
        </w:smartTag>
      </w:smartTag>
      <w:r w:rsidR="00872908" w:rsidRPr="00936BCD">
        <w:t>.</w:t>
      </w:r>
      <w:r w:rsidR="008442EC">
        <w:t xml:space="preserve"> </w:t>
      </w:r>
      <w:r w:rsidR="00872908" w:rsidRPr="00936BCD">
        <w:t xml:space="preserve">The seminar was </w:t>
      </w:r>
      <w:r w:rsidR="00C664AF">
        <w:t xml:space="preserve">well-attended by health </w:t>
      </w:r>
      <w:r w:rsidR="00872908" w:rsidRPr="00936BCD">
        <w:t>practitioners, industry, representative bodies, Health Service Executive and Department of Health officials.</w:t>
      </w:r>
      <w:r w:rsidR="008442EC">
        <w:t xml:space="preserve"> </w:t>
      </w:r>
      <w:r w:rsidR="002415A4">
        <w:t xml:space="preserve">The </w:t>
      </w:r>
      <w:r w:rsidR="007C09D2">
        <w:t>National Disability Authority</w:t>
      </w:r>
      <w:r w:rsidR="00872908" w:rsidRPr="00936BCD">
        <w:t xml:space="preserve"> outlined it</w:t>
      </w:r>
      <w:r w:rsidR="000C07B2">
        <w:t>s</w:t>
      </w:r>
      <w:r w:rsidR="00872908" w:rsidRPr="00936BCD">
        <w:t xml:space="preserve"> plans to conduct research on telehealth/telecare in </w:t>
      </w:r>
      <w:smartTag w:uri="urn:schemas-microsoft-com:office:smarttags" w:element="place">
        <w:smartTag w:uri="urn:schemas-microsoft-com:office:smarttags" w:element="country-region">
          <w:r w:rsidR="00872908" w:rsidRPr="00936BCD">
            <w:t>Ireland</w:t>
          </w:r>
        </w:smartTag>
      </w:smartTag>
      <w:r w:rsidR="00C664AF">
        <w:t xml:space="preserve">. </w:t>
      </w:r>
    </w:p>
    <w:p w:rsidR="00872908" w:rsidRPr="0041089E" w:rsidRDefault="00872908" w:rsidP="00971080">
      <w:pPr>
        <w:pStyle w:val="Heading2"/>
      </w:pPr>
      <w:bookmarkStart w:id="30" w:name="_Toc335836352"/>
      <w:r w:rsidRPr="0041089E">
        <w:t>Education</w:t>
      </w:r>
      <w:bookmarkEnd w:id="30"/>
    </w:p>
    <w:p w:rsidR="00872908" w:rsidRPr="00936BCD" w:rsidRDefault="000C07B2" w:rsidP="00804BF1">
      <w:pPr>
        <w:pStyle w:val="Heading3"/>
      </w:pPr>
      <w:bookmarkStart w:id="31" w:name="_Toc335836353"/>
      <w:r>
        <w:t>U</w:t>
      </w:r>
      <w:r w:rsidRPr="00936BCD">
        <w:t xml:space="preserve">niversal </w:t>
      </w:r>
      <w:r>
        <w:t>D</w:t>
      </w:r>
      <w:r w:rsidRPr="00936BCD">
        <w:t xml:space="preserve">esign </w:t>
      </w:r>
      <w:r w:rsidR="00872908" w:rsidRPr="00936BCD">
        <w:t>module</w:t>
      </w:r>
      <w:bookmarkEnd w:id="31"/>
      <w:r w:rsidR="00971080">
        <w:t xml:space="preserve"> for third level curriculum</w:t>
      </w:r>
    </w:p>
    <w:p w:rsidR="00872908" w:rsidRPr="00936BCD" w:rsidRDefault="00872908" w:rsidP="00804BF1">
      <w:pPr>
        <w:rPr>
          <w:rFonts w:cs="Arial"/>
        </w:rPr>
      </w:pPr>
      <w:r w:rsidRPr="00936BCD">
        <w:rPr>
          <w:rFonts w:cs="Arial"/>
        </w:rPr>
        <w:t xml:space="preserve">The National Disability Authority’s Centre for Excellence in Universal Design completed </w:t>
      </w:r>
      <w:r w:rsidR="00971080">
        <w:rPr>
          <w:rFonts w:cs="Arial"/>
        </w:rPr>
        <w:t xml:space="preserve">a </w:t>
      </w:r>
      <w:r w:rsidRPr="00936BCD">
        <w:rPr>
          <w:rFonts w:cs="Arial"/>
        </w:rPr>
        <w:t>project to develop a module on universal design that is suitable for use in all first year engineering, architecture, technology and design courses. A consortium of third-level educational institutions was engaged in the development of the curriculum and its content materials in 2011, which were trialled in 2012 in various third-level colleges.</w:t>
      </w:r>
      <w:r w:rsidR="008442EC">
        <w:rPr>
          <w:rFonts w:cs="Arial"/>
        </w:rPr>
        <w:t xml:space="preserve"> </w:t>
      </w:r>
      <w:r w:rsidRPr="00936BCD">
        <w:rPr>
          <w:rFonts w:cs="Arial"/>
        </w:rPr>
        <w:t>The module content is being used by CEUD staff in guest lectures to 3</w:t>
      </w:r>
      <w:r w:rsidRPr="00936BCD">
        <w:rPr>
          <w:rFonts w:cs="Arial"/>
          <w:vertAlign w:val="superscript"/>
        </w:rPr>
        <w:t>rd</w:t>
      </w:r>
      <w:r w:rsidRPr="00936BCD">
        <w:rPr>
          <w:rFonts w:cs="Arial"/>
        </w:rPr>
        <w:t xml:space="preserve"> level students.</w:t>
      </w:r>
      <w:r w:rsidR="008442EC">
        <w:rPr>
          <w:rFonts w:cs="Arial"/>
        </w:rPr>
        <w:t xml:space="preserve"> </w:t>
      </w:r>
      <w:r w:rsidRPr="00936BCD">
        <w:rPr>
          <w:rFonts w:cs="Arial"/>
        </w:rPr>
        <w:t>The project identified a number of strategies for the roll-out of the curriculum to be followed up in 2013.</w:t>
      </w:r>
    </w:p>
    <w:p w:rsidR="00872908" w:rsidRPr="0041089E" w:rsidRDefault="00971080" w:rsidP="00804BF1">
      <w:pPr>
        <w:pStyle w:val="Heading3"/>
      </w:pPr>
      <w:bookmarkStart w:id="32" w:name="_Toc335836354"/>
      <w:r>
        <w:t xml:space="preserve">Pilot module on </w:t>
      </w:r>
      <w:r w:rsidR="000C07B2">
        <w:t>U</w:t>
      </w:r>
      <w:r w:rsidR="000C07B2" w:rsidRPr="0041089E">
        <w:t xml:space="preserve">niversal </w:t>
      </w:r>
      <w:r w:rsidR="000C07B2">
        <w:t>D</w:t>
      </w:r>
      <w:r w:rsidR="000C07B2" w:rsidRPr="0041089E">
        <w:t xml:space="preserve">esign </w:t>
      </w:r>
      <w:bookmarkEnd w:id="32"/>
      <w:r>
        <w:t>for second level curriculum</w:t>
      </w:r>
    </w:p>
    <w:p w:rsidR="007064BD" w:rsidRPr="00872908" w:rsidRDefault="00872908" w:rsidP="00804BF1">
      <w:pPr>
        <w:rPr>
          <w:lang w:val="en-GB"/>
        </w:rPr>
      </w:pPr>
      <w:r w:rsidRPr="00936BCD">
        <w:t xml:space="preserve">The National Disability Authority’s Centre for Excellence in Universal Design conducted a project in collaboration with Cambridge University </w:t>
      </w:r>
      <w:r w:rsidR="000C07B2">
        <w:t xml:space="preserve">(UK) </w:t>
      </w:r>
      <w:r w:rsidRPr="00936BCD">
        <w:t>which involve</w:t>
      </w:r>
      <w:r w:rsidR="000C07B2">
        <w:t>d</w:t>
      </w:r>
      <w:r w:rsidRPr="00936BCD">
        <w:t xml:space="preserve"> operating pilot trials of a </w:t>
      </w:r>
      <w:r w:rsidR="000C07B2">
        <w:t>U</w:t>
      </w:r>
      <w:r w:rsidR="000C07B2" w:rsidRPr="00936BCD">
        <w:t xml:space="preserve">niversal </w:t>
      </w:r>
      <w:r w:rsidR="000C07B2">
        <w:t>D</w:t>
      </w:r>
      <w:r w:rsidR="000C07B2" w:rsidRPr="00936BCD">
        <w:t xml:space="preserve">esign </w:t>
      </w:r>
      <w:r w:rsidRPr="00936BCD">
        <w:t xml:space="preserve">curriculum module at second-level in technology-focused transition year programmes. The curriculum introduces second level students to design problem-solving based on user-centred design practices to create </w:t>
      </w:r>
      <w:r w:rsidR="000C07B2">
        <w:t>U</w:t>
      </w:r>
      <w:r w:rsidR="000C07B2" w:rsidRPr="00936BCD">
        <w:t xml:space="preserve">niversal </w:t>
      </w:r>
      <w:r w:rsidR="000C07B2">
        <w:t>D</w:t>
      </w:r>
      <w:r w:rsidR="000C07B2" w:rsidRPr="00936BCD">
        <w:t xml:space="preserve">esign </w:t>
      </w:r>
      <w:r w:rsidRPr="00936BCD">
        <w:t xml:space="preserve">solutions. The project findings and curriculum module were </w:t>
      </w:r>
      <w:r w:rsidR="000C07B2">
        <w:t xml:space="preserve">further </w:t>
      </w:r>
      <w:r w:rsidRPr="00936BCD">
        <w:t xml:space="preserve">reviewed </w:t>
      </w:r>
      <w:r w:rsidR="000C07B2">
        <w:t>in</w:t>
      </w:r>
      <w:r w:rsidR="000C07B2" w:rsidRPr="00936BCD">
        <w:t xml:space="preserve"> </w:t>
      </w:r>
      <w:r w:rsidRPr="00936BCD">
        <w:t>rollout strategy workshops with second level instructors. Planning is underway for a 2013 project to optimise the curriculum for a Short Course that will align with the National Council for Curriculum and Assessment, revised Junior Cycle Framework.</w:t>
      </w:r>
    </w:p>
    <w:p w:rsidR="003F5876" w:rsidRDefault="0002481D" w:rsidP="0039617A">
      <w:pPr>
        <w:pStyle w:val="Heading1"/>
      </w:pPr>
      <w:bookmarkStart w:id="33" w:name="_Toc368058750"/>
      <w:r w:rsidRPr="0002481D">
        <w:t xml:space="preserve">Strategic </w:t>
      </w:r>
      <w:r>
        <w:t>p</w:t>
      </w:r>
      <w:r w:rsidRPr="0002481D">
        <w:t>riority 4</w:t>
      </w:r>
      <w:bookmarkEnd w:id="33"/>
    </w:p>
    <w:p w:rsidR="0002481D" w:rsidRPr="007A75A8" w:rsidRDefault="0002481D" w:rsidP="00804BF1">
      <w:pPr>
        <w:rPr>
          <w:b/>
        </w:rPr>
      </w:pPr>
      <w:r w:rsidRPr="007A75A8">
        <w:rPr>
          <w:b/>
        </w:rPr>
        <w:t>To build the National Disability Authority’s capacity to deliver on its strategic goals</w:t>
      </w:r>
    </w:p>
    <w:p w:rsidR="007A75A8" w:rsidRDefault="007A75A8" w:rsidP="00804BF1">
      <w:r w:rsidRPr="007A75A8">
        <w:rPr>
          <w:lang w:val="en-GB"/>
        </w:rPr>
        <w:t>The N</w:t>
      </w:r>
      <w:r w:rsidR="009B319C">
        <w:rPr>
          <w:lang w:val="en-GB"/>
        </w:rPr>
        <w:t xml:space="preserve">ational </w:t>
      </w:r>
      <w:r w:rsidRPr="007A75A8">
        <w:rPr>
          <w:lang w:val="en-GB"/>
        </w:rPr>
        <w:t>D</w:t>
      </w:r>
      <w:r w:rsidR="009B319C">
        <w:rPr>
          <w:lang w:val="en-GB"/>
        </w:rPr>
        <w:t xml:space="preserve">isability </w:t>
      </w:r>
      <w:r w:rsidRPr="007A75A8">
        <w:rPr>
          <w:lang w:val="en-GB"/>
        </w:rPr>
        <w:t>A</w:t>
      </w:r>
      <w:r w:rsidR="009B319C">
        <w:rPr>
          <w:lang w:val="en-GB"/>
        </w:rPr>
        <w:t>uthority</w:t>
      </w:r>
      <w:r w:rsidRPr="007A75A8">
        <w:rPr>
          <w:lang w:val="en-GB"/>
        </w:rPr>
        <w:t xml:space="preserve"> continued to work to achieve efficiencies and enhance capacity and quality of its work during 2012, despite the challen</w:t>
      </w:r>
      <w:r>
        <w:rPr>
          <w:lang w:val="en-GB"/>
        </w:rPr>
        <w:t xml:space="preserve">ges of reduced staff numbers. </w:t>
      </w:r>
      <w:r w:rsidRPr="007A75A8">
        <w:rPr>
          <w:lang w:val="en-GB"/>
        </w:rPr>
        <w:t xml:space="preserve">This included </w:t>
      </w:r>
      <w:r w:rsidR="00157504">
        <w:rPr>
          <w:lang w:val="en-GB"/>
        </w:rPr>
        <w:t>continuing to</w:t>
      </w:r>
      <w:r w:rsidRPr="007A75A8">
        <w:rPr>
          <w:lang w:val="en-GB"/>
        </w:rPr>
        <w:t xml:space="preserve"> avail of the shared IT and finance support services from the Department of Justice and Equality</w:t>
      </w:r>
      <w:r w:rsidR="00157504">
        <w:rPr>
          <w:lang w:val="en-GB"/>
        </w:rPr>
        <w:t>,</w:t>
      </w:r>
      <w:r w:rsidRPr="007A75A8">
        <w:rPr>
          <w:lang w:val="en-GB"/>
        </w:rPr>
        <w:t xml:space="preserve"> in line with Government</w:t>
      </w:r>
      <w:r>
        <w:rPr>
          <w:lang w:val="en-GB"/>
        </w:rPr>
        <w:t xml:space="preserve"> policy </w:t>
      </w:r>
      <w:r w:rsidR="00157504">
        <w:rPr>
          <w:lang w:val="en-GB"/>
        </w:rPr>
        <w:t>on shared services</w:t>
      </w:r>
      <w:r>
        <w:rPr>
          <w:lang w:val="en-GB"/>
        </w:rPr>
        <w:t xml:space="preserve">. </w:t>
      </w:r>
      <w:r w:rsidRPr="007A75A8">
        <w:rPr>
          <w:lang w:val="en-GB"/>
        </w:rPr>
        <w:t>Other specific developments are described below.</w:t>
      </w:r>
    </w:p>
    <w:p w:rsidR="005E62C6" w:rsidRPr="0063792D" w:rsidRDefault="005E62C6" w:rsidP="005E62C6">
      <w:pPr>
        <w:pStyle w:val="Heading2"/>
        <w:rPr>
          <w:lang w:val="ga-IE"/>
        </w:rPr>
      </w:pPr>
      <w:r w:rsidRPr="0063792D">
        <w:t>Access Officer</w:t>
      </w:r>
    </w:p>
    <w:p w:rsidR="005E62C6" w:rsidRPr="005E62C6" w:rsidRDefault="005E62C6" w:rsidP="005E62C6">
      <w:pPr>
        <w:rPr>
          <w:lang w:val="en-GB"/>
        </w:rPr>
      </w:pPr>
      <w:r w:rsidRPr="005E62C6">
        <w:rPr>
          <w:lang w:val="en-GB"/>
        </w:rPr>
        <w:t xml:space="preserve">The National Disability Authority's Access Officer, appointed in line with the Disability Act, continued to arrange appropriate assistance for people with disabilities who used the Authority's information and services. The Access Officer's details are available on the </w:t>
      </w:r>
      <w:r w:rsidR="00C465CA" w:rsidRPr="006309CB">
        <w:rPr>
          <w:lang w:val="ga-IE" w:eastAsia="en-GB"/>
        </w:rPr>
        <w:t>National Disability Authority</w:t>
      </w:r>
      <w:r w:rsidRPr="005E62C6">
        <w:rPr>
          <w:lang w:val="en-GB"/>
        </w:rPr>
        <w:t xml:space="preserve"> website home page.</w:t>
      </w:r>
    </w:p>
    <w:p w:rsidR="005E62C6" w:rsidRPr="0063792D" w:rsidRDefault="005E62C6" w:rsidP="005E62C6">
      <w:pPr>
        <w:pStyle w:val="Heading2"/>
        <w:rPr>
          <w:lang w:val="ga-IE"/>
        </w:rPr>
      </w:pPr>
      <w:r w:rsidRPr="0063792D">
        <w:t>Library service</w:t>
      </w:r>
    </w:p>
    <w:p w:rsidR="005E62C6" w:rsidRDefault="005E62C6" w:rsidP="005E62C6">
      <w:r w:rsidRPr="00D875F3">
        <w:rPr>
          <w:lang w:val="en-GB"/>
        </w:rPr>
        <w:t>The National Disability Authority holds over 55,000 items on disability and related topics, providing a resource to support evidence-informed advice and guidance developed by the Authority.</w:t>
      </w:r>
      <w:r w:rsidR="00D63B5A">
        <w:rPr>
          <w:lang w:val="en-GB"/>
        </w:rPr>
        <w:t xml:space="preserve"> </w:t>
      </w:r>
      <w:r w:rsidRPr="00D875F3">
        <w:rPr>
          <w:lang w:val="en-GB"/>
        </w:rPr>
        <w:t>The extensive collection is made up of books, journals, newsletter</w:t>
      </w:r>
      <w:r>
        <w:rPr>
          <w:lang w:val="en-GB"/>
        </w:rPr>
        <w:t>s</w:t>
      </w:r>
      <w:r w:rsidRPr="00D875F3">
        <w:rPr>
          <w:lang w:val="en-GB"/>
        </w:rPr>
        <w:t xml:space="preserve">, </w:t>
      </w:r>
      <w:r>
        <w:rPr>
          <w:lang w:val="en-GB"/>
        </w:rPr>
        <w:t>DVDs, videos and CD ROMs. As well as offering an on-</w:t>
      </w:r>
      <w:r w:rsidRPr="00D875F3">
        <w:rPr>
          <w:lang w:val="en-GB"/>
        </w:rPr>
        <w:t>line catalogue</w:t>
      </w:r>
      <w:r w:rsidR="002415A4">
        <w:rPr>
          <w:lang w:val="en-GB"/>
        </w:rPr>
        <w:t>,</w:t>
      </w:r>
      <w:r w:rsidRPr="00D875F3">
        <w:rPr>
          <w:lang w:val="en-GB"/>
        </w:rPr>
        <w:t xml:space="preserve"> the Library also provides books and journal articles by post and people can visit the library for more in</w:t>
      </w:r>
      <w:r>
        <w:rPr>
          <w:lang w:val="en-GB"/>
        </w:rPr>
        <w:t xml:space="preserve"> </w:t>
      </w:r>
      <w:r w:rsidRPr="00D875F3">
        <w:rPr>
          <w:lang w:val="en-GB"/>
        </w:rPr>
        <w:t>depth work.</w:t>
      </w:r>
      <w:r w:rsidR="00D63B5A">
        <w:rPr>
          <w:lang w:val="en-GB"/>
        </w:rPr>
        <w:t xml:space="preserve"> </w:t>
      </w:r>
    </w:p>
    <w:p w:rsidR="005E62C6" w:rsidRDefault="005E62C6" w:rsidP="005E62C6">
      <w:r w:rsidRPr="0063792D">
        <w:t>During 2012, the Library answered roughly 400 queries, with 13 new members joining up during the year. The Library also provided roughly 50 books on loan, 50 documents, and 26 journal articles.</w:t>
      </w:r>
    </w:p>
    <w:p w:rsidR="005E62C6" w:rsidRPr="00EC1FC5" w:rsidRDefault="005E62C6" w:rsidP="005E62C6">
      <w:pPr>
        <w:pStyle w:val="Heading2"/>
      </w:pPr>
      <w:r w:rsidRPr="00EC1FC5">
        <w:t>eNewsletter</w:t>
      </w:r>
    </w:p>
    <w:p w:rsidR="005E62C6" w:rsidRDefault="005E62C6" w:rsidP="005E62C6">
      <w:r w:rsidRPr="00EC1FC5">
        <w:t>In 2012, the National Disability</w:t>
      </w:r>
      <w:r>
        <w:t xml:space="preserve"> Authority published its first electronic Newsletter. The quarterly </w:t>
      </w:r>
      <w:r w:rsidRPr="00EC1FC5">
        <w:t xml:space="preserve">Newsletter is </w:t>
      </w:r>
      <w:r>
        <w:t xml:space="preserve">e-mailed </w:t>
      </w:r>
      <w:r w:rsidRPr="00EC1FC5">
        <w:t xml:space="preserve">to over 2,000 subscribers. It keeps people informed and up to date on the work of the National Disability Authority in its key areas of Policy, Research, Standards and Universal Design. People can get archived copies of the eNewsletter or if they would like to become a subscriber can sign up on line at </w:t>
      </w:r>
      <w:hyperlink r:id="rId10" w:history="1">
        <w:r w:rsidRPr="00A85014">
          <w:rPr>
            <w:rStyle w:val="Hyperlink"/>
          </w:rPr>
          <w:t>www.nda.ie</w:t>
        </w:r>
      </w:hyperlink>
      <w:r>
        <w:t>.</w:t>
      </w:r>
    </w:p>
    <w:p w:rsidR="0063792D" w:rsidRDefault="0063792D" w:rsidP="007A75A8">
      <w:pPr>
        <w:pStyle w:val="Heading2"/>
      </w:pPr>
      <w:r w:rsidRPr="0063792D">
        <w:t>Finance and governance</w:t>
      </w:r>
    </w:p>
    <w:p w:rsidR="005B5635" w:rsidRPr="005B5635" w:rsidRDefault="005B5635" w:rsidP="005B5635">
      <w:pPr>
        <w:rPr>
          <w:lang w:val="en-GB"/>
        </w:rPr>
      </w:pPr>
      <w:r w:rsidRPr="005B5635">
        <w:rPr>
          <w:lang w:val="en-GB"/>
        </w:rPr>
        <w:t xml:space="preserve">In line with good governance the National Disability Authority has </w:t>
      </w:r>
      <w:r w:rsidR="0045766B">
        <w:rPr>
          <w:lang w:val="en-GB"/>
        </w:rPr>
        <w:t>a</w:t>
      </w:r>
      <w:r w:rsidRPr="005B5635">
        <w:rPr>
          <w:lang w:val="en-GB"/>
        </w:rPr>
        <w:t>n independent audit committee who continued to meet during 2012. An independent review of internal financial control</w:t>
      </w:r>
      <w:r>
        <w:rPr>
          <w:lang w:val="en-GB"/>
        </w:rPr>
        <w:t xml:space="preserve">s was completed in April 2012. </w:t>
      </w:r>
      <w:r w:rsidRPr="005B5635">
        <w:rPr>
          <w:lang w:val="en-GB"/>
        </w:rPr>
        <w:t>Work was advanced on refinement of a fixed asset register in line with good practice and the recommendations of Internal Audit.</w:t>
      </w:r>
    </w:p>
    <w:p w:rsidR="005B5635" w:rsidRDefault="005B5635" w:rsidP="005B5635">
      <w:pPr>
        <w:rPr>
          <w:lang w:val="en-GB"/>
        </w:rPr>
      </w:pPr>
      <w:r w:rsidRPr="005B5635">
        <w:rPr>
          <w:lang w:val="en-GB"/>
        </w:rPr>
        <w:t>A further revised Governance Manual, including a new policy on good faith reporting, was approved by the Authority in 2012.</w:t>
      </w:r>
    </w:p>
    <w:p w:rsidR="005E62C6" w:rsidRPr="0063792D" w:rsidRDefault="005E62C6" w:rsidP="005E62C6">
      <w:pPr>
        <w:pStyle w:val="Heading2"/>
        <w:rPr>
          <w:lang w:val="ga-IE"/>
        </w:rPr>
      </w:pPr>
      <w:r w:rsidRPr="0063792D">
        <w:t>Financial statements</w:t>
      </w:r>
    </w:p>
    <w:p w:rsidR="005E62C6" w:rsidRDefault="005E62C6" w:rsidP="005E62C6">
      <w:r w:rsidRPr="005E62C6">
        <w:rPr>
          <w:lang w:val="en-GB"/>
        </w:rPr>
        <w:t>In line with the National Disability Authority Act 1999, the Authority prepared a</w:t>
      </w:r>
      <w:r>
        <w:rPr>
          <w:lang w:val="en-GB"/>
        </w:rPr>
        <w:t>nd submitted financial accounts</w:t>
      </w:r>
      <w:r w:rsidRPr="005E62C6">
        <w:rPr>
          <w:lang w:val="en-GB"/>
        </w:rPr>
        <w:t>, for 2011, for audit by the Co</w:t>
      </w:r>
      <w:r>
        <w:rPr>
          <w:lang w:val="en-GB"/>
        </w:rPr>
        <w:t xml:space="preserve">mptroller and Auditor General. </w:t>
      </w:r>
      <w:r w:rsidRPr="005E62C6">
        <w:rPr>
          <w:lang w:val="en-GB"/>
        </w:rPr>
        <w:t>The statements were approved in August 2012 and included as part of the 2012 Annual report which was submitted to the Minister in September 2012.</w:t>
      </w:r>
    </w:p>
    <w:p w:rsidR="005E62C6" w:rsidRDefault="005E62C6" w:rsidP="005E62C6">
      <w:pPr>
        <w:pStyle w:val="Heading2"/>
        <w:rPr>
          <w:lang w:val="en-GB" w:eastAsia="en-GB"/>
        </w:rPr>
      </w:pPr>
      <w:r>
        <w:rPr>
          <w:lang w:val="en-GB" w:eastAsia="en-GB"/>
        </w:rPr>
        <w:t>Human Resources Strategy 2011</w:t>
      </w:r>
      <w:r w:rsidR="0050485E">
        <w:rPr>
          <w:lang w:val="en-GB" w:eastAsia="en-GB"/>
        </w:rPr>
        <w:t>–</w:t>
      </w:r>
      <w:r>
        <w:rPr>
          <w:lang w:val="en-GB" w:eastAsia="en-GB"/>
        </w:rPr>
        <w:t>2013</w:t>
      </w:r>
    </w:p>
    <w:p w:rsidR="005E62C6" w:rsidRPr="005B5635" w:rsidRDefault="005E62C6" w:rsidP="005E62C6">
      <w:r>
        <w:rPr>
          <w:lang w:val="en-GB" w:eastAsia="en-GB"/>
        </w:rPr>
        <w:t>The National Disability Authority's Human Resources Strategy 2011</w:t>
      </w:r>
      <w:r w:rsidR="0050485E">
        <w:rPr>
          <w:lang w:val="en-GB" w:eastAsia="en-GB"/>
        </w:rPr>
        <w:t>–</w:t>
      </w:r>
      <w:r>
        <w:rPr>
          <w:lang w:val="en-GB" w:eastAsia="en-GB"/>
        </w:rPr>
        <w:t xml:space="preserve">2013 outlines the actions that will be advanced, mainly through the HR function of the organisation to build capacity and ensure resources can be deployed to best effect to deliver Strategic Plan </w:t>
      </w:r>
      <w:r w:rsidRPr="005B5635">
        <w:t>objectives. During 2012 a range of actions were advanced including in relation to the delivery of training, work</w:t>
      </w:r>
      <w:r>
        <w:t>-</w:t>
      </w:r>
      <w:r w:rsidRPr="005B5635">
        <w:t xml:space="preserve">planning and monitoring of the Performance Management Development System. This also covered the continued implementation of </w:t>
      </w:r>
      <w:r>
        <w:t>a</w:t>
      </w:r>
      <w:r w:rsidRPr="005B5635">
        <w:t xml:space="preserve">ctions committed in the </w:t>
      </w:r>
      <w:r w:rsidR="006B750E" w:rsidRPr="006309CB">
        <w:rPr>
          <w:lang w:val="ga-IE" w:eastAsia="en-GB"/>
        </w:rPr>
        <w:t>National Disability Authority</w:t>
      </w:r>
      <w:r>
        <w:t>’s</w:t>
      </w:r>
      <w:r w:rsidRPr="005B5635">
        <w:t xml:space="preserve"> Croke Park Action Plan</w:t>
      </w:r>
      <w:r>
        <w:t>.</w:t>
      </w:r>
    </w:p>
    <w:p w:rsidR="005E62C6" w:rsidRPr="0063792D" w:rsidRDefault="005E62C6" w:rsidP="005E62C6">
      <w:pPr>
        <w:pStyle w:val="Heading2"/>
        <w:rPr>
          <w:lang w:val="ga-IE"/>
        </w:rPr>
      </w:pPr>
      <w:r w:rsidRPr="0063792D">
        <w:t>Attendance management policy</w:t>
      </w:r>
    </w:p>
    <w:p w:rsidR="005E62C6" w:rsidRDefault="005E62C6" w:rsidP="005E62C6">
      <w:r w:rsidRPr="0077452C">
        <w:t xml:space="preserve">The development of an enhanced Attendance Management policy, following consultation with staff, union and partnership, was finalised in 2012. Arrangements for training of line managers was organised for the coming year to facilitate the roll out of </w:t>
      </w:r>
      <w:r>
        <w:t>t</w:t>
      </w:r>
      <w:r w:rsidRPr="0077452C">
        <w:t>he new policy.</w:t>
      </w:r>
    </w:p>
    <w:p w:rsidR="005E62C6" w:rsidRDefault="005E62C6" w:rsidP="005E62C6">
      <w:pPr>
        <w:pStyle w:val="Heading2"/>
      </w:pPr>
      <w:r>
        <w:t>Training and development</w:t>
      </w:r>
    </w:p>
    <w:p w:rsidR="005E62C6" w:rsidRDefault="005E62C6" w:rsidP="005E62C6">
      <w:pPr>
        <w:rPr>
          <w:lang w:val="en-GB" w:eastAsia="en-GB"/>
        </w:rPr>
      </w:pPr>
      <w:r>
        <w:rPr>
          <w:lang w:val="en-GB" w:eastAsia="en-GB"/>
        </w:rPr>
        <w:t xml:space="preserve">The Performance Management and Development System is the core mechanism used to assess, manage and support individual staff performance in line with current practice in the public service. Training needs identified inform the </w:t>
      </w:r>
      <w:r w:rsidR="00C465CA" w:rsidRPr="006309CB">
        <w:rPr>
          <w:lang w:val="ga-IE" w:eastAsia="en-GB"/>
        </w:rPr>
        <w:t>National Disability Authority</w:t>
      </w:r>
      <w:r w:rsidR="00C465CA">
        <w:rPr>
          <w:lang w:val="en-GB" w:eastAsia="en-GB"/>
        </w:rPr>
        <w:t xml:space="preserve"> </w:t>
      </w:r>
      <w:r>
        <w:rPr>
          <w:lang w:val="en-GB" w:eastAsia="en-GB"/>
        </w:rPr>
        <w:t xml:space="preserve">training plan in response to individual needs and areas identified for focused training programmes. </w:t>
      </w:r>
    </w:p>
    <w:p w:rsidR="005E62C6" w:rsidRPr="00435E35" w:rsidRDefault="005E62C6" w:rsidP="005E62C6">
      <w:r>
        <w:rPr>
          <w:lang w:val="en-GB" w:eastAsia="en-GB"/>
        </w:rPr>
        <w:t xml:space="preserve">During 2012, a leadership development training programme was provided to senior and middle managers in accordance with the identified competencies for enhancing organisational performance. In addition, line management training was initiated for all line managers in relation to their role in managing staff and supporting their development. Other specific training programmes to enhance key skills for the </w:t>
      </w:r>
      <w:r w:rsidR="00C465CA" w:rsidRPr="006309CB">
        <w:rPr>
          <w:lang w:val="ga-IE" w:eastAsia="en-GB"/>
        </w:rPr>
        <w:t>National Disability Authority</w:t>
      </w:r>
      <w:r>
        <w:rPr>
          <w:lang w:val="en-GB" w:eastAsia="en-GB"/>
        </w:rPr>
        <w:t xml:space="preserve"> included training on use of Excel to assist in data analysis and production of statutory reports.</w:t>
      </w:r>
    </w:p>
    <w:p w:rsidR="005E62C6" w:rsidRDefault="005E62C6" w:rsidP="005E62C6">
      <w:r>
        <w:t>National Disability Authority staff completed the eLearning disability awareness training module for public sector staff. This training is a cost-effective way, in line with the public sector transformation agenda, to provide the information and skills to improve and enhance services to people with disabilities.</w:t>
      </w:r>
    </w:p>
    <w:p w:rsidR="005E62C6" w:rsidRPr="00EC1FC5" w:rsidRDefault="005E62C6" w:rsidP="005E62C6">
      <w:pPr>
        <w:pStyle w:val="Heading2"/>
      </w:pPr>
      <w:r w:rsidRPr="00EC1FC5">
        <w:t>Review of project management system</w:t>
      </w:r>
    </w:p>
    <w:p w:rsidR="005E62C6" w:rsidRDefault="005E62C6" w:rsidP="005E62C6">
      <w:r w:rsidRPr="00EC1FC5">
        <w:t>As part of its commitment to continuous improvement the National Disability Authority carried out an internal review</w:t>
      </w:r>
      <w:r>
        <w:t xml:space="preserve"> </w:t>
      </w:r>
      <w:r w:rsidRPr="00EC1FC5">
        <w:t>of its Project Management System. A number of recommendations will be advanced in 2013 to improve on how the National Disability Authority does its work.</w:t>
      </w:r>
    </w:p>
    <w:p w:rsidR="0063792D" w:rsidRDefault="0063792D" w:rsidP="007A75A8">
      <w:pPr>
        <w:pStyle w:val="Heading2"/>
      </w:pPr>
      <w:r w:rsidRPr="0063792D">
        <w:t>Partnership</w:t>
      </w:r>
      <w:r>
        <w:t xml:space="preserve"> Committee</w:t>
      </w:r>
    </w:p>
    <w:p w:rsidR="00D875F3" w:rsidRDefault="00D875F3" w:rsidP="00804BF1">
      <w:r w:rsidRPr="00D875F3">
        <w:rPr>
          <w:lang w:val="en-GB"/>
        </w:rPr>
        <w:t>The National Disability Authority's Partnership Committ</w:t>
      </w:r>
      <w:r>
        <w:rPr>
          <w:lang w:val="en-GB"/>
        </w:rPr>
        <w:t xml:space="preserve">ee met on 6 occasions in 2012. </w:t>
      </w:r>
      <w:r w:rsidRPr="00D875F3">
        <w:rPr>
          <w:lang w:val="en-GB"/>
        </w:rPr>
        <w:t>The committee's work programme included a review of how it was working to id</w:t>
      </w:r>
      <w:r>
        <w:rPr>
          <w:lang w:val="en-GB"/>
        </w:rPr>
        <w:t xml:space="preserve">entify areas for improvement. </w:t>
      </w:r>
      <w:r w:rsidRPr="00D875F3">
        <w:rPr>
          <w:lang w:val="en-GB"/>
        </w:rPr>
        <w:t>The Committee supported the development of a pilot staff suggestion scheme where staff could put forward ideas on how operations could be improved to achieve efficiencies, including financial savings where possible an</w:t>
      </w:r>
      <w:r>
        <w:rPr>
          <w:lang w:val="en-GB"/>
        </w:rPr>
        <w:t xml:space="preserve">d enhanced health and safety. </w:t>
      </w:r>
      <w:r w:rsidRPr="00D875F3">
        <w:rPr>
          <w:lang w:val="en-GB"/>
        </w:rPr>
        <w:t>Nine suggestions were submitted and four qualified for an award, including efficiencies in administration time and costs in relation to use of public transport</w:t>
      </w:r>
      <w:r w:rsidR="005E62C6">
        <w:rPr>
          <w:lang w:val="en-GB"/>
        </w:rPr>
        <w:t>,</w:t>
      </w:r>
      <w:r w:rsidRPr="00D875F3">
        <w:rPr>
          <w:lang w:val="en-GB"/>
        </w:rPr>
        <w:t xml:space="preserve"> and processing leave requests.</w:t>
      </w:r>
    </w:p>
    <w:p w:rsidR="00456BDE" w:rsidRDefault="00456BDE" w:rsidP="007A75A8">
      <w:pPr>
        <w:pStyle w:val="Heading2"/>
      </w:pPr>
      <w:r>
        <w:t>Strategic Plan 2013</w:t>
      </w:r>
      <w:r w:rsidR="00EF1852">
        <w:t>–</w:t>
      </w:r>
      <w:r>
        <w:t>2015</w:t>
      </w:r>
    </w:p>
    <w:p w:rsidR="00EF1852" w:rsidRDefault="00456BDE" w:rsidP="00EF1852">
      <w:r>
        <w:t>The Authority, in line with the National Disability Authority Act 1999, submitted a draft Strategic Plan 2013</w:t>
      </w:r>
      <w:r w:rsidR="00EF1852">
        <w:t>–</w:t>
      </w:r>
      <w:r>
        <w:t>2015, which was approved by the Minister for Justice and Equality.</w:t>
      </w:r>
    </w:p>
    <w:p w:rsidR="0002481D" w:rsidRDefault="0002481D" w:rsidP="0039617A">
      <w:pPr>
        <w:pStyle w:val="Heading1"/>
      </w:pPr>
      <w:bookmarkStart w:id="34" w:name="_Toc368058751"/>
      <w:r w:rsidRPr="0002481D">
        <w:rPr>
          <w:lang w:val="en-GB"/>
        </w:rPr>
        <w:t xml:space="preserve">Financial </w:t>
      </w:r>
      <w:r w:rsidR="002E20E8" w:rsidRPr="0002481D">
        <w:rPr>
          <w:lang w:val="en-GB"/>
        </w:rPr>
        <w:t>statements</w:t>
      </w:r>
      <w:r w:rsidRPr="0002481D">
        <w:rPr>
          <w:lang w:val="en-GB"/>
        </w:rPr>
        <w:t xml:space="preserve"> 2012</w:t>
      </w:r>
      <w:bookmarkEnd w:id="34"/>
    </w:p>
    <w:p w:rsidR="00B87444" w:rsidRDefault="00B87444" w:rsidP="00B87444">
      <w:pPr>
        <w:pStyle w:val="Heading2"/>
      </w:pPr>
      <w:r w:rsidRPr="00300E3E">
        <w:t>Authority Members and other Information</w:t>
      </w:r>
    </w:p>
    <w:p w:rsidR="00B87444" w:rsidRDefault="00B87444" w:rsidP="00B87444">
      <w:pPr>
        <w:pStyle w:val="TableTitle"/>
      </w:pPr>
      <w:r>
        <w:t xml:space="preserve">From January 1st </w:t>
      </w:r>
      <w:r w:rsidR="007F2AF8">
        <w:t>–</w:t>
      </w:r>
      <w:r>
        <w:t xml:space="preserve"> December 31st,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184"/>
        <w:gridCol w:w="1317"/>
        <w:gridCol w:w="1401"/>
      </w:tblGrid>
      <w:tr w:rsidR="00B87444" w:rsidTr="00EC475E">
        <w:trPr>
          <w:trHeight w:val="844"/>
        </w:trPr>
        <w:tc>
          <w:tcPr>
            <w:tcW w:w="2988" w:type="dxa"/>
            <w:shd w:val="clear" w:color="auto" w:fill="auto"/>
            <w:vAlign w:val="center"/>
          </w:tcPr>
          <w:p w:rsidR="00B87444" w:rsidRPr="00662472" w:rsidRDefault="00B87444" w:rsidP="00B87444">
            <w:pPr>
              <w:rPr>
                <w:b/>
              </w:rPr>
            </w:pPr>
            <w:r w:rsidRPr="00662472">
              <w:rPr>
                <w:b/>
              </w:rPr>
              <w:t>Authority Member</w:t>
            </w:r>
          </w:p>
        </w:tc>
        <w:tc>
          <w:tcPr>
            <w:tcW w:w="3780" w:type="dxa"/>
            <w:shd w:val="clear" w:color="auto" w:fill="auto"/>
            <w:vAlign w:val="center"/>
          </w:tcPr>
          <w:p w:rsidR="00B87444" w:rsidRPr="00E35A90" w:rsidRDefault="00B87444" w:rsidP="00B87444">
            <w:pPr>
              <w:rPr>
                <w:b/>
              </w:rPr>
            </w:pPr>
            <w:r w:rsidRPr="00E35A90">
              <w:rPr>
                <w:rFonts w:cs="Arial"/>
                <w:b/>
              </w:rPr>
              <w:t xml:space="preserve">Number of </w:t>
            </w:r>
            <w:r>
              <w:rPr>
                <w:rFonts w:cs="Arial"/>
                <w:b/>
              </w:rPr>
              <w:t xml:space="preserve">Authority </w:t>
            </w:r>
            <w:r w:rsidRPr="00E35A90">
              <w:rPr>
                <w:rFonts w:cs="Arial"/>
                <w:b/>
              </w:rPr>
              <w:t>meetings attended during this period</w:t>
            </w:r>
          </w:p>
        </w:tc>
        <w:tc>
          <w:tcPr>
            <w:tcW w:w="1440" w:type="dxa"/>
            <w:shd w:val="clear" w:color="auto" w:fill="auto"/>
            <w:vAlign w:val="center"/>
          </w:tcPr>
          <w:p w:rsidR="00B87444" w:rsidRPr="00E35A90" w:rsidRDefault="00B87444" w:rsidP="00B87444">
            <w:pPr>
              <w:jc w:val="center"/>
              <w:rPr>
                <w:rFonts w:cs="Arial"/>
                <w:b/>
              </w:rPr>
            </w:pPr>
            <w:r w:rsidRPr="00E35A90">
              <w:rPr>
                <w:rFonts w:cs="Arial"/>
                <w:b/>
              </w:rPr>
              <w:t>Fees</w:t>
            </w:r>
          </w:p>
        </w:tc>
        <w:tc>
          <w:tcPr>
            <w:tcW w:w="1422" w:type="dxa"/>
            <w:shd w:val="clear" w:color="auto" w:fill="auto"/>
            <w:vAlign w:val="center"/>
          </w:tcPr>
          <w:p w:rsidR="00B87444" w:rsidRPr="00E35A90" w:rsidRDefault="00B87444" w:rsidP="00B87444">
            <w:pPr>
              <w:jc w:val="center"/>
              <w:rPr>
                <w:rFonts w:cs="Arial"/>
                <w:b/>
              </w:rPr>
            </w:pPr>
            <w:r w:rsidRPr="00E35A90">
              <w:rPr>
                <w:rFonts w:cs="Arial"/>
                <w:b/>
              </w:rPr>
              <w:t>Expenses</w:t>
            </w:r>
          </w:p>
        </w:tc>
      </w:tr>
      <w:tr w:rsidR="00B87444" w:rsidTr="00EC475E">
        <w:trPr>
          <w:trHeight w:val="620"/>
        </w:trPr>
        <w:tc>
          <w:tcPr>
            <w:tcW w:w="2988" w:type="dxa"/>
            <w:shd w:val="clear" w:color="auto" w:fill="auto"/>
          </w:tcPr>
          <w:p w:rsidR="00B87444" w:rsidRPr="00860880" w:rsidRDefault="00B87444" w:rsidP="00B87444">
            <w:r w:rsidRPr="00860880">
              <w:t xml:space="preserve">Mr. Peter Mc Kevitt, Chairman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10/10</w:t>
            </w:r>
          </w:p>
        </w:tc>
        <w:tc>
          <w:tcPr>
            <w:tcW w:w="1440" w:type="dxa"/>
            <w:shd w:val="clear" w:color="auto" w:fill="auto"/>
            <w:vAlign w:val="center"/>
          </w:tcPr>
          <w:p w:rsidR="00B87444" w:rsidRPr="00E35A90" w:rsidRDefault="00B87444" w:rsidP="00B87444">
            <w:pPr>
              <w:jc w:val="center"/>
              <w:rPr>
                <w:rFonts w:cs="Arial"/>
              </w:rPr>
            </w:pPr>
            <w:r w:rsidRPr="00E35A90">
              <w:rPr>
                <w:rFonts w:cs="Arial"/>
              </w:rPr>
              <w:t>€8,978</w:t>
            </w:r>
          </w:p>
        </w:tc>
        <w:tc>
          <w:tcPr>
            <w:tcW w:w="1422" w:type="dxa"/>
            <w:shd w:val="clear" w:color="auto" w:fill="auto"/>
            <w:vAlign w:val="center"/>
          </w:tcPr>
          <w:p w:rsidR="00B87444" w:rsidRDefault="00B87444" w:rsidP="00B87444">
            <w:pPr>
              <w:jc w:val="center"/>
            </w:pPr>
            <w:r>
              <w:t>€209</w:t>
            </w:r>
          </w:p>
        </w:tc>
      </w:tr>
      <w:tr w:rsidR="00B87444" w:rsidTr="00EC475E">
        <w:tc>
          <w:tcPr>
            <w:tcW w:w="2988" w:type="dxa"/>
            <w:shd w:val="clear" w:color="auto" w:fill="auto"/>
          </w:tcPr>
          <w:p w:rsidR="00B87444" w:rsidRPr="00860880" w:rsidRDefault="00B87444" w:rsidP="00B87444">
            <w:pPr>
              <w:tabs>
                <w:tab w:val="left" w:pos="2520"/>
              </w:tabs>
            </w:pPr>
            <w:r w:rsidRPr="00860880">
              <w:t xml:space="preserve">Dr. Tony Bates </w:t>
            </w:r>
            <w:r w:rsidRPr="00860880">
              <w:tab/>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4/7</w:t>
            </w:r>
          </w:p>
        </w:tc>
        <w:tc>
          <w:tcPr>
            <w:tcW w:w="1440" w:type="dxa"/>
            <w:shd w:val="clear" w:color="auto" w:fill="auto"/>
            <w:vAlign w:val="center"/>
          </w:tcPr>
          <w:p w:rsidR="00B87444" w:rsidRPr="00E35A90" w:rsidRDefault="00B87444" w:rsidP="00B87444">
            <w:pPr>
              <w:jc w:val="center"/>
              <w:rPr>
                <w:rFonts w:cs="Arial"/>
              </w:rPr>
            </w:pPr>
            <w:r>
              <w:t>€0</w:t>
            </w:r>
          </w:p>
        </w:tc>
        <w:tc>
          <w:tcPr>
            <w:tcW w:w="1422" w:type="dxa"/>
            <w:shd w:val="clear" w:color="auto" w:fill="auto"/>
            <w:vAlign w:val="center"/>
          </w:tcPr>
          <w:p w:rsidR="00B87444" w:rsidRPr="00E35A90" w:rsidRDefault="00B87444" w:rsidP="00B87444">
            <w:pPr>
              <w:jc w:val="center"/>
              <w:rPr>
                <w:rFonts w:cs="Arial"/>
              </w:rPr>
            </w:pPr>
          </w:p>
        </w:tc>
      </w:tr>
      <w:tr w:rsidR="00B87444" w:rsidTr="00EC475E">
        <w:tc>
          <w:tcPr>
            <w:tcW w:w="2988" w:type="dxa"/>
            <w:shd w:val="clear" w:color="auto" w:fill="auto"/>
          </w:tcPr>
          <w:p w:rsidR="00B87444" w:rsidRPr="00860880" w:rsidRDefault="00B87444" w:rsidP="00B87444">
            <w:r w:rsidRPr="00860880">
              <w:t xml:space="preserve">Ms. Caroline Burrell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10/10</w:t>
            </w:r>
          </w:p>
        </w:tc>
        <w:tc>
          <w:tcPr>
            <w:tcW w:w="1440" w:type="dxa"/>
            <w:shd w:val="clear" w:color="auto" w:fill="auto"/>
            <w:vAlign w:val="center"/>
          </w:tcPr>
          <w:p w:rsidR="00B87444" w:rsidRDefault="00B87444" w:rsidP="00B87444">
            <w:pPr>
              <w:jc w:val="center"/>
            </w:pPr>
            <w:r>
              <w:t>€5,985</w:t>
            </w:r>
          </w:p>
        </w:tc>
        <w:tc>
          <w:tcPr>
            <w:tcW w:w="1422" w:type="dxa"/>
            <w:shd w:val="clear" w:color="auto" w:fill="auto"/>
            <w:vAlign w:val="center"/>
          </w:tcPr>
          <w:p w:rsidR="00B87444" w:rsidRDefault="00B87444" w:rsidP="00B87444">
            <w:pPr>
              <w:jc w:val="center"/>
            </w:pPr>
            <w:r>
              <w:t>€116</w:t>
            </w:r>
          </w:p>
        </w:tc>
      </w:tr>
      <w:tr w:rsidR="00B87444" w:rsidTr="00EC475E">
        <w:tc>
          <w:tcPr>
            <w:tcW w:w="2988" w:type="dxa"/>
            <w:shd w:val="clear" w:color="auto" w:fill="auto"/>
          </w:tcPr>
          <w:p w:rsidR="00B87444" w:rsidRPr="00860880" w:rsidRDefault="00B87444" w:rsidP="00B87444">
            <w:r w:rsidRPr="00860880">
              <w:t xml:space="preserve">Mr. Frank Cunneen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8/10</w:t>
            </w:r>
          </w:p>
        </w:tc>
        <w:tc>
          <w:tcPr>
            <w:tcW w:w="1440" w:type="dxa"/>
            <w:shd w:val="clear" w:color="auto" w:fill="auto"/>
            <w:vAlign w:val="center"/>
          </w:tcPr>
          <w:p w:rsidR="00B87444" w:rsidRDefault="00B87444" w:rsidP="00B87444">
            <w:pPr>
              <w:jc w:val="center"/>
            </w:pPr>
            <w:r>
              <w:t>€5,985</w:t>
            </w:r>
          </w:p>
        </w:tc>
        <w:tc>
          <w:tcPr>
            <w:tcW w:w="1422" w:type="dxa"/>
            <w:shd w:val="clear" w:color="auto" w:fill="auto"/>
            <w:vAlign w:val="center"/>
          </w:tcPr>
          <w:p w:rsidR="00B87444" w:rsidRDefault="00B87444" w:rsidP="00B87444"/>
        </w:tc>
      </w:tr>
      <w:tr w:rsidR="00B87444" w:rsidTr="00EC475E">
        <w:tc>
          <w:tcPr>
            <w:tcW w:w="2988" w:type="dxa"/>
            <w:shd w:val="clear" w:color="auto" w:fill="auto"/>
          </w:tcPr>
          <w:p w:rsidR="00B87444" w:rsidRPr="00860880" w:rsidRDefault="00B87444" w:rsidP="00B87444">
            <w:r w:rsidRPr="00860880">
              <w:t xml:space="preserve">Ms. Tara Cunningham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8/10</w:t>
            </w:r>
          </w:p>
        </w:tc>
        <w:tc>
          <w:tcPr>
            <w:tcW w:w="1440" w:type="dxa"/>
            <w:shd w:val="clear" w:color="auto" w:fill="auto"/>
            <w:vAlign w:val="center"/>
          </w:tcPr>
          <w:p w:rsidR="00B87444" w:rsidRDefault="00B87444" w:rsidP="00B87444">
            <w:pPr>
              <w:jc w:val="center"/>
            </w:pPr>
            <w:r>
              <w:t>€5,985</w:t>
            </w:r>
          </w:p>
        </w:tc>
        <w:tc>
          <w:tcPr>
            <w:tcW w:w="1422" w:type="dxa"/>
            <w:shd w:val="clear" w:color="auto" w:fill="auto"/>
            <w:vAlign w:val="center"/>
          </w:tcPr>
          <w:p w:rsidR="00B87444" w:rsidRDefault="00B87444" w:rsidP="00B87444"/>
        </w:tc>
      </w:tr>
      <w:tr w:rsidR="00B87444" w:rsidTr="00EC475E">
        <w:tc>
          <w:tcPr>
            <w:tcW w:w="2988" w:type="dxa"/>
            <w:shd w:val="clear" w:color="auto" w:fill="auto"/>
          </w:tcPr>
          <w:p w:rsidR="00B87444" w:rsidRPr="00860880" w:rsidRDefault="00B87444" w:rsidP="00B87444">
            <w:r w:rsidRPr="00860880">
              <w:t xml:space="preserve">Ms. Fiona Duignan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7/10</w:t>
            </w:r>
          </w:p>
        </w:tc>
        <w:tc>
          <w:tcPr>
            <w:tcW w:w="1440" w:type="dxa"/>
            <w:shd w:val="clear" w:color="auto" w:fill="auto"/>
            <w:vAlign w:val="center"/>
          </w:tcPr>
          <w:p w:rsidR="00B87444" w:rsidRPr="00E35A90" w:rsidRDefault="00B87444" w:rsidP="00B87444">
            <w:pPr>
              <w:jc w:val="center"/>
              <w:rPr>
                <w:rFonts w:cs="Arial"/>
              </w:rPr>
            </w:pPr>
            <w:r>
              <w:t>€0</w:t>
            </w:r>
          </w:p>
        </w:tc>
        <w:tc>
          <w:tcPr>
            <w:tcW w:w="1422" w:type="dxa"/>
            <w:shd w:val="clear" w:color="auto" w:fill="auto"/>
            <w:vAlign w:val="center"/>
          </w:tcPr>
          <w:p w:rsidR="00B87444" w:rsidRPr="00E35A90" w:rsidRDefault="00B87444" w:rsidP="00B87444">
            <w:pPr>
              <w:jc w:val="center"/>
              <w:rPr>
                <w:rFonts w:cs="Arial"/>
              </w:rPr>
            </w:pPr>
          </w:p>
        </w:tc>
      </w:tr>
      <w:tr w:rsidR="00B87444" w:rsidTr="00EC475E">
        <w:tc>
          <w:tcPr>
            <w:tcW w:w="2988" w:type="dxa"/>
            <w:shd w:val="clear" w:color="auto" w:fill="auto"/>
          </w:tcPr>
          <w:p w:rsidR="00B87444" w:rsidRPr="00860880" w:rsidRDefault="00B87444" w:rsidP="00B87444">
            <w:r w:rsidRPr="00860880">
              <w:t xml:space="preserve">Mr. David Joyce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8/10</w:t>
            </w:r>
          </w:p>
        </w:tc>
        <w:tc>
          <w:tcPr>
            <w:tcW w:w="1440" w:type="dxa"/>
            <w:shd w:val="clear" w:color="auto" w:fill="auto"/>
            <w:vAlign w:val="center"/>
          </w:tcPr>
          <w:p w:rsidR="00B87444" w:rsidRPr="00E35A90" w:rsidRDefault="00B87444" w:rsidP="00B87444">
            <w:pPr>
              <w:jc w:val="center"/>
              <w:rPr>
                <w:rFonts w:cs="Arial"/>
              </w:rPr>
            </w:pPr>
            <w:r>
              <w:t>€5,985</w:t>
            </w:r>
          </w:p>
        </w:tc>
        <w:tc>
          <w:tcPr>
            <w:tcW w:w="1422" w:type="dxa"/>
            <w:shd w:val="clear" w:color="auto" w:fill="auto"/>
            <w:vAlign w:val="center"/>
          </w:tcPr>
          <w:p w:rsidR="00B87444" w:rsidRPr="00E35A90" w:rsidRDefault="00B87444" w:rsidP="00B87444">
            <w:pPr>
              <w:jc w:val="center"/>
              <w:rPr>
                <w:rFonts w:cs="Arial"/>
              </w:rPr>
            </w:pPr>
          </w:p>
        </w:tc>
      </w:tr>
      <w:tr w:rsidR="00B87444" w:rsidTr="00EC475E">
        <w:tc>
          <w:tcPr>
            <w:tcW w:w="2988" w:type="dxa"/>
            <w:shd w:val="clear" w:color="auto" w:fill="auto"/>
          </w:tcPr>
          <w:p w:rsidR="00B87444" w:rsidRPr="00860880" w:rsidRDefault="00B87444" w:rsidP="00B87444">
            <w:r w:rsidRPr="00860880">
              <w:t xml:space="preserve">Mr. Des Kenny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9/10</w:t>
            </w:r>
          </w:p>
        </w:tc>
        <w:tc>
          <w:tcPr>
            <w:tcW w:w="1440" w:type="dxa"/>
            <w:shd w:val="clear" w:color="auto" w:fill="auto"/>
            <w:vAlign w:val="center"/>
          </w:tcPr>
          <w:p w:rsidR="00B87444" w:rsidRDefault="00B87444" w:rsidP="00B87444">
            <w:pPr>
              <w:jc w:val="center"/>
            </w:pPr>
            <w:r>
              <w:t>€5,985</w:t>
            </w:r>
          </w:p>
        </w:tc>
        <w:tc>
          <w:tcPr>
            <w:tcW w:w="1422" w:type="dxa"/>
            <w:shd w:val="clear" w:color="auto" w:fill="auto"/>
            <w:vAlign w:val="center"/>
          </w:tcPr>
          <w:p w:rsidR="00B87444" w:rsidRDefault="00B87444" w:rsidP="00B87444"/>
        </w:tc>
      </w:tr>
      <w:tr w:rsidR="00B87444" w:rsidTr="00EC475E">
        <w:tc>
          <w:tcPr>
            <w:tcW w:w="2988" w:type="dxa"/>
            <w:shd w:val="clear" w:color="auto" w:fill="auto"/>
          </w:tcPr>
          <w:p w:rsidR="00B87444" w:rsidRPr="00860880" w:rsidRDefault="00B87444" w:rsidP="00B87444">
            <w:r w:rsidRPr="00860880">
              <w:t xml:space="preserve">Ms. Mary Lavelle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8/10</w:t>
            </w:r>
          </w:p>
        </w:tc>
        <w:tc>
          <w:tcPr>
            <w:tcW w:w="1440" w:type="dxa"/>
            <w:shd w:val="clear" w:color="auto" w:fill="auto"/>
            <w:vAlign w:val="center"/>
          </w:tcPr>
          <w:p w:rsidR="00B87444" w:rsidRDefault="00B87444" w:rsidP="00B87444">
            <w:pPr>
              <w:jc w:val="center"/>
            </w:pPr>
            <w:r>
              <w:t>€5,985</w:t>
            </w:r>
          </w:p>
        </w:tc>
        <w:tc>
          <w:tcPr>
            <w:tcW w:w="1422" w:type="dxa"/>
            <w:shd w:val="clear" w:color="auto" w:fill="auto"/>
            <w:vAlign w:val="center"/>
          </w:tcPr>
          <w:p w:rsidR="00B87444" w:rsidRDefault="00B87444" w:rsidP="00B87444"/>
        </w:tc>
      </w:tr>
      <w:tr w:rsidR="00B87444" w:rsidTr="00EC475E">
        <w:tc>
          <w:tcPr>
            <w:tcW w:w="2988" w:type="dxa"/>
            <w:shd w:val="clear" w:color="auto" w:fill="auto"/>
          </w:tcPr>
          <w:p w:rsidR="00B87444" w:rsidRPr="00860880" w:rsidRDefault="00B87444" w:rsidP="00B87444">
            <w:r w:rsidRPr="00860880">
              <w:t xml:space="preserve">Ms. Joanne McCarthy </w:t>
            </w:r>
          </w:p>
        </w:tc>
        <w:tc>
          <w:tcPr>
            <w:tcW w:w="3780" w:type="dxa"/>
            <w:shd w:val="clear" w:color="auto" w:fill="auto"/>
            <w:vAlign w:val="center"/>
          </w:tcPr>
          <w:p w:rsidR="00B87444" w:rsidRPr="00E35A90" w:rsidRDefault="00B87444" w:rsidP="00B87444">
            <w:pPr>
              <w:spacing w:after="80"/>
              <w:jc w:val="center"/>
              <w:rPr>
                <w:rFonts w:cs="Arial"/>
              </w:rPr>
            </w:pPr>
            <w:r w:rsidRPr="00E35A90">
              <w:rPr>
                <w:rFonts w:cs="Arial"/>
              </w:rPr>
              <w:t>9/10</w:t>
            </w:r>
          </w:p>
        </w:tc>
        <w:tc>
          <w:tcPr>
            <w:tcW w:w="1440" w:type="dxa"/>
            <w:shd w:val="clear" w:color="auto" w:fill="auto"/>
            <w:vAlign w:val="center"/>
          </w:tcPr>
          <w:p w:rsidR="00B87444" w:rsidRDefault="00B87444" w:rsidP="00B87444">
            <w:pPr>
              <w:jc w:val="center"/>
            </w:pPr>
            <w:r>
              <w:t>€5,985</w:t>
            </w:r>
          </w:p>
        </w:tc>
        <w:tc>
          <w:tcPr>
            <w:tcW w:w="1422" w:type="dxa"/>
            <w:shd w:val="clear" w:color="auto" w:fill="auto"/>
            <w:vAlign w:val="center"/>
          </w:tcPr>
          <w:p w:rsidR="00B87444" w:rsidRDefault="00B87444" w:rsidP="00B87444"/>
        </w:tc>
      </w:tr>
      <w:tr w:rsidR="00B87444" w:rsidTr="00EC475E">
        <w:tc>
          <w:tcPr>
            <w:tcW w:w="2988" w:type="dxa"/>
            <w:shd w:val="clear" w:color="auto" w:fill="auto"/>
          </w:tcPr>
          <w:p w:rsidR="00B87444" w:rsidRPr="00A90817" w:rsidRDefault="00B87444" w:rsidP="00B87444">
            <w:r w:rsidRPr="00A90817">
              <w:t xml:space="preserve">Mr. James O’Grady </w:t>
            </w:r>
          </w:p>
        </w:tc>
        <w:tc>
          <w:tcPr>
            <w:tcW w:w="3780" w:type="dxa"/>
            <w:shd w:val="clear" w:color="auto" w:fill="auto"/>
          </w:tcPr>
          <w:p w:rsidR="00B87444" w:rsidRPr="00E35A90" w:rsidRDefault="00B87444" w:rsidP="00B87444">
            <w:pPr>
              <w:spacing w:after="80"/>
              <w:jc w:val="center"/>
              <w:rPr>
                <w:rFonts w:cs="Arial"/>
              </w:rPr>
            </w:pPr>
            <w:r w:rsidRPr="00E35A90">
              <w:rPr>
                <w:rFonts w:cs="Arial"/>
              </w:rPr>
              <w:t>9/10</w:t>
            </w:r>
          </w:p>
        </w:tc>
        <w:tc>
          <w:tcPr>
            <w:tcW w:w="1440" w:type="dxa"/>
            <w:shd w:val="clear" w:color="auto" w:fill="auto"/>
          </w:tcPr>
          <w:p w:rsidR="00B87444" w:rsidRDefault="00B87444" w:rsidP="00B87444">
            <w:pPr>
              <w:jc w:val="center"/>
            </w:pPr>
            <w:r>
              <w:t>€5,985</w:t>
            </w:r>
          </w:p>
        </w:tc>
        <w:tc>
          <w:tcPr>
            <w:tcW w:w="1422" w:type="dxa"/>
            <w:shd w:val="clear" w:color="auto" w:fill="auto"/>
          </w:tcPr>
          <w:p w:rsidR="00B87444" w:rsidRDefault="00B87444" w:rsidP="00B87444">
            <w:pPr>
              <w:jc w:val="center"/>
            </w:pPr>
            <w:r>
              <w:t>€4,087</w:t>
            </w:r>
          </w:p>
        </w:tc>
      </w:tr>
      <w:tr w:rsidR="00B87444" w:rsidTr="00EC475E">
        <w:trPr>
          <w:trHeight w:val="439"/>
        </w:trPr>
        <w:tc>
          <w:tcPr>
            <w:tcW w:w="2988" w:type="dxa"/>
            <w:shd w:val="clear" w:color="auto" w:fill="auto"/>
          </w:tcPr>
          <w:p w:rsidR="00B87444" w:rsidRPr="00A90817" w:rsidRDefault="00B87444" w:rsidP="00B87444">
            <w:r>
              <w:t>Ms. Linda Grealy</w:t>
            </w:r>
          </w:p>
        </w:tc>
        <w:tc>
          <w:tcPr>
            <w:tcW w:w="3780" w:type="dxa"/>
            <w:shd w:val="clear" w:color="auto" w:fill="auto"/>
          </w:tcPr>
          <w:p w:rsidR="00B87444" w:rsidRPr="00E35A90" w:rsidRDefault="00B87444" w:rsidP="00B87444">
            <w:pPr>
              <w:spacing w:after="80"/>
              <w:jc w:val="center"/>
              <w:rPr>
                <w:rFonts w:cs="Arial"/>
              </w:rPr>
            </w:pPr>
            <w:r>
              <w:rPr>
                <w:rFonts w:cs="Arial"/>
              </w:rPr>
              <w:t>6/10</w:t>
            </w:r>
          </w:p>
        </w:tc>
        <w:tc>
          <w:tcPr>
            <w:tcW w:w="1440" w:type="dxa"/>
            <w:shd w:val="clear" w:color="auto" w:fill="auto"/>
          </w:tcPr>
          <w:p w:rsidR="00B87444" w:rsidRDefault="00B87444" w:rsidP="00B87444">
            <w:pPr>
              <w:jc w:val="center"/>
            </w:pPr>
            <w:r>
              <w:t>€0</w:t>
            </w:r>
          </w:p>
        </w:tc>
        <w:tc>
          <w:tcPr>
            <w:tcW w:w="1422" w:type="dxa"/>
            <w:shd w:val="clear" w:color="auto" w:fill="auto"/>
          </w:tcPr>
          <w:p w:rsidR="00B87444" w:rsidRDefault="00B87444" w:rsidP="00B87444"/>
        </w:tc>
      </w:tr>
      <w:tr w:rsidR="00B87444" w:rsidTr="00EC475E">
        <w:trPr>
          <w:trHeight w:val="441"/>
        </w:trPr>
        <w:tc>
          <w:tcPr>
            <w:tcW w:w="2988" w:type="dxa"/>
            <w:tcBorders>
              <w:top w:val="single" w:sz="4" w:space="0" w:color="auto"/>
              <w:left w:val="single" w:sz="4" w:space="0" w:color="auto"/>
              <w:bottom w:val="single" w:sz="4" w:space="0" w:color="auto"/>
              <w:right w:val="single" w:sz="4" w:space="0" w:color="auto"/>
            </w:tcBorders>
            <w:shd w:val="clear" w:color="auto" w:fill="auto"/>
          </w:tcPr>
          <w:p w:rsidR="00B87444" w:rsidRPr="00A90817" w:rsidRDefault="00B87444" w:rsidP="00B87444">
            <w:r>
              <w:t>Mr. Shane Hogan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87444" w:rsidRPr="00E35A90" w:rsidRDefault="00B87444" w:rsidP="00B87444">
            <w:pPr>
              <w:spacing w:after="80"/>
              <w:jc w:val="center"/>
              <w:rPr>
                <w:rFonts w:cs="Arial"/>
              </w:rPr>
            </w:pPr>
            <w:r>
              <w:rPr>
                <w:rFonts w:cs="Arial"/>
              </w:rPr>
              <w:t>10/10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7444" w:rsidRDefault="00B87444" w:rsidP="00B87444">
            <w:pPr>
              <w:jc w:val="center"/>
            </w:pPr>
            <w:r>
              <w:t>€0</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B87444" w:rsidRDefault="00B87444" w:rsidP="00B87444"/>
        </w:tc>
      </w:tr>
    </w:tbl>
    <w:p w:rsidR="00B87444" w:rsidRDefault="00B87444" w:rsidP="00B87444">
      <w:pPr>
        <w:tabs>
          <w:tab w:val="left" w:pos="1440"/>
        </w:tabs>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3197"/>
        <w:gridCol w:w="1307"/>
        <w:gridCol w:w="1399"/>
      </w:tblGrid>
      <w:tr w:rsidR="00B87444" w:rsidTr="00EC475E">
        <w:trPr>
          <w:trHeight w:val="350"/>
        </w:trPr>
        <w:tc>
          <w:tcPr>
            <w:tcW w:w="2988" w:type="dxa"/>
            <w:shd w:val="clear" w:color="auto" w:fill="auto"/>
          </w:tcPr>
          <w:p w:rsidR="00B87444" w:rsidRPr="003340BE" w:rsidRDefault="00B87444" w:rsidP="00B87444">
            <w:pPr>
              <w:rPr>
                <w:b/>
              </w:rPr>
            </w:pPr>
            <w:r w:rsidRPr="003340BE">
              <w:rPr>
                <w:b/>
              </w:rPr>
              <w:t>Audit Committee</w:t>
            </w:r>
            <w:r>
              <w:rPr>
                <w:b/>
              </w:rPr>
              <w:t xml:space="preserve"> Member</w:t>
            </w:r>
          </w:p>
        </w:tc>
        <w:tc>
          <w:tcPr>
            <w:tcW w:w="3780" w:type="dxa"/>
            <w:shd w:val="clear" w:color="auto" w:fill="auto"/>
            <w:vAlign w:val="center"/>
          </w:tcPr>
          <w:p w:rsidR="00B87444" w:rsidRPr="00E35A90" w:rsidRDefault="00B87444" w:rsidP="00B87444">
            <w:pPr>
              <w:rPr>
                <w:b/>
              </w:rPr>
            </w:pPr>
            <w:r w:rsidRPr="00E35A90">
              <w:rPr>
                <w:rFonts w:cs="Arial"/>
                <w:b/>
              </w:rPr>
              <w:t xml:space="preserve">Number of </w:t>
            </w:r>
            <w:r>
              <w:rPr>
                <w:rFonts w:cs="Arial"/>
                <w:b/>
              </w:rPr>
              <w:t xml:space="preserve">Audit Committee </w:t>
            </w:r>
            <w:r w:rsidRPr="00E35A90">
              <w:rPr>
                <w:rFonts w:cs="Arial"/>
                <w:b/>
              </w:rPr>
              <w:t>meetings attended during this period</w:t>
            </w:r>
          </w:p>
        </w:tc>
        <w:tc>
          <w:tcPr>
            <w:tcW w:w="1440" w:type="dxa"/>
            <w:shd w:val="clear" w:color="auto" w:fill="auto"/>
            <w:vAlign w:val="center"/>
          </w:tcPr>
          <w:p w:rsidR="00B87444" w:rsidRPr="00E35A90" w:rsidRDefault="00B87444" w:rsidP="00B87444">
            <w:pPr>
              <w:jc w:val="center"/>
              <w:rPr>
                <w:rFonts w:cs="Arial"/>
                <w:b/>
              </w:rPr>
            </w:pPr>
            <w:r w:rsidRPr="00E35A90">
              <w:rPr>
                <w:rFonts w:cs="Arial"/>
                <w:b/>
              </w:rPr>
              <w:t>Fees</w:t>
            </w:r>
          </w:p>
        </w:tc>
        <w:tc>
          <w:tcPr>
            <w:tcW w:w="1422" w:type="dxa"/>
            <w:shd w:val="clear" w:color="auto" w:fill="auto"/>
            <w:vAlign w:val="center"/>
          </w:tcPr>
          <w:p w:rsidR="00B87444" w:rsidRPr="00E35A90" w:rsidRDefault="00B87444" w:rsidP="00B87444">
            <w:pPr>
              <w:jc w:val="center"/>
              <w:rPr>
                <w:rFonts w:cs="Arial"/>
                <w:b/>
              </w:rPr>
            </w:pPr>
            <w:r w:rsidRPr="00E35A90">
              <w:rPr>
                <w:rFonts w:cs="Arial"/>
                <w:b/>
              </w:rPr>
              <w:t>Expenses</w:t>
            </w:r>
          </w:p>
        </w:tc>
      </w:tr>
      <w:tr w:rsidR="00B87444" w:rsidTr="00EC475E">
        <w:trPr>
          <w:trHeight w:val="530"/>
        </w:trPr>
        <w:tc>
          <w:tcPr>
            <w:tcW w:w="2988" w:type="dxa"/>
            <w:tcBorders>
              <w:top w:val="single" w:sz="4" w:space="0" w:color="auto"/>
              <w:left w:val="single" w:sz="4" w:space="0" w:color="auto"/>
              <w:bottom w:val="single" w:sz="4" w:space="0" w:color="auto"/>
              <w:right w:val="single" w:sz="4" w:space="0" w:color="auto"/>
            </w:tcBorders>
            <w:shd w:val="clear" w:color="auto" w:fill="auto"/>
          </w:tcPr>
          <w:p w:rsidR="00B87444" w:rsidRPr="00A90817" w:rsidRDefault="00B87444" w:rsidP="00B87444">
            <w:r>
              <w:t>Mr. Donal Lawlor (Audit Committee Chairperson)</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B87444" w:rsidRPr="00E35A90" w:rsidRDefault="00B87444" w:rsidP="00B87444">
            <w:pPr>
              <w:spacing w:after="80"/>
              <w:jc w:val="center"/>
              <w:rPr>
                <w:rFonts w:cs="Arial"/>
              </w:rPr>
            </w:pPr>
            <w:r>
              <w:rPr>
                <w:rFonts w:cs="Arial"/>
              </w:rPr>
              <w:t>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87444" w:rsidRDefault="00B87444" w:rsidP="00B87444">
            <w:pPr>
              <w:jc w:val="center"/>
            </w:pPr>
            <w:r>
              <w:t>€2,565</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B87444" w:rsidRDefault="00B87444" w:rsidP="00B87444"/>
        </w:tc>
      </w:tr>
    </w:tbl>
    <w:p w:rsidR="00B87444" w:rsidRDefault="00B87444" w:rsidP="00B87444">
      <w:pPr>
        <w:tabs>
          <w:tab w:val="left" w:pos="1440"/>
        </w:tabs>
      </w:pPr>
    </w:p>
    <w:p w:rsidR="00B87444" w:rsidRDefault="00B87444" w:rsidP="00B87444">
      <w:pPr>
        <w:tabs>
          <w:tab w:val="left" w:pos="1440"/>
        </w:tabs>
      </w:pPr>
    </w:p>
    <w:p w:rsidR="00B87444" w:rsidRDefault="00B87444" w:rsidP="00B87444">
      <w:pPr>
        <w:tabs>
          <w:tab w:val="left" w:pos="1440"/>
        </w:tabs>
      </w:pPr>
      <w:r>
        <w:t>Director:</w:t>
      </w:r>
      <w:r>
        <w:tab/>
      </w:r>
      <w:r w:rsidRPr="00730F66">
        <w:t>Siobhan Barron</w:t>
      </w:r>
      <w:r w:rsidRPr="00730F66">
        <w:tab/>
      </w:r>
      <w:r w:rsidRPr="00730F66">
        <w:tab/>
      </w:r>
      <w:r w:rsidRPr="00730F66">
        <w:tab/>
      </w:r>
    </w:p>
    <w:p w:rsidR="00B87444" w:rsidRDefault="00B87444" w:rsidP="00B87444">
      <w:pPr>
        <w:spacing w:after="0"/>
        <w:ind w:left="1440" w:hanging="1440"/>
      </w:pPr>
      <w:r>
        <w:t>Solicitors:</w:t>
      </w:r>
      <w:r>
        <w:tab/>
        <w:t xml:space="preserve">Mason Hayes and </w:t>
      </w:r>
      <w:smartTag w:uri="urn:schemas-microsoft-com:office:smarttags" w:element="Street">
        <w:smartTag w:uri="urn:schemas-microsoft-com:office:smarttags" w:element="address">
          <w:r>
            <w:t>Curran</w:t>
          </w:r>
          <w:r>
            <w:br/>
            <w:t>South Bank House</w:t>
          </w:r>
          <w:r>
            <w:br/>
            <w:t>Barrow Street</w:t>
          </w:r>
        </w:smartTag>
      </w:smartTag>
    </w:p>
    <w:p w:rsidR="00B87444" w:rsidRDefault="00B87444" w:rsidP="00B87444">
      <w:pPr>
        <w:spacing w:after="0"/>
        <w:ind w:left="1440"/>
      </w:pPr>
      <w:smartTag w:uri="urn:schemas-microsoft-com:office:smarttags" w:element="City">
        <w:smartTag w:uri="urn:schemas-microsoft-com:office:smarttags" w:element="place">
          <w:r>
            <w:t>Dublin</w:t>
          </w:r>
        </w:smartTag>
      </w:smartTag>
      <w:r>
        <w:t xml:space="preserve"> 2.</w:t>
      </w:r>
    </w:p>
    <w:p w:rsidR="00B87444" w:rsidRDefault="00B87444" w:rsidP="00B87444">
      <w:pPr>
        <w:spacing w:after="0"/>
        <w:ind w:left="1440"/>
      </w:pPr>
    </w:p>
    <w:p w:rsidR="00B87444" w:rsidRDefault="00B87444" w:rsidP="00B87444">
      <w:pPr>
        <w:ind w:left="1440" w:hanging="1440"/>
      </w:pPr>
      <w:r w:rsidRPr="00730F66">
        <w:t>Bankers:</w:t>
      </w:r>
      <w:r>
        <w:tab/>
      </w:r>
      <w:r w:rsidRPr="00730F66">
        <w:t xml:space="preserve">Bank of </w:t>
      </w:r>
      <w:smartTag w:uri="urn:schemas-microsoft-com:office:smarttags" w:element="country-region">
        <w:smartTag w:uri="urn:schemas-microsoft-com:office:smarttags" w:element="place">
          <w:r w:rsidRPr="00730F66">
            <w:t>Ireland</w:t>
          </w:r>
        </w:smartTag>
      </w:smartTag>
      <w:r>
        <w:br/>
        <w:t>104 Ranelagh</w:t>
      </w:r>
      <w:r>
        <w:br/>
        <w:t>Dublin 6.</w:t>
      </w:r>
    </w:p>
    <w:p w:rsidR="00B87444" w:rsidRPr="00730F66" w:rsidRDefault="00B87444" w:rsidP="00B87444">
      <w:r>
        <w:t>Auditors:</w:t>
      </w:r>
      <w:r>
        <w:tab/>
        <w:t>Comptroller &amp; Auditor General</w:t>
      </w:r>
      <w:r>
        <w:br/>
        <w:t xml:space="preserve">                      </w:t>
      </w:r>
      <w:smartTag w:uri="urn:schemas-microsoft-com:office:smarttags" w:element="PlaceName">
        <w:r w:rsidRPr="00730F66">
          <w:t>Dublin</w:t>
        </w:r>
      </w:smartTag>
      <w:r w:rsidRPr="00730F66">
        <w:t xml:space="preserve"> </w:t>
      </w:r>
      <w:smartTag w:uri="urn:schemas-microsoft-com:office:smarttags" w:element="PlaceType">
        <w:r w:rsidRPr="00730F66">
          <w:t>Cast</w:t>
        </w:r>
        <w:r>
          <w:t>le</w:t>
        </w:r>
      </w:smartTag>
      <w:r>
        <w:br/>
        <w:t xml:space="preserve">                      </w:t>
      </w:r>
      <w:smartTag w:uri="urn:schemas-microsoft-com:office:smarttags" w:element="place">
        <w:smartTag w:uri="urn:schemas-microsoft-com:office:smarttags" w:element="City">
          <w:r w:rsidRPr="00730F66">
            <w:t>Dublin</w:t>
          </w:r>
        </w:smartTag>
      </w:smartTag>
      <w:r w:rsidRPr="00730F66">
        <w:t xml:space="preserve"> 2</w:t>
      </w:r>
      <w:r>
        <w:t>.</w:t>
      </w:r>
    </w:p>
    <w:p w:rsidR="00B87444" w:rsidRDefault="00B87444" w:rsidP="00B87444">
      <w:pPr>
        <w:pStyle w:val="Heading2"/>
      </w:pPr>
      <w:r>
        <w:br w:type="page"/>
      </w:r>
      <w:r w:rsidRPr="00300E3E">
        <w:t>National Disability Authority</w:t>
      </w:r>
    </w:p>
    <w:p w:rsidR="00B87444" w:rsidRPr="00730F66" w:rsidRDefault="00B87444" w:rsidP="00B87444">
      <w:r w:rsidRPr="00730F66">
        <w:t xml:space="preserve">The National Disability Authority was established on </w:t>
      </w:r>
      <w:smartTag w:uri="urn:schemas-microsoft-com:office:smarttags" w:element="date">
        <w:smartTagPr>
          <w:attr w:name="Month" w:val="6"/>
          <w:attr w:name="Day" w:val="12"/>
          <w:attr w:name="Year" w:val="2000"/>
        </w:smartTagPr>
        <w:r w:rsidRPr="00730F66">
          <w:t>June 12, 2000</w:t>
        </w:r>
      </w:smartTag>
      <w:r w:rsidRPr="00730F66">
        <w:t xml:space="preserve"> under Section 6 of the National Disability Authority Act 1999.</w:t>
      </w:r>
    </w:p>
    <w:p w:rsidR="00B87444" w:rsidRPr="00D4400D" w:rsidRDefault="00C465CA" w:rsidP="00B87444">
      <w:pPr>
        <w:pStyle w:val="Heading3"/>
      </w:pPr>
      <w:r w:rsidRPr="006309CB">
        <w:rPr>
          <w:lang w:val="ga-IE" w:eastAsia="en-GB"/>
        </w:rPr>
        <w:t>National Disability Authority</w:t>
      </w:r>
      <w:r w:rsidR="00B87444" w:rsidRPr="00D4400D">
        <w:t xml:space="preserve"> functions and powers</w:t>
      </w:r>
    </w:p>
    <w:p w:rsidR="00B87444" w:rsidRPr="00D4400D" w:rsidRDefault="00B87444" w:rsidP="00B87444">
      <w:r w:rsidRPr="00D4400D">
        <w:t xml:space="preserve">The principal function of the </w:t>
      </w:r>
      <w:r w:rsidR="00C465CA" w:rsidRPr="006309CB">
        <w:rPr>
          <w:lang w:val="ga-IE" w:eastAsia="en-GB"/>
        </w:rPr>
        <w:t>National Disability Authority</w:t>
      </w:r>
      <w:r w:rsidRPr="00D4400D">
        <w:t xml:space="preserve"> is to advise the Minister for Justice, Equality and Law Reform regarding issues of policy and practice relating to disability.</w:t>
      </w:r>
      <w:r>
        <w:t xml:space="preserve"> </w:t>
      </w:r>
    </w:p>
    <w:p w:rsidR="00B87444" w:rsidRPr="00D4400D" w:rsidRDefault="00B87444" w:rsidP="00B87444">
      <w:r w:rsidRPr="00D4400D">
        <w:t>Particular functions of the Authority under Section 8 of the National Disability Authority Act 1999</w:t>
      </w:r>
      <w:r w:rsidRPr="00D4400D">
        <w:rPr>
          <w:b/>
        </w:rPr>
        <w:t xml:space="preserve"> </w:t>
      </w:r>
      <w:r w:rsidRPr="00D4400D">
        <w:t>include:</w:t>
      </w:r>
    </w:p>
    <w:p w:rsidR="00B87444" w:rsidRPr="00D4400D" w:rsidRDefault="00B87444" w:rsidP="00B87444">
      <w:pPr>
        <w:pStyle w:val="ListBullet"/>
        <w:numPr>
          <w:ilvl w:val="0"/>
          <w:numId w:val="6"/>
        </w:numPr>
        <w:spacing w:before="120"/>
      </w:pPr>
      <w:r w:rsidRPr="00D4400D">
        <w:t xml:space="preserve">To act as a central, national body which will assist the Minister in the </w:t>
      </w:r>
      <w:r w:rsidR="007F2AF8">
        <w:t>c</w:t>
      </w:r>
      <w:r w:rsidRPr="00D4400D">
        <w:t>oordination and development of policy in relation to persons with disabilities</w:t>
      </w:r>
      <w:r>
        <w:t>.</w:t>
      </w:r>
    </w:p>
    <w:p w:rsidR="00B87444" w:rsidRPr="00D4400D" w:rsidRDefault="00B87444" w:rsidP="00B87444">
      <w:pPr>
        <w:pStyle w:val="ListBullet"/>
        <w:numPr>
          <w:ilvl w:val="0"/>
          <w:numId w:val="6"/>
        </w:numPr>
        <w:spacing w:before="120"/>
      </w:pPr>
      <w:r w:rsidRPr="00D4400D">
        <w:t>To undertake, commission or collaborate in research projects and activities on issues relating to disability and to assist in the development of statistical information appropriate for the planning, delivery and monitoring of programmes and services for people with disabilities</w:t>
      </w:r>
      <w:r>
        <w:t>.</w:t>
      </w:r>
    </w:p>
    <w:p w:rsidR="00B87444" w:rsidRPr="00D4400D" w:rsidRDefault="00B87444" w:rsidP="00B87444">
      <w:pPr>
        <w:pStyle w:val="ListBullet"/>
        <w:numPr>
          <w:ilvl w:val="0"/>
          <w:numId w:val="6"/>
        </w:numPr>
        <w:spacing w:before="120"/>
      </w:pPr>
      <w:r w:rsidRPr="00D4400D">
        <w:t>To advise the Minister on appropriate standards for programmes and services provided or to be provided to persons with disabilities and to act as an advisory body with regard to the development of general and specific standards in relation to such programmes and services</w:t>
      </w:r>
      <w:r>
        <w:t>.</w:t>
      </w:r>
    </w:p>
    <w:p w:rsidR="00B87444" w:rsidRPr="00D4400D" w:rsidRDefault="00B87444" w:rsidP="00B87444">
      <w:pPr>
        <w:pStyle w:val="ListBullet"/>
        <w:numPr>
          <w:ilvl w:val="0"/>
          <w:numId w:val="6"/>
        </w:numPr>
        <w:spacing w:before="120"/>
      </w:pPr>
      <w:r w:rsidRPr="00D4400D">
        <w:t>To monitor the implementation of standards and codes of practice in programmes and services provided to persons with disabilities and to report to the Minister thereon</w:t>
      </w:r>
      <w:r>
        <w:t>.</w:t>
      </w:r>
    </w:p>
    <w:p w:rsidR="00B87444" w:rsidRPr="00D4400D" w:rsidRDefault="00B87444" w:rsidP="00B87444">
      <w:pPr>
        <w:pStyle w:val="ListBullet"/>
        <w:numPr>
          <w:ilvl w:val="0"/>
          <w:numId w:val="6"/>
        </w:numPr>
        <w:spacing w:before="120"/>
      </w:pPr>
      <w:r w:rsidRPr="00D4400D">
        <w:t>To liaise with other bodies, both corporate and unincorporated, involved in the provision of services to persons with disabilities and to facilitate and support the development and implementation of appropriate standards for programmes and services for persons with disabilities</w:t>
      </w:r>
      <w:r>
        <w:t>.</w:t>
      </w:r>
    </w:p>
    <w:p w:rsidR="00B87444" w:rsidRPr="00D4400D" w:rsidRDefault="00B87444" w:rsidP="00B87444">
      <w:pPr>
        <w:pStyle w:val="ListBullet"/>
        <w:numPr>
          <w:ilvl w:val="0"/>
          <w:numId w:val="6"/>
        </w:numPr>
        <w:spacing w:before="120"/>
      </w:pPr>
      <w:r w:rsidRPr="00D4400D">
        <w:t>To prepare codes of practice for the purpose of achieving the aim of good standards and quality in the provision of programmes and services provided or to be provided to persons with disabilities</w:t>
      </w:r>
      <w:r>
        <w:t>.</w:t>
      </w:r>
    </w:p>
    <w:p w:rsidR="00B87444" w:rsidRPr="00D4400D" w:rsidRDefault="00B87444" w:rsidP="00B87444">
      <w:pPr>
        <w:pStyle w:val="ListBullet"/>
        <w:numPr>
          <w:ilvl w:val="0"/>
          <w:numId w:val="6"/>
        </w:numPr>
        <w:spacing w:before="120"/>
      </w:pPr>
      <w:r w:rsidRPr="00D4400D">
        <w:t>To recognise the achievement of good standards and quality in the provision of programmes and services to persons with disabilities, including through the provision of a disability equality awards system</w:t>
      </w:r>
      <w:r>
        <w:t>.</w:t>
      </w:r>
    </w:p>
    <w:p w:rsidR="00B87444" w:rsidRPr="00D4400D" w:rsidRDefault="00B87444" w:rsidP="00B87444">
      <w:pPr>
        <w:pStyle w:val="ListBullet"/>
        <w:numPr>
          <w:ilvl w:val="0"/>
          <w:numId w:val="6"/>
        </w:numPr>
        <w:spacing w:before="120"/>
      </w:pPr>
      <w:r w:rsidRPr="00D4400D">
        <w:t>To prepare strategic plans.</w:t>
      </w:r>
    </w:p>
    <w:p w:rsidR="00B87444" w:rsidRPr="00D4400D" w:rsidRDefault="00B87444" w:rsidP="00B87444">
      <w:r w:rsidRPr="00D4400D">
        <w:t>Additional functions of the Authority under the Disability Act 2005 include:</w:t>
      </w:r>
    </w:p>
    <w:p w:rsidR="00B87444" w:rsidRPr="00D4400D" w:rsidRDefault="00B87444" w:rsidP="00B87444">
      <w:pPr>
        <w:pStyle w:val="ListBullet"/>
        <w:numPr>
          <w:ilvl w:val="0"/>
          <w:numId w:val="6"/>
        </w:numPr>
        <w:spacing w:before="120"/>
      </w:pPr>
      <w:r w:rsidRPr="00D4400D">
        <w:t>To prepare codes of practice relating to the accessibility of public buildings, services, information and heritage sites and to the employment of people with disabilities in the public sector at the request of the Minister (Part 3)</w:t>
      </w:r>
      <w:r>
        <w:t>.</w:t>
      </w:r>
    </w:p>
    <w:p w:rsidR="00B87444" w:rsidRPr="00D4400D" w:rsidRDefault="00B87444" w:rsidP="00B87444">
      <w:pPr>
        <w:pStyle w:val="ListBullet"/>
        <w:numPr>
          <w:ilvl w:val="0"/>
          <w:numId w:val="6"/>
        </w:numPr>
        <w:spacing w:before="120"/>
      </w:pPr>
      <w:r w:rsidRPr="00D4400D">
        <w:t>To monitor compliance with statutory targets for recruitment and employment of people with disabilities in the public sector, recommend actions to be taken where these targets are not being met, and prepare codes of practice where requested (Part 5)</w:t>
      </w:r>
      <w:r>
        <w:t>.</w:t>
      </w:r>
    </w:p>
    <w:p w:rsidR="00B87444" w:rsidRPr="00D4400D" w:rsidRDefault="00B87444" w:rsidP="00B87444">
      <w:pPr>
        <w:pStyle w:val="ListBullet"/>
        <w:numPr>
          <w:ilvl w:val="0"/>
          <w:numId w:val="6"/>
        </w:numPr>
        <w:spacing w:before="120"/>
      </w:pPr>
      <w:r w:rsidRPr="00D4400D">
        <w:t>To establish a Centre for Excellence in Universal Design in the built environment and information technology which will promote the principles of universal design that may be accessed, understood and used to the greatest practicable extent by people with disabilities:</w:t>
      </w:r>
    </w:p>
    <w:p w:rsidR="00B87444" w:rsidRPr="00D4400D" w:rsidRDefault="00B87444" w:rsidP="00B87444">
      <w:pPr>
        <w:pStyle w:val="ListBullet2"/>
        <w:numPr>
          <w:ilvl w:val="0"/>
          <w:numId w:val="8"/>
        </w:numPr>
        <w:tabs>
          <w:tab w:val="clear" w:pos="357"/>
        </w:tabs>
        <w:spacing w:line="294" w:lineRule="exact"/>
      </w:pPr>
      <w:r w:rsidRPr="00D4400D">
        <w:t>in the most independent and natural manner</w:t>
      </w:r>
    </w:p>
    <w:p w:rsidR="00B87444" w:rsidRPr="00D4400D" w:rsidRDefault="00B87444" w:rsidP="00B87444">
      <w:pPr>
        <w:pStyle w:val="ListBullet2"/>
        <w:numPr>
          <w:ilvl w:val="0"/>
          <w:numId w:val="8"/>
        </w:numPr>
        <w:tabs>
          <w:tab w:val="clear" w:pos="357"/>
        </w:tabs>
        <w:spacing w:line="294" w:lineRule="exact"/>
      </w:pPr>
      <w:r w:rsidRPr="00D4400D">
        <w:t>in the widest possible range of situations</w:t>
      </w:r>
    </w:p>
    <w:p w:rsidR="00B87444" w:rsidRDefault="00B87444" w:rsidP="00B87444">
      <w:pPr>
        <w:pStyle w:val="ListBullet2"/>
        <w:numPr>
          <w:ilvl w:val="0"/>
          <w:numId w:val="8"/>
        </w:numPr>
        <w:tabs>
          <w:tab w:val="clear" w:pos="357"/>
        </w:tabs>
        <w:spacing w:line="294" w:lineRule="exact"/>
      </w:pPr>
      <w:r w:rsidRPr="00D4400D">
        <w:t>without the need for adaptation, modification, assistive devices or specialised solution (Part 6).</w:t>
      </w:r>
    </w:p>
    <w:p w:rsidR="00B87444" w:rsidRPr="00D4400D" w:rsidRDefault="00B87444" w:rsidP="00B87444">
      <w:pPr>
        <w:pStyle w:val="Heading4"/>
      </w:pPr>
      <w:r w:rsidRPr="00D4400D">
        <w:t>Statutory powers</w:t>
      </w:r>
    </w:p>
    <w:p w:rsidR="00B87444" w:rsidRPr="00D4400D" w:rsidRDefault="00B87444" w:rsidP="00B87444">
      <w:pPr>
        <w:tabs>
          <w:tab w:val="left" w:pos="1440"/>
        </w:tabs>
      </w:pPr>
      <w:r w:rsidRPr="00D4400D">
        <w:t>In order to fulfil its statutory functions the Authority has certain statutory powers under the National Disability Authority Act 1999:</w:t>
      </w:r>
    </w:p>
    <w:p w:rsidR="00B87444" w:rsidRPr="00D4400D" w:rsidRDefault="00B87444" w:rsidP="00B87444">
      <w:pPr>
        <w:pStyle w:val="ListBullet"/>
        <w:numPr>
          <w:ilvl w:val="0"/>
          <w:numId w:val="6"/>
        </w:numPr>
        <w:spacing w:before="120"/>
      </w:pPr>
      <w:r w:rsidRPr="00D4400D">
        <w:t>The Authority has right of access to information (including data) of relevance to its functions which is held by public bodies (Section 13)</w:t>
      </w:r>
      <w:r>
        <w:t>.</w:t>
      </w:r>
    </w:p>
    <w:p w:rsidR="00B87444" w:rsidRPr="00D4400D" w:rsidRDefault="00B87444" w:rsidP="00B87444">
      <w:pPr>
        <w:pStyle w:val="ListBullet"/>
        <w:numPr>
          <w:ilvl w:val="0"/>
          <w:numId w:val="6"/>
        </w:numPr>
        <w:spacing w:before="120"/>
      </w:pPr>
      <w:r w:rsidRPr="00D4400D">
        <w:t>The Authority may seek information on any matter which concerns the provision of programmes or services for persons with disabilities that is provided by statutory duty and that is publicly funded in whole or in part (Section 14)</w:t>
      </w:r>
      <w:r>
        <w:t>.</w:t>
      </w:r>
    </w:p>
    <w:p w:rsidR="00B87444" w:rsidRPr="00D4400D" w:rsidRDefault="00B87444" w:rsidP="00B87444">
      <w:pPr>
        <w:pStyle w:val="ListBullet"/>
        <w:numPr>
          <w:ilvl w:val="0"/>
          <w:numId w:val="6"/>
        </w:numPr>
        <w:spacing w:before="120"/>
      </w:pPr>
      <w:r w:rsidRPr="00D4400D">
        <w:t>The Authority makes recommendations for the review, reduction or withdrawal of moneys provided by the Oireachtas for any programme or service where it feels it is being provided in an inadequate or unsatisfactory manner or is not being provided to people with disabilities (Section 15(4))</w:t>
      </w:r>
      <w:r>
        <w:t>.</w:t>
      </w:r>
    </w:p>
    <w:p w:rsidR="00B87444" w:rsidRPr="00F87AC0" w:rsidRDefault="00B87444" w:rsidP="00B87444">
      <w:pPr>
        <w:sectPr w:rsidR="00B87444" w:rsidRPr="00F87AC0" w:rsidSect="009F7884">
          <w:footerReference w:type="default" r:id="rId11"/>
          <w:footerReference w:type="first" r:id="rId12"/>
          <w:pgSz w:w="11907" w:h="16840" w:code="9"/>
          <w:pgMar w:top="1440" w:right="1800" w:bottom="1440" w:left="1800" w:header="708" w:footer="708" w:gutter="0"/>
          <w:cols w:space="708"/>
          <w:docGrid w:linePitch="360"/>
        </w:sectPr>
      </w:pPr>
      <w:r w:rsidRPr="00D4400D">
        <w:t>The Authority makes annual reports and other reports to the Minister with r</w:t>
      </w:r>
      <w:r w:rsidR="000C6890">
        <w:t>espect to its functions (Section</w:t>
      </w:r>
      <w:r w:rsidRPr="00D4400D">
        <w:t xml:space="preserve"> 15).</w:t>
      </w:r>
    </w:p>
    <w:p w:rsidR="00B87444" w:rsidRPr="00730F66" w:rsidRDefault="00B87444" w:rsidP="00B87444">
      <w:pPr>
        <w:pStyle w:val="Heading2"/>
      </w:pPr>
      <w:r w:rsidRPr="00730F66">
        <w:t>Statement of Responsibilities of Authority</w:t>
      </w:r>
      <w:r w:rsidR="008B2354">
        <w:t> </w:t>
      </w:r>
      <w:r w:rsidRPr="00730F66">
        <w:t>Members</w:t>
      </w:r>
    </w:p>
    <w:p w:rsidR="00B87444" w:rsidRDefault="00B87444" w:rsidP="00B87444">
      <w:r w:rsidRPr="00730F66">
        <w:t>The Authority is required by Section 17 of the National Disability Act 1999 to prepare financial statements for each financial year which give a true and fair view of the state of the affairs of the Authority and of its income and expenditure for that period.</w:t>
      </w:r>
    </w:p>
    <w:p w:rsidR="00B87444" w:rsidRDefault="00B87444" w:rsidP="00B87444">
      <w:r w:rsidRPr="00730F66">
        <w:t>In preparing those financial statements the Authority is required to:</w:t>
      </w:r>
    </w:p>
    <w:p w:rsidR="00B87444" w:rsidRDefault="00B87444" w:rsidP="00B87444">
      <w:pPr>
        <w:pStyle w:val="ListBullet"/>
        <w:numPr>
          <w:ilvl w:val="0"/>
          <w:numId w:val="6"/>
        </w:numPr>
        <w:spacing w:before="120"/>
      </w:pPr>
      <w:r w:rsidRPr="00730F66">
        <w:t>select suitable accounting policies and apply them consistently;</w:t>
      </w:r>
    </w:p>
    <w:p w:rsidR="00B87444" w:rsidRDefault="00B87444" w:rsidP="00B87444">
      <w:pPr>
        <w:pStyle w:val="ListBullet"/>
        <w:numPr>
          <w:ilvl w:val="0"/>
          <w:numId w:val="6"/>
        </w:numPr>
        <w:spacing w:before="120"/>
      </w:pPr>
      <w:r w:rsidRPr="00730F66">
        <w:t>make judgements and estimates that are reasonable and prudent;</w:t>
      </w:r>
    </w:p>
    <w:p w:rsidR="00B87444" w:rsidRDefault="00B87444" w:rsidP="00B87444">
      <w:pPr>
        <w:pStyle w:val="ListBullet"/>
        <w:numPr>
          <w:ilvl w:val="0"/>
          <w:numId w:val="6"/>
        </w:numPr>
        <w:spacing w:before="120"/>
      </w:pPr>
      <w:r w:rsidRPr="00730F66">
        <w:t>comply with applicable Accounting Standards subject to any material departures disclosed and explained in the Financial Statements;</w:t>
      </w:r>
    </w:p>
    <w:p w:rsidR="00B87444" w:rsidRDefault="00B87444" w:rsidP="00B87444">
      <w:pPr>
        <w:pStyle w:val="ListBullet"/>
        <w:numPr>
          <w:ilvl w:val="0"/>
          <w:numId w:val="6"/>
        </w:numPr>
        <w:spacing w:before="120"/>
      </w:pPr>
      <w:r w:rsidRPr="00730F66">
        <w:t>prepare the financial statements on a going concern basis unless it is inappropriate to presume that the National Disability Authority will continue in existence.</w:t>
      </w:r>
    </w:p>
    <w:p w:rsidR="00B87444" w:rsidRDefault="00B87444" w:rsidP="00B87444">
      <w:r w:rsidRPr="00730F66">
        <w:t xml:space="preserve">The Authority is responsible for maintaining proper accounting records, which disclose with reasonable accuracy at any time the financial </w:t>
      </w:r>
      <w:r>
        <w:t xml:space="preserve">position of the Authority and </w:t>
      </w:r>
      <w:r w:rsidRPr="00730F66">
        <w:t>enable it to ensure that the financial statements comply with the Act. It is also responsible for safeguarding the assets of the National Disability Authority and hence for taking reasonable steps for the prevention and detection of fraud and other irregularities.</w:t>
      </w:r>
    </w:p>
    <w:p w:rsidR="00B87444" w:rsidRDefault="00B87444" w:rsidP="00B87444">
      <w:r w:rsidRPr="00730F66">
        <w:t>On behalf of the Authority</w:t>
      </w:r>
    </w:p>
    <w:p w:rsidR="00B87444" w:rsidRPr="008B2354" w:rsidRDefault="00B87444" w:rsidP="00B87444">
      <w:pPr>
        <w:spacing w:after="0"/>
      </w:pPr>
      <w:r w:rsidRPr="008B2354">
        <w:t>Chairperson</w:t>
      </w:r>
      <w:r w:rsidR="008B2354">
        <w:t>:</w:t>
      </w:r>
      <w:r w:rsidR="008B2354">
        <w:tab/>
      </w:r>
      <w:r w:rsidRPr="008B2354">
        <w:t>Peter McKevitt</w:t>
      </w:r>
      <w:r w:rsidR="008B2354">
        <w:br/>
      </w:r>
      <w:r w:rsidRPr="008B2354">
        <w:t>Director</w:t>
      </w:r>
      <w:r w:rsidR="008B2354">
        <w:t>:</w:t>
      </w:r>
      <w:r w:rsidR="008B2354">
        <w:tab/>
      </w:r>
      <w:r w:rsidRPr="008B2354">
        <w:t>Siobhan Barron</w:t>
      </w:r>
    </w:p>
    <w:p w:rsidR="00B87444" w:rsidRPr="008B2354" w:rsidRDefault="00B87444" w:rsidP="008B2354">
      <w:r w:rsidRPr="008B2354">
        <w:t>Date</w:t>
      </w:r>
      <w:r w:rsidR="008B2354">
        <w:t>:</w:t>
      </w:r>
      <w:r w:rsidR="008B2354">
        <w:tab/>
      </w:r>
      <w:r w:rsidR="007F2AF8">
        <w:t>14/8/13</w:t>
      </w:r>
    </w:p>
    <w:p w:rsidR="00B87444" w:rsidRDefault="00B87444" w:rsidP="00B87444">
      <w:pPr>
        <w:pStyle w:val="Heading2"/>
      </w:pPr>
      <w:r w:rsidRPr="00300E3E">
        <w:t>Statement on Internal Financial Control</w:t>
      </w:r>
      <w:r>
        <w:t xml:space="preserve"> f</w:t>
      </w:r>
      <w:r w:rsidRPr="00300E3E">
        <w:t xml:space="preserve">or the year ended 31 December </w:t>
      </w:r>
      <w:r>
        <w:t>2012</w:t>
      </w:r>
    </w:p>
    <w:p w:rsidR="00B87444" w:rsidRDefault="00B87444" w:rsidP="00B87444">
      <w:r>
        <w:t>On behalf of the Board of the National Disability Authority, I acknowledge our responsibility for ensuring that an effective system of internal financial controls is maintained and operated</w:t>
      </w:r>
    </w:p>
    <w:p w:rsidR="00B87444" w:rsidRDefault="00B87444" w:rsidP="00B87444">
      <w:r w:rsidRPr="00730F66">
        <w:t>The systems can provide only reasonable, and not absolute, assurance that the assets are safeguarded, transactions authorised and properly recorded, and that material errors or irregularities are either prevented or would be detected in a timely manner.</w:t>
      </w:r>
    </w:p>
    <w:p w:rsidR="00B87444" w:rsidRDefault="00B87444" w:rsidP="00B87444">
      <w:r w:rsidRPr="00730F66">
        <w:t>The Authority has taken steps to ensure an appropriate control environment is in place by:</w:t>
      </w:r>
    </w:p>
    <w:p w:rsidR="00B87444" w:rsidRPr="00730F66" w:rsidRDefault="00B87444" w:rsidP="00B87444">
      <w:pPr>
        <w:pStyle w:val="ListBullet"/>
        <w:numPr>
          <w:ilvl w:val="0"/>
          <w:numId w:val="6"/>
        </w:numPr>
        <w:spacing w:before="120"/>
      </w:pPr>
      <w:r w:rsidRPr="00730F66">
        <w:t>Establishing formal procedures through various committee functions to monitor the activities and safeguard the assets of the organisation</w:t>
      </w:r>
    </w:p>
    <w:p w:rsidR="00B87444" w:rsidRPr="00730F66" w:rsidRDefault="00B87444" w:rsidP="00B87444">
      <w:pPr>
        <w:pStyle w:val="ListBullet"/>
        <w:numPr>
          <w:ilvl w:val="0"/>
          <w:numId w:val="6"/>
        </w:numPr>
        <w:spacing w:before="120"/>
      </w:pPr>
      <w:r w:rsidRPr="00730F66">
        <w:t>Clearly defining and documenting management responsibilities and powers</w:t>
      </w:r>
    </w:p>
    <w:p w:rsidR="00B87444" w:rsidRDefault="00B87444" w:rsidP="00B87444">
      <w:pPr>
        <w:pStyle w:val="ListBullet"/>
        <w:numPr>
          <w:ilvl w:val="0"/>
          <w:numId w:val="6"/>
        </w:numPr>
        <w:spacing w:before="120"/>
      </w:pPr>
      <w:r w:rsidRPr="00730F66">
        <w:t>Developing a strong culture of accountability across all levels of the organisation.</w:t>
      </w:r>
    </w:p>
    <w:p w:rsidR="00B87444" w:rsidRDefault="00B87444" w:rsidP="00B87444">
      <w:pPr>
        <w:pStyle w:val="ListBullet"/>
        <w:numPr>
          <w:ilvl w:val="0"/>
          <w:numId w:val="0"/>
        </w:numPr>
      </w:pPr>
      <w:r w:rsidRPr="00730F66">
        <w:t>The Authority has also established processes to identify and evaluate business risks. This is achieved in a numbers of ways including:</w:t>
      </w:r>
    </w:p>
    <w:p w:rsidR="00B87444" w:rsidRPr="00730F66" w:rsidRDefault="00B87444" w:rsidP="00B87444">
      <w:pPr>
        <w:pStyle w:val="ListBullet"/>
        <w:numPr>
          <w:ilvl w:val="0"/>
          <w:numId w:val="6"/>
        </w:numPr>
        <w:spacing w:before="120"/>
      </w:pPr>
      <w:r w:rsidRPr="00730F66">
        <w:t>Identifying the nature, extent and financial implications of risks facing the National Disability Authority</w:t>
      </w:r>
    </w:p>
    <w:p w:rsidR="00B87444" w:rsidRPr="00730F66" w:rsidRDefault="00B87444" w:rsidP="00B87444">
      <w:pPr>
        <w:pStyle w:val="ListBullet"/>
        <w:numPr>
          <w:ilvl w:val="0"/>
          <w:numId w:val="6"/>
        </w:numPr>
        <w:spacing w:before="120"/>
      </w:pPr>
      <w:r w:rsidRPr="00730F66">
        <w:t xml:space="preserve">Assessing the likelihood of identified risks occurring. The </w:t>
      </w:r>
      <w:r w:rsidR="006B750E" w:rsidRPr="006309CB">
        <w:rPr>
          <w:lang w:val="ga-IE" w:eastAsia="en-GB"/>
        </w:rPr>
        <w:t>National Disability Authority</w:t>
      </w:r>
      <w:r w:rsidRPr="00730F66">
        <w:t xml:space="preserve"> has prepared a risk register </w:t>
      </w:r>
      <w:r>
        <w:t xml:space="preserve">including strategic, operational, information technology, financial and </w:t>
      </w:r>
      <w:r w:rsidRPr="00730F66">
        <w:t>reputational /compliance risks</w:t>
      </w:r>
      <w:r>
        <w:t>. In addition, risk analysis is completed at project planning and scoping stage</w:t>
      </w:r>
    </w:p>
    <w:p w:rsidR="00B87444" w:rsidRPr="00730F66" w:rsidRDefault="00B87444" w:rsidP="00B87444">
      <w:pPr>
        <w:pStyle w:val="ListBullet"/>
        <w:numPr>
          <w:ilvl w:val="0"/>
          <w:numId w:val="6"/>
        </w:numPr>
        <w:spacing w:before="120"/>
      </w:pPr>
      <w:r w:rsidRPr="00730F66">
        <w:t>Assessing the National Disability Authority’s ability to manage and mitigate the risks that do occur</w:t>
      </w:r>
    </w:p>
    <w:p w:rsidR="00B87444" w:rsidRPr="00730F66" w:rsidRDefault="00B87444" w:rsidP="00B87444">
      <w:pPr>
        <w:pStyle w:val="ListBullet"/>
        <w:numPr>
          <w:ilvl w:val="0"/>
          <w:numId w:val="6"/>
        </w:numPr>
        <w:spacing w:before="120"/>
      </w:pPr>
      <w:r w:rsidRPr="00730F66">
        <w:t>Working closely with Government and various agencies and institutions to ensure that there is a clear understanding of the National Disability Authority’s goals and support for the Authority’s strategies to achieve those goals</w:t>
      </w:r>
    </w:p>
    <w:p w:rsidR="00B87444" w:rsidRPr="00730F66" w:rsidRDefault="00B87444" w:rsidP="00B87444">
      <w:pPr>
        <w:pStyle w:val="ListBullet"/>
        <w:numPr>
          <w:ilvl w:val="0"/>
          <w:numId w:val="6"/>
        </w:numPr>
        <w:spacing w:before="120"/>
      </w:pPr>
      <w:r w:rsidRPr="00730F66">
        <w:t>Carrying out regular reviews of strategic plans both short and long term and evaluating the risks to bringing those plans to fruition</w:t>
      </w:r>
    </w:p>
    <w:p w:rsidR="00B87444" w:rsidRPr="00730F66" w:rsidRDefault="00B87444" w:rsidP="00B87444">
      <w:pPr>
        <w:pStyle w:val="ListBullet"/>
        <w:numPr>
          <w:ilvl w:val="0"/>
          <w:numId w:val="6"/>
        </w:numPr>
        <w:spacing w:before="120"/>
      </w:pPr>
      <w:r w:rsidRPr="00730F66">
        <w:t>Setting annual and lo</w:t>
      </w:r>
      <w:r>
        <w:t>nger term targets for each area</w:t>
      </w:r>
      <w:r w:rsidRPr="00730F66">
        <w:t xml:space="preserve"> of our business followed by the regular reporting on the results achieved</w:t>
      </w:r>
    </w:p>
    <w:p w:rsidR="00B87444" w:rsidRDefault="00B87444" w:rsidP="00B87444">
      <w:pPr>
        <w:pStyle w:val="ListBullet"/>
        <w:numPr>
          <w:ilvl w:val="0"/>
          <w:numId w:val="6"/>
        </w:numPr>
        <w:spacing w:before="120"/>
      </w:pPr>
      <w:r w:rsidRPr="00730F66">
        <w:t>Establishing and enforcing extensive standard procedures and provision under which financial assistance may be made available to projects, including provisions requiring repayment if the project does not fulfil commitments made by the promoter.</w:t>
      </w:r>
    </w:p>
    <w:p w:rsidR="00B87444" w:rsidRDefault="00B87444" w:rsidP="00B87444">
      <w:r w:rsidRPr="00730F66">
        <w:t>The system of internal financial control is based on a framework of regular management information, administrative procedures including segregation of duties, and a system of delegation and accountability. In particular it includes:</w:t>
      </w:r>
    </w:p>
    <w:p w:rsidR="00B87444" w:rsidRPr="00730F66" w:rsidRDefault="00B87444" w:rsidP="00B87444">
      <w:pPr>
        <w:pStyle w:val="ListBullet"/>
        <w:numPr>
          <w:ilvl w:val="0"/>
          <w:numId w:val="6"/>
        </w:numPr>
        <w:spacing w:before="120"/>
      </w:pPr>
      <w:r w:rsidRPr="00730F66">
        <w:t xml:space="preserve">A comprehensive budget system with an annual budget which is reviewed and agreed by the Authority </w:t>
      </w:r>
    </w:p>
    <w:p w:rsidR="00B87444" w:rsidRPr="00730F66" w:rsidRDefault="00B87444" w:rsidP="00B87444">
      <w:pPr>
        <w:pStyle w:val="ListBullet"/>
        <w:numPr>
          <w:ilvl w:val="0"/>
          <w:numId w:val="6"/>
        </w:numPr>
        <w:spacing w:before="120"/>
      </w:pPr>
      <w:r w:rsidRPr="00730F66">
        <w:t>Regular reviews by the Authority of periodic and annual financial reports which indicate financial performance against forecasts</w:t>
      </w:r>
    </w:p>
    <w:p w:rsidR="00B87444" w:rsidRPr="00730F66" w:rsidRDefault="00B87444" w:rsidP="00B87444">
      <w:pPr>
        <w:pStyle w:val="ListBullet"/>
        <w:numPr>
          <w:ilvl w:val="0"/>
          <w:numId w:val="6"/>
        </w:numPr>
        <w:spacing w:before="120"/>
      </w:pPr>
      <w:r w:rsidRPr="00730F66">
        <w:t>Setting targets to measure financial and other performances</w:t>
      </w:r>
    </w:p>
    <w:p w:rsidR="00B87444" w:rsidRPr="00730F66" w:rsidRDefault="00B87444" w:rsidP="00B87444">
      <w:pPr>
        <w:pStyle w:val="ListBullet"/>
        <w:numPr>
          <w:ilvl w:val="0"/>
          <w:numId w:val="6"/>
        </w:numPr>
        <w:spacing w:before="120"/>
      </w:pPr>
      <w:r w:rsidRPr="00730F66">
        <w:t>Clearly defined capital investment control guidelines</w:t>
      </w:r>
    </w:p>
    <w:p w:rsidR="00B87444" w:rsidRDefault="00B87444" w:rsidP="00CE25CB">
      <w:pPr>
        <w:pStyle w:val="ListBullet"/>
        <w:numPr>
          <w:ilvl w:val="0"/>
          <w:numId w:val="6"/>
        </w:numPr>
        <w:spacing w:after="0"/>
        <w:ind w:left="357" w:hanging="357"/>
      </w:pPr>
      <w:r w:rsidRPr="00730F66">
        <w:t>Formal project management disciplines.</w:t>
      </w:r>
    </w:p>
    <w:p w:rsidR="00B87444" w:rsidRDefault="00B87444" w:rsidP="00EB5111">
      <w:pPr>
        <w:pStyle w:val="NormalAfterList"/>
      </w:pPr>
      <w:r w:rsidRPr="00730F66">
        <w:t xml:space="preserve">The Authority has outsourced an Internal Audit Service, which operates in accordance with the Framework Code of Best Practice, set out in the </w:t>
      </w:r>
      <w:r>
        <w:t xml:space="preserve">Revised </w:t>
      </w:r>
      <w:r w:rsidRPr="00730F66">
        <w:t>Code of Practice on the Governance of State Bodies</w:t>
      </w:r>
      <w:r>
        <w:t xml:space="preserve"> 2009</w:t>
      </w:r>
      <w:r w:rsidRPr="00730F66">
        <w:t xml:space="preserve">. </w:t>
      </w:r>
      <w:r>
        <w:t>During 2012 the</w:t>
      </w:r>
      <w:r w:rsidRPr="00730F66">
        <w:t xml:space="preserve"> Internal Audit Service </w:t>
      </w:r>
      <w:r>
        <w:t>was</w:t>
      </w:r>
      <w:r w:rsidRPr="00730F66">
        <w:t xml:space="preserve"> carried out by the Department of Justice Equality and Law Reform</w:t>
      </w:r>
      <w:r w:rsidRPr="00B01B9A">
        <w:rPr>
          <w:rFonts w:cs="Arial"/>
        </w:rPr>
        <w:t xml:space="preserve">. </w:t>
      </w:r>
      <w:r w:rsidRPr="00730F66">
        <w:t>The Internal Audit Service reports regularly to the Audit Committee. In the current year</w:t>
      </w:r>
      <w:r>
        <w:t>,</w:t>
      </w:r>
      <w:r w:rsidRPr="00730F66">
        <w:t xml:space="preserve"> Internal Audit has completed </w:t>
      </w:r>
      <w:r>
        <w:t>a report</w:t>
      </w:r>
      <w:r w:rsidRPr="00730F66">
        <w:t xml:space="preserve"> in the area of </w:t>
      </w:r>
      <w:r>
        <w:t xml:space="preserve">Fixed Assets. </w:t>
      </w:r>
      <w:r w:rsidRPr="00730F66">
        <w:t xml:space="preserve">No major issues were identified in </w:t>
      </w:r>
      <w:r>
        <w:t>the</w:t>
      </w:r>
      <w:r w:rsidRPr="00730F66">
        <w:t xml:space="preserve"> report.</w:t>
      </w:r>
    </w:p>
    <w:p w:rsidR="00B87444" w:rsidRPr="00730F66" w:rsidRDefault="00B87444" w:rsidP="00B87444">
      <w:r w:rsidRPr="00730F66">
        <w:t xml:space="preserve">The Authority has responsibility for overseeing the implementation of the Internal Audit Service recommendations to ensure proper and effective financial control procedures are maintained and </w:t>
      </w:r>
      <w:r>
        <w:t>oversees the internal audit function and related p</w:t>
      </w:r>
      <w:r w:rsidRPr="00730F66">
        <w:t>lans to include any new identified areas.</w:t>
      </w:r>
    </w:p>
    <w:p w:rsidR="00B87444" w:rsidRDefault="00B87444" w:rsidP="00EB5111">
      <w:pPr>
        <w:pStyle w:val="NormalBeforeList"/>
        <w:spacing w:after="120"/>
      </w:pPr>
      <w:r w:rsidRPr="00730F66">
        <w:t>The Authority’s monitoring and review of the effectiveness of the systems of internal financial control is informed by:</w:t>
      </w:r>
    </w:p>
    <w:p w:rsidR="00B87444" w:rsidRPr="00730F66" w:rsidRDefault="00B87444" w:rsidP="00B87444">
      <w:pPr>
        <w:pStyle w:val="ListBullet"/>
        <w:numPr>
          <w:ilvl w:val="0"/>
          <w:numId w:val="6"/>
        </w:numPr>
        <w:spacing w:before="120"/>
      </w:pPr>
      <w:r w:rsidRPr="00730F66">
        <w:t>the work of the Internal Audit Service and the contribution of the Audit Committee which oversees the work of the Internal Auditor and of the corporate governance environment;</w:t>
      </w:r>
    </w:p>
    <w:p w:rsidR="00B87444" w:rsidRPr="00730F66" w:rsidRDefault="00B87444" w:rsidP="00B87444">
      <w:pPr>
        <w:pStyle w:val="ListBullet"/>
        <w:numPr>
          <w:ilvl w:val="0"/>
          <w:numId w:val="6"/>
        </w:numPr>
        <w:spacing w:before="120"/>
      </w:pPr>
      <w:r w:rsidRPr="00730F66">
        <w:t>the executive managers with the National Disability Authority who have responsibility for the development and the maintenance of the financial control framework ;</w:t>
      </w:r>
    </w:p>
    <w:p w:rsidR="00B87444" w:rsidRPr="00730F66" w:rsidRDefault="00B87444" w:rsidP="00B87444">
      <w:pPr>
        <w:pStyle w:val="ListBullet"/>
        <w:numPr>
          <w:ilvl w:val="0"/>
          <w:numId w:val="6"/>
        </w:numPr>
        <w:spacing w:before="120"/>
      </w:pPr>
      <w:r w:rsidRPr="00730F66">
        <w:t xml:space="preserve">the Finance committee who report </w:t>
      </w:r>
      <w:r>
        <w:t xml:space="preserve">at least </w:t>
      </w:r>
      <w:r w:rsidRPr="00730F66">
        <w:t>quarterly on financial expenditure and related issues and</w:t>
      </w:r>
    </w:p>
    <w:p w:rsidR="00B87444" w:rsidRDefault="00B87444" w:rsidP="00B87444">
      <w:pPr>
        <w:pStyle w:val="ListBullet"/>
        <w:numPr>
          <w:ilvl w:val="0"/>
          <w:numId w:val="6"/>
        </w:numPr>
        <w:spacing w:after="0"/>
      </w:pPr>
      <w:r w:rsidRPr="00730F66">
        <w:t>the issues raised by the Comptroller and Auditor General</w:t>
      </w:r>
      <w:r>
        <w:t>.</w:t>
      </w:r>
    </w:p>
    <w:p w:rsidR="00B87444" w:rsidRDefault="00B87444" w:rsidP="00B87444">
      <w:pPr>
        <w:pStyle w:val="ListBullet"/>
        <w:numPr>
          <w:ilvl w:val="0"/>
          <w:numId w:val="0"/>
        </w:numPr>
        <w:spacing w:after="0"/>
      </w:pPr>
    </w:p>
    <w:p w:rsidR="00B87444" w:rsidRDefault="00B87444" w:rsidP="00EB5111">
      <w:pPr>
        <w:pStyle w:val="NormalAfterList"/>
      </w:pPr>
      <w:r w:rsidRPr="00E32BD7">
        <w:t>I confirm tha</w:t>
      </w:r>
      <w:r>
        <w:t>t the Authority has carried out a formal review of the effectiveness of the systems of internal financial controls in 2012.</w:t>
      </w:r>
    </w:p>
    <w:p w:rsidR="00B87444" w:rsidRDefault="00B87444" w:rsidP="00B87444">
      <w:r>
        <w:t>I confirm that, to the best of my knowledge, the above information is accurate.</w:t>
      </w:r>
    </w:p>
    <w:p w:rsidR="00B87444" w:rsidRDefault="00B87444" w:rsidP="00B87444">
      <w:r>
        <w:t>Peter Mc Kevitt</w:t>
      </w:r>
      <w:r w:rsidR="007F2AF8">
        <w:br/>
      </w:r>
      <w:r w:rsidRPr="00730F66">
        <w:t>Chair</w:t>
      </w:r>
      <w:r>
        <w:t>man</w:t>
      </w:r>
      <w:r w:rsidR="007F2AF8">
        <w:br/>
      </w:r>
      <w:r>
        <w:t>Date</w:t>
      </w:r>
      <w:r w:rsidR="007F2AF8">
        <w:t>:</w:t>
      </w:r>
      <w:r w:rsidR="007F2AF8">
        <w:tab/>
        <w:t>14/8/13</w:t>
      </w:r>
    </w:p>
    <w:p w:rsidR="00B87444" w:rsidRDefault="006B78BA" w:rsidP="00B87444">
      <w:pPr>
        <w:pStyle w:val="Heading2"/>
      </w:pPr>
      <w:r w:rsidRPr="00E54A0E">
        <w:t xml:space="preserve">Comptroller and Auditor General </w:t>
      </w:r>
      <w:r>
        <w:br/>
      </w:r>
      <w:r w:rsidR="00B87444" w:rsidRPr="00E54A0E">
        <w:t xml:space="preserve">Report </w:t>
      </w:r>
      <w:r w:rsidRPr="006B78BA">
        <w:t>for presentation to the Houses of the Oireachtas</w:t>
      </w:r>
    </w:p>
    <w:p w:rsidR="006B78BA" w:rsidRDefault="006B78BA" w:rsidP="006B78BA">
      <w:r>
        <w:t xml:space="preserve">I have audited the financial statements of the National Disability Authority for the year ended 31 December 2012 under the National Disability Authority Act 1999. The financial statements, which have been prepared under the accounting policies set out therein, comprise the statement of accounting policies, the income and expenditure account, the statement of total recognised gains and losses, the balance sheet, the cash flow statement and the related notes. The financial statements have been prepared in the form prescribed by under Section 17 of the Act, and in accordance with generally accepted accounting practice in </w:t>
      </w:r>
      <w:smartTag w:uri="urn:schemas-microsoft-com:office:smarttags" w:element="country-region">
        <w:smartTag w:uri="urn:schemas-microsoft-com:office:smarttags" w:element="place">
          <w:r>
            <w:t>ireland</w:t>
          </w:r>
        </w:smartTag>
      </w:smartTag>
      <w:r>
        <w:t>.</w:t>
      </w:r>
    </w:p>
    <w:p w:rsidR="006B78BA" w:rsidRDefault="006B78BA" w:rsidP="006B78BA">
      <w:pPr>
        <w:pStyle w:val="Heading3"/>
      </w:pPr>
      <w:r>
        <w:t>Responsibilities of the Members of the Authority</w:t>
      </w:r>
    </w:p>
    <w:p w:rsidR="006B78BA" w:rsidRDefault="006B78BA" w:rsidP="006B78BA">
      <w:r>
        <w:t>The Authority is responsible for the preparation of the financial statements, for ensuring that they give a true and fair view of the state of the National Disability Authority's affairs and of its income and expenditure, and for ensuring the regularity of transactions.</w:t>
      </w:r>
    </w:p>
    <w:p w:rsidR="006B78BA" w:rsidRDefault="006B78BA" w:rsidP="006B78BA">
      <w:pPr>
        <w:pStyle w:val="Heading3"/>
      </w:pPr>
      <w:r>
        <w:t>Responsibilities of the Comptroller and Auditor General</w:t>
      </w:r>
    </w:p>
    <w:p w:rsidR="006B78BA" w:rsidRDefault="006B78BA" w:rsidP="006B78BA">
      <w:r>
        <w:t xml:space="preserve">My responsibility is to audit the financial statements and report on them in accordance with applicable law. </w:t>
      </w:r>
    </w:p>
    <w:p w:rsidR="006B78BA" w:rsidRDefault="006B78BA" w:rsidP="006B78BA">
      <w:r>
        <w:t>My audit is conducted by reference to the special considerations which attach to State bodies in relation to their management and operation.</w:t>
      </w:r>
    </w:p>
    <w:p w:rsidR="006B78BA" w:rsidRDefault="006B78BA" w:rsidP="006B78BA">
      <w:r>
        <w:t>My audit is carried out in accordance with the International Standards on Auditing (UK and Ireland) and in compliance with the Auditing Practices Board's Ethical Standards for Auditors.</w:t>
      </w:r>
    </w:p>
    <w:p w:rsidR="006B78BA" w:rsidRDefault="006B78BA" w:rsidP="006B78BA">
      <w:pPr>
        <w:pStyle w:val="Heading3"/>
      </w:pPr>
      <w:r>
        <w:t>Scope of Audit of the Financial Statements</w:t>
      </w:r>
    </w:p>
    <w:p w:rsidR="006B78BA" w:rsidRDefault="006B78BA" w:rsidP="006B78BA">
      <w:pPr>
        <w:pStyle w:val="NormalBeforeList"/>
        <w:spacing w:after="120"/>
      </w:pPr>
      <w:r>
        <w:t>An audit involves obtaining evidence about the amounts and disclosures in the financial statements, sufficient to give reasonable assurance that the financial statements are free from material misstatement, whether caused by fraud or error. This includes an assessment of:</w:t>
      </w:r>
    </w:p>
    <w:p w:rsidR="006B78BA" w:rsidRDefault="006B78BA" w:rsidP="006B78BA">
      <w:pPr>
        <w:pStyle w:val="ListBullet"/>
      </w:pPr>
      <w:r>
        <w:t xml:space="preserve">whether the accounting policies are appropriate to the Authority's circumstances, and have been consistently applied and adequately disclosed </w:t>
      </w:r>
    </w:p>
    <w:p w:rsidR="006B78BA" w:rsidRDefault="006B78BA" w:rsidP="006B78BA">
      <w:pPr>
        <w:pStyle w:val="ListBullet"/>
      </w:pPr>
      <w:r>
        <w:t xml:space="preserve">the reasonableness of significant accounting estimates made in the preparation of the financial statements, and </w:t>
      </w:r>
    </w:p>
    <w:p w:rsidR="006B78BA" w:rsidRDefault="006B78BA" w:rsidP="006B78BA">
      <w:pPr>
        <w:pStyle w:val="ListBullet"/>
      </w:pPr>
      <w:r>
        <w:t xml:space="preserve">the overall presentation of the financial statements </w:t>
      </w:r>
    </w:p>
    <w:p w:rsidR="006B78BA" w:rsidRDefault="006B78BA" w:rsidP="006B78BA">
      <w:r>
        <w:t xml:space="preserve">I also seek to obtain evidence about the regularity of financial transactions in the course of audit. </w:t>
      </w:r>
    </w:p>
    <w:p w:rsidR="006B78BA" w:rsidRDefault="006B78BA" w:rsidP="006B78BA">
      <w:r>
        <w:t>In addition, I read the Authority’s annual report to identify material inconsistencies with the audited financial statements. If I become aware of any apparent material misstatements or inconsistencies I consider the implications for my report.</w:t>
      </w:r>
    </w:p>
    <w:p w:rsidR="006B78BA" w:rsidRDefault="006B78BA" w:rsidP="006B78BA">
      <w:pPr>
        <w:pStyle w:val="Heading3"/>
      </w:pPr>
      <w:r>
        <w:t>Opinion on the Financial Statements</w:t>
      </w:r>
    </w:p>
    <w:p w:rsidR="006B78BA" w:rsidRDefault="006B78BA" w:rsidP="006B78BA">
      <w:r>
        <w:t>In my opinion, the financial statements, which have been properly prepared in accordance with Generally Accepted Accounting Practice in Ireland, give a true and fair view of the state of the Authority's affairs at 31 December 201</w:t>
      </w:r>
      <w:r w:rsidR="000857FD">
        <w:t>2</w:t>
      </w:r>
      <w:r>
        <w:t xml:space="preserve"> and of its income and expenditure for </w:t>
      </w:r>
      <w:r w:rsidR="000857FD">
        <w:t>2012</w:t>
      </w:r>
      <w:r>
        <w:t>.</w:t>
      </w:r>
    </w:p>
    <w:p w:rsidR="006B78BA" w:rsidRDefault="006B78BA" w:rsidP="006B78BA">
      <w:r>
        <w:t>In my opinion, proper books of account have been kept by Authority. The financial statements are in agreement with the books of account.</w:t>
      </w:r>
    </w:p>
    <w:p w:rsidR="006B78BA" w:rsidRDefault="006B78BA" w:rsidP="006B78BA">
      <w:pPr>
        <w:pStyle w:val="Heading3"/>
      </w:pPr>
      <w:r>
        <w:t>Matters on which I Report by Exception</w:t>
      </w:r>
    </w:p>
    <w:p w:rsidR="006B78BA" w:rsidRDefault="006B78BA" w:rsidP="000857FD">
      <w:pPr>
        <w:pStyle w:val="NormalBeforeList"/>
        <w:spacing w:after="120"/>
      </w:pPr>
      <w:r>
        <w:t>I report by exception if</w:t>
      </w:r>
      <w:r w:rsidR="000857FD">
        <w:t>:</w:t>
      </w:r>
    </w:p>
    <w:p w:rsidR="006B78BA" w:rsidRDefault="006B78BA" w:rsidP="000857FD">
      <w:pPr>
        <w:pStyle w:val="ListBullet"/>
      </w:pPr>
      <w:r>
        <w:t xml:space="preserve">I have not received all the information and explanations I required for my audit, or </w:t>
      </w:r>
    </w:p>
    <w:p w:rsidR="006B78BA" w:rsidRDefault="006B78BA" w:rsidP="000857FD">
      <w:pPr>
        <w:pStyle w:val="ListBullet"/>
      </w:pPr>
      <w:r>
        <w:t xml:space="preserve">my audit noted any material instance where moneys have not been applied for the purposes intended or where the transactions did not conform to the authorities governing them, or </w:t>
      </w:r>
    </w:p>
    <w:p w:rsidR="006B78BA" w:rsidRDefault="006B78BA" w:rsidP="000857FD">
      <w:pPr>
        <w:pStyle w:val="ListBullet"/>
      </w:pPr>
      <w:r>
        <w:t xml:space="preserve">the information given in the </w:t>
      </w:r>
      <w:r w:rsidR="000857FD">
        <w:t xml:space="preserve">National Disability </w:t>
      </w:r>
      <w:r>
        <w:t xml:space="preserve">Authority's Annual Report is not consistent with the financial statements, or </w:t>
      </w:r>
    </w:p>
    <w:p w:rsidR="006B78BA" w:rsidRDefault="006B78BA" w:rsidP="000857FD">
      <w:pPr>
        <w:pStyle w:val="ListBullet"/>
      </w:pPr>
      <w:r>
        <w:t xml:space="preserve">the Statement on Internal Financial Control does not reflect the Authority's compliance with the Code of Practice for the Governance of State Bodies, or </w:t>
      </w:r>
    </w:p>
    <w:p w:rsidR="006B78BA" w:rsidRDefault="006B78BA" w:rsidP="000857FD">
      <w:pPr>
        <w:pStyle w:val="ListBullet"/>
      </w:pPr>
      <w:r>
        <w:t xml:space="preserve">I find there are other material matters relating to the manner in which public business has been conducted </w:t>
      </w:r>
    </w:p>
    <w:p w:rsidR="006B78BA" w:rsidRDefault="006B78BA" w:rsidP="006B78BA">
      <w:r>
        <w:t>I have nothing to report in regard to those matters upon which reporting is by exception.</w:t>
      </w:r>
    </w:p>
    <w:p w:rsidR="006B78BA" w:rsidRDefault="006B78BA" w:rsidP="006B78BA"/>
    <w:p w:rsidR="006B78BA" w:rsidRDefault="000857FD" w:rsidP="006B78BA">
      <w:r>
        <w:t>Patricia Sheehan</w:t>
      </w:r>
    </w:p>
    <w:p w:rsidR="006B78BA" w:rsidRDefault="006B78BA" w:rsidP="006B78BA">
      <w:r>
        <w:t xml:space="preserve">For and on behalf of the </w:t>
      </w:r>
      <w:r w:rsidR="000857FD">
        <w:br/>
      </w:r>
      <w:r>
        <w:t xml:space="preserve">Comptroller and Auditor General </w:t>
      </w:r>
    </w:p>
    <w:p w:rsidR="00136AA9" w:rsidRPr="00136AA9" w:rsidRDefault="000857FD" w:rsidP="00136AA9">
      <w:r>
        <w:t xml:space="preserve">07 </w:t>
      </w:r>
      <w:r w:rsidR="006B78BA">
        <w:t>September 201</w:t>
      </w:r>
      <w:r>
        <w:t>3</w:t>
      </w:r>
    </w:p>
    <w:p w:rsidR="00B87444" w:rsidRDefault="00B87444" w:rsidP="0039617A">
      <w:pPr>
        <w:pStyle w:val="Heading2"/>
      </w:pPr>
      <w:r w:rsidRPr="00300E3E">
        <w:t>S</w:t>
      </w:r>
      <w:r>
        <w:t>tatement of Accounting</w:t>
      </w:r>
      <w:r w:rsidRPr="00300E3E">
        <w:t xml:space="preserve"> P</w:t>
      </w:r>
      <w:r>
        <w:t>olicies</w:t>
      </w:r>
    </w:p>
    <w:p w:rsidR="00B87444" w:rsidRDefault="00B87444" w:rsidP="003A6CE1">
      <w:pPr>
        <w:pStyle w:val="Heading3"/>
      </w:pPr>
      <w:r>
        <w:t>Basis of Accounting</w:t>
      </w:r>
    </w:p>
    <w:p w:rsidR="00B87444" w:rsidRDefault="00B87444" w:rsidP="00B87444">
      <w:r>
        <w:t>The financial statements have been prepared using the accruals method of accounting, except as indicated below and in accordance with generally accepted accounting principles under the historical cost convention.</w:t>
      </w:r>
    </w:p>
    <w:p w:rsidR="00B87444" w:rsidRDefault="00B87444" w:rsidP="00B87444">
      <w:r>
        <w:t>Financial Reporting Standards recommended by the recognised accountancy bodies are adopted as they become operative.</w:t>
      </w:r>
    </w:p>
    <w:p w:rsidR="00B87444" w:rsidRDefault="00B87444" w:rsidP="003A6CE1">
      <w:pPr>
        <w:pStyle w:val="Heading4"/>
      </w:pPr>
      <w:r>
        <w:t>Oireachtas Grant Income</w:t>
      </w:r>
    </w:p>
    <w:p w:rsidR="00B87444" w:rsidRPr="003971A2" w:rsidRDefault="00B87444" w:rsidP="00B87444">
      <w:pPr>
        <w:rPr>
          <w:b/>
        </w:rPr>
      </w:pPr>
      <w:r>
        <w:t xml:space="preserve">The income from this source represents the amounts provided to the </w:t>
      </w:r>
      <w:r w:rsidR="006B750E" w:rsidRPr="006309CB">
        <w:rPr>
          <w:lang w:val="ga-IE" w:eastAsia="en-GB"/>
        </w:rPr>
        <w:t>National Disability Authority</w:t>
      </w:r>
      <w:r>
        <w:t xml:space="preserve"> by the sponsoring departments through the direct payment of salary and other costs.</w:t>
      </w:r>
    </w:p>
    <w:p w:rsidR="00B87444" w:rsidRDefault="00B87444" w:rsidP="003A6CE1">
      <w:pPr>
        <w:pStyle w:val="Heading3"/>
      </w:pPr>
      <w:r>
        <w:t>Fixed Assets and Depreciation</w:t>
      </w:r>
    </w:p>
    <w:p w:rsidR="00B87444" w:rsidRDefault="00B87444" w:rsidP="00B87444">
      <w:r>
        <w:t xml:space="preserve">Fixed Assets are shown at original cost or valuation less accumulated depreciation. </w:t>
      </w:r>
    </w:p>
    <w:p w:rsidR="00B87444" w:rsidRDefault="00B87444" w:rsidP="003A6CE1">
      <w:pPr>
        <w:pStyle w:val="NormalBeforeList"/>
      </w:pPr>
      <w:r>
        <w:t>Depreciation is provided at the following annual rates:</w:t>
      </w:r>
    </w:p>
    <w:p w:rsidR="00B87444" w:rsidRDefault="00B87444" w:rsidP="003A6CE1">
      <w:pPr>
        <w:pStyle w:val="ListBullet"/>
      </w:pPr>
      <w:r>
        <w:t>Office Furniture and Equipment</w:t>
      </w:r>
      <w:r w:rsidR="003A6CE1">
        <w:t>:</w:t>
      </w:r>
      <w:r w:rsidR="003A6CE1">
        <w:tab/>
      </w:r>
      <w:r>
        <w:t xml:space="preserve">20.00 % (Straight Line) </w:t>
      </w:r>
    </w:p>
    <w:p w:rsidR="00B87444" w:rsidRDefault="00B87444" w:rsidP="003A6CE1">
      <w:pPr>
        <w:pStyle w:val="ListBullet"/>
      </w:pPr>
      <w:r>
        <w:t>Computer Hardware and Software</w:t>
      </w:r>
      <w:r w:rsidR="003A6CE1">
        <w:t>:</w:t>
      </w:r>
      <w:r w:rsidR="003A6CE1">
        <w:tab/>
      </w:r>
      <w:r>
        <w:t>33.33 % (Straight Line)</w:t>
      </w:r>
    </w:p>
    <w:p w:rsidR="00B87444" w:rsidRDefault="00B87444" w:rsidP="003A6CE1">
      <w:pPr>
        <w:pStyle w:val="ListBullet"/>
      </w:pPr>
      <w:r>
        <w:t>Premises</w:t>
      </w:r>
      <w:r w:rsidR="003A6CE1">
        <w:t>:</w:t>
      </w:r>
      <w:r w:rsidR="003A6CE1">
        <w:tab/>
      </w:r>
      <w:r>
        <w:t>2.50 % (Reducing Balance Basis)</w:t>
      </w:r>
    </w:p>
    <w:p w:rsidR="00B87444" w:rsidRDefault="00B87444" w:rsidP="003A6CE1">
      <w:pPr>
        <w:pStyle w:val="Heading3"/>
      </w:pPr>
      <w:r>
        <w:t>Capital Account</w:t>
      </w:r>
    </w:p>
    <w:p w:rsidR="00B87444" w:rsidRDefault="00B87444" w:rsidP="00B87444">
      <w:r>
        <w:t>The Capital Account represents the unamortised amount of income allocated for the purchase of fixed assets.</w:t>
      </w:r>
    </w:p>
    <w:p w:rsidR="00B87444" w:rsidRPr="003971A2" w:rsidRDefault="00B87444" w:rsidP="003A6CE1">
      <w:pPr>
        <w:pStyle w:val="Heading3"/>
      </w:pPr>
      <w:r w:rsidRPr="003971A2">
        <w:t>Pensions</w:t>
      </w:r>
    </w:p>
    <w:p w:rsidR="00B87444" w:rsidRDefault="00B87444" w:rsidP="00B87444">
      <w:r>
        <w:t>The National Disability Authority operates a defined bene</w:t>
      </w:r>
      <w:r w:rsidRPr="009E12F9">
        <w:t>fit pension scheme which is funded annually on a pay as you go basis from monies available to it, including monies</w:t>
      </w:r>
      <w:r>
        <w:t xml:space="preserve"> provided by the Department of Justice and Equality and from contributions deducted from staff salaries. </w:t>
      </w:r>
    </w:p>
    <w:p w:rsidR="00B87444" w:rsidRDefault="00B87444" w:rsidP="00B87444">
      <w:r>
        <w:t>Pension costs reflect pension benefits earned by employees in the period and are shown net of staff pension contributions which are retained by the National Disability Authority. An amount corresponding to the pension charge is recognised as income to the extent that it is recoverable, and offset by grants received in the year to discharge pension payments.</w:t>
      </w:r>
    </w:p>
    <w:p w:rsidR="00B87444" w:rsidRDefault="00B87444" w:rsidP="00B87444">
      <w:r>
        <w:t>Actuarial gains or losses arising on scheme liabilities are reflected in the Statement of Total Recognised Gains and Losses and a corresponding adjustment is recognised in the amount recoverable from the Department of Justice and Equality.</w:t>
      </w:r>
    </w:p>
    <w:p w:rsidR="00B87444" w:rsidRDefault="00B87444" w:rsidP="00B87444">
      <w:r>
        <w:t>Pension liabilities represent the present value of future pension payments earned by staff to date. Deferred pension funding represents the corresponding asset to be recovered in future periods from the Department of Justice and Equality.</w:t>
      </w:r>
    </w:p>
    <w:p w:rsidR="00B87444" w:rsidRPr="00994305" w:rsidRDefault="00B87444" w:rsidP="00E41BEB">
      <w:pPr>
        <w:pStyle w:val="Heading2"/>
        <w:rPr>
          <w:lang w:val="en-GB" w:eastAsia="en-GB"/>
        </w:rPr>
      </w:pPr>
      <w:r>
        <w:br w:type="page"/>
      </w:r>
      <w:bookmarkStart w:id="35" w:name="_Toc335836390"/>
      <w:bookmarkStart w:id="36" w:name="_Toc335983436"/>
      <w:bookmarkStart w:id="37" w:name="_Toc335986605"/>
      <w:r>
        <w:t>I</w:t>
      </w:r>
      <w:r w:rsidRPr="00755B9C">
        <w:rPr>
          <w:lang w:val="en-GB" w:eastAsia="en-GB"/>
        </w:rPr>
        <w:t>ncome and Expenditure Account for the year ended 31 December 201</w:t>
      </w:r>
      <w:bookmarkEnd w:id="35"/>
      <w:bookmarkEnd w:id="36"/>
      <w:bookmarkEnd w:id="37"/>
      <w:r>
        <w:rPr>
          <w:lang w:val="en-GB" w:eastAsia="en-GB"/>
        </w:rPr>
        <w:t>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742"/>
        <w:gridCol w:w="946"/>
        <w:gridCol w:w="1178"/>
        <w:gridCol w:w="1287"/>
      </w:tblGrid>
      <w:tr w:rsidR="00B87444" w:rsidRPr="00755B9C" w:rsidTr="005C758C">
        <w:trPr>
          <w:tblHeader/>
        </w:trPr>
        <w:tc>
          <w:tcPr>
            <w:tcW w:w="4742" w:type="dxa"/>
            <w:shd w:val="clear" w:color="auto" w:fill="auto"/>
            <w:vAlign w:val="bottom"/>
          </w:tcPr>
          <w:p w:rsidR="00B87444" w:rsidRPr="00994305" w:rsidRDefault="00B87444" w:rsidP="00B87444">
            <w:pPr>
              <w:spacing w:after="0"/>
              <w:rPr>
                <w:rFonts w:cs="Arial"/>
                <w:lang w:val="en-GB" w:eastAsia="en-GB"/>
              </w:rPr>
            </w:pPr>
          </w:p>
        </w:tc>
        <w:tc>
          <w:tcPr>
            <w:tcW w:w="946" w:type="dxa"/>
            <w:shd w:val="clear" w:color="auto" w:fill="auto"/>
          </w:tcPr>
          <w:p w:rsidR="00B87444" w:rsidRPr="00994305" w:rsidRDefault="00B87444" w:rsidP="00B87444">
            <w:pPr>
              <w:pStyle w:val="TableHead"/>
              <w:jc w:val="right"/>
              <w:rPr>
                <w:sz w:val="24"/>
              </w:rPr>
            </w:pPr>
            <w:r w:rsidRPr="00994305">
              <w:rPr>
                <w:sz w:val="24"/>
              </w:rPr>
              <w:t>Notes</w:t>
            </w:r>
          </w:p>
        </w:tc>
        <w:tc>
          <w:tcPr>
            <w:tcW w:w="1178" w:type="dxa"/>
            <w:shd w:val="clear" w:color="auto" w:fill="auto"/>
            <w:vAlign w:val="bottom"/>
          </w:tcPr>
          <w:p w:rsidR="00B87444" w:rsidRPr="00994305" w:rsidRDefault="00B87444" w:rsidP="00B87444">
            <w:pPr>
              <w:pStyle w:val="TableHead"/>
              <w:rPr>
                <w:sz w:val="24"/>
                <w:lang w:val="en-GB" w:eastAsia="en-GB"/>
              </w:rPr>
            </w:pPr>
            <w:r>
              <w:rPr>
                <w:sz w:val="24"/>
                <w:lang w:val="en-GB" w:eastAsia="en-GB"/>
              </w:rPr>
              <w:t>2012</w:t>
            </w:r>
          </w:p>
        </w:tc>
        <w:tc>
          <w:tcPr>
            <w:tcW w:w="1287" w:type="dxa"/>
            <w:shd w:val="clear" w:color="auto" w:fill="auto"/>
            <w:vAlign w:val="bottom"/>
          </w:tcPr>
          <w:p w:rsidR="00B87444" w:rsidRPr="00994305" w:rsidRDefault="00B87444" w:rsidP="00B87444">
            <w:pPr>
              <w:pStyle w:val="TableHead"/>
              <w:rPr>
                <w:sz w:val="24"/>
                <w:lang w:val="en-GB" w:eastAsia="en-GB"/>
              </w:rPr>
            </w:pPr>
            <w:r>
              <w:rPr>
                <w:sz w:val="24"/>
                <w:lang w:val="en-GB" w:eastAsia="en-GB"/>
              </w:rPr>
              <w:t>2011</w:t>
            </w:r>
          </w:p>
        </w:tc>
      </w:tr>
      <w:tr w:rsidR="00B87444" w:rsidRPr="00755B9C" w:rsidTr="005C758C">
        <w:tc>
          <w:tcPr>
            <w:tcW w:w="8153" w:type="dxa"/>
            <w:gridSpan w:val="4"/>
            <w:shd w:val="clear" w:color="auto" w:fill="auto"/>
            <w:vAlign w:val="bottom"/>
          </w:tcPr>
          <w:p w:rsidR="00B87444" w:rsidRPr="00994305" w:rsidRDefault="00B87444" w:rsidP="00B87444">
            <w:pPr>
              <w:pStyle w:val="TableHead"/>
              <w:jc w:val="center"/>
              <w:rPr>
                <w:rFonts w:cs="Arial"/>
                <w:bCs/>
                <w:sz w:val="24"/>
                <w:lang w:val="en-GB" w:eastAsia="en-GB"/>
              </w:rPr>
            </w:pPr>
            <w:r w:rsidRPr="00994305">
              <w:rPr>
                <w:sz w:val="24"/>
                <w:lang w:val="en-GB" w:eastAsia="en-GB"/>
              </w:rPr>
              <w:t>Income</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p>
        </w:tc>
        <w:tc>
          <w:tcPr>
            <w:tcW w:w="946" w:type="dxa"/>
            <w:shd w:val="clear" w:color="auto" w:fill="auto"/>
            <w:vAlign w:val="bottom"/>
          </w:tcPr>
          <w:p w:rsidR="00B87444" w:rsidRPr="00994305" w:rsidRDefault="00B87444" w:rsidP="00B87444">
            <w:pPr>
              <w:spacing w:after="0"/>
              <w:jc w:val="center"/>
              <w:rPr>
                <w:rFonts w:cs="Arial"/>
                <w:lang w:val="en-GB" w:eastAsia="en-GB"/>
              </w:rPr>
            </w:pPr>
          </w:p>
        </w:tc>
        <w:tc>
          <w:tcPr>
            <w:tcW w:w="1178" w:type="dxa"/>
            <w:shd w:val="clear" w:color="auto" w:fill="auto"/>
            <w:vAlign w:val="bottom"/>
          </w:tcPr>
          <w:p w:rsidR="00B87444" w:rsidRPr="00EB5111" w:rsidRDefault="00B87444" w:rsidP="00EB5111">
            <w:pPr>
              <w:pStyle w:val="TableCell"/>
              <w:rPr>
                <w:lang w:val="en-GB" w:eastAsia="en-GB"/>
              </w:rPr>
            </w:pPr>
            <w:r w:rsidRPr="00EB5111">
              <w:rPr>
                <w:lang w:val="en-GB" w:eastAsia="en-GB"/>
              </w:rPr>
              <w:t>€</w:t>
            </w:r>
          </w:p>
        </w:tc>
        <w:tc>
          <w:tcPr>
            <w:tcW w:w="1287" w:type="dxa"/>
            <w:shd w:val="clear" w:color="auto" w:fill="auto"/>
            <w:vAlign w:val="bottom"/>
          </w:tcPr>
          <w:p w:rsidR="00B87444" w:rsidRPr="00EB5111" w:rsidRDefault="00B87444" w:rsidP="00EB5111">
            <w:pPr>
              <w:pStyle w:val="TableCell"/>
              <w:rPr>
                <w:lang w:val="en-GB" w:eastAsia="en-GB"/>
              </w:rPr>
            </w:pPr>
            <w:r w:rsidRPr="00EB5111">
              <w:rPr>
                <w:lang w:val="en-GB" w:eastAsia="en-GB"/>
              </w:rPr>
              <w:t>€</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Grant income</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2(a)</w:t>
            </w: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3,770</w:t>
            </w:r>
            <w:r w:rsidRPr="00994305">
              <w:rPr>
                <w:sz w:val="24"/>
                <w:lang w:val="en-GB" w:eastAsia="en-GB"/>
              </w:rPr>
              <w:t>,</w:t>
            </w:r>
            <w:r>
              <w:rPr>
                <w:sz w:val="24"/>
                <w:lang w:val="en-GB" w:eastAsia="en-GB"/>
              </w:rPr>
              <w:t>470</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4,170,</w:t>
            </w:r>
            <w:r>
              <w:rPr>
                <w:sz w:val="24"/>
                <w:lang w:val="en-GB" w:eastAsia="en-GB"/>
              </w:rPr>
              <w:t>382</w:t>
            </w:r>
            <w:r w:rsidRPr="00994305">
              <w:rPr>
                <w:sz w:val="24"/>
                <w:lang w:val="en-GB" w:eastAsia="en-GB"/>
              </w:rPr>
              <w:t xml:space="preserve">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Net Deferred Funding for Pensions</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10(b)</w:t>
            </w: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830,000</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860,000</w:t>
            </w:r>
            <w:r w:rsidRPr="00994305">
              <w:rPr>
                <w:sz w:val="24"/>
                <w:lang w:val="en-GB" w:eastAsia="en-GB"/>
              </w:rPr>
              <w:t xml:space="preserve">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p>
        </w:tc>
        <w:tc>
          <w:tcPr>
            <w:tcW w:w="946" w:type="dxa"/>
            <w:shd w:val="clear" w:color="auto" w:fill="auto"/>
            <w:vAlign w:val="bottom"/>
          </w:tcPr>
          <w:p w:rsidR="00B87444" w:rsidRPr="00994305" w:rsidRDefault="00B87444" w:rsidP="00B87444">
            <w:pPr>
              <w:pStyle w:val="TableCell"/>
              <w:rPr>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p>
        </w:tc>
        <w:tc>
          <w:tcPr>
            <w:tcW w:w="1287" w:type="dxa"/>
            <w:shd w:val="clear" w:color="auto" w:fill="auto"/>
            <w:vAlign w:val="bottom"/>
          </w:tcPr>
          <w:p w:rsidR="00B87444" w:rsidRPr="00994305" w:rsidRDefault="00B87444" w:rsidP="00B87444">
            <w:pPr>
              <w:pStyle w:val="TableCell"/>
              <w:rPr>
                <w:sz w:val="24"/>
                <w:lang w:val="en-GB" w:eastAsia="en-GB"/>
              </w:rPr>
            </w:pP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 xml:space="preserve">Other Income </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2(b)</w:t>
            </w: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20</w:t>
            </w:r>
            <w:r w:rsidRPr="00994305">
              <w:rPr>
                <w:sz w:val="24"/>
                <w:lang w:val="en-GB" w:eastAsia="en-GB"/>
              </w:rPr>
              <w:t>,</w:t>
            </w:r>
            <w:r>
              <w:rPr>
                <w:sz w:val="24"/>
                <w:lang w:val="en-GB" w:eastAsia="en-GB"/>
              </w:rPr>
              <w:t>048</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18,</w:t>
            </w:r>
            <w:r>
              <w:rPr>
                <w:sz w:val="24"/>
                <w:lang w:val="en-GB" w:eastAsia="en-GB"/>
              </w:rPr>
              <w:t>87</w:t>
            </w:r>
            <w:r w:rsidRPr="00994305">
              <w:rPr>
                <w:sz w:val="24"/>
                <w:lang w:val="en-GB" w:eastAsia="en-GB"/>
              </w:rPr>
              <w:t xml:space="preserve">0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p>
        </w:tc>
        <w:tc>
          <w:tcPr>
            <w:tcW w:w="946" w:type="dxa"/>
            <w:shd w:val="clear" w:color="auto" w:fill="auto"/>
            <w:vAlign w:val="bottom"/>
          </w:tcPr>
          <w:p w:rsidR="00B87444" w:rsidRPr="00994305" w:rsidRDefault="00B87444" w:rsidP="00B87444">
            <w:pPr>
              <w:pStyle w:val="TableCell"/>
              <w:rPr>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4</w:t>
            </w:r>
            <w:r w:rsidRPr="00994305">
              <w:rPr>
                <w:sz w:val="24"/>
                <w:lang w:val="en-GB" w:eastAsia="en-GB"/>
              </w:rPr>
              <w:t>,</w:t>
            </w:r>
            <w:r>
              <w:rPr>
                <w:sz w:val="24"/>
                <w:lang w:val="en-GB" w:eastAsia="en-GB"/>
              </w:rPr>
              <w:t>620</w:t>
            </w:r>
            <w:r w:rsidRPr="00994305">
              <w:rPr>
                <w:sz w:val="24"/>
                <w:lang w:val="en-GB" w:eastAsia="en-GB"/>
              </w:rPr>
              <w:t>,</w:t>
            </w:r>
            <w:r>
              <w:rPr>
                <w:sz w:val="24"/>
                <w:lang w:val="en-GB" w:eastAsia="en-GB"/>
              </w:rPr>
              <w:t>518</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5,04</w:t>
            </w:r>
            <w:r>
              <w:rPr>
                <w:sz w:val="24"/>
                <w:lang w:val="en-GB" w:eastAsia="en-GB"/>
              </w:rPr>
              <w:t>9</w:t>
            </w:r>
            <w:r w:rsidRPr="00994305">
              <w:rPr>
                <w:sz w:val="24"/>
                <w:lang w:val="en-GB" w:eastAsia="en-GB"/>
              </w:rPr>
              <w:t>,</w:t>
            </w:r>
            <w:r>
              <w:rPr>
                <w:sz w:val="24"/>
                <w:lang w:val="en-GB" w:eastAsia="en-GB"/>
              </w:rPr>
              <w:t>252</w:t>
            </w:r>
            <w:r w:rsidRPr="00994305">
              <w:rPr>
                <w:sz w:val="24"/>
                <w:lang w:val="en-GB" w:eastAsia="en-GB"/>
              </w:rPr>
              <w:t xml:space="preserve">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Transfer from / (to) Capital Account</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8</w:t>
            </w:r>
          </w:p>
        </w:tc>
        <w:tc>
          <w:tcPr>
            <w:tcW w:w="1178"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8</w:t>
            </w:r>
            <w:r>
              <w:rPr>
                <w:sz w:val="24"/>
                <w:lang w:val="en-GB" w:eastAsia="en-GB"/>
              </w:rPr>
              <w:t>3,924</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 xml:space="preserve">84,099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Total income</w:t>
            </w:r>
          </w:p>
        </w:tc>
        <w:tc>
          <w:tcPr>
            <w:tcW w:w="946" w:type="dxa"/>
            <w:shd w:val="clear" w:color="auto" w:fill="auto"/>
            <w:vAlign w:val="bottom"/>
          </w:tcPr>
          <w:p w:rsidR="00B87444" w:rsidRPr="00994305" w:rsidRDefault="00B87444" w:rsidP="00B87444">
            <w:pPr>
              <w:pStyle w:val="TableCell"/>
              <w:rPr>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4</w:t>
            </w:r>
            <w:r w:rsidRPr="00994305">
              <w:rPr>
                <w:sz w:val="24"/>
                <w:lang w:val="en-GB" w:eastAsia="en-GB"/>
              </w:rPr>
              <w:t>,</w:t>
            </w:r>
            <w:r>
              <w:rPr>
                <w:sz w:val="24"/>
                <w:lang w:val="en-GB" w:eastAsia="en-GB"/>
              </w:rPr>
              <w:t>704</w:t>
            </w:r>
            <w:r w:rsidRPr="00994305">
              <w:rPr>
                <w:sz w:val="24"/>
                <w:lang w:val="en-GB" w:eastAsia="en-GB"/>
              </w:rPr>
              <w:t>,</w:t>
            </w:r>
            <w:r>
              <w:rPr>
                <w:sz w:val="24"/>
                <w:lang w:val="en-GB" w:eastAsia="en-GB"/>
              </w:rPr>
              <w:t>442</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5,13</w:t>
            </w:r>
            <w:r>
              <w:rPr>
                <w:sz w:val="24"/>
                <w:lang w:val="en-GB" w:eastAsia="en-GB"/>
              </w:rPr>
              <w:t>3</w:t>
            </w:r>
            <w:r w:rsidRPr="00994305">
              <w:rPr>
                <w:sz w:val="24"/>
                <w:lang w:val="en-GB" w:eastAsia="en-GB"/>
              </w:rPr>
              <w:t>,</w:t>
            </w:r>
            <w:r>
              <w:rPr>
                <w:sz w:val="24"/>
                <w:lang w:val="en-GB" w:eastAsia="en-GB"/>
              </w:rPr>
              <w:t>351</w:t>
            </w:r>
            <w:r w:rsidRPr="00994305">
              <w:rPr>
                <w:sz w:val="24"/>
                <w:lang w:val="en-GB" w:eastAsia="en-GB"/>
              </w:rPr>
              <w:t xml:space="preserve"> </w:t>
            </w:r>
          </w:p>
        </w:tc>
      </w:tr>
      <w:tr w:rsidR="00B87444" w:rsidRPr="00755B9C" w:rsidTr="005C758C">
        <w:tc>
          <w:tcPr>
            <w:tcW w:w="4742" w:type="dxa"/>
            <w:shd w:val="clear" w:color="auto" w:fill="auto"/>
            <w:vAlign w:val="bottom"/>
          </w:tcPr>
          <w:p w:rsidR="00B87444" w:rsidRPr="00994305" w:rsidRDefault="00B87444" w:rsidP="00B87444">
            <w:pPr>
              <w:spacing w:after="0"/>
              <w:rPr>
                <w:rFonts w:cs="Arial"/>
                <w:b/>
                <w:bCs/>
                <w:lang w:val="en-GB" w:eastAsia="en-GB"/>
              </w:rPr>
            </w:pPr>
          </w:p>
        </w:tc>
        <w:tc>
          <w:tcPr>
            <w:tcW w:w="946" w:type="dxa"/>
            <w:shd w:val="clear" w:color="auto" w:fill="auto"/>
            <w:vAlign w:val="bottom"/>
          </w:tcPr>
          <w:p w:rsidR="00B87444" w:rsidRPr="00994305" w:rsidRDefault="00B87444" w:rsidP="00B87444">
            <w:pPr>
              <w:pStyle w:val="TableCell"/>
              <w:rPr>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p>
        </w:tc>
        <w:tc>
          <w:tcPr>
            <w:tcW w:w="1287" w:type="dxa"/>
            <w:shd w:val="clear" w:color="auto" w:fill="auto"/>
            <w:vAlign w:val="bottom"/>
          </w:tcPr>
          <w:p w:rsidR="00B87444" w:rsidRPr="00994305" w:rsidRDefault="00B87444" w:rsidP="00B87444">
            <w:pPr>
              <w:pStyle w:val="TableCell"/>
              <w:rPr>
                <w:sz w:val="24"/>
                <w:lang w:val="en-GB" w:eastAsia="en-GB"/>
              </w:rPr>
            </w:pPr>
          </w:p>
        </w:tc>
      </w:tr>
      <w:tr w:rsidR="00B87444" w:rsidRPr="00755B9C" w:rsidTr="005C758C">
        <w:tc>
          <w:tcPr>
            <w:tcW w:w="8153" w:type="dxa"/>
            <w:gridSpan w:val="4"/>
            <w:shd w:val="clear" w:color="auto" w:fill="auto"/>
            <w:vAlign w:val="bottom"/>
          </w:tcPr>
          <w:p w:rsidR="00B87444" w:rsidRPr="00994305" w:rsidRDefault="00B87444" w:rsidP="00B87444">
            <w:pPr>
              <w:pStyle w:val="TableHead"/>
              <w:jc w:val="center"/>
              <w:rPr>
                <w:sz w:val="24"/>
                <w:lang w:val="en-GB" w:eastAsia="en-GB"/>
              </w:rPr>
            </w:pPr>
            <w:r w:rsidRPr="00994305">
              <w:rPr>
                <w:sz w:val="24"/>
                <w:lang w:val="en-GB" w:eastAsia="en-GB"/>
              </w:rPr>
              <w:t>Expenditure</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Projects and Commissioned work</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3</w:t>
            </w: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650</w:t>
            </w:r>
            <w:r w:rsidRPr="00994305">
              <w:rPr>
                <w:sz w:val="24"/>
                <w:lang w:val="en-GB" w:eastAsia="en-GB"/>
              </w:rPr>
              <w:t>,</w:t>
            </w:r>
            <w:r>
              <w:rPr>
                <w:sz w:val="24"/>
                <w:lang w:val="en-GB" w:eastAsia="en-GB"/>
              </w:rPr>
              <w:t>418</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 xml:space="preserve">968,216 </w:t>
            </w:r>
          </w:p>
        </w:tc>
      </w:tr>
      <w:tr w:rsidR="00B87444" w:rsidRPr="00755B9C" w:rsidTr="005C758C">
        <w:tc>
          <w:tcPr>
            <w:tcW w:w="4742" w:type="dxa"/>
            <w:shd w:val="clear" w:color="auto" w:fill="auto"/>
            <w:vAlign w:val="bottom"/>
          </w:tcPr>
          <w:p w:rsidR="00B87444" w:rsidRPr="00994305" w:rsidRDefault="00B87444" w:rsidP="00B87444">
            <w:pPr>
              <w:spacing w:after="0"/>
              <w:rPr>
                <w:rFonts w:cs="Arial"/>
                <w:lang w:val="en-GB" w:eastAsia="en-GB"/>
              </w:rPr>
            </w:pPr>
          </w:p>
        </w:tc>
        <w:tc>
          <w:tcPr>
            <w:tcW w:w="946" w:type="dxa"/>
            <w:shd w:val="clear" w:color="auto" w:fill="auto"/>
            <w:vAlign w:val="bottom"/>
          </w:tcPr>
          <w:p w:rsidR="00B87444" w:rsidRPr="00994305" w:rsidRDefault="00B87444" w:rsidP="00B87444">
            <w:pPr>
              <w:pStyle w:val="TableCell"/>
              <w:rPr>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p>
        </w:tc>
        <w:tc>
          <w:tcPr>
            <w:tcW w:w="1287" w:type="dxa"/>
            <w:shd w:val="clear" w:color="auto" w:fill="auto"/>
            <w:vAlign w:val="bottom"/>
          </w:tcPr>
          <w:p w:rsidR="00B87444" w:rsidRPr="00994305" w:rsidRDefault="00B87444" w:rsidP="00B87444">
            <w:pPr>
              <w:pStyle w:val="TableCell"/>
              <w:rPr>
                <w:sz w:val="24"/>
                <w:lang w:val="en-GB" w:eastAsia="en-GB"/>
              </w:rPr>
            </w:pPr>
          </w:p>
        </w:tc>
      </w:tr>
      <w:tr w:rsidR="00B87444" w:rsidRPr="00755B9C" w:rsidTr="005C758C">
        <w:tc>
          <w:tcPr>
            <w:tcW w:w="8153" w:type="dxa"/>
            <w:gridSpan w:val="4"/>
            <w:shd w:val="clear" w:color="auto" w:fill="auto"/>
            <w:vAlign w:val="bottom"/>
          </w:tcPr>
          <w:p w:rsidR="00B87444" w:rsidRPr="00994305" w:rsidRDefault="00B87444" w:rsidP="00B87444">
            <w:pPr>
              <w:pStyle w:val="TableHead"/>
              <w:jc w:val="center"/>
              <w:rPr>
                <w:sz w:val="24"/>
                <w:lang w:val="en-GB" w:eastAsia="en-GB"/>
              </w:rPr>
            </w:pPr>
            <w:r w:rsidRPr="00994305">
              <w:rPr>
                <w:sz w:val="24"/>
                <w:lang w:val="en-GB" w:eastAsia="en-GB"/>
              </w:rPr>
              <w:t>Development, Support and Administration costs</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Payroll</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4</w:t>
            </w: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2,004,919</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2,099,230</w:t>
            </w:r>
            <w:r w:rsidRPr="00994305">
              <w:rPr>
                <w:sz w:val="24"/>
                <w:lang w:val="en-GB" w:eastAsia="en-GB"/>
              </w:rPr>
              <w:t xml:space="preserve">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Pension Costs</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10(c)</w:t>
            </w:r>
          </w:p>
        </w:tc>
        <w:tc>
          <w:tcPr>
            <w:tcW w:w="1178"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w:t>
            </w:r>
            <w:r>
              <w:rPr>
                <w:sz w:val="24"/>
                <w:lang w:val="en-GB" w:eastAsia="en-GB"/>
              </w:rPr>
              <w:t>255</w:t>
            </w:r>
            <w:r w:rsidRPr="00994305">
              <w:rPr>
                <w:sz w:val="24"/>
                <w:lang w:val="en-GB" w:eastAsia="en-GB"/>
              </w:rPr>
              <w:t>,</w:t>
            </w:r>
            <w:r>
              <w:rPr>
                <w:sz w:val="24"/>
                <w:lang w:val="en-GB" w:eastAsia="en-GB"/>
              </w:rPr>
              <w:t>877</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 xml:space="preserve">1,312,002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 xml:space="preserve">Administration Costs </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5</w:t>
            </w: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569</w:t>
            </w:r>
            <w:r w:rsidRPr="00994305">
              <w:rPr>
                <w:sz w:val="24"/>
                <w:lang w:val="en-GB" w:eastAsia="en-GB"/>
              </w:rPr>
              <w:t>,</w:t>
            </w:r>
            <w:r>
              <w:rPr>
                <w:sz w:val="24"/>
                <w:lang w:val="en-GB" w:eastAsia="en-GB"/>
              </w:rPr>
              <w:t>312</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 xml:space="preserve">677,175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 xml:space="preserve">Depreciation </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7</w:t>
            </w: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79</w:t>
            </w:r>
            <w:r w:rsidRPr="00994305">
              <w:rPr>
                <w:sz w:val="24"/>
                <w:lang w:val="en-GB" w:eastAsia="en-GB"/>
              </w:rPr>
              <w:t>,</w:t>
            </w:r>
            <w:r>
              <w:rPr>
                <w:sz w:val="24"/>
                <w:lang w:val="en-GB" w:eastAsia="en-GB"/>
              </w:rPr>
              <w:t>681</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 xml:space="preserve">93,334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p>
        </w:tc>
        <w:tc>
          <w:tcPr>
            <w:tcW w:w="946" w:type="dxa"/>
            <w:shd w:val="clear" w:color="auto" w:fill="auto"/>
            <w:vAlign w:val="bottom"/>
          </w:tcPr>
          <w:p w:rsidR="00B87444" w:rsidRPr="00994305" w:rsidRDefault="00B87444" w:rsidP="00B87444">
            <w:pPr>
              <w:pStyle w:val="TableCell"/>
              <w:rPr>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3</w:t>
            </w:r>
            <w:r w:rsidRPr="00994305">
              <w:rPr>
                <w:sz w:val="24"/>
                <w:lang w:val="en-GB" w:eastAsia="en-GB"/>
              </w:rPr>
              <w:t>,</w:t>
            </w:r>
            <w:r>
              <w:rPr>
                <w:sz w:val="24"/>
                <w:lang w:val="en-GB" w:eastAsia="en-GB"/>
              </w:rPr>
              <w:t>909</w:t>
            </w:r>
            <w:r w:rsidRPr="00994305">
              <w:rPr>
                <w:sz w:val="24"/>
                <w:lang w:val="en-GB" w:eastAsia="en-GB"/>
              </w:rPr>
              <w:t>,</w:t>
            </w:r>
            <w:r>
              <w:rPr>
                <w:sz w:val="24"/>
                <w:lang w:val="en-GB" w:eastAsia="en-GB"/>
              </w:rPr>
              <w:t>789</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4,1</w:t>
            </w:r>
            <w:r>
              <w:rPr>
                <w:sz w:val="24"/>
                <w:lang w:val="en-GB" w:eastAsia="en-GB"/>
              </w:rPr>
              <w:t>81</w:t>
            </w:r>
            <w:r w:rsidRPr="00994305">
              <w:rPr>
                <w:sz w:val="24"/>
                <w:lang w:val="en-GB" w:eastAsia="en-GB"/>
              </w:rPr>
              <w:t>,</w:t>
            </w:r>
            <w:r>
              <w:rPr>
                <w:sz w:val="24"/>
                <w:lang w:val="en-GB" w:eastAsia="en-GB"/>
              </w:rPr>
              <w:t>741</w:t>
            </w:r>
            <w:r w:rsidRPr="00994305">
              <w:rPr>
                <w:sz w:val="24"/>
                <w:lang w:val="en-GB" w:eastAsia="en-GB"/>
              </w:rPr>
              <w:t xml:space="preserve">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Total Expenditure</w:t>
            </w:r>
          </w:p>
        </w:tc>
        <w:tc>
          <w:tcPr>
            <w:tcW w:w="946" w:type="dxa"/>
            <w:shd w:val="clear" w:color="auto" w:fill="auto"/>
            <w:vAlign w:val="bottom"/>
          </w:tcPr>
          <w:p w:rsidR="00B87444" w:rsidRPr="00994305" w:rsidRDefault="00B87444" w:rsidP="00B87444">
            <w:pPr>
              <w:pStyle w:val="TableCell"/>
              <w:rPr>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4</w:t>
            </w:r>
            <w:r w:rsidRPr="00994305">
              <w:rPr>
                <w:sz w:val="24"/>
                <w:lang w:val="en-GB" w:eastAsia="en-GB"/>
              </w:rPr>
              <w:t>,</w:t>
            </w:r>
            <w:r>
              <w:rPr>
                <w:sz w:val="24"/>
                <w:lang w:val="en-GB" w:eastAsia="en-GB"/>
              </w:rPr>
              <w:t>560,207</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5,14</w:t>
            </w:r>
            <w:r>
              <w:rPr>
                <w:sz w:val="24"/>
                <w:lang w:val="en-GB" w:eastAsia="en-GB"/>
              </w:rPr>
              <w:t>9</w:t>
            </w:r>
            <w:r w:rsidRPr="00994305">
              <w:rPr>
                <w:sz w:val="24"/>
                <w:lang w:val="en-GB" w:eastAsia="en-GB"/>
              </w:rPr>
              <w:t>,</w:t>
            </w:r>
            <w:r>
              <w:rPr>
                <w:sz w:val="24"/>
                <w:lang w:val="en-GB" w:eastAsia="en-GB"/>
              </w:rPr>
              <w:t>957</w:t>
            </w:r>
            <w:r w:rsidRPr="00994305">
              <w:rPr>
                <w:sz w:val="24"/>
                <w:lang w:val="en-GB" w:eastAsia="en-GB"/>
              </w:rPr>
              <w:t xml:space="preserve"> </w:t>
            </w:r>
          </w:p>
        </w:tc>
      </w:tr>
      <w:tr w:rsidR="00B87444" w:rsidRPr="00755B9C" w:rsidTr="005C758C">
        <w:tc>
          <w:tcPr>
            <w:tcW w:w="4742" w:type="dxa"/>
            <w:shd w:val="clear" w:color="auto" w:fill="auto"/>
            <w:vAlign w:val="bottom"/>
          </w:tcPr>
          <w:p w:rsidR="00B87444" w:rsidRPr="00994305" w:rsidRDefault="00B87444" w:rsidP="00B87444">
            <w:pPr>
              <w:spacing w:after="0"/>
              <w:rPr>
                <w:rFonts w:cs="Arial"/>
                <w:b/>
                <w:bCs/>
                <w:lang w:val="en-GB" w:eastAsia="en-GB"/>
              </w:rPr>
            </w:pPr>
            <w:r w:rsidRPr="00994305">
              <w:rPr>
                <w:rFonts w:cs="Arial"/>
                <w:b/>
                <w:bCs/>
                <w:lang w:val="en-GB" w:eastAsia="en-GB"/>
              </w:rPr>
              <w:t xml:space="preserve">Surplus / </w:t>
            </w:r>
            <w:r>
              <w:rPr>
                <w:rFonts w:cs="Arial"/>
                <w:b/>
                <w:bCs/>
                <w:lang w:val="en-GB" w:eastAsia="en-GB"/>
              </w:rPr>
              <w:t>(</w:t>
            </w:r>
            <w:r w:rsidRPr="00994305">
              <w:rPr>
                <w:rFonts w:cs="Arial"/>
                <w:b/>
                <w:bCs/>
                <w:lang w:val="en-GB" w:eastAsia="en-GB"/>
              </w:rPr>
              <w:t>Deficit</w:t>
            </w:r>
            <w:r>
              <w:rPr>
                <w:rFonts w:cs="Arial"/>
                <w:b/>
                <w:bCs/>
                <w:lang w:val="en-GB" w:eastAsia="en-GB"/>
              </w:rPr>
              <w:t xml:space="preserve">) </w:t>
            </w:r>
            <w:r w:rsidRPr="00994305">
              <w:rPr>
                <w:rFonts w:cs="Arial"/>
                <w:b/>
                <w:bCs/>
                <w:lang w:val="en-GB" w:eastAsia="en-GB"/>
              </w:rPr>
              <w:t>for the year</w:t>
            </w:r>
          </w:p>
        </w:tc>
        <w:tc>
          <w:tcPr>
            <w:tcW w:w="946" w:type="dxa"/>
            <w:shd w:val="clear" w:color="auto" w:fill="auto"/>
            <w:vAlign w:val="bottom"/>
          </w:tcPr>
          <w:p w:rsidR="00B87444" w:rsidRPr="00994305" w:rsidRDefault="00B87444" w:rsidP="00B87444">
            <w:pPr>
              <w:pStyle w:val="TableCell"/>
              <w:rPr>
                <w:b/>
                <w:bCs/>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144</w:t>
            </w:r>
            <w:r w:rsidRPr="00994305">
              <w:rPr>
                <w:sz w:val="24"/>
                <w:lang w:val="en-GB" w:eastAsia="en-GB"/>
              </w:rPr>
              <w:t>,</w:t>
            </w:r>
            <w:r>
              <w:rPr>
                <w:sz w:val="24"/>
                <w:lang w:val="en-GB" w:eastAsia="en-GB"/>
              </w:rPr>
              <w:t>235</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(16,606)</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 xml:space="preserve">Retained Surplus / (Deficit) at 1 January </w:t>
            </w:r>
          </w:p>
        </w:tc>
        <w:tc>
          <w:tcPr>
            <w:tcW w:w="946" w:type="dxa"/>
            <w:shd w:val="clear" w:color="auto" w:fill="auto"/>
            <w:vAlign w:val="bottom"/>
          </w:tcPr>
          <w:p w:rsidR="00B87444" w:rsidRPr="00994305" w:rsidRDefault="00B87444" w:rsidP="00B87444">
            <w:pPr>
              <w:pStyle w:val="TableCell"/>
              <w:rPr>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29</w:t>
            </w:r>
            <w:r w:rsidRPr="00994305">
              <w:rPr>
                <w:sz w:val="24"/>
                <w:lang w:val="en-GB" w:eastAsia="en-GB"/>
              </w:rPr>
              <w:t>,</w:t>
            </w:r>
            <w:r>
              <w:rPr>
                <w:sz w:val="24"/>
                <w:lang w:val="en-GB" w:eastAsia="en-GB"/>
              </w:rPr>
              <w:t>413</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 xml:space="preserve">46,019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Retained Surplus/ (Deficit) at 31 December</w:t>
            </w:r>
          </w:p>
        </w:tc>
        <w:tc>
          <w:tcPr>
            <w:tcW w:w="946" w:type="dxa"/>
            <w:shd w:val="clear" w:color="auto" w:fill="auto"/>
            <w:vAlign w:val="bottom"/>
          </w:tcPr>
          <w:p w:rsidR="00B87444" w:rsidRPr="00994305" w:rsidRDefault="00B87444" w:rsidP="00B87444">
            <w:pPr>
              <w:pStyle w:val="TableCell"/>
              <w:rPr>
                <w:b/>
                <w:bCs/>
                <w:sz w:val="24"/>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173</w:t>
            </w:r>
            <w:r w:rsidRPr="00994305">
              <w:rPr>
                <w:sz w:val="24"/>
                <w:lang w:val="en-GB" w:eastAsia="en-GB"/>
              </w:rPr>
              <w:t>,</w:t>
            </w:r>
            <w:r>
              <w:rPr>
                <w:sz w:val="24"/>
                <w:lang w:val="en-GB" w:eastAsia="en-GB"/>
              </w:rPr>
              <w:t>648</w:t>
            </w:r>
            <w:r w:rsidRPr="00994305">
              <w:rPr>
                <w:sz w:val="24"/>
                <w:lang w:val="en-GB" w:eastAsia="en-GB"/>
              </w:rPr>
              <w:t xml:space="preserve">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 xml:space="preserve">29,413 </w:t>
            </w:r>
          </w:p>
        </w:tc>
      </w:tr>
      <w:tr w:rsidR="00B87444" w:rsidRPr="00755B9C" w:rsidTr="005C758C">
        <w:tc>
          <w:tcPr>
            <w:tcW w:w="8153" w:type="dxa"/>
            <w:gridSpan w:val="4"/>
            <w:shd w:val="clear" w:color="auto" w:fill="auto"/>
            <w:vAlign w:val="bottom"/>
          </w:tcPr>
          <w:p w:rsidR="00B87444" w:rsidRPr="00994305" w:rsidRDefault="00B87444" w:rsidP="00B87444">
            <w:pPr>
              <w:spacing w:after="0"/>
              <w:jc w:val="center"/>
              <w:rPr>
                <w:rFonts w:cs="Arial"/>
                <w:lang w:val="en-GB" w:eastAsia="en-GB"/>
              </w:rPr>
            </w:pPr>
            <w:r w:rsidRPr="00994305">
              <w:rPr>
                <w:b/>
                <w:bCs/>
                <w:lang w:val="en-GB" w:eastAsia="en-GB"/>
              </w:rPr>
              <w:t>Statement of Total Recognised Gains and Losses</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Suplus /(Deficit) for the year</w:t>
            </w:r>
          </w:p>
        </w:tc>
        <w:tc>
          <w:tcPr>
            <w:tcW w:w="946" w:type="dxa"/>
            <w:shd w:val="clear" w:color="auto" w:fill="auto"/>
            <w:vAlign w:val="bottom"/>
          </w:tcPr>
          <w:p w:rsidR="00B87444" w:rsidRPr="00994305" w:rsidRDefault="00B87444" w:rsidP="00B87444">
            <w:pPr>
              <w:spacing w:after="0"/>
              <w:jc w:val="center"/>
              <w:rPr>
                <w:rFonts w:cs="Arial"/>
                <w:b/>
                <w:bCs/>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Pr>
                <w:sz w:val="24"/>
                <w:lang w:val="en-GB" w:eastAsia="en-GB"/>
              </w:rPr>
              <w:t>144</w:t>
            </w:r>
            <w:r w:rsidRPr="00994305">
              <w:rPr>
                <w:sz w:val="24"/>
                <w:lang w:val="en-GB" w:eastAsia="en-GB"/>
              </w:rPr>
              <w:t>,</w:t>
            </w:r>
            <w:r>
              <w:rPr>
                <w:sz w:val="24"/>
                <w:lang w:val="en-GB" w:eastAsia="en-GB"/>
              </w:rPr>
              <w:t>235</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(16,606)</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Actuarial (Gain) / Loss on Pension Liabilities</w:t>
            </w:r>
          </w:p>
        </w:tc>
        <w:tc>
          <w:tcPr>
            <w:tcW w:w="946"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10(</w:t>
            </w:r>
            <w:r>
              <w:rPr>
                <w:sz w:val="24"/>
                <w:lang w:val="en-GB" w:eastAsia="en-GB"/>
              </w:rPr>
              <w:t>e</w:t>
            </w:r>
            <w:r w:rsidRPr="00994305">
              <w:rPr>
                <w:sz w:val="24"/>
                <w:lang w:val="en-GB" w:eastAsia="en-GB"/>
              </w:rPr>
              <w:t>)</w:t>
            </w:r>
          </w:p>
        </w:tc>
        <w:tc>
          <w:tcPr>
            <w:tcW w:w="1178"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w:t>
            </w:r>
            <w:r>
              <w:rPr>
                <w:sz w:val="24"/>
                <w:lang w:val="en-GB" w:eastAsia="en-GB"/>
              </w:rPr>
              <w:t>03</w:t>
            </w:r>
            <w:r w:rsidRPr="00994305">
              <w:rPr>
                <w:sz w:val="24"/>
                <w:lang w:val="en-GB" w:eastAsia="en-GB"/>
              </w:rPr>
              <w:t>0,000)</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(1,260,000)</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sz w:val="24"/>
                <w:lang w:val="en-GB" w:eastAsia="en-GB"/>
              </w:rPr>
            </w:pPr>
            <w:r w:rsidRPr="00994305">
              <w:rPr>
                <w:rFonts w:ascii="Gill Sans" w:hAnsi="Gill Sans"/>
                <w:sz w:val="24"/>
                <w:lang w:val="en-GB" w:eastAsia="en-GB"/>
              </w:rPr>
              <w:t>Adjustment to Deferred Pension Funding</w:t>
            </w:r>
          </w:p>
        </w:tc>
        <w:tc>
          <w:tcPr>
            <w:tcW w:w="946" w:type="dxa"/>
            <w:shd w:val="clear" w:color="auto" w:fill="auto"/>
            <w:vAlign w:val="bottom"/>
          </w:tcPr>
          <w:p w:rsidR="00B87444" w:rsidRPr="00994305" w:rsidRDefault="00B87444" w:rsidP="00B87444">
            <w:pPr>
              <w:spacing w:after="0"/>
              <w:jc w:val="center"/>
              <w:rPr>
                <w:rFonts w:cs="Arial"/>
                <w:b/>
                <w:bCs/>
                <w:lang w:val="en-GB" w:eastAsia="en-GB"/>
              </w:rPr>
            </w:pPr>
          </w:p>
        </w:tc>
        <w:tc>
          <w:tcPr>
            <w:tcW w:w="1178"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1,</w:t>
            </w:r>
            <w:r>
              <w:rPr>
                <w:sz w:val="24"/>
                <w:lang w:val="en-GB" w:eastAsia="en-GB"/>
              </w:rPr>
              <w:t>03</w:t>
            </w:r>
            <w:r w:rsidRPr="00994305">
              <w:rPr>
                <w:sz w:val="24"/>
                <w:lang w:val="en-GB" w:eastAsia="en-GB"/>
              </w:rPr>
              <w:t xml:space="preserve">0,000 </w:t>
            </w:r>
          </w:p>
        </w:tc>
        <w:tc>
          <w:tcPr>
            <w:tcW w:w="1287" w:type="dxa"/>
            <w:shd w:val="clear" w:color="auto" w:fill="auto"/>
            <w:vAlign w:val="bottom"/>
          </w:tcPr>
          <w:p w:rsidR="00B87444" w:rsidRPr="00994305" w:rsidRDefault="00B87444" w:rsidP="00B87444">
            <w:pPr>
              <w:pStyle w:val="TableCell"/>
              <w:rPr>
                <w:sz w:val="24"/>
                <w:lang w:val="en-GB" w:eastAsia="en-GB"/>
              </w:rPr>
            </w:pPr>
            <w:r w:rsidRPr="00994305">
              <w:rPr>
                <w:sz w:val="24"/>
                <w:lang w:val="en-GB" w:eastAsia="en-GB"/>
              </w:rPr>
              <w:t xml:space="preserve">1,260,000 </w:t>
            </w:r>
          </w:p>
        </w:tc>
      </w:tr>
      <w:tr w:rsidR="00B87444" w:rsidRPr="00755B9C" w:rsidTr="005C758C">
        <w:tc>
          <w:tcPr>
            <w:tcW w:w="4742" w:type="dxa"/>
            <w:shd w:val="clear" w:color="auto" w:fill="auto"/>
            <w:vAlign w:val="bottom"/>
          </w:tcPr>
          <w:p w:rsidR="00B87444" w:rsidRPr="00994305" w:rsidRDefault="00B87444" w:rsidP="00B87444">
            <w:pPr>
              <w:pStyle w:val="TableRowHead"/>
              <w:rPr>
                <w:rFonts w:ascii="Gill Sans" w:hAnsi="Gill Sans"/>
                <w:bCs/>
                <w:sz w:val="24"/>
                <w:lang w:val="en-GB" w:eastAsia="en-GB"/>
              </w:rPr>
            </w:pPr>
            <w:r w:rsidRPr="00994305">
              <w:rPr>
                <w:rFonts w:ascii="Gill Sans" w:hAnsi="Gill Sans"/>
                <w:bCs/>
                <w:sz w:val="24"/>
                <w:lang w:val="en-GB" w:eastAsia="en-GB"/>
              </w:rPr>
              <w:t>Total Recognised Gain / (Loss) for the year</w:t>
            </w:r>
          </w:p>
        </w:tc>
        <w:tc>
          <w:tcPr>
            <w:tcW w:w="946" w:type="dxa"/>
            <w:shd w:val="clear" w:color="auto" w:fill="auto"/>
            <w:vAlign w:val="bottom"/>
          </w:tcPr>
          <w:p w:rsidR="00B87444" w:rsidRPr="00994305" w:rsidRDefault="00B87444" w:rsidP="00B87444">
            <w:pPr>
              <w:spacing w:after="0"/>
              <w:jc w:val="center"/>
              <w:rPr>
                <w:rFonts w:cs="Arial"/>
                <w:b/>
                <w:bCs/>
                <w:lang w:val="en-GB" w:eastAsia="en-GB"/>
              </w:rPr>
            </w:pPr>
          </w:p>
        </w:tc>
        <w:tc>
          <w:tcPr>
            <w:tcW w:w="1178" w:type="dxa"/>
            <w:shd w:val="clear" w:color="auto" w:fill="auto"/>
            <w:vAlign w:val="bottom"/>
          </w:tcPr>
          <w:p w:rsidR="00B87444" w:rsidRPr="00994305" w:rsidRDefault="00B87444" w:rsidP="00B87444">
            <w:pPr>
              <w:pStyle w:val="TableCell"/>
              <w:rPr>
                <w:b/>
                <w:bCs/>
                <w:sz w:val="24"/>
                <w:lang w:val="en-GB" w:eastAsia="en-GB"/>
              </w:rPr>
            </w:pPr>
            <w:r>
              <w:rPr>
                <w:b/>
                <w:bCs/>
                <w:sz w:val="24"/>
                <w:lang w:val="en-GB" w:eastAsia="en-GB"/>
              </w:rPr>
              <w:t>144</w:t>
            </w:r>
            <w:r w:rsidRPr="00994305">
              <w:rPr>
                <w:b/>
                <w:bCs/>
                <w:sz w:val="24"/>
                <w:lang w:val="en-GB" w:eastAsia="en-GB"/>
              </w:rPr>
              <w:t>,</w:t>
            </w:r>
            <w:r>
              <w:rPr>
                <w:b/>
                <w:bCs/>
                <w:sz w:val="24"/>
                <w:lang w:val="en-GB" w:eastAsia="en-GB"/>
              </w:rPr>
              <w:t>235</w:t>
            </w:r>
          </w:p>
        </w:tc>
        <w:tc>
          <w:tcPr>
            <w:tcW w:w="1287" w:type="dxa"/>
            <w:shd w:val="clear" w:color="auto" w:fill="auto"/>
            <w:vAlign w:val="bottom"/>
          </w:tcPr>
          <w:p w:rsidR="00B87444" w:rsidRPr="00994305" w:rsidRDefault="00B87444" w:rsidP="00B87444">
            <w:pPr>
              <w:pStyle w:val="TableCell"/>
              <w:rPr>
                <w:b/>
                <w:bCs/>
                <w:sz w:val="24"/>
                <w:lang w:val="en-GB" w:eastAsia="en-GB"/>
              </w:rPr>
            </w:pPr>
            <w:r w:rsidRPr="00994305">
              <w:rPr>
                <w:b/>
                <w:bCs/>
                <w:sz w:val="24"/>
                <w:lang w:val="en-GB" w:eastAsia="en-GB"/>
              </w:rPr>
              <w:t>(16,606)</w:t>
            </w:r>
          </w:p>
        </w:tc>
      </w:tr>
    </w:tbl>
    <w:p w:rsidR="00B87444" w:rsidRDefault="00B87444" w:rsidP="00B87444">
      <w:pPr>
        <w:spacing w:after="120"/>
        <w:rPr>
          <w:lang w:val="en-GB" w:eastAsia="en-GB"/>
        </w:rPr>
      </w:pPr>
      <w:r w:rsidRPr="00B76E94">
        <w:rPr>
          <w:lang w:val="en-GB" w:eastAsia="en-GB"/>
        </w:rPr>
        <w:t>The results for the year relate to continuing operations</w:t>
      </w:r>
      <w:r>
        <w:rPr>
          <w:lang w:val="en-GB" w:eastAsia="en-GB"/>
        </w:rPr>
        <w:t>.</w:t>
      </w:r>
    </w:p>
    <w:p w:rsidR="00B87444" w:rsidRPr="00B76E94" w:rsidRDefault="00B87444" w:rsidP="00B87444">
      <w:pPr>
        <w:spacing w:after="120"/>
        <w:rPr>
          <w:lang w:val="en-GB" w:eastAsia="en-GB"/>
        </w:rPr>
      </w:pPr>
      <w:r w:rsidRPr="00B76E94">
        <w:rPr>
          <w:lang w:val="en-GB" w:eastAsia="en-GB"/>
        </w:rPr>
        <w:t>The Statement of Accounting Policies, the Cash Flow Statement, and Notes 1 to 16 form part of these Financial Statements</w:t>
      </w:r>
      <w:r>
        <w:rPr>
          <w:lang w:val="en-GB" w:eastAsia="en-GB"/>
        </w:rPr>
        <w:t>.</w:t>
      </w:r>
    </w:p>
    <w:p w:rsidR="007F2AF8" w:rsidRPr="008B2354" w:rsidRDefault="007F2AF8" w:rsidP="007F2AF8">
      <w:pPr>
        <w:spacing w:after="0"/>
      </w:pPr>
      <w:r>
        <w:t>Signed:</w:t>
      </w:r>
      <w:r>
        <w:tab/>
      </w:r>
      <w:r w:rsidRPr="008B2354">
        <w:t>Peter McKevitt</w:t>
      </w:r>
      <w:r>
        <w:t xml:space="preserve"> (</w:t>
      </w:r>
      <w:r w:rsidRPr="008B2354">
        <w:t>Chairperson</w:t>
      </w:r>
      <w:r>
        <w:t>)</w:t>
      </w:r>
      <w:r>
        <w:br/>
        <w:t>Signed:</w:t>
      </w:r>
      <w:r>
        <w:tab/>
      </w:r>
      <w:r w:rsidRPr="008B2354">
        <w:t>Siobhan Barron</w:t>
      </w:r>
      <w:r>
        <w:t xml:space="preserve"> (</w:t>
      </w:r>
      <w:r w:rsidRPr="008B2354">
        <w:t>Director</w:t>
      </w:r>
      <w:r>
        <w:t>)</w:t>
      </w:r>
      <w:r>
        <w:br/>
        <w:t xml:space="preserve">Signed: </w:t>
      </w:r>
      <w:r>
        <w:tab/>
        <w:t>Frank Cuneen (Authority Member)</w:t>
      </w:r>
    </w:p>
    <w:p w:rsidR="005B315D" w:rsidRDefault="007F2AF8" w:rsidP="007F2AF8">
      <w:r w:rsidRPr="008B2354">
        <w:t>Date</w:t>
      </w:r>
      <w:r>
        <w:t>:</w:t>
      </w:r>
      <w:r>
        <w:tab/>
      </w:r>
      <w:r w:rsidR="005B315D">
        <w:tab/>
      </w:r>
      <w:r>
        <w:t>14/8/13</w:t>
      </w:r>
    </w:p>
    <w:p w:rsidR="00B87444" w:rsidRDefault="00B87444" w:rsidP="005B315D">
      <w:pPr>
        <w:pStyle w:val="Heading2"/>
        <w:rPr>
          <w:lang w:val="en-GB" w:eastAsia="en-GB"/>
        </w:rPr>
      </w:pPr>
      <w:r>
        <w:rPr>
          <w:lang w:val="en-GB" w:eastAsia="en-GB"/>
        </w:rPr>
        <w:br w:type="page"/>
      </w:r>
      <w:bookmarkStart w:id="38" w:name="_Toc335836391"/>
      <w:bookmarkStart w:id="39" w:name="_Toc335983437"/>
      <w:bookmarkStart w:id="40" w:name="_Toc335986606"/>
      <w:r w:rsidRPr="00994305">
        <w:rPr>
          <w:lang w:val="en-GB" w:eastAsia="en-GB"/>
        </w:rPr>
        <w:t>Balance Sheet as at 31 December 201</w:t>
      </w:r>
      <w:bookmarkEnd w:id="38"/>
      <w:bookmarkEnd w:id="39"/>
      <w:bookmarkEnd w:id="40"/>
      <w:r>
        <w:rPr>
          <w:lang w:val="en-GB" w:eastAsia="en-GB"/>
        </w:rPr>
        <w:t>2</w:t>
      </w:r>
    </w:p>
    <w:tbl>
      <w:tblPr>
        <w:tblW w:w="5000" w:type="pct"/>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126"/>
        <w:gridCol w:w="975"/>
        <w:gridCol w:w="1510"/>
        <w:gridCol w:w="1542"/>
      </w:tblGrid>
      <w:tr w:rsidR="00B87444" w:rsidRPr="00994305" w:rsidTr="000C6890">
        <w:trPr>
          <w:tblHeader/>
        </w:trPr>
        <w:tc>
          <w:tcPr>
            <w:tcW w:w="4680" w:type="dxa"/>
            <w:shd w:val="clear" w:color="auto" w:fill="auto"/>
          </w:tcPr>
          <w:p w:rsidR="00B87444" w:rsidRPr="00AA3DCB" w:rsidRDefault="00B87444" w:rsidP="00B87444">
            <w:pPr>
              <w:pStyle w:val="TableHead"/>
              <w:jc w:val="right"/>
              <w:rPr>
                <w:sz w:val="24"/>
              </w:rPr>
            </w:pPr>
          </w:p>
        </w:tc>
        <w:tc>
          <w:tcPr>
            <w:tcW w:w="1080" w:type="dxa"/>
            <w:vAlign w:val="bottom"/>
          </w:tcPr>
          <w:p w:rsidR="00B87444" w:rsidRPr="00AA3DCB" w:rsidRDefault="00B87444" w:rsidP="00B87444">
            <w:pPr>
              <w:pStyle w:val="TableHead"/>
              <w:jc w:val="right"/>
              <w:rPr>
                <w:lang w:val="en-GB" w:eastAsia="en-GB"/>
              </w:rPr>
            </w:pPr>
            <w:r w:rsidRPr="00AA3DCB">
              <w:rPr>
                <w:lang w:val="en-GB" w:eastAsia="en-GB"/>
              </w:rPr>
              <w:t>Notes</w:t>
            </w:r>
          </w:p>
        </w:tc>
        <w:tc>
          <w:tcPr>
            <w:tcW w:w="1692" w:type="dxa"/>
            <w:vAlign w:val="bottom"/>
          </w:tcPr>
          <w:p w:rsidR="00B87444" w:rsidRPr="00AA3DCB" w:rsidRDefault="00B87444" w:rsidP="00B87444">
            <w:pPr>
              <w:pStyle w:val="TableHead"/>
              <w:jc w:val="right"/>
              <w:rPr>
                <w:bCs/>
                <w:lang w:val="en-GB" w:eastAsia="en-GB"/>
              </w:rPr>
            </w:pPr>
            <w:r>
              <w:rPr>
                <w:bCs/>
                <w:lang w:val="en-GB" w:eastAsia="en-GB"/>
              </w:rPr>
              <w:t>2012</w:t>
            </w:r>
          </w:p>
        </w:tc>
        <w:tc>
          <w:tcPr>
            <w:tcW w:w="1728" w:type="dxa"/>
            <w:vAlign w:val="bottom"/>
          </w:tcPr>
          <w:p w:rsidR="00B87444" w:rsidRPr="00AA3DCB" w:rsidRDefault="00B87444" w:rsidP="00B87444">
            <w:pPr>
              <w:pStyle w:val="TableHead"/>
              <w:jc w:val="right"/>
              <w:rPr>
                <w:bCs/>
                <w:lang w:val="en-GB" w:eastAsia="en-GB"/>
              </w:rPr>
            </w:pPr>
            <w:r>
              <w:rPr>
                <w:bCs/>
                <w:lang w:val="en-GB" w:eastAsia="en-GB"/>
              </w:rPr>
              <w:t>2011</w:t>
            </w:r>
          </w:p>
        </w:tc>
      </w:tr>
      <w:tr w:rsidR="00B87444" w:rsidRPr="00994305" w:rsidTr="000C6890">
        <w:tc>
          <w:tcPr>
            <w:tcW w:w="4680" w:type="dxa"/>
            <w:shd w:val="clear" w:color="auto" w:fill="auto"/>
          </w:tcPr>
          <w:p w:rsidR="00B87444" w:rsidRPr="00AA3DCB" w:rsidRDefault="00B87444" w:rsidP="00B87444">
            <w:pPr>
              <w:pStyle w:val="TableRowHead"/>
              <w:rPr>
                <w:rFonts w:ascii="Gill Sans" w:hAnsi="Gill Sans"/>
                <w:sz w:val="24"/>
              </w:rPr>
            </w:pPr>
          </w:p>
        </w:tc>
        <w:tc>
          <w:tcPr>
            <w:tcW w:w="1080" w:type="dxa"/>
            <w:vAlign w:val="bottom"/>
          </w:tcPr>
          <w:p w:rsidR="00B87444" w:rsidRPr="00AA3DCB" w:rsidRDefault="00B87444" w:rsidP="00B87444">
            <w:pPr>
              <w:spacing w:after="0"/>
              <w:jc w:val="center"/>
              <w:rPr>
                <w:rFonts w:cs="Arial"/>
                <w:lang w:val="en-GB" w:eastAsia="en-GB"/>
              </w:rPr>
            </w:pPr>
          </w:p>
        </w:tc>
        <w:tc>
          <w:tcPr>
            <w:tcW w:w="1692" w:type="dxa"/>
            <w:vAlign w:val="bottom"/>
          </w:tcPr>
          <w:p w:rsidR="00B87444" w:rsidRPr="00C16FC7" w:rsidRDefault="00B87444" w:rsidP="0053638B">
            <w:pPr>
              <w:pStyle w:val="TableCell"/>
              <w:rPr>
                <w:lang w:val="en-GB" w:eastAsia="en-GB"/>
              </w:rPr>
            </w:pPr>
            <w:r w:rsidRPr="00C16FC7">
              <w:rPr>
                <w:lang w:val="en-GB" w:eastAsia="en-GB"/>
              </w:rPr>
              <w:t>€</w:t>
            </w:r>
          </w:p>
        </w:tc>
        <w:tc>
          <w:tcPr>
            <w:tcW w:w="1728" w:type="dxa"/>
            <w:vAlign w:val="bottom"/>
          </w:tcPr>
          <w:p w:rsidR="00B87444" w:rsidRPr="00C16FC7" w:rsidRDefault="00B87444" w:rsidP="0053638B">
            <w:pPr>
              <w:pStyle w:val="TableCell"/>
              <w:rPr>
                <w:lang w:val="en-GB" w:eastAsia="en-GB"/>
              </w:rPr>
            </w:pPr>
            <w:r w:rsidRPr="00C16FC7">
              <w:rPr>
                <w:lang w:val="en-GB" w:eastAsia="en-GB"/>
              </w:rPr>
              <w:t>€</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Fixed Assets</w:t>
            </w: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7</w:t>
            </w: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2</w:t>
            </w:r>
            <w:r w:rsidRPr="00AA3DCB">
              <w:rPr>
                <w:rFonts w:cs="Arial"/>
                <w:lang w:val="en-GB" w:eastAsia="en-GB"/>
              </w:rPr>
              <w:t>,</w:t>
            </w:r>
            <w:r>
              <w:rPr>
                <w:rFonts w:cs="Arial"/>
                <w:lang w:val="en-GB" w:eastAsia="en-GB"/>
              </w:rPr>
              <w:t>943</w:t>
            </w:r>
            <w:r w:rsidRPr="00AA3DCB">
              <w:rPr>
                <w:rFonts w:cs="Arial"/>
                <w:lang w:val="en-GB" w:eastAsia="en-GB"/>
              </w:rPr>
              <w:t>,</w:t>
            </w:r>
            <w:r>
              <w:rPr>
                <w:rFonts w:cs="Arial"/>
                <w:lang w:val="en-GB" w:eastAsia="en-GB"/>
              </w:rPr>
              <w:t>942</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3,027,866 </w:t>
            </w:r>
          </w:p>
        </w:tc>
      </w:tr>
      <w:tr w:rsidR="00B87444" w:rsidRPr="00994305" w:rsidTr="000C6890">
        <w:tc>
          <w:tcPr>
            <w:tcW w:w="9180" w:type="dxa"/>
            <w:gridSpan w:val="4"/>
            <w:shd w:val="clear" w:color="auto" w:fill="auto"/>
            <w:vAlign w:val="bottom"/>
          </w:tcPr>
          <w:p w:rsidR="00B87444" w:rsidRPr="00AA3DCB" w:rsidRDefault="00B87444" w:rsidP="00B87444">
            <w:pPr>
              <w:pStyle w:val="TableHead"/>
              <w:jc w:val="center"/>
              <w:rPr>
                <w:sz w:val="24"/>
                <w:lang w:val="en-GB" w:eastAsia="en-GB"/>
              </w:rPr>
            </w:pPr>
            <w:r w:rsidRPr="00AA3DCB">
              <w:rPr>
                <w:sz w:val="24"/>
                <w:lang w:val="en-GB" w:eastAsia="en-GB"/>
              </w:rPr>
              <w:t>Current Assets</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 xml:space="preserve">Debtors And Prepayments </w:t>
            </w: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12</w:t>
            </w: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204</w:t>
            </w:r>
            <w:r w:rsidRPr="00AA3DCB">
              <w:rPr>
                <w:rFonts w:cs="Arial"/>
                <w:lang w:val="en-GB" w:eastAsia="en-GB"/>
              </w:rPr>
              <w:t>,</w:t>
            </w:r>
            <w:r>
              <w:rPr>
                <w:rFonts w:cs="Arial"/>
                <w:lang w:val="en-GB" w:eastAsia="en-GB"/>
              </w:rPr>
              <w:t>370</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151,608 </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 xml:space="preserve">Cash At Bank And On Hand </w:t>
            </w: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9(b)</w:t>
            </w: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8,360</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114 </w:t>
            </w:r>
          </w:p>
        </w:tc>
      </w:tr>
      <w:tr w:rsidR="00B87444" w:rsidRPr="00994305" w:rsidTr="000C6890">
        <w:tc>
          <w:tcPr>
            <w:tcW w:w="4680" w:type="dxa"/>
            <w:shd w:val="clear" w:color="auto" w:fill="auto"/>
            <w:vAlign w:val="bottom"/>
          </w:tcPr>
          <w:p w:rsidR="00B87444" w:rsidRPr="00AA3DCB" w:rsidRDefault="00B87444" w:rsidP="00B87444">
            <w:pPr>
              <w:spacing w:after="0"/>
              <w:rPr>
                <w:rFonts w:cs="Arial"/>
                <w:lang w:val="en-GB" w:eastAsia="en-GB"/>
              </w:rPr>
            </w:pPr>
          </w:p>
        </w:tc>
        <w:tc>
          <w:tcPr>
            <w:tcW w:w="1080" w:type="dxa"/>
            <w:vAlign w:val="bottom"/>
          </w:tcPr>
          <w:p w:rsidR="00B87444" w:rsidRPr="00AA3DCB" w:rsidRDefault="00B87444" w:rsidP="00B87444">
            <w:pPr>
              <w:spacing w:after="0"/>
              <w:jc w:val="center"/>
              <w:rPr>
                <w:rFonts w:cs="Arial"/>
                <w:lang w:val="en-GB" w:eastAsia="en-GB"/>
              </w:rPr>
            </w:pP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212,730</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151,722 </w:t>
            </w:r>
          </w:p>
        </w:tc>
      </w:tr>
      <w:tr w:rsidR="00B87444" w:rsidRPr="00994305" w:rsidTr="000C6890">
        <w:tc>
          <w:tcPr>
            <w:tcW w:w="9180" w:type="dxa"/>
            <w:gridSpan w:val="4"/>
            <w:shd w:val="clear" w:color="auto" w:fill="auto"/>
            <w:vAlign w:val="bottom"/>
          </w:tcPr>
          <w:p w:rsidR="00B87444" w:rsidRPr="00AA3DCB" w:rsidRDefault="00B87444" w:rsidP="00B87444">
            <w:pPr>
              <w:pStyle w:val="TableHead"/>
              <w:jc w:val="center"/>
              <w:rPr>
                <w:sz w:val="24"/>
                <w:lang w:val="en-GB" w:eastAsia="en-GB"/>
              </w:rPr>
            </w:pPr>
            <w:r w:rsidRPr="00AA3DCB">
              <w:rPr>
                <w:sz w:val="24"/>
                <w:lang w:val="en-GB" w:eastAsia="en-GB"/>
              </w:rPr>
              <w:t>Current Liabilities</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 xml:space="preserve">Creditors And Accruals </w:t>
            </w: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11</w:t>
            </w: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39</w:t>
            </w:r>
            <w:r w:rsidRPr="00AA3DCB">
              <w:rPr>
                <w:rFonts w:cs="Arial"/>
                <w:lang w:val="en-GB" w:eastAsia="en-GB"/>
              </w:rPr>
              <w:t>,</w:t>
            </w:r>
            <w:r>
              <w:rPr>
                <w:rFonts w:cs="Arial"/>
                <w:lang w:val="en-GB" w:eastAsia="en-GB"/>
              </w:rPr>
              <w:t>082</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122,309 </w:t>
            </w:r>
          </w:p>
        </w:tc>
      </w:tr>
      <w:tr w:rsidR="00B87444" w:rsidRPr="00994305" w:rsidTr="000C6890">
        <w:tc>
          <w:tcPr>
            <w:tcW w:w="4680" w:type="dxa"/>
            <w:shd w:val="clear" w:color="auto" w:fill="auto"/>
            <w:vAlign w:val="bottom"/>
          </w:tcPr>
          <w:p w:rsidR="00B87444" w:rsidRPr="00AA3DCB" w:rsidRDefault="00B87444" w:rsidP="00B87444">
            <w:pPr>
              <w:spacing w:after="0"/>
              <w:rPr>
                <w:rFonts w:cs="Arial"/>
                <w:lang w:val="en-GB" w:eastAsia="en-GB"/>
              </w:rPr>
            </w:pP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 xml:space="preserve"> </w:t>
            </w: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39</w:t>
            </w:r>
            <w:r w:rsidRPr="00AA3DCB">
              <w:rPr>
                <w:rFonts w:cs="Arial"/>
                <w:lang w:val="en-GB" w:eastAsia="en-GB"/>
              </w:rPr>
              <w:t>,</w:t>
            </w:r>
            <w:r>
              <w:rPr>
                <w:rFonts w:cs="Arial"/>
                <w:lang w:val="en-GB" w:eastAsia="en-GB"/>
              </w:rPr>
              <w:t>082</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122,309 </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Net Current Assets</w:t>
            </w: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 xml:space="preserve"> </w:t>
            </w: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173</w:t>
            </w:r>
            <w:r w:rsidRPr="00AA3DCB">
              <w:rPr>
                <w:rFonts w:cs="Arial"/>
                <w:lang w:val="en-GB" w:eastAsia="en-GB"/>
              </w:rPr>
              <w:t>,</w:t>
            </w:r>
            <w:r>
              <w:rPr>
                <w:rFonts w:cs="Arial"/>
                <w:lang w:val="en-GB" w:eastAsia="en-GB"/>
              </w:rPr>
              <w:t>648</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29,413 </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Total Assets Less Current Liabilities Before Pensions</w:t>
            </w:r>
          </w:p>
        </w:tc>
        <w:tc>
          <w:tcPr>
            <w:tcW w:w="1080" w:type="dxa"/>
            <w:vAlign w:val="bottom"/>
          </w:tcPr>
          <w:p w:rsidR="00B87444" w:rsidRPr="00AA3DCB" w:rsidRDefault="00B87444" w:rsidP="00B87444">
            <w:pPr>
              <w:spacing w:after="0"/>
              <w:jc w:val="center"/>
              <w:rPr>
                <w:rFonts w:cs="Arial"/>
                <w:lang w:val="en-GB" w:eastAsia="en-GB"/>
              </w:rPr>
            </w:pPr>
          </w:p>
        </w:tc>
        <w:tc>
          <w:tcPr>
            <w:tcW w:w="1692"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3,</w:t>
            </w:r>
            <w:r>
              <w:rPr>
                <w:rFonts w:cs="Arial"/>
                <w:lang w:val="en-GB" w:eastAsia="en-GB"/>
              </w:rPr>
              <w:t>117</w:t>
            </w:r>
            <w:r w:rsidRPr="00AA3DCB">
              <w:rPr>
                <w:rFonts w:cs="Arial"/>
                <w:lang w:val="en-GB" w:eastAsia="en-GB"/>
              </w:rPr>
              <w:t>,</w:t>
            </w:r>
            <w:r>
              <w:rPr>
                <w:rFonts w:cs="Arial"/>
                <w:lang w:val="en-GB" w:eastAsia="en-GB"/>
              </w:rPr>
              <w:t>590</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3,057,279 </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Deferred Funding Asset For Pensions</w:t>
            </w: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10(d)</w:t>
            </w: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(16,5</w:t>
            </w:r>
            <w:r w:rsidRPr="00AA3DCB">
              <w:rPr>
                <w:rFonts w:cs="Arial"/>
                <w:lang w:val="en-GB" w:eastAsia="en-GB"/>
              </w:rPr>
              <w:t>00,000)</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(16,700,000)</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Pension Liabilities</w:t>
            </w: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10(e)</w:t>
            </w:r>
          </w:p>
        </w:tc>
        <w:tc>
          <w:tcPr>
            <w:tcW w:w="1692"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16,</w:t>
            </w:r>
            <w:r>
              <w:rPr>
                <w:rFonts w:cs="Arial"/>
                <w:lang w:val="en-GB" w:eastAsia="en-GB"/>
              </w:rPr>
              <w:t>5</w:t>
            </w:r>
            <w:r w:rsidRPr="00AA3DCB">
              <w:rPr>
                <w:rFonts w:cs="Arial"/>
                <w:lang w:val="en-GB" w:eastAsia="en-GB"/>
              </w:rPr>
              <w:t xml:space="preserve">00,000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16,700,000 </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p>
        </w:tc>
        <w:tc>
          <w:tcPr>
            <w:tcW w:w="1080" w:type="dxa"/>
            <w:vAlign w:val="bottom"/>
          </w:tcPr>
          <w:p w:rsidR="00B87444" w:rsidRPr="00AA3DCB" w:rsidRDefault="00B87444" w:rsidP="00B87444">
            <w:pPr>
              <w:spacing w:after="0"/>
              <w:jc w:val="center"/>
              <w:rPr>
                <w:rFonts w:cs="Arial"/>
                <w:lang w:val="en-GB" w:eastAsia="en-GB"/>
              </w:rPr>
            </w:pPr>
          </w:p>
        </w:tc>
        <w:tc>
          <w:tcPr>
            <w:tcW w:w="1692"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3,</w:t>
            </w:r>
            <w:r>
              <w:rPr>
                <w:rFonts w:cs="Arial"/>
                <w:lang w:val="en-GB" w:eastAsia="en-GB"/>
              </w:rPr>
              <w:t>117</w:t>
            </w:r>
            <w:r w:rsidRPr="00AA3DCB">
              <w:rPr>
                <w:rFonts w:cs="Arial"/>
                <w:lang w:val="en-GB" w:eastAsia="en-GB"/>
              </w:rPr>
              <w:t>,</w:t>
            </w:r>
            <w:r>
              <w:rPr>
                <w:rFonts w:cs="Arial"/>
                <w:lang w:val="en-GB" w:eastAsia="en-GB"/>
              </w:rPr>
              <w:t>590</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3,057,279 </w:t>
            </w:r>
          </w:p>
        </w:tc>
      </w:tr>
      <w:tr w:rsidR="00B87444" w:rsidRPr="00994305" w:rsidTr="000C6890">
        <w:tc>
          <w:tcPr>
            <w:tcW w:w="9180" w:type="dxa"/>
            <w:gridSpan w:val="4"/>
            <w:shd w:val="clear" w:color="auto" w:fill="auto"/>
            <w:vAlign w:val="bottom"/>
          </w:tcPr>
          <w:p w:rsidR="00B87444" w:rsidRPr="00A8372F" w:rsidRDefault="00B87444" w:rsidP="00B87444">
            <w:pPr>
              <w:pStyle w:val="TableHead"/>
              <w:jc w:val="center"/>
              <w:rPr>
                <w:rFonts w:cs="Arial"/>
                <w:sz w:val="24"/>
                <w:lang w:val="en-GB" w:eastAsia="en-GB"/>
              </w:rPr>
            </w:pPr>
            <w:r w:rsidRPr="00A8372F">
              <w:rPr>
                <w:sz w:val="24"/>
                <w:lang w:val="en-GB" w:eastAsia="en-GB"/>
              </w:rPr>
              <w:t>Represented By:</w:t>
            </w:r>
          </w:p>
        </w:tc>
      </w:tr>
      <w:tr w:rsidR="00B87444" w:rsidRPr="00994305" w:rsidTr="000C6890">
        <w:tc>
          <w:tcPr>
            <w:tcW w:w="4680" w:type="dxa"/>
            <w:shd w:val="clear" w:color="auto" w:fill="auto"/>
            <w:vAlign w:val="bottom"/>
          </w:tcPr>
          <w:p w:rsidR="00B87444" w:rsidRPr="00AA3DCB" w:rsidRDefault="00B87444" w:rsidP="00B87444">
            <w:pPr>
              <w:pStyle w:val="TableRowHead"/>
              <w:rPr>
                <w:rFonts w:ascii="Gill Sans" w:hAnsi="Gill Sans"/>
                <w:sz w:val="24"/>
                <w:lang w:val="en-GB" w:eastAsia="en-GB"/>
              </w:rPr>
            </w:pPr>
            <w:r w:rsidRPr="00AA3DCB">
              <w:rPr>
                <w:rFonts w:ascii="Gill Sans" w:hAnsi="Gill Sans"/>
                <w:sz w:val="24"/>
                <w:lang w:val="en-GB" w:eastAsia="en-GB"/>
              </w:rPr>
              <w:t xml:space="preserve">Capital Account </w:t>
            </w:r>
          </w:p>
        </w:tc>
        <w:tc>
          <w:tcPr>
            <w:tcW w:w="1080" w:type="dxa"/>
            <w:vAlign w:val="bottom"/>
          </w:tcPr>
          <w:p w:rsidR="00B87444" w:rsidRPr="00AA3DCB" w:rsidRDefault="00B87444" w:rsidP="00B87444">
            <w:pPr>
              <w:spacing w:after="0"/>
              <w:jc w:val="center"/>
              <w:rPr>
                <w:rFonts w:cs="Arial"/>
                <w:lang w:val="en-GB" w:eastAsia="en-GB"/>
              </w:rPr>
            </w:pPr>
            <w:r w:rsidRPr="00AA3DCB">
              <w:rPr>
                <w:rFonts w:cs="Arial"/>
                <w:lang w:val="en-GB" w:eastAsia="en-GB"/>
              </w:rPr>
              <w:t>8</w:t>
            </w: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2</w:t>
            </w:r>
            <w:r w:rsidRPr="00AA3DCB">
              <w:rPr>
                <w:rFonts w:cs="Arial"/>
                <w:lang w:val="en-GB" w:eastAsia="en-GB"/>
              </w:rPr>
              <w:t>,</w:t>
            </w:r>
            <w:r>
              <w:rPr>
                <w:rFonts w:cs="Arial"/>
                <w:lang w:val="en-GB" w:eastAsia="en-GB"/>
              </w:rPr>
              <w:t>943</w:t>
            </w:r>
            <w:r w:rsidRPr="00AA3DCB">
              <w:rPr>
                <w:rFonts w:cs="Arial"/>
                <w:lang w:val="en-GB" w:eastAsia="en-GB"/>
              </w:rPr>
              <w:t>,</w:t>
            </w:r>
            <w:r>
              <w:rPr>
                <w:rFonts w:cs="Arial"/>
                <w:lang w:val="en-GB" w:eastAsia="en-GB"/>
              </w:rPr>
              <w:t>942</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3,027,866 </w:t>
            </w:r>
          </w:p>
        </w:tc>
      </w:tr>
      <w:tr w:rsidR="00B87444" w:rsidRPr="00994305" w:rsidTr="000C6890">
        <w:tc>
          <w:tcPr>
            <w:tcW w:w="4680" w:type="dxa"/>
            <w:shd w:val="clear" w:color="auto" w:fill="auto"/>
          </w:tcPr>
          <w:p w:rsidR="00B87444" w:rsidRPr="00AA3DCB" w:rsidRDefault="00B87444" w:rsidP="00B87444">
            <w:pPr>
              <w:pStyle w:val="TableRowHead"/>
              <w:rPr>
                <w:rFonts w:ascii="Gill Sans" w:hAnsi="Gill Sans"/>
                <w:sz w:val="24"/>
              </w:rPr>
            </w:pPr>
            <w:r w:rsidRPr="00AA3DCB">
              <w:rPr>
                <w:rFonts w:ascii="Gill Sans" w:hAnsi="Gill Sans"/>
                <w:sz w:val="24"/>
                <w:lang w:val="en-GB" w:eastAsia="en-GB"/>
              </w:rPr>
              <w:t>Retained Surplus / (Deficit) On Income And Expenditure Account</w:t>
            </w:r>
          </w:p>
        </w:tc>
        <w:tc>
          <w:tcPr>
            <w:tcW w:w="1080" w:type="dxa"/>
            <w:vAlign w:val="bottom"/>
          </w:tcPr>
          <w:p w:rsidR="00B87444" w:rsidRPr="00AA3DCB" w:rsidRDefault="00B87444" w:rsidP="00B87444">
            <w:pPr>
              <w:spacing w:after="0"/>
              <w:rPr>
                <w:rFonts w:cs="Arial"/>
                <w:lang w:val="en-GB" w:eastAsia="en-GB"/>
              </w:rPr>
            </w:pPr>
          </w:p>
        </w:tc>
        <w:tc>
          <w:tcPr>
            <w:tcW w:w="1692" w:type="dxa"/>
            <w:vAlign w:val="bottom"/>
          </w:tcPr>
          <w:p w:rsidR="00B87444" w:rsidRPr="00AA3DCB" w:rsidRDefault="00B87444" w:rsidP="00B87444">
            <w:pPr>
              <w:spacing w:after="0"/>
              <w:jc w:val="right"/>
              <w:rPr>
                <w:rFonts w:cs="Arial"/>
                <w:lang w:val="en-GB" w:eastAsia="en-GB"/>
              </w:rPr>
            </w:pPr>
            <w:r>
              <w:rPr>
                <w:rFonts w:cs="Arial"/>
                <w:lang w:val="en-GB" w:eastAsia="en-GB"/>
              </w:rPr>
              <w:t>173</w:t>
            </w:r>
            <w:r w:rsidRPr="00AA3DCB">
              <w:rPr>
                <w:rFonts w:cs="Arial"/>
                <w:lang w:val="en-GB" w:eastAsia="en-GB"/>
              </w:rPr>
              <w:t>,</w:t>
            </w:r>
            <w:r>
              <w:rPr>
                <w:rFonts w:cs="Arial"/>
                <w:lang w:val="en-GB" w:eastAsia="en-GB"/>
              </w:rPr>
              <w:t>648</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29,413 </w:t>
            </w:r>
          </w:p>
        </w:tc>
      </w:tr>
      <w:tr w:rsidR="00B87444" w:rsidRPr="00994305" w:rsidTr="000C6890">
        <w:tc>
          <w:tcPr>
            <w:tcW w:w="4680" w:type="dxa"/>
            <w:shd w:val="clear" w:color="auto" w:fill="auto"/>
          </w:tcPr>
          <w:p w:rsidR="00B87444" w:rsidRPr="00AA3DCB" w:rsidRDefault="00B87444" w:rsidP="00B87444">
            <w:pPr>
              <w:pStyle w:val="TableRowHead"/>
              <w:rPr>
                <w:rFonts w:ascii="Gill Sans" w:hAnsi="Gill Sans"/>
                <w:sz w:val="24"/>
              </w:rPr>
            </w:pPr>
          </w:p>
        </w:tc>
        <w:tc>
          <w:tcPr>
            <w:tcW w:w="1080" w:type="dxa"/>
            <w:vAlign w:val="bottom"/>
          </w:tcPr>
          <w:p w:rsidR="00B87444" w:rsidRPr="00AA3DCB" w:rsidRDefault="00B87444" w:rsidP="00B87444">
            <w:pPr>
              <w:spacing w:after="0"/>
              <w:jc w:val="center"/>
              <w:rPr>
                <w:rFonts w:cs="Arial"/>
                <w:lang w:val="en-GB" w:eastAsia="en-GB"/>
              </w:rPr>
            </w:pPr>
          </w:p>
        </w:tc>
        <w:tc>
          <w:tcPr>
            <w:tcW w:w="1692"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3,</w:t>
            </w:r>
            <w:r>
              <w:rPr>
                <w:rFonts w:cs="Arial"/>
                <w:lang w:val="en-GB" w:eastAsia="en-GB"/>
              </w:rPr>
              <w:t>117</w:t>
            </w:r>
            <w:r w:rsidRPr="00AA3DCB">
              <w:rPr>
                <w:rFonts w:cs="Arial"/>
                <w:lang w:val="en-GB" w:eastAsia="en-GB"/>
              </w:rPr>
              <w:t>,</w:t>
            </w:r>
            <w:r>
              <w:rPr>
                <w:rFonts w:cs="Arial"/>
                <w:lang w:val="en-GB" w:eastAsia="en-GB"/>
              </w:rPr>
              <w:t>590</w:t>
            </w:r>
            <w:r w:rsidRPr="00AA3DCB">
              <w:rPr>
                <w:rFonts w:cs="Arial"/>
                <w:lang w:val="en-GB" w:eastAsia="en-GB"/>
              </w:rPr>
              <w:t xml:space="preserve"> </w:t>
            </w:r>
          </w:p>
        </w:tc>
        <w:tc>
          <w:tcPr>
            <w:tcW w:w="1728" w:type="dxa"/>
            <w:vAlign w:val="bottom"/>
          </w:tcPr>
          <w:p w:rsidR="00B87444" w:rsidRPr="00AA3DCB" w:rsidRDefault="00B87444" w:rsidP="00B87444">
            <w:pPr>
              <w:spacing w:after="0"/>
              <w:jc w:val="right"/>
              <w:rPr>
                <w:rFonts w:cs="Arial"/>
                <w:lang w:val="en-GB" w:eastAsia="en-GB"/>
              </w:rPr>
            </w:pPr>
            <w:r w:rsidRPr="00AA3DCB">
              <w:rPr>
                <w:rFonts w:cs="Arial"/>
                <w:lang w:val="en-GB" w:eastAsia="en-GB"/>
              </w:rPr>
              <w:t xml:space="preserve">3,057,279 </w:t>
            </w:r>
          </w:p>
        </w:tc>
      </w:tr>
    </w:tbl>
    <w:p w:rsidR="00B87444" w:rsidRDefault="00B87444" w:rsidP="00B87444">
      <w:pPr>
        <w:rPr>
          <w:lang w:val="en-GB" w:eastAsia="en-GB"/>
        </w:rPr>
      </w:pPr>
      <w:r>
        <w:rPr>
          <w:lang w:val="en-GB" w:eastAsia="en-GB"/>
        </w:rPr>
        <w:br/>
      </w:r>
      <w:r w:rsidRPr="00AA3DCB">
        <w:rPr>
          <w:lang w:val="en-GB" w:eastAsia="en-GB"/>
        </w:rPr>
        <w:t>The Statement of Accounting Policies, the Cash Flow Statement, and Notes 1 to 16 form part of these Financial Statements.</w:t>
      </w:r>
    </w:p>
    <w:p w:rsidR="005B315D" w:rsidRPr="008B2354" w:rsidRDefault="005B315D" w:rsidP="005B315D">
      <w:pPr>
        <w:spacing w:after="0"/>
      </w:pPr>
      <w:r>
        <w:t>Signed:</w:t>
      </w:r>
      <w:r>
        <w:tab/>
      </w:r>
      <w:r w:rsidRPr="008B2354">
        <w:t>Peter McKevitt</w:t>
      </w:r>
      <w:r>
        <w:t xml:space="preserve"> (</w:t>
      </w:r>
      <w:r w:rsidRPr="008B2354">
        <w:t>Chairperson</w:t>
      </w:r>
      <w:r>
        <w:t>)</w:t>
      </w:r>
      <w:r>
        <w:br/>
        <w:t>Signed:</w:t>
      </w:r>
      <w:r>
        <w:tab/>
      </w:r>
      <w:r w:rsidRPr="008B2354">
        <w:t>Siobhan Barron</w:t>
      </w:r>
      <w:r>
        <w:t xml:space="preserve"> (</w:t>
      </w:r>
      <w:r w:rsidRPr="008B2354">
        <w:t>Director</w:t>
      </w:r>
      <w:r>
        <w:t>)</w:t>
      </w:r>
      <w:r>
        <w:br/>
        <w:t xml:space="preserve">Signed: </w:t>
      </w:r>
      <w:r>
        <w:tab/>
        <w:t>Frank Cuneen (Authority Member)</w:t>
      </w:r>
    </w:p>
    <w:p w:rsidR="005B315D" w:rsidRDefault="005B315D" w:rsidP="005B315D">
      <w:r w:rsidRPr="008B2354">
        <w:t>Date</w:t>
      </w:r>
      <w:r>
        <w:t>:</w:t>
      </w:r>
      <w:r>
        <w:tab/>
      </w:r>
      <w:r>
        <w:tab/>
        <w:t>14/8/13</w:t>
      </w:r>
    </w:p>
    <w:p w:rsidR="00B87444" w:rsidRDefault="00B87444" w:rsidP="00E41BEB">
      <w:pPr>
        <w:pStyle w:val="Heading2"/>
        <w:rPr>
          <w:lang w:val="en-GB" w:eastAsia="en-GB"/>
        </w:rPr>
      </w:pPr>
      <w:r>
        <w:rPr>
          <w:lang w:val="en-GB" w:eastAsia="en-GB"/>
        </w:rPr>
        <w:br w:type="page"/>
      </w:r>
      <w:bookmarkStart w:id="41" w:name="_Toc335836392"/>
      <w:bookmarkStart w:id="42" w:name="_Toc335983438"/>
      <w:bookmarkStart w:id="43" w:name="_Toc335986607"/>
      <w:r w:rsidRPr="00A8372F">
        <w:rPr>
          <w:lang w:val="en-GB" w:eastAsia="en-GB"/>
        </w:rPr>
        <w:t>Cash Flow Statement for the year ended 31 December 201</w:t>
      </w:r>
      <w:bookmarkEnd w:id="41"/>
      <w:bookmarkEnd w:id="42"/>
      <w:bookmarkEnd w:id="43"/>
      <w:r>
        <w:rPr>
          <w:lang w:val="en-GB" w:eastAsia="en-GB"/>
        </w:rPr>
        <w:t>2</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548"/>
        <w:gridCol w:w="1169"/>
        <w:gridCol w:w="1169"/>
        <w:gridCol w:w="1267"/>
      </w:tblGrid>
      <w:tr w:rsidR="00B87444" w:rsidRPr="00A8372F" w:rsidTr="000C6890">
        <w:trPr>
          <w:tblHeader/>
        </w:trPr>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p>
        </w:tc>
        <w:tc>
          <w:tcPr>
            <w:tcW w:w="1260" w:type="dxa"/>
            <w:shd w:val="clear" w:color="auto" w:fill="auto"/>
            <w:vAlign w:val="bottom"/>
          </w:tcPr>
          <w:p w:rsidR="00B87444" w:rsidRPr="00E8422D" w:rsidRDefault="00B87444" w:rsidP="00B87444">
            <w:pPr>
              <w:pStyle w:val="TableHead"/>
              <w:jc w:val="right"/>
              <w:rPr>
                <w:sz w:val="24"/>
                <w:lang w:val="en-GB" w:eastAsia="en-GB"/>
              </w:rPr>
            </w:pPr>
            <w:r w:rsidRPr="00E8422D">
              <w:rPr>
                <w:sz w:val="24"/>
                <w:lang w:val="en-GB" w:eastAsia="en-GB"/>
              </w:rPr>
              <w:t>Notes</w:t>
            </w:r>
          </w:p>
        </w:tc>
        <w:tc>
          <w:tcPr>
            <w:tcW w:w="1260" w:type="dxa"/>
            <w:shd w:val="clear" w:color="auto" w:fill="auto"/>
            <w:vAlign w:val="bottom"/>
          </w:tcPr>
          <w:p w:rsidR="00B87444" w:rsidRPr="00E8422D" w:rsidRDefault="00B87444" w:rsidP="00B87444">
            <w:pPr>
              <w:pStyle w:val="TableHead"/>
              <w:jc w:val="right"/>
              <w:rPr>
                <w:bCs/>
                <w:sz w:val="24"/>
                <w:lang w:val="en-GB" w:eastAsia="en-GB"/>
              </w:rPr>
            </w:pPr>
            <w:r>
              <w:rPr>
                <w:bCs/>
                <w:sz w:val="24"/>
                <w:lang w:val="en-GB" w:eastAsia="en-GB"/>
              </w:rPr>
              <w:t>2012</w:t>
            </w:r>
          </w:p>
        </w:tc>
        <w:tc>
          <w:tcPr>
            <w:tcW w:w="1368" w:type="dxa"/>
            <w:shd w:val="clear" w:color="auto" w:fill="auto"/>
            <w:vAlign w:val="bottom"/>
          </w:tcPr>
          <w:p w:rsidR="00B87444" w:rsidRPr="00E8422D" w:rsidRDefault="00B87444" w:rsidP="00B87444">
            <w:pPr>
              <w:pStyle w:val="TableHead"/>
              <w:jc w:val="right"/>
              <w:rPr>
                <w:bCs/>
                <w:sz w:val="24"/>
                <w:lang w:val="en-GB" w:eastAsia="en-GB"/>
              </w:rPr>
            </w:pPr>
            <w:r>
              <w:rPr>
                <w:bCs/>
                <w:sz w:val="24"/>
                <w:lang w:val="en-GB" w:eastAsia="en-GB"/>
              </w:rPr>
              <w:t>2011</w:t>
            </w:r>
          </w:p>
        </w:tc>
      </w:tr>
      <w:tr w:rsidR="00B87444" w:rsidRPr="00A8372F" w:rsidTr="000C6890">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p>
        </w:tc>
        <w:tc>
          <w:tcPr>
            <w:tcW w:w="1260" w:type="dxa"/>
            <w:shd w:val="clear" w:color="auto" w:fill="auto"/>
            <w:vAlign w:val="bottom"/>
          </w:tcPr>
          <w:p w:rsidR="00B87444" w:rsidRPr="00E8422D" w:rsidRDefault="00B87444" w:rsidP="00B87444">
            <w:pPr>
              <w:spacing w:after="0"/>
              <w:jc w:val="center"/>
              <w:rPr>
                <w:rFonts w:cs="Arial"/>
                <w:lang w:val="en-GB" w:eastAsia="en-GB"/>
              </w:rPr>
            </w:pPr>
          </w:p>
        </w:tc>
        <w:tc>
          <w:tcPr>
            <w:tcW w:w="1260" w:type="dxa"/>
            <w:shd w:val="clear" w:color="auto" w:fill="auto"/>
            <w:vAlign w:val="bottom"/>
          </w:tcPr>
          <w:p w:rsidR="00B87444" w:rsidRPr="00E8422D" w:rsidRDefault="009D3F2F" w:rsidP="0053638B">
            <w:pPr>
              <w:pStyle w:val="TableCell"/>
              <w:rPr>
                <w:lang w:val="en-GB" w:eastAsia="en-GB"/>
              </w:rPr>
            </w:pPr>
            <w:r>
              <w:rPr>
                <w:lang w:val="en-GB" w:eastAsia="en-GB"/>
              </w:rPr>
              <w:t>€</w:t>
            </w:r>
          </w:p>
        </w:tc>
        <w:tc>
          <w:tcPr>
            <w:tcW w:w="1368" w:type="dxa"/>
            <w:shd w:val="clear" w:color="auto" w:fill="auto"/>
            <w:vAlign w:val="bottom"/>
          </w:tcPr>
          <w:p w:rsidR="00B87444" w:rsidRPr="00E8422D" w:rsidRDefault="009D3F2F" w:rsidP="0053638B">
            <w:pPr>
              <w:pStyle w:val="TableCell"/>
              <w:rPr>
                <w:lang w:val="en-GB" w:eastAsia="en-GB"/>
              </w:rPr>
            </w:pPr>
            <w:r>
              <w:rPr>
                <w:lang w:val="en-GB" w:eastAsia="en-GB"/>
              </w:rPr>
              <w:t>€</w:t>
            </w:r>
          </w:p>
        </w:tc>
      </w:tr>
      <w:tr w:rsidR="00B87444" w:rsidRPr="00A8372F" w:rsidTr="000C6890">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r w:rsidRPr="00E8422D">
              <w:rPr>
                <w:rFonts w:ascii="Gill Sans" w:hAnsi="Gill Sans"/>
                <w:sz w:val="24"/>
                <w:lang w:val="en-GB" w:eastAsia="en-GB"/>
              </w:rPr>
              <w:t>Net Cash Outflow From Operating Activities</w:t>
            </w:r>
          </w:p>
        </w:tc>
        <w:tc>
          <w:tcPr>
            <w:tcW w:w="1260"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9a</w:t>
            </w:r>
          </w:p>
        </w:tc>
        <w:tc>
          <w:tcPr>
            <w:tcW w:w="1260" w:type="dxa"/>
            <w:shd w:val="clear" w:color="auto" w:fill="auto"/>
            <w:vAlign w:val="bottom"/>
          </w:tcPr>
          <w:p w:rsidR="00B87444" w:rsidRPr="00E8422D" w:rsidRDefault="00B87444" w:rsidP="00B87444">
            <w:pPr>
              <w:pStyle w:val="TableCell"/>
              <w:rPr>
                <w:sz w:val="24"/>
                <w:lang w:val="en-GB" w:eastAsia="en-GB"/>
              </w:rPr>
            </w:pPr>
            <w:r>
              <w:rPr>
                <w:sz w:val="24"/>
                <w:lang w:val="en-GB" w:eastAsia="en-GB"/>
              </w:rPr>
              <w:t>9</w:t>
            </w:r>
            <w:r w:rsidRPr="00E8422D">
              <w:rPr>
                <w:sz w:val="24"/>
                <w:lang w:val="en-GB" w:eastAsia="en-GB"/>
              </w:rPr>
              <w:t>,</w:t>
            </w:r>
            <w:r>
              <w:rPr>
                <w:sz w:val="24"/>
                <w:lang w:val="en-GB" w:eastAsia="en-GB"/>
              </w:rPr>
              <w:t>674</w:t>
            </w:r>
            <w:r w:rsidRPr="00E8422D">
              <w:rPr>
                <w:sz w:val="24"/>
                <w:lang w:val="en-GB" w:eastAsia="en-GB"/>
              </w:rPr>
              <w:t xml:space="preserve"> </w:t>
            </w:r>
          </w:p>
        </w:tc>
        <w:tc>
          <w:tcPr>
            <w:tcW w:w="1368"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 xml:space="preserve">9,048 </w:t>
            </w:r>
          </w:p>
        </w:tc>
      </w:tr>
      <w:tr w:rsidR="00B87444" w:rsidRPr="00A8372F" w:rsidTr="000C6890">
        <w:tc>
          <w:tcPr>
            <w:tcW w:w="8856" w:type="dxa"/>
            <w:gridSpan w:val="4"/>
            <w:shd w:val="clear" w:color="auto" w:fill="auto"/>
            <w:vAlign w:val="bottom"/>
          </w:tcPr>
          <w:p w:rsidR="00B87444" w:rsidRPr="00E8422D" w:rsidRDefault="00B87444" w:rsidP="00B87444">
            <w:pPr>
              <w:pStyle w:val="TableCell"/>
              <w:jc w:val="center"/>
              <w:rPr>
                <w:sz w:val="24"/>
                <w:lang w:val="en-GB" w:eastAsia="en-GB"/>
              </w:rPr>
            </w:pPr>
            <w:r w:rsidRPr="00E8422D">
              <w:rPr>
                <w:b/>
                <w:sz w:val="24"/>
                <w:lang w:val="en-GB" w:eastAsia="en-GB"/>
              </w:rPr>
              <w:t>Returns On Investments And Servicing Of Finance</w:t>
            </w:r>
          </w:p>
        </w:tc>
      </w:tr>
      <w:tr w:rsidR="00B87444" w:rsidRPr="00A8372F" w:rsidTr="000C6890">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r w:rsidRPr="00E8422D">
              <w:rPr>
                <w:rFonts w:ascii="Gill Sans" w:hAnsi="Gill Sans"/>
                <w:sz w:val="24"/>
                <w:lang w:val="en-GB" w:eastAsia="en-GB"/>
              </w:rPr>
              <w:t xml:space="preserve">Interest Received </w:t>
            </w:r>
          </w:p>
        </w:tc>
        <w:tc>
          <w:tcPr>
            <w:tcW w:w="1260" w:type="dxa"/>
            <w:shd w:val="clear" w:color="auto" w:fill="auto"/>
            <w:vAlign w:val="bottom"/>
          </w:tcPr>
          <w:p w:rsidR="00B87444" w:rsidRPr="00E8422D" w:rsidRDefault="00B87444" w:rsidP="00B87444">
            <w:pPr>
              <w:pStyle w:val="TableCell"/>
              <w:rPr>
                <w:sz w:val="24"/>
                <w:lang w:val="en-GB" w:eastAsia="en-GB"/>
              </w:rPr>
            </w:pPr>
          </w:p>
        </w:tc>
        <w:tc>
          <w:tcPr>
            <w:tcW w:w="1260"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 xml:space="preserve">0 </w:t>
            </w:r>
          </w:p>
        </w:tc>
        <w:tc>
          <w:tcPr>
            <w:tcW w:w="1368"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 xml:space="preserve">0 </w:t>
            </w:r>
          </w:p>
        </w:tc>
      </w:tr>
      <w:tr w:rsidR="00B87444" w:rsidRPr="00A8372F" w:rsidTr="000C6890">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r w:rsidRPr="00E8422D">
              <w:rPr>
                <w:rFonts w:ascii="Gill Sans" w:hAnsi="Gill Sans"/>
                <w:sz w:val="24"/>
                <w:lang w:val="en-GB" w:eastAsia="en-GB"/>
              </w:rPr>
              <w:t xml:space="preserve">Net Inflow From Returns On Investments And Servicing Of Finance </w:t>
            </w:r>
          </w:p>
        </w:tc>
        <w:tc>
          <w:tcPr>
            <w:tcW w:w="1260" w:type="dxa"/>
            <w:shd w:val="clear" w:color="auto" w:fill="auto"/>
            <w:vAlign w:val="bottom"/>
          </w:tcPr>
          <w:p w:rsidR="00B87444" w:rsidRPr="00E8422D" w:rsidRDefault="00B87444" w:rsidP="00B87444">
            <w:pPr>
              <w:pStyle w:val="TableCell"/>
              <w:rPr>
                <w:sz w:val="24"/>
                <w:lang w:val="en-GB" w:eastAsia="en-GB"/>
              </w:rPr>
            </w:pPr>
          </w:p>
        </w:tc>
        <w:tc>
          <w:tcPr>
            <w:tcW w:w="1260"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 xml:space="preserve">0 </w:t>
            </w:r>
          </w:p>
        </w:tc>
        <w:tc>
          <w:tcPr>
            <w:tcW w:w="1368"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 xml:space="preserve">0 </w:t>
            </w:r>
          </w:p>
        </w:tc>
      </w:tr>
      <w:tr w:rsidR="00B87444" w:rsidRPr="00A8372F" w:rsidTr="000C6890">
        <w:tc>
          <w:tcPr>
            <w:tcW w:w="8856" w:type="dxa"/>
            <w:gridSpan w:val="4"/>
            <w:shd w:val="clear" w:color="auto" w:fill="auto"/>
            <w:vAlign w:val="bottom"/>
          </w:tcPr>
          <w:p w:rsidR="00B87444" w:rsidRPr="00E8422D" w:rsidRDefault="00B87444" w:rsidP="00B87444">
            <w:pPr>
              <w:pStyle w:val="TableCell"/>
              <w:jc w:val="center"/>
              <w:rPr>
                <w:sz w:val="24"/>
                <w:lang w:val="en-GB" w:eastAsia="en-GB"/>
              </w:rPr>
            </w:pPr>
            <w:r w:rsidRPr="00E8422D">
              <w:rPr>
                <w:b/>
                <w:bCs/>
                <w:sz w:val="24"/>
                <w:lang w:val="en-GB" w:eastAsia="en-GB"/>
              </w:rPr>
              <w:t>Investing Activities</w:t>
            </w:r>
          </w:p>
        </w:tc>
      </w:tr>
      <w:tr w:rsidR="00B87444" w:rsidRPr="00A8372F" w:rsidTr="000C6890">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r w:rsidRPr="00E8422D">
              <w:rPr>
                <w:rFonts w:ascii="Gill Sans" w:hAnsi="Gill Sans"/>
                <w:sz w:val="24"/>
                <w:lang w:val="en-GB" w:eastAsia="en-GB"/>
              </w:rPr>
              <w:t>Purchase Of Fixed Assets</w:t>
            </w:r>
          </w:p>
        </w:tc>
        <w:tc>
          <w:tcPr>
            <w:tcW w:w="1260" w:type="dxa"/>
            <w:shd w:val="clear" w:color="auto" w:fill="auto"/>
            <w:vAlign w:val="bottom"/>
          </w:tcPr>
          <w:p w:rsidR="00B87444" w:rsidRPr="00E8422D" w:rsidRDefault="00B87444" w:rsidP="00B87444">
            <w:pPr>
              <w:pStyle w:val="TableCell"/>
              <w:rPr>
                <w:sz w:val="24"/>
                <w:lang w:val="en-GB" w:eastAsia="en-GB"/>
              </w:rPr>
            </w:pPr>
            <w:r>
              <w:rPr>
                <w:sz w:val="24"/>
                <w:lang w:val="en-GB" w:eastAsia="en-GB"/>
              </w:rPr>
              <w:t>7</w:t>
            </w:r>
          </w:p>
        </w:tc>
        <w:tc>
          <w:tcPr>
            <w:tcW w:w="1260" w:type="dxa"/>
            <w:shd w:val="clear" w:color="auto" w:fill="auto"/>
            <w:vAlign w:val="bottom"/>
          </w:tcPr>
          <w:p w:rsidR="00B87444" w:rsidRPr="00E8422D" w:rsidRDefault="00B87444" w:rsidP="00B87444">
            <w:pPr>
              <w:pStyle w:val="TableCell"/>
              <w:rPr>
                <w:sz w:val="24"/>
                <w:lang w:val="en-GB" w:eastAsia="en-GB"/>
              </w:rPr>
            </w:pPr>
            <w:r>
              <w:rPr>
                <w:sz w:val="24"/>
                <w:lang w:val="en-GB" w:eastAsia="en-GB"/>
              </w:rPr>
              <w:t>(1,428)</w:t>
            </w:r>
          </w:p>
        </w:tc>
        <w:tc>
          <w:tcPr>
            <w:tcW w:w="1368"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(9,235)</w:t>
            </w:r>
          </w:p>
        </w:tc>
      </w:tr>
      <w:tr w:rsidR="00B87444" w:rsidRPr="00A8372F" w:rsidTr="000C6890">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r w:rsidRPr="00E8422D">
              <w:rPr>
                <w:rFonts w:ascii="Gill Sans" w:hAnsi="Gill Sans"/>
                <w:sz w:val="24"/>
                <w:lang w:val="en-GB" w:eastAsia="en-GB"/>
              </w:rPr>
              <w:t xml:space="preserve">Proceeds On Disposal Of Fixed Assets </w:t>
            </w:r>
          </w:p>
        </w:tc>
        <w:tc>
          <w:tcPr>
            <w:tcW w:w="1260" w:type="dxa"/>
            <w:shd w:val="clear" w:color="auto" w:fill="auto"/>
            <w:vAlign w:val="bottom"/>
          </w:tcPr>
          <w:p w:rsidR="00B87444" w:rsidRPr="00E8422D" w:rsidRDefault="00B87444" w:rsidP="00B87444">
            <w:pPr>
              <w:pStyle w:val="TableCell"/>
              <w:rPr>
                <w:sz w:val="24"/>
                <w:lang w:val="en-GB" w:eastAsia="en-GB"/>
              </w:rPr>
            </w:pPr>
          </w:p>
        </w:tc>
        <w:tc>
          <w:tcPr>
            <w:tcW w:w="1260"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 xml:space="preserve">0 </w:t>
            </w:r>
          </w:p>
        </w:tc>
        <w:tc>
          <w:tcPr>
            <w:tcW w:w="1368"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 xml:space="preserve">0 </w:t>
            </w:r>
          </w:p>
        </w:tc>
      </w:tr>
      <w:tr w:rsidR="00B87444" w:rsidRPr="00A8372F" w:rsidTr="000C6890">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r w:rsidRPr="00E8422D">
              <w:rPr>
                <w:rFonts w:ascii="Gill Sans" w:hAnsi="Gill Sans"/>
                <w:sz w:val="24"/>
                <w:lang w:val="en-GB" w:eastAsia="en-GB"/>
              </w:rPr>
              <w:t>Net Cash Outflow From Investing Activities</w:t>
            </w:r>
          </w:p>
        </w:tc>
        <w:tc>
          <w:tcPr>
            <w:tcW w:w="1260" w:type="dxa"/>
            <w:shd w:val="clear" w:color="auto" w:fill="auto"/>
            <w:vAlign w:val="bottom"/>
          </w:tcPr>
          <w:p w:rsidR="00B87444" w:rsidRPr="00E8422D" w:rsidRDefault="00B87444" w:rsidP="00B87444">
            <w:pPr>
              <w:pStyle w:val="TableCell"/>
              <w:rPr>
                <w:sz w:val="24"/>
                <w:lang w:val="en-GB" w:eastAsia="en-GB"/>
              </w:rPr>
            </w:pPr>
          </w:p>
        </w:tc>
        <w:tc>
          <w:tcPr>
            <w:tcW w:w="1260" w:type="dxa"/>
            <w:shd w:val="clear" w:color="auto" w:fill="auto"/>
            <w:vAlign w:val="bottom"/>
          </w:tcPr>
          <w:p w:rsidR="00B87444" w:rsidRPr="00E8422D" w:rsidRDefault="00B87444" w:rsidP="00B87444">
            <w:pPr>
              <w:pStyle w:val="TableCell"/>
              <w:rPr>
                <w:sz w:val="24"/>
                <w:lang w:val="en-GB" w:eastAsia="en-GB"/>
              </w:rPr>
            </w:pPr>
            <w:r>
              <w:rPr>
                <w:sz w:val="24"/>
                <w:lang w:val="en-GB" w:eastAsia="en-GB"/>
              </w:rPr>
              <w:t>(1,428)</w:t>
            </w:r>
          </w:p>
        </w:tc>
        <w:tc>
          <w:tcPr>
            <w:tcW w:w="1368"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(9,235)</w:t>
            </w:r>
          </w:p>
        </w:tc>
      </w:tr>
      <w:tr w:rsidR="00B87444" w:rsidRPr="00A8372F" w:rsidTr="000C6890">
        <w:tc>
          <w:tcPr>
            <w:tcW w:w="8856" w:type="dxa"/>
            <w:gridSpan w:val="4"/>
            <w:shd w:val="clear" w:color="auto" w:fill="auto"/>
            <w:vAlign w:val="bottom"/>
          </w:tcPr>
          <w:p w:rsidR="00B87444" w:rsidRPr="00E8422D" w:rsidRDefault="00B87444" w:rsidP="00B87444">
            <w:pPr>
              <w:pStyle w:val="TableCell"/>
              <w:rPr>
                <w:sz w:val="24"/>
                <w:lang w:val="en-GB" w:eastAsia="en-GB"/>
              </w:rPr>
            </w:pPr>
          </w:p>
        </w:tc>
      </w:tr>
      <w:tr w:rsidR="00B87444" w:rsidRPr="00A8372F" w:rsidTr="000C6890">
        <w:tc>
          <w:tcPr>
            <w:tcW w:w="4968" w:type="dxa"/>
            <w:shd w:val="clear" w:color="auto" w:fill="auto"/>
            <w:vAlign w:val="bottom"/>
          </w:tcPr>
          <w:p w:rsidR="00B87444" w:rsidRPr="00E8422D" w:rsidRDefault="00B87444" w:rsidP="00B87444">
            <w:pPr>
              <w:pStyle w:val="TableRowHead"/>
              <w:rPr>
                <w:rFonts w:ascii="Gill Sans" w:hAnsi="Gill Sans"/>
                <w:sz w:val="24"/>
                <w:lang w:val="en-GB" w:eastAsia="en-GB"/>
              </w:rPr>
            </w:pPr>
            <w:r>
              <w:rPr>
                <w:rFonts w:ascii="Gill Sans" w:hAnsi="Gill Sans"/>
                <w:sz w:val="24"/>
                <w:lang w:val="en-GB" w:eastAsia="en-GB"/>
              </w:rPr>
              <w:t>Increase / (</w:t>
            </w:r>
            <w:r w:rsidRPr="00E8422D">
              <w:rPr>
                <w:rFonts w:ascii="Gill Sans" w:hAnsi="Gill Sans"/>
                <w:sz w:val="24"/>
                <w:lang w:val="en-GB" w:eastAsia="en-GB"/>
              </w:rPr>
              <w:t>Decrease</w:t>
            </w:r>
            <w:r>
              <w:rPr>
                <w:rFonts w:ascii="Gill Sans" w:hAnsi="Gill Sans"/>
                <w:sz w:val="24"/>
                <w:lang w:val="en-GB" w:eastAsia="en-GB"/>
              </w:rPr>
              <w:t>)</w:t>
            </w:r>
            <w:r w:rsidRPr="00E8422D">
              <w:rPr>
                <w:rFonts w:ascii="Gill Sans" w:hAnsi="Gill Sans"/>
                <w:sz w:val="24"/>
                <w:lang w:val="en-GB" w:eastAsia="en-GB"/>
              </w:rPr>
              <w:t xml:space="preserve"> In Cash At Bank And In Hand</w:t>
            </w:r>
          </w:p>
        </w:tc>
        <w:tc>
          <w:tcPr>
            <w:tcW w:w="1260" w:type="dxa"/>
            <w:shd w:val="clear" w:color="auto" w:fill="auto"/>
            <w:vAlign w:val="bottom"/>
          </w:tcPr>
          <w:p w:rsidR="00B87444" w:rsidRPr="00E8422D" w:rsidRDefault="00B87444" w:rsidP="00B87444">
            <w:pPr>
              <w:pStyle w:val="TableCell"/>
              <w:rPr>
                <w:sz w:val="24"/>
                <w:lang w:val="en-GB" w:eastAsia="en-GB"/>
              </w:rPr>
            </w:pPr>
          </w:p>
        </w:tc>
        <w:tc>
          <w:tcPr>
            <w:tcW w:w="1260" w:type="dxa"/>
            <w:shd w:val="clear" w:color="auto" w:fill="auto"/>
            <w:vAlign w:val="bottom"/>
          </w:tcPr>
          <w:p w:rsidR="00B87444" w:rsidRPr="00E8422D" w:rsidRDefault="00B87444" w:rsidP="00B87444">
            <w:pPr>
              <w:pStyle w:val="TableCell"/>
              <w:rPr>
                <w:sz w:val="24"/>
                <w:lang w:val="en-GB" w:eastAsia="en-GB"/>
              </w:rPr>
            </w:pPr>
            <w:r>
              <w:rPr>
                <w:sz w:val="24"/>
                <w:lang w:val="en-GB" w:eastAsia="en-GB"/>
              </w:rPr>
              <w:t>8,246</w:t>
            </w:r>
          </w:p>
        </w:tc>
        <w:tc>
          <w:tcPr>
            <w:tcW w:w="1368" w:type="dxa"/>
            <w:shd w:val="clear" w:color="auto" w:fill="auto"/>
            <w:vAlign w:val="bottom"/>
          </w:tcPr>
          <w:p w:rsidR="00B87444" w:rsidRPr="00E8422D" w:rsidRDefault="00B87444" w:rsidP="00B87444">
            <w:pPr>
              <w:pStyle w:val="TableCell"/>
              <w:rPr>
                <w:sz w:val="24"/>
                <w:lang w:val="en-GB" w:eastAsia="en-GB"/>
              </w:rPr>
            </w:pPr>
            <w:r w:rsidRPr="00E8422D">
              <w:rPr>
                <w:sz w:val="24"/>
                <w:lang w:val="en-GB" w:eastAsia="en-GB"/>
              </w:rPr>
              <w:t>(187)</w:t>
            </w:r>
          </w:p>
        </w:tc>
      </w:tr>
    </w:tbl>
    <w:p w:rsidR="00B87444" w:rsidRDefault="00B87444" w:rsidP="00B87444">
      <w:pPr>
        <w:rPr>
          <w:lang w:val="en-GB" w:eastAsia="en-GB"/>
        </w:rPr>
      </w:pPr>
      <w:r w:rsidRPr="00A8372F">
        <w:rPr>
          <w:lang w:val="en-GB" w:eastAsia="en-GB"/>
        </w:rPr>
        <w:t>The Statement of Accounting Policies, the Cash Flow Statem</w:t>
      </w:r>
      <w:r>
        <w:rPr>
          <w:lang w:val="en-GB" w:eastAsia="en-GB"/>
        </w:rPr>
        <w:t>ent and Notes 1 to 16 form part of t</w:t>
      </w:r>
      <w:r w:rsidRPr="00A8372F">
        <w:rPr>
          <w:lang w:val="en-GB" w:eastAsia="en-GB"/>
        </w:rPr>
        <w:t>hese Financial Statements.</w:t>
      </w:r>
    </w:p>
    <w:p w:rsidR="005B315D" w:rsidRPr="008B2354" w:rsidRDefault="005B315D" w:rsidP="005B315D">
      <w:pPr>
        <w:spacing w:after="0"/>
      </w:pPr>
      <w:bookmarkStart w:id="44" w:name="_Toc335836393"/>
      <w:bookmarkStart w:id="45" w:name="_Toc335983439"/>
      <w:r>
        <w:t>Signed:</w:t>
      </w:r>
      <w:r>
        <w:tab/>
      </w:r>
      <w:r w:rsidRPr="008B2354">
        <w:t>Peter McKevitt</w:t>
      </w:r>
      <w:r>
        <w:t xml:space="preserve"> (</w:t>
      </w:r>
      <w:r w:rsidRPr="008B2354">
        <w:t>Chairperson</w:t>
      </w:r>
      <w:r>
        <w:t>)</w:t>
      </w:r>
      <w:r>
        <w:br/>
        <w:t>Signed:</w:t>
      </w:r>
      <w:r>
        <w:tab/>
      </w:r>
      <w:r w:rsidRPr="008B2354">
        <w:t>Siobhan Barron</w:t>
      </w:r>
      <w:r>
        <w:t xml:space="preserve"> (</w:t>
      </w:r>
      <w:r w:rsidRPr="008B2354">
        <w:t>Director</w:t>
      </w:r>
      <w:r>
        <w:t>)</w:t>
      </w:r>
      <w:r>
        <w:br/>
        <w:t xml:space="preserve">Signed: </w:t>
      </w:r>
      <w:r>
        <w:tab/>
        <w:t>Frank Cuneen (Authority Member)</w:t>
      </w:r>
    </w:p>
    <w:p w:rsidR="005B315D" w:rsidRDefault="005B315D" w:rsidP="005B315D">
      <w:r w:rsidRPr="008B2354">
        <w:t>Date</w:t>
      </w:r>
      <w:r>
        <w:t>:</w:t>
      </w:r>
      <w:r>
        <w:tab/>
      </w:r>
      <w:r>
        <w:tab/>
        <w:t>14/8/13</w:t>
      </w:r>
    </w:p>
    <w:p w:rsidR="00B87444" w:rsidRDefault="00B87444" w:rsidP="00E41BEB">
      <w:pPr>
        <w:pStyle w:val="Heading2"/>
        <w:rPr>
          <w:lang w:val="en-GB" w:eastAsia="en-GB"/>
        </w:rPr>
      </w:pPr>
      <w:r>
        <w:rPr>
          <w:lang w:val="en-GB" w:eastAsia="en-GB"/>
        </w:rPr>
        <w:br w:type="page"/>
      </w:r>
      <w:bookmarkStart w:id="46" w:name="_Toc335986608"/>
      <w:r w:rsidRPr="003C04D3">
        <w:rPr>
          <w:lang w:val="en-GB" w:eastAsia="en-GB"/>
        </w:rPr>
        <w:t>Notes to Financial Statements for the year ended 31st December, 201</w:t>
      </w:r>
      <w:bookmarkEnd w:id="44"/>
      <w:bookmarkEnd w:id="45"/>
      <w:bookmarkEnd w:id="46"/>
      <w:r>
        <w:rPr>
          <w:lang w:val="en-GB" w:eastAsia="en-GB"/>
        </w:rPr>
        <w:t>2</w:t>
      </w:r>
    </w:p>
    <w:p w:rsidR="00B87444" w:rsidRDefault="00B87444" w:rsidP="00E41BEB">
      <w:pPr>
        <w:pStyle w:val="Heading3"/>
        <w:rPr>
          <w:lang w:val="en-GB" w:eastAsia="en-GB"/>
        </w:rPr>
      </w:pPr>
      <w:bookmarkStart w:id="47" w:name="_Toc335836394"/>
      <w:r w:rsidRPr="003C04D3">
        <w:rPr>
          <w:lang w:val="en-GB" w:eastAsia="en-GB"/>
        </w:rPr>
        <w:t xml:space="preserve">1. </w:t>
      </w:r>
      <w:r w:rsidRPr="00071E0A">
        <w:rPr>
          <w:lang w:val="en-GB" w:eastAsia="en-GB"/>
        </w:rPr>
        <w:t>These Financial Statements cover the year ended 31</w:t>
      </w:r>
      <w:r w:rsidRPr="00071E0A">
        <w:rPr>
          <w:vertAlign w:val="superscript"/>
          <w:lang w:val="en-GB" w:eastAsia="en-GB"/>
        </w:rPr>
        <w:t>st</w:t>
      </w:r>
      <w:r w:rsidRPr="00071E0A">
        <w:rPr>
          <w:lang w:val="en-GB" w:eastAsia="en-GB"/>
        </w:rPr>
        <w:t xml:space="preserve"> December 201</w:t>
      </w:r>
      <w:bookmarkEnd w:id="47"/>
      <w:r w:rsidRPr="00071E0A">
        <w:rPr>
          <w:lang w:val="en-GB" w:eastAsia="en-GB"/>
        </w:rPr>
        <w:t>2</w:t>
      </w:r>
    </w:p>
    <w:p w:rsidR="00B87444" w:rsidRPr="003C04D3" w:rsidRDefault="00B87444" w:rsidP="00E41BEB">
      <w:pPr>
        <w:pStyle w:val="Heading3"/>
        <w:rPr>
          <w:lang w:val="en-GB" w:eastAsia="en-GB"/>
        </w:rPr>
      </w:pPr>
      <w:bookmarkStart w:id="48" w:name="_Toc335836395"/>
      <w:r w:rsidRPr="003C04D3">
        <w:rPr>
          <w:lang w:val="en-GB" w:eastAsia="en-GB"/>
        </w:rPr>
        <w:t>2. I</w:t>
      </w:r>
      <w:r>
        <w:rPr>
          <w:lang w:val="en-GB" w:eastAsia="en-GB"/>
        </w:rPr>
        <w:t>ncome</w:t>
      </w:r>
      <w:bookmarkEnd w:id="48"/>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5451"/>
        <w:gridCol w:w="1452"/>
        <w:gridCol w:w="1250"/>
      </w:tblGrid>
      <w:tr w:rsidR="00B87444" w:rsidRPr="003C04D3" w:rsidTr="000C6890">
        <w:trPr>
          <w:tblHeader/>
        </w:trPr>
        <w:tc>
          <w:tcPr>
            <w:tcW w:w="5894" w:type="dxa"/>
            <w:shd w:val="clear" w:color="auto" w:fill="auto"/>
            <w:vAlign w:val="bottom"/>
          </w:tcPr>
          <w:p w:rsidR="00B87444" w:rsidRPr="003C04D3" w:rsidRDefault="00B87444" w:rsidP="00B87444">
            <w:pPr>
              <w:pStyle w:val="TableRowHead"/>
              <w:rPr>
                <w:rFonts w:ascii="Gill Sans" w:hAnsi="Gill Sans"/>
                <w:sz w:val="24"/>
                <w:lang w:val="en-GB" w:eastAsia="en-GB"/>
              </w:rPr>
            </w:pPr>
          </w:p>
        </w:tc>
        <w:tc>
          <w:tcPr>
            <w:tcW w:w="1486" w:type="dxa"/>
            <w:shd w:val="clear" w:color="auto" w:fill="auto"/>
            <w:vAlign w:val="bottom"/>
          </w:tcPr>
          <w:p w:rsidR="00B87444" w:rsidRPr="003C04D3" w:rsidRDefault="00B87444" w:rsidP="00B87444">
            <w:pPr>
              <w:pStyle w:val="TableHead"/>
              <w:jc w:val="right"/>
              <w:rPr>
                <w:lang w:val="en-GB" w:eastAsia="en-GB"/>
              </w:rPr>
            </w:pPr>
            <w:r>
              <w:rPr>
                <w:lang w:val="en-GB" w:eastAsia="en-GB"/>
              </w:rPr>
              <w:t>2012</w:t>
            </w:r>
          </w:p>
        </w:tc>
        <w:tc>
          <w:tcPr>
            <w:tcW w:w="1260" w:type="dxa"/>
            <w:shd w:val="clear" w:color="auto" w:fill="auto"/>
            <w:vAlign w:val="bottom"/>
          </w:tcPr>
          <w:p w:rsidR="00B87444" w:rsidRPr="003C04D3" w:rsidRDefault="00B87444" w:rsidP="00B87444">
            <w:pPr>
              <w:pStyle w:val="TableHead"/>
              <w:jc w:val="right"/>
              <w:rPr>
                <w:lang w:val="en-GB" w:eastAsia="en-GB"/>
              </w:rPr>
            </w:pPr>
            <w:r>
              <w:rPr>
                <w:lang w:val="en-GB" w:eastAsia="en-GB"/>
              </w:rPr>
              <w:t>2011</w:t>
            </w:r>
          </w:p>
        </w:tc>
      </w:tr>
      <w:tr w:rsidR="00B87444" w:rsidRPr="003C04D3" w:rsidTr="000C6890">
        <w:tc>
          <w:tcPr>
            <w:tcW w:w="5894" w:type="dxa"/>
            <w:shd w:val="clear" w:color="auto" w:fill="auto"/>
            <w:vAlign w:val="bottom"/>
          </w:tcPr>
          <w:p w:rsidR="00B87444" w:rsidRPr="003C04D3" w:rsidRDefault="00B87444" w:rsidP="00B87444">
            <w:pPr>
              <w:pStyle w:val="TableRowHead"/>
              <w:rPr>
                <w:rFonts w:ascii="Gill Sans" w:hAnsi="Gill Sans"/>
                <w:bCs/>
                <w:sz w:val="24"/>
                <w:lang w:val="en-GB" w:eastAsia="en-GB"/>
              </w:rPr>
            </w:pPr>
          </w:p>
        </w:tc>
        <w:tc>
          <w:tcPr>
            <w:tcW w:w="1486" w:type="dxa"/>
            <w:shd w:val="clear" w:color="auto" w:fill="auto"/>
            <w:vAlign w:val="bottom"/>
          </w:tcPr>
          <w:p w:rsidR="00B87444" w:rsidRPr="003C04D3" w:rsidRDefault="00B87444" w:rsidP="0053638B">
            <w:pPr>
              <w:pStyle w:val="TableCell"/>
              <w:rPr>
                <w:lang w:val="en-GB" w:eastAsia="en-GB"/>
              </w:rPr>
            </w:pPr>
            <w:r w:rsidRPr="003C04D3">
              <w:rPr>
                <w:lang w:val="en-GB" w:eastAsia="en-GB"/>
              </w:rPr>
              <w:t>€</w:t>
            </w:r>
          </w:p>
        </w:tc>
        <w:tc>
          <w:tcPr>
            <w:tcW w:w="1260" w:type="dxa"/>
            <w:shd w:val="clear" w:color="auto" w:fill="auto"/>
            <w:vAlign w:val="bottom"/>
          </w:tcPr>
          <w:p w:rsidR="00B87444" w:rsidRPr="003C04D3" w:rsidRDefault="00B87444" w:rsidP="0053638B">
            <w:pPr>
              <w:pStyle w:val="TableCell"/>
              <w:rPr>
                <w:lang w:val="en-GB" w:eastAsia="en-GB"/>
              </w:rPr>
            </w:pPr>
            <w:r w:rsidRPr="003C04D3">
              <w:rPr>
                <w:lang w:val="en-GB" w:eastAsia="en-GB"/>
              </w:rPr>
              <w:t>€</w:t>
            </w:r>
          </w:p>
        </w:tc>
      </w:tr>
      <w:tr w:rsidR="00B87444" w:rsidRPr="003C04D3" w:rsidTr="000C6890">
        <w:tc>
          <w:tcPr>
            <w:tcW w:w="8640" w:type="dxa"/>
            <w:gridSpan w:val="3"/>
            <w:shd w:val="clear" w:color="auto" w:fill="auto"/>
            <w:vAlign w:val="bottom"/>
          </w:tcPr>
          <w:p w:rsidR="00B87444" w:rsidRPr="003C04D3" w:rsidRDefault="00B87444" w:rsidP="00B87444">
            <w:pPr>
              <w:spacing w:after="0"/>
              <w:jc w:val="center"/>
              <w:rPr>
                <w:rFonts w:cs="Arial"/>
                <w:lang w:val="en-GB" w:eastAsia="en-GB"/>
              </w:rPr>
            </w:pPr>
            <w:r w:rsidRPr="003C04D3">
              <w:rPr>
                <w:b/>
                <w:lang w:val="en-GB" w:eastAsia="en-GB"/>
              </w:rPr>
              <w:t>2 (a) Grant Income</w:t>
            </w:r>
          </w:p>
        </w:tc>
      </w:tr>
      <w:tr w:rsidR="00B87444" w:rsidRPr="003C04D3" w:rsidTr="000C6890">
        <w:tc>
          <w:tcPr>
            <w:tcW w:w="5894" w:type="dxa"/>
            <w:shd w:val="clear" w:color="auto" w:fill="auto"/>
            <w:vAlign w:val="bottom"/>
          </w:tcPr>
          <w:p w:rsidR="00B87444" w:rsidRPr="006B750E" w:rsidRDefault="00B87444" w:rsidP="00B87444">
            <w:pPr>
              <w:pStyle w:val="TableRowHead"/>
              <w:rPr>
                <w:rFonts w:ascii="Gill Sans" w:hAnsi="Gill Sans"/>
                <w:sz w:val="24"/>
                <w:lang w:val="en-GB" w:eastAsia="en-GB"/>
              </w:rPr>
            </w:pPr>
            <w:r w:rsidRPr="003C04D3">
              <w:rPr>
                <w:rFonts w:ascii="Gill Sans" w:hAnsi="Gill Sans"/>
                <w:sz w:val="24"/>
                <w:lang w:val="en-GB" w:eastAsia="en-GB"/>
              </w:rPr>
              <w:t xml:space="preserve">Total Amount paid by Department of Justice and Equality on behalf of </w:t>
            </w:r>
            <w:r w:rsidR="006B750E" w:rsidRPr="006B750E">
              <w:rPr>
                <w:rFonts w:ascii="Gill Sans" w:hAnsi="Gill Sans"/>
                <w:sz w:val="24"/>
                <w:lang w:val="en-GB" w:eastAsia="en-GB"/>
              </w:rPr>
              <w:t>National Disability Authority</w:t>
            </w:r>
          </w:p>
        </w:tc>
        <w:tc>
          <w:tcPr>
            <w:tcW w:w="1486"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3,</w:t>
            </w:r>
            <w:r>
              <w:rPr>
                <w:sz w:val="24"/>
                <w:lang w:val="en-GB" w:eastAsia="en-GB"/>
              </w:rPr>
              <w:t>770</w:t>
            </w:r>
            <w:r w:rsidRPr="003C04D3">
              <w:rPr>
                <w:sz w:val="24"/>
                <w:lang w:val="en-GB" w:eastAsia="en-GB"/>
              </w:rPr>
              <w:t>,</w:t>
            </w:r>
            <w:r>
              <w:rPr>
                <w:sz w:val="24"/>
                <w:lang w:val="en-GB" w:eastAsia="en-GB"/>
              </w:rPr>
              <w:t>470</w:t>
            </w:r>
            <w:r w:rsidRPr="003C04D3">
              <w:rPr>
                <w:sz w:val="24"/>
                <w:lang w:val="en-GB" w:eastAsia="en-GB"/>
              </w:rPr>
              <w:t xml:space="preserve"> </w:t>
            </w:r>
          </w:p>
        </w:tc>
        <w:tc>
          <w:tcPr>
            <w:tcW w:w="1260"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 xml:space="preserve">3,334,862 </w:t>
            </w:r>
          </w:p>
        </w:tc>
      </w:tr>
      <w:tr w:rsidR="00B87444" w:rsidRPr="003C04D3" w:rsidTr="000C6890">
        <w:tc>
          <w:tcPr>
            <w:tcW w:w="5894" w:type="dxa"/>
            <w:shd w:val="clear" w:color="auto" w:fill="auto"/>
            <w:vAlign w:val="bottom"/>
          </w:tcPr>
          <w:p w:rsidR="00B87444" w:rsidRPr="003C04D3" w:rsidRDefault="00B87444" w:rsidP="00B87444">
            <w:pPr>
              <w:pStyle w:val="TableRowHead"/>
              <w:rPr>
                <w:rFonts w:ascii="Gill Sans" w:hAnsi="Gill Sans"/>
                <w:sz w:val="24"/>
                <w:lang w:val="en-GB" w:eastAsia="en-GB"/>
              </w:rPr>
            </w:pPr>
            <w:r w:rsidRPr="003C04D3">
              <w:rPr>
                <w:rFonts w:ascii="Gill Sans" w:hAnsi="Gill Sans"/>
                <w:sz w:val="24"/>
                <w:lang w:val="en-GB" w:eastAsia="en-GB"/>
              </w:rPr>
              <w:t>Total Amount paid by Department of Community, Equality and Gaeltach</w:t>
            </w:r>
            <w:r>
              <w:rPr>
                <w:rFonts w:ascii="Gill Sans" w:hAnsi="Gill Sans"/>
                <w:sz w:val="24"/>
                <w:lang w:val="en-GB" w:eastAsia="en-GB"/>
              </w:rPr>
              <w:t>t</w:t>
            </w:r>
            <w:r w:rsidRPr="003C04D3">
              <w:rPr>
                <w:rFonts w:ascii="Gill Sans" w:hAnsi="Gill Sans"/>
                <w:sz w:val="24"/>
                <w:lang w:val="en-GB" w:eastAsia="en-GB"/>
              </w:rPr>
              <w:t xml:space="preserve"> Affairs on behalf of</w:t>
            </w:r>
            <w:r w:rsidR="006B750E">
              <w:rPr>
                <w:rFonts w:ascii="Gill Sans" w:hAnsi="Gill Sans"/>
                <w:sz w:val="24"/>
                <w:lang w:val="en-GB" w:eastAsia="en-GB"/>
              </w:rPr>
              <w:t xml:space="preserve"> </w:t>
            </w:r>
            <w:r w:rsidR="006B750E" w:rsidRPr="006B750E">
              <w:rPr>
                <w:rFonts w:ascii="Gill Sans" w:hAnsi="Gill Sans"/>
                <w:sz w:val="24"/>
                <w:lang w:val="en-GB" w:eastAsia="en-GB"/>
              </w:rPr>
              <w:t>National Disability Authority</w:t>
            </w:r>
          </w:p>
        </w:tc>
        <w:tc>
          <w:tcPr>
            <w:tcW w:w="1486" w:type="dxa"/>
            <w:shd w:val="clear" w:color="auto" w:fill="auto"/>
            <w:vAlign w:val="bottom"/>
          </w:tcPr>
          <w:p w:rsidR="00B87444" w:rsidRPr="003C04D3" w:rsidRDefault="00B87444" w:rsidP="00B87444">
            <w:pPr>
              <w:pStyle w:val="TableCell"/>
              <w:rPr>
                <w:sz w:val="24"/>
                <w:lang w:val="en-GB" w:eastAsia="en-GB"/>
              </w:rPr>
            </w:pPr>
            <w:r>
              <w:rPr>
                <w:sz w:val="24"/>
                <w:lang w:val="en-GB" w:eastAsia="en-GB"/>
              </w:rPr>
              <w:t>0</w:t>
            </w:r>
            <w:r w:rsidRPr="003C04D3">
              <w:rPr>
                <w:sz w:val="24"/>
                <w:lang w:val="en-GB" w:eastAsia="en-GB"/>
              </w:rPr>
              <w:t xml:space="preserve"> </w:t>
            </w:r>
          </w:p>
        </w:tc>
        <w:tc>
          <w:tcPr>
            <w:tcW w:w="1260"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 xml:space="preserve">835,520 </w:t>
            </w:r>
          </w:p>
        </w:tc>
      </w:tr>
      <w:tr w:rsidR="00B87444" w:rsidRPr="003C04D3" w:rsidTr="000C6890">
        <w:tc>
          <w:tcPr>
            <w:tcW w:w="5894" w:type="dxa"/>
            <w:shd w:val="clear" w:color="auto" w:fill="auto"/>
            <w:vAlign w:val="bottom"/>
          </w:tcPr>
          <w:p w:rsidR="00B87444" w:rsidRPr="003C04D3" w:rsidRDefault="00B87444" w:rsidP="00B87444">
            <w:pPr>
              <w:pStyle w:val="TableRowHead"/>
              <w:rPr>
                <w:rFonts w:ascii="Gill Sans" w:hAnsi="Gill Sans"/>
                <w:sz w:val="24"/>
                <w:lang w:val="en-GB" w:eastAsia="en-GB"/>
              </w:rPr>
            </w:pPr>
          </w:p>
        </w:tc>
        <w:tc>
          <w:tcPr>
            <w:tcW w:w="1486" w:type="dxa"/>
            <w:shd w:val="clear" w:color="auto" w:fill="auto"/>
            <w:vAlign w:val="bottom"/>
          </w:tcPr>
          <w:p w:rsidR="00B87444" w:rsidRPr="003C04D3" w:rsidRDefault="00B87444" w:rsidP="00B87444">
            <w:pPr>
              <w:pStyle w:val="TableCell"/>
              <w:rPr>
                <w:sz w:val="24"/>
                <w:lang w:val="en-GB" w:eastAsia="en-GB"/>
              </w:rPr>
            </w:pPr>
            <w:r>
              <w:rPr>
                <w:sz w:val="24"/>
                <w:lang w:val="en-GB" w:eastAsia="en-GB"/>
              </w:rPr>
              <w:t>3,770</w:t>
            </w:r>
            <w:r w:rsidRPr="003C04D3">
              <w:rPr>
                <w:sz w:val="24"/>
                <w:lang w:val="en-GB" w:eastAsia="en-GB"/>
              </w:rPr>
              <w:t>,</w:t>
            </w:r>
            <w:r>
              <w:rPr>
                <w:sz w:val="24"/>
                <w:lang w:val="en-GB" w:eastAsia="en-GB"/>
              </w:rPr>
              <w:t>470</w:t>
            </w:r>
            <w:r w:rsidRPr="003C04D3">
              <w:rPr>
                <w:sz w:val="24"/>
                <w:lang w:val="en-GB" w:eastAsia="en-GB"/>
              </w:rPr>
              <w:t xml:space="preserve"> </w:t>
            </w:r>
          </w:p>
        </w:tc>
        <w:tc>
          <w:tcPr>
            <w:tcW w:w="1260"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4,170,</w:t>
            </w:r>
            <w:r>
              <w:rPr>
                <w:sz w:val="24"/>
                <w:lang w:val="en-GB" w:eastAsia="en-GB"/>
              </w:rPr>
              <w:t>382</w:t>
            </w:r>
            <w:r w:rsidRPr="003C04D3">
              <w:rPr>
                <w:sz w:val="24"/>
                <w:lang w:val="en-GB" w:eastAsia="en-GB"/>
              </w:rPr>
              <w:t xml:space="preserve"> </w:t>
            </w:r>
          </w:p>
        </w:tc>
      </w:tr>
      <w:tr w:rsidR="00B87444" w:rsidRPr="003C04D3" w:rsidTr="000C6890">
        <w:tc>
          <w:tcPr>
            <w:tcW w:w="8640" w:type="dxa"/>
            <w:gridSpan w:val="3"/>
            <w:shd w:val="clear" w:color="auto" w:fill="auto"/>
            <w:vAlign w:val="bottom"/>
          </w:tcPr>
          <w:p w:rsidR="00B87444" w:rsidRPr="003C04D3" w:rsidRDefault="00B87444" w:rsidP="00B87444">
            <w:pPr>
              <w:pStyle w:val="TableCell"/>
              <w:jc w:val="center"/>
              <w:rPr>
                <w:sz w:val="24"/>
                <w:lang w:val="en-GB" w:eastAsia="en-GB"/>
              </w:rPr>
            </w:pPr>
            <w:r w:rsidRPr="003C04D3">
              <w:rPr>
                <w:b/>
                <w:sz w:val="24"/>
                <w:lang w:val="en-GB" w:eastAsia="en-GB"/>
              </w:rPr>
              <w:t>2 (b) Other Income</w:t>
            </w:r>
          </w:p>
        </w:tc>
      </w:tr>
      <w:tr w:rsidR="00B87444" w:rsidRPr="003C04D3" w:rsidTr="000C6890">
        <w:tc>
          <w:tcPr>
            <w:tcW w:w="5894" w:type="dxa"/>
            <w:shd w:val="clear" w:color="auto" w:fill="auto"/>
            <w:vAlign w:val="bottom"/>
          </w:tcPr>
          <w:p w:rsidR="00B87444" w:rsidRPr="003C04D3" w:rsidRDefault="00B87444" w:rsidP="00B87444">
            <w:pPr>
              <w:pStyle w:val="TableRowHead"/>
              <w:rPr>
                <w:rFonts w:ascii="Gill Sans" w:hAnsi="Gill Sans"/>
                <w:sz w:val="24"/>
                <w:lang w:val="en-GB" w:eastAsia="en-GB"/>
              </w:rPr>
            </w:pPr>
            <w:r w:rsidRPr="003C04D3">
              <w:rPr>
                <w:rFonts w:ascii="Gill Sans" w:hAnsi="Gill Sans"/>
                <w:sz w:val="24"/>
                <w:lang w:val="en-GB" w:eastAsia="en-GB"/>
              </w:rPr>
              <w:t>Bank Interest</w:t>
            </w:r>
          </w:p>
        </w:tc>
        <w:tc>
          <w:tcPr>
            <w:tcW w:w="1486"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 xml:space="preserve">0 </w:t>
            </w:r>
          </w:p>
        </w:tc>
        <w:tc>
          <w:tcPr>
            <w:tcW w:w="1260"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 xml:space="preserve">0 </w:t>
            </w:r>
          </w:p>
        </w:tc>
      </w:tr>
      <w:tr w:rsidR="00B87444" w:rsidRPr="003C04D3" w:rsidTr="000C6890">
        <w:tc>
          <w:tcPr>
            <w:tcW w:w="5894" w:type="dxa"/>
            <w:shd w:val="clear" w:color="auto" w:fill="auto"/>
            <w:vAlign w:val="bottom"/>
          </w:tcPr>
          <w:p w:rsidR="00B87444" w:rsidRPr="003C04D3" w:rsidRDefault="00B87444" w:rsidP="00B87444">
            <w:pPr>
              <w:pStyle w:val="TableRowHead"/>
              <w:rPr>
                <w:rFonts w:ascii="Gill Sans" w:hAnsi="Gill Sans"/>
                <w:sz w:val="24"/>
                <w:lang w:val="en-GB" w:eastAsia="en-GB"/>
              </w:rPr>
            </w:pPr>
            <w:r w:rsidRPr="003C04D3">
              <w:rPr>
                <w:rFonts w:ascii="Gill Sans" w:hAnsi="Gill Sans"/>
                <w:sz w:val="24"/>
                <w:lang w:val="en-GB" w:eastAsia="en-GB"/>
              </w:rPr>
              <w:t>D</w:t>
            </w:r>
            <w:r>
              <w:rPr>
                <w:rFonts w:ascii="Gill Sans" w:hAnsi="Gill Sans"/>
                <w:sz w:val="24"/>
                <w:lang w:val="en-GB" w:eastAsia="en-GB"/>
              </w:rPr>
              <w:t>epartment of Social and Family Affairs</w:t>
            </w:r>
            <w:r w:rsidRPr="003C04D3">
              <w:rPr>
                <w:rFonts w:ascii="Gill Sans" w:hAnsi="Gill Sans"/>
                <w:sz w:val="24"/>
                <w:lang w:val="en-GB" w:eastAsia="en-GB"/>
              </w:rPr>
              <w:t xml:space="preserve"> Receipts</w:t>
            </w:r>
          </w:p>
        </w:tc>
        <w:tc>
          <w:tcPr>
            <w:tcW w:w="1486" w:type="dxa"/>
            <w:shd w:val="clear" w:color="auto" w:fill="auto"/>
            <w:vAlign w:val="bottom"/>
          </w:tcPr>
          <w:p w:rsidR="00B87444" w:rsidRPr="003C04D3" w:rsidRDefault="00B87444" w:rsidP="00B87444">
            <w:pPr>
              <w:pStyle w:val="TableCell"/>
              <w:rPr>
                <w:sz w:val="24"/>
                <w:lang w:val="en-GB" w:eastAsia="en-GB"/>
              </w:rPr>
            </w:pPr>
            <w:r>
              <w:rPr>
                <w:sz w:val="24"/>
                <w:lang w:val="en-GB" w:eastAsia="en-GB"/>
              </w:rPr>
              <w:t>7</w:t>
            </w:r>
            <w:r w:rsidRPr="003C04D3">
              <w:rPr>
                <w:sz w:val="24"/>
                <w:lang w:val="en-GB" w:eastAsia="en-GB"/>
              </w:rPr>
              <w:t>,</w:t>
            </w:r>
            <w:r>
              <w:rPr>
                <w:sz w:val="24"/>
                <w:lang w:val="en-GB" w:eastAsia="en-GB"/>
              </w:rPr>
              <w:t>037</w:t>
            </w:r>
            <w:r w:rsidRPr="003C04D3">
              <w:rPr>
                <w:sz w:val="24"/>
                <w:lang w:val="en-GB" w:eastAsia="en-GB"/>
              </w:rPr>
              <w:t xml:space="preserve"> </w:t>
            </w:r>
          </w:p>
        </w:tc>
        <w:tc>
          <w:tcPr>
            <w:tcW w:w="1260"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 xml:space="preserve">18,440 </w:t>
            </w:r>
          </w:p>
        </w:tc>
      </w:tr>
      <w:tr w:rsidR="00B87444" w:rsidRPr="003C04D3" w:rsidTr="000C6890">
        <w:tc>
          <w:tcPr>
            <w:tcW w:w="5894" w:type="dxa"/>
            <w:shd w:val="clear" w:color="auto" w:fill="auto"/>
            <w:vAlign w:val="bottom"/>
          </w:tcPr>
          <w:p w:rsidR="00B87444" w:rsidRPr="003C04D3" w:rsidRDefault="00B87444" w:rsidP="00B87444">
            <w:pPr>
              <w:pStyle w:val="TableRowHead"/>
              <w:rPr>
                <w:rFonts w:ascii="Gill Sans" w:hAnsi="Gill Sans"/>
                <w:sz w:val="24"/>
                <w:lang w:val="en-GB" w:eastAsia="en-GB"/>
              </w:rPr>
            </w:pPr>
            <w:r w:rsidRPr="003C04D3">
              <w:rPr>
                <w:rFonts w:ascii="Gill Sans" w:hAnsi="Gill Sans"/>
                <w:sz w:val="24"/>
                <w:lang w:val="en-GB" w:eastAsia="en-GB"/>
              </w:rPr>
              <w:t>Sundry</w:t>
            </w:r>
          </w:p>
        </w:tc>
        <w:tc>
          <w:tcPr>
            <w:tcW w:w="1486" w:type="dxa"/>
            <w:shd w:val="clear" w:color="auto" w:fill="auto"/>
            <w:vAlign w:val="bottom"/>
          </w:tcPr>
          <w:p w:rsidR="00B87444" w:rsidRPr="003C04D3" w:rsidRDefault="00B87444" w:rsidP="00B87444">
            <w:pPr>
              <w:pStyle w:val="TableCell"/>
              <w:rPr>
                <w:sz w:val="24"/>
                <w:lang w:val="en-GB" w:eastAsia="en-GB"/>
              </w:rPr>
            </w:pPr>
            <w:r>
              <w:rPr>
                <w:sz w:val="24"/>
                <w:lang w:val="en-GB" w:eastAsia="en-GB"/>
              </w:rPr>
              <w:t>13,011</w:t>
            </w:r>
            <w:r w:rsidRPr="003C04D3">
              <w:rPr>
                <w:sz w:val="24"/>
                <w:lang w:val="en-GB" w:eastAsia="en-GB"/>
              </w:rPr>
              <w:t xml:space="preserve"> </w:t>
            </w:r>
          </w:p>
        </w:tc>
        <w:tc>
          <w:tcPr>
            <w:tcW w:w="1260"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 xml:space="preserve">430 </w:t>
            </w:r>
          </w:p>
        </w:tc>
      </w:tr>
      <w:tr w:rsidR="00B87444" w:rsidRPr="003C04D3" w:rsidTr="000C6890">
        <w:tc>
          <w:tcPr>
            <w:tcW w:w="5894" w:type="dxa"/>
            <w:shd w:val="clear" w:color="auto" w:fill="auto"/>
            <w:vAlign w:val="bottom"/>
          </w:tcPr>
          <w:p w:rsidR="00B87444" w:rsidRPr="003C04D3" w:rsidRDefault="00B87444" w:rsidP="00B87444">
            <w:pPr>
              <w:pStyle w:val="TableRowHead"/>
              <w:rPr>
                <w:rFonts w:ascii="Gill Sans" w:hAnsi="Gill Sans"/>
                <w:sz w:val="24"/>
                <w:lang w:val="en-GB" w:eastAsia="en-GB"/>
              </w:rPr>
            </w:pPr>
          </w:p>
        </w:tc>
        <w:tc>
          <w:tcPr>
            <w:tcW w:w="1486" w:type="dxa"/>
            <w:shd w:val="clear" w:color="auto" w:fill="auto"/>
            <w:vAlign w:val="bottom"/>
          </w:tcPr>
          <w:p w:rsidR="00B87444" w:rsidRPr="003C04D3" w:rsidRDefault="00B87444" w:rsidP="00B87444">
            <w:pPr>
              <w:pStyle w:val="TableCell"/>
              <w:rPr>
                <w:sz w:val="24"/>
                <w:lang w:val="en-GB" w:eastAsia="en-GB"/>
              </w:rPr>
            </w:pPr>
            <w:r>
              <w:rPr>
                <w:sz w:val="24"/>
                <w:lang w:val="en-GB" w:eastAsia="en-GB"/>
              </w:rPr>
              <w:t>20</w:t>
            </w:r>
            <w:r w:rsidRPr="003C04D3">
              <w:rPr>
                <w:sz w:val="24"/>
                <w:lang w:val="en-GB" w:eastAsia="en-GB"/>
              </w:rPr>
              <w:t>,</w:t>
            </w:r>
            <w:r>
              <w:rPr>
                <w:sz w:val="24"/>
                <w:lang w:val="en-GB" w:eastAsia="en-GB"/>
              </w:rPr>
              <w:t>048</w:t>
            </w:r>
            <w:r w:rsidRPr="003C04D3">
              <w:rPr>
                <w:sz w:val="24"/>
                <w:lang w:val="en-GB" w:eastAsia="en-GB"/>
              </w:rPr>
              <w:t xml:space="preserve"> </w:t>
            </w:r>
          </w:p>
        </w:tc>
        <w:tc>
          <w:tcPr>
            <w:tcW w:w="1260" w:type="dxa"/>
            <w:shd w:val="clear" w:color="auto" w:fill="auto"/>
            <w:vAlign w:val="bottom"/>
          </w:tcPr>
          <w:p w:rsidR="00B87444" w:rsidRPr="003C04D3" w:rsidRDefault="00B87444" w:rsidP="00B87444">
            <w:pPr>
              <w:pStyle w:val="TableCell"/>
              <w:rPr>
                <w:sz w:val="24"/>
                <w:lang w:val="en-GB" w:eastAsia="en-GB"/>
              </w:rPr>
            </w:pPr>
            <w:r w:rsidRPr="003C04D3">
              <w:rPr>
                <w:sz w:val="24"/>
                <w:lang w:val="en-GB" w:eastAsia="en-GB"/>
              </w:rPr>
              <w:t>18,</w:t>
            </w:r>
            <w:r>
              <w:rPr>
                <w:sz w:val="24"/>
                <w:lang w:val="en-GB" w:eastAsia="en-GB"/>
              </w:rPr>
              <w:t>870</w:t>
            </w:r>
            <w:r w:rsidRPr="003C04D3">
              <w:rPr>
                <w:sz w:val="24"/>
                <w:lang w:val="en-GB" w:eastAsia="en-GB"/>
              </w:rPr>
              <w:t xml:space="preserve"> </w:t>
            </w:r>
          </w:p>
        </w:tc>
      </w:tr>
    </w:tbl>
    <w:p w:rsidR="00B87444" w:rsidRDefault="00B87444" w:rsidP="00B87444">
      <w:pPr>
        <w:pStyle w:val="Heading2"/>
      </w:pPr>
      <w:bookmarkStart w:id="49" w:name="_Toc335836396"/>
    </w:p>
    <w:p w:rsidR="00B87444" w:rsidRDefault="00B87444" w:rsidP="00E41BEB">
      <w:pPr>
        <w:pStyle w:val="Heading3"/>
      </w:pPr>
      <w:r>
        <w:br w:type="page"/>
      </w:r>
      <w:r w:rsidRPr="00D12562">
        <w:t xml:space="preserve">3. </w:t>
      </w:r>
      <w:r>
        <w:t>Projects a</w:t>
      </w:r>
      <w:r w:rsidRPr="00D12562">
        <w:t>nd Commissioned Work</w:t>
      </w:r>
      <w:bookmarkEnd w:id="49"/>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590"/>
        <w:gridCol w:w="1366"/>
        <w:gridCol w:w="1197"/>
      </w:tblGrid>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bCs/>
                <w:lang w:val="en-GB" w:eastAsia="en-GB"/>
              </w:rPr>
            </w:pP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b/>
                <w:bCs/>
                <w:lang w:val="en-GB" w:eastAsia="en-GB"/>
              </w:rPr>
            </w:pPr>
            <w:r w:rsidRPr="002635EB">
              <w:rPr>
                <w:rFonts w:cs="Arial"/>
                <w:b/>
                <w:bCs/>
                <w:lang w:val="en-GB" w:eastAsia="en-GB"/>
              </w:rPr>
              <w:t>2012</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b/>
                <w:bCs/>
                <w:lang w:val="en-GB" w:eastAsia="en-GB"/>
              </w:rPr>
            </w:pPr>
            <w:r w:rsidRPr="002635EB">
              <w:rPr>
                <w:rFonts w:cs="Arial"/>
                <w:b/>
                <w:bCs/>
                <w:lang w:val="en-GB" w:eastAsia="en-GB"/>
              </w:rPr>
              <w:t>2011</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bCs/>
                <w:lang w:val="en-GB" w:eastAsia="en-GB"/>
              </w:rPr>
            </w:pP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53638B">
            <w:pPr>
              <w:pStyle w:val="TableCell"/>
              <w:rPr>
                <w:lang w:val="en-GB" w:eastAsia="en-GB"/>
              </w:rPr>
            </w:pPr>
            <w:r w:rsidRPr="002635EB">
              <w:rPr>
                <w:lang w:val="en-GB" w:eastAsia="en-GB"/>
              </w:rPr>
              <w:t>€</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53638B">
            <w:pPr>
              <w:pStyle w:val="TableCell"/>
              <w:rPr>
                <w:lang w:val="en-GB" w:eastAsia="en-GB"/>
              </w:rPr>
            </w:pPr>
            <w:r w:rsidRPr="002635EB">
              <w:rPr>
                <w:lang w:val="en-GB" w:eastAsia="en-GB"/>
              </w:rPr>
              <w:t>€</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Resource Allocation Feasibility Study</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38,647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25,227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National Disability Survey Analysis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35,613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Annual Conference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29,430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24,185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Irish Size Statistical guidance/datasets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28,557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56,187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Financial Resource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27,350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Direct Payments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25,648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E LEARNING</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25,478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81,663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Project re Science and Ageing linking with European Year of Active Ageing and Dublin being European Science capital in 2012 (N)</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25,439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Telehealth/Telecare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24,581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Research Recommendations and Design Guidance for Dementia</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24,395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ICF Crossmapping Guide To ISO</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24,231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UD curriculum for students in transition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23,598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36,755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Project with DCC to guide UD approach in urban design (tender)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22,222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10,930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The lived experience of people using the web</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22,158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Evaluation 1</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20,785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Project to develop curriculum modules for 3rd level continues from 2011 with rollout of curriculum in May 2012. Evaluation and advice on next steps (C)</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20,588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Assistive Technology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19,486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43,869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Domiciliary Care Allowance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19,000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Library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18,517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45,222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Accessible Health Services Research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17,692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31,805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Web Site redesign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16,642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See Change Research</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15,700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UD Toolkit for Swift 9</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12,995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Development of detailed guidelines on Lifetime Homes (tender)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12,956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12,745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Development of UD guidelines in 3rd level campus urban environment (tender)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12,915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Your Voice Your Choice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12,370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Pr>
                <w:rFonts w:cs="Arial"/>
                <w:b/>
                <w:lang w:val="en-GB" w:eastAsia="en-GB"/>
              </w:rPr>
              <w:t>UN Convention Seminar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9,5</w:t>
            </w:r>
            <w:r>
              <w:rPr>
                <w:rFonts w:cs="Arial"/>
                <w:lang w:val="en-GB" w:eastAsia="en-GB"/>
              </w:rPr>
              <w:t>90</w:t>
            </w:r>
            <w:r w:rsidRPr="002635EB">
              <w:rPr>
                <w:rFonts w:cs="Arial"/>
                <w:lang w:val="en-GB" w:eastAsia="en-GB"/>
              </w:rPr>
              <w:t xml:space="preserve">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Pr>
                <w:rFonts w:cs="Arial"/>
                <w:lang w:val="en-GB" w:eastAsia="en-GB"/>
              </w:rPr>
              <w:t>0</w:t>
            </w:r>
            <w:r w:rsidRPr="002635EB">
              <w:rPr>
                <w:rFonts w:cs="Arial"/>
                <w:lang w:val="en-GB" w:eastAsia="en-GB"/>
              </w:rPr>
              <w:t xml:space="preserve">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Building for Everyone-A Universal Design approach completion</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9,581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84,027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World Disability Report seminar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Pr>
                <w:rFonts w:cs="Arial"/>
                <w:lang w:val="en-GB" w:eastAsia="en-GB"/>
              </w:rPr>
              <w:t>9</w:t>
            </w:r>
            <w:r w:rsidRPr="002635EB">
              <w:rPr>
                <w:rFonts w:cs="Arial"/>
                <w:lang w:val="en-GB" w:eastAsia="en-GB"/>
              </w:rPr>
              <w:t>,</w:t>
            </w:r>
            <w:r>
              <w:rPr>
                <w:rFonts w:cs="Arial"/>
                <w:lang w:val="en-GB" w:eastAsia="en-GB"/>
              </w:rPr>
              <w:t>4</w:t>
            </w:r>
            <w:r w:rsidRPr="002635EB">
              <w:rPr>
                <w:rFonts w:cs="Arial"/>
                <w:lang w:val="en-GB" w:eastAsia="en-GB"/>
              </w:rPr>
              <w:t xml:space="preserve">06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1,900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Access Officer Conference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8,992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UD Standards arising from continued work with NSAI etc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7,878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471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Development of Strategic Plan 2013-2015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7,203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NSAI standards for services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6,000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6,001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Natural Community Supports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5,858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Research Promotion Scheme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5,007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79,732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Attitudes Survey</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4,230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42,961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Seminars &amp; workshops to continue to promote UD to relevant stakeholders (N)</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3,557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Review Internal Financial Controls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3,076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4,790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Newsweaver Newletter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2,177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Design Challenge 2011</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1,869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Annual Report</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1,692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1,639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DSG secretariat</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1,629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Heritage Code Of Practice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1,612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7,944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Guidelines for Accessible Schools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1,218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Employment Seminars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1,032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701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Sports Seminar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1,028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Digital Terrestrial TV</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861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20,500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Egovrerment Awards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720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BAI </w:t>
            </w:r>
            <w:r w:rsidR="006B750E" w:rsidRPr="006B750E">
              <w:rPr>
                <w:rFonts w:cs="Arial"/>
                <w:b/>
                <w:lang w:val="en-GB" w:eastAsia="en-GB"/>
              </w:rPr>
              <w:t>National Disability Authority</w:t>
            </w:r>
            <w:r w:rsidRPr="002635EB">
              <w:rPr>
                <w:rFonts w:cs="Arial"/>
                <w:b/>
                <w:lang w:val="en-GB" w:eastAsia="en-GB"/>
              </w:rPr>
              <w:t xml:space="preserve"> Project</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246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Default="00B87444" w:rsidP="00B87444">
            <w:pPr>
              <w:spacing w:after="0"/>
              <w:rPr>
                <w:rFonts w:cs="Arial"/>
                <w:b/>
                <w:lang w:val="en-GB" w:eastAsia="en-GB"/>
              </w:rPr>
            </w:pPr>
            <w:r w:rsidRPr="002635EB">
              <w:rPr>
                <w:rFonts w:cs="Arial"/>
                <w:b/>
                <w:lang w:val="en-GB" w:eastAsia="en-GB"/>
              </w:rPr>
              <w:t>Sign</w:t>
            </w:r>
          </w:p>
          <w:p w:rsidR="00B87444" w:rsidRPr="002635EB" w:rsidRDefault="00B87444" w:rsidP="00B87444">
            <w:pPr>
              <w:spacing w:after="0"/>
              <w:rPr>
                <w:rFonts w:cs="Arial"/>
                <w:b/>
                <w:lang w:val="en-GB" w:eastAsia="en-GB"/>
              </w:rPr>
            </w:pPr>
            <w:r w:rsidRPr="002635EB">
              <w:rPr>
                <w:rFonts w:cs="Arial"/>
                <w:b/>
                <w:lang w:val="en-GB" w:eastAsia="en-GB"/>
              </w:rPr>
              <w:t xml:space="preserve"> Language Round Table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232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Development of UD curriculum modules in 3 areas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97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24,704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Ageing Research</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(360)</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Evaluation 2</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(4,230)</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Promotion of UN</w:t>
            </w:r>
            <w:r w:rsidR="009D3F2F">
              <w:rPr>
                <w:rFonts w:cs="Arial"/>
                <w:b/>
                <w:lang w:val="en-GB" w:eastAsia="en-GB"/>
              </w:rPr>
              <w:t xml:space="preserve"> G3ICT e-access toolkit</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(7,923)</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Universal Health Insurance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(8,853)</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Natural Community Supports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101,695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State Of </w:t>
            </w:r>
            <w:smartTag w:uri="urn:schemas-microsoft-com:office:smarttags" w:element="place">
              <w:smartTag w:uri="urn:schemas-microsoft-com:office:smarttags" w:element="State">
                <w:r w:rsidRPr="002635EB">
                  <w:rPr>
                    <w:rFonts w:cs="Arial"/>
                    <w:b/>
                    <w:lang w:val="en-GB" w:eastAsia="en-GB"/>
                  </w:rPr>
                  <w:t>Evidence</w:t>
                </w:r>
              </w:smartTag>
            </w:smartTag>
            <w:r w:rsidRPr="002635EB">
              <w:rPr>
                <w:rFonts w:cs="Arial"/>
                <w:b/>
                <w:lang w:val="en-GB" w:eastAsia="en-GB"/>
              </w:rPr>
              <w:t xml:space="preserve"> Paper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81,761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IRCSET</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39,125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Disability indicators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24,853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Web Accessibility</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24,502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24 hr Challenge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17,053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Disability Book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7,321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Review of Corporate Governance Manual</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4,800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Excellence through Accessibility Award &amp; Monitoring Scheme</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4,252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 xml:space="preserve">Research Scholarships </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4,087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Strategic Planning</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3,328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Job retention Guidelines TBC</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3,291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Misc Speaker Travel</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2,894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Monitoring of the Implementation of Codes of Practice on Accessible Public Services</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2,054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eNewsletter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1,258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Part 5 Dis</w:t>
            </w:r>
            <w:r w:rsidR="009D3F2F">
              <w:rPr>
                <w:rFonts w:cs="Arial"/>
                <w:b/>
                <w:lang w:val="en-GB" w:eastAsia="en-GB"/>
              </w:rPr>
              <w:t>ability Act - Statutory Report</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685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Mandate 376</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657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Commissioning Seminar</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553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r w:rsidRPr="002635EB">
              <w:rPr>
                <w:rFonts w:cs="Arial"/>
                <w:b/>
                <w:lang w:val="en-GB" w:eastAsia="en-GB"/>
              </w:rPr>
              <w:t>Accessible Disability Resource Pack</w:t>
            </w: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0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89 </w:t>
            </w: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p>
        </w:tc>
      </w:tr>
      <w:tr w:rsidR="00B87444" w:rsidRPr="002635EB" w:rsidTr="00C16FC7">
        <w:trPr>
          <w:tblHeader/>
        </w:trPr>
        <w:tc>
          <w:tcPr>
            <w:tcW w:w="5590"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rPr>
                <w:rFonts w:cs="Arial"/>
                <w:b/>
                <w:lang w:val="en-GB" w:eastAsia="en-GB"/>
              </w:rPr>
            </w:pPr>
          </w:p>
        </w:tc>
        <w:tc>
          <w:tcPr>
            <w:tcW w:w="1366"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Pr>
                <w:rFonts w:cs="Arial"/>
                <w:lang w:val="en-GB" w:eastAsia="en-GB"/>
              </w:rPr>
              <w:t>650</w:t>
            </w:r>
            <w:r w:rsidRPr="002635EB">
              <w:rPr>
                <w:rFonts w:cs="Arial"/>
                <w:lang w:val="en-GB" w:eastAsia="en-GB"/>
              </w:rPr>
              <w:t>,</w:t>
            </w:r>
            <w:r>
              <w:rPr>
                <w:rFonts w:cs="Arial"/>
                <w:lang w:val="en-GB" w:eastAsia="en-GB"/>
              </w:rPr>
              <w:t>418</w:t>
            </w:r>
            <w:r w:rsidRPr="002635EB">
              <w:rPr>
                <w:rFonts w:cs="Arial"/>
                <w:lang w:val="en-GB" w:eastAsia="en-GB"/>
              </w:rPr>
              <w:t xml:space="preserve"> </w:t>
            </w:r>
          </w:p>
        </w:tc>
        <w:tc>
          <w:tcPr>
            <w:tcW w:w="1197" w:type="dxa"/>
            <w:tcBorders>
              <w:top w:val="single" w:sz="6" w:space="0" w:color="000000"/>
              <w:left w:val="single" w:sz="6" w:space="0" w:color="000000"/>
              <w:bottom w:val="single" w:sz="6" w:space="0" w:color="000000"/>
              <w:right w:val="single" w:sz="6" w:space="0" w:color="000000"/>
            </w:tcBorders>
            <w:vAlign w:val="bottom"/>
          </w:tcPr>
          <w:p w:rsidR="00B87444" w:rsidRPr="002635EB" w:rsidRDefault="00B87444" w:rsidP="00B87444">
            <w:pPr>
              <w:spacing w:after="0"/>
              <w:jc w:val="right"/>
              <w:rPr>
                <w:rFonts w:cs="Arial"/>
                <w:lang w:val="en-GB" w:eastAsia="en-GB"/>
              </w:rPr>
            </w:pPr>
            <w:r w:rsidRPr="002635EB">
              <w:rPr>
                <w:rFonts w:cs="Arial"/>
                <w:lang w:val="en-GB" w:eastAsia="en-GB"/>
              </w:rPr>
              <w:t xml:space="preserve">968,216 </w:t>
            </w:r>
          </w:p>
        </w:tc>
      </w:tr>
    </w:tbl>
    <w:p w:rsidR="00B87444" w:rsidRDefault="00B87444" w:rsidP="00E41BEB">
      <w:pPr>
        <w:pStyle w:val="Heading3"/>
        <w:rPr>
          <w:lang w:val="en-GB" w:eastAsia="en-GB"/>
        </w:rPr>
      </w:pPr>
      <w:r>
        <w:rPr>
          <w:lang w:val="en-GB" w:eastAsia="en-GB"/>
        </w:rPr>
        <w:br w:type="page"/>
      </w:r>
      <w:bookmarkStart w:id="50" w:name="_Toc335836397"/>
      <w:r w:rsidRPr="009A0453">
        <w:rPr>
          <w:lang w:val="en-GB" w:eastAsia="en-GB"/>
        </w:rPr>
        <w:t>4. Payroll Costs</w:t>
      </w:r>
      <w:bookmarkEnd w:id="50"/>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547"/>
        <w:gridCol w:w="1336"/>
        <w:gridCol w:w="1270"/>
      </w:tblGrid>
      <w:tr w:rsidR="00B87444" w:rsidRPr="004961A0" w:rsidTr="000C6890">
        <w:trPr>
          <w:tblHeader/>
        </w:trPr>
        <w:tc>
          <w:tcPr>
            <w:tcW w:w="6048" w:type="dxa"/>
            <w:shd w:val="clear" w:color="auto" w:fill="auto"/>
            <w:vAlign w:val="bottom"/>
          </w:tcPr>
          <w:p w:rsidR="00B87444" w:rsidRPr="004961A0" w:rsidRDefault="00B87444" w:rsidP="00B87444">
            <w:pPr>
              <w:spacing w:after="0"/>
              <w:rPr>
                <w:rFonts w:cs="Arial"/>
                <w:lang w:val="en-GB" w:eastAsia="en-GB"/>
              </w:rPr>
            </w:pPr>
          </w:p>
        </w:tc>
        <w:tc>
          <w:tcPr>
            <w:tcW w:w="1440" w:type="dxa"/>
            <w:shd w:val="clear" w:color="auto" w:fill="auto"/>
            <w:vAlign w:val="bottom"/>
          </w:tcPr>
          <w:p w:rsidR="00B87444" w:rsidRPr="004961A0" w:rsidRDefault="00B87444" w:rsidP="00B87444">
            <w:pPr>
              <w:pStyle w:val="TableHead"/>
              <w:jc w:val="right"/>
              <w:rPr>
                <w:lang w:val="en-GB" w:eastAsia="en-GB"/>
              </w:rPr>
            </w:pPr>
            <w:r w:rsidRPr="004961A0">
              <w:rPr>
                <w:lang w:val="en-GB" w:eastAsia="en-GB"/>
              </w:rPr>
              <w:t>201</w:t>
            </w:r>
            <w:r>
              <w:rPr>
                <w:lang w:val="en-GB" w:eastAsia="en-GB"/>
              </w:rPr>
              <w:t>2</w:t>
            </w:r>
          </w:p>
        </w:tc>
        <w:tc>
          <w:tcPr>
            <w:tcW w:w="1368" w:type="dxa"/>
            <w:shd w:val="clear" w:color="auto" w:fill="auto"/>
            <w:vAlign w:val="bottom"/>
          </w:tcPr>
          <w:p w:rsidR="00B87444" w:rsidRPr="004961A0" w:rsidRDefault="00B87444" w:rsidP="00B87444">
            <w:pPr>
              <w:pStyle w:val="TableHead"/>
              <w:jc w:val="right"/>
              <w:rPr>
                <w:lang w:val="en-GB" w:eastAsia="en-GB"/>
              </w:rPr>
            </w:pPr>
            <w:r w:rsidRPr="004961A0">
              <w:rPr>
                <w:lang w:val="en-GB" w:eastAsia="en-GB"/>
              </w:rPr>
              <w:t>201</w:t>
            </w:r>
            <w:r>
              <w:rPr>
                <w:lang w:val="en-GB" w:eastAsia="en-GB"/>
              </w:rPr>
              <w:t>1</w:t>
            </w:r>
          </w:p>
        </w:tc>
      </w:tr>
      <w:tr w:rsidR="00B87444" w:rsidRPr="004961A0" w:rsidTr="000C6890">
        <w:tc>
          <w:tcPr>
            <w:tcW w:w="6048" w:type="dxa"/>
            <w:shd w:val="clear" w:color="auto" w:fill="auto"/>
            <w:vAlign w:val="bottom"/>
          </w:tcPr>
          <w:p w:rsidR="00B87444" w:rsidRPr="004961A0" w:rsidRDefault="00B87444" w:rsidP="00B87444">
            <w:pPr>
              <w:spacing w:after="0"/>
              <w:rPr>
                <w:rFonts w:cs="Arial"/>
                <w:lang w:val="en-GB" w:eastAsia="en-GB"/>
              </w:rPr>
            </w:pPr>
          </w:p>
        </w:tc>
        <w:tc>
          <w:tcPr>
            <w:tcW w:w="1440" w:type="dxa"/>
            <w:shd w:val="clear" w:color="auto" w:fill="auto"/>
            <w:vAlign w:val="bottom"/>
          </w:tcPr>
          <w:p w:rsidR="00B87444" w:rsidRPr="004961A0" w:rsidRDefault="00B87444" w:rsidP="0053638B">
            <w:pPr>
              <w:pStyle w:val="TableCell"/>
              <w:rPr>
                <w:lang w:val="en-GB" w:eastAsia="en-GB"/>
              </w:rPr>
            </w:pPr>
            <w:r w:rsidRPr="004961A0">
              <w:rPr>
                <w:lang w:val="en-GB" w:eastAsia="en-GB"/>
              </w:rPr>
              <w:t>€</w:t>
            </w:r>
          </w:p>
        </w:tc>
        <w:tc>
          <w:tcPr>
            <w:tcW w:w="1368" w:type="dxa"/>
            <w:shd w:val="clear" w:color="auto" w:fill="auto"/>
            <w:vAlign w:val="bottom"/>
          </w:tcPr>
          <w:p w:rsidR="00B87444" w:rsidRPr="004961A0" w:rsidRDefault="00B87444" w:rsidP="0053638B">
            <w:pPr>
              <w:pStyle w:val="TableCell"/>
              <w:rPr>
                <w:lang w:val="en-GB" w:eastAsia="en-GB"/>
              </w:rPr>
            </w:pPr>
            <w:r w:rsidRPr="004961A0">
              <w:rPr>
                <w:lang w:val="en-GB" w:eastAsia="en-GB"/>
              </w:rPr>
              <w:t>€</w:t>
            </w:r>
          </w:p>
        </w:tc>
      </w:tr>
      <w:tr w:rsidR="00B87444" w:rsidRPr="004961A0" w:rsidTr="000C6890">
        <w:tc>
          <w:tcPr>
            <w:tcW w:w="6048" w:type="dxa"/>
            <w:shd w:val="clear" w:color="auto" w:fill="auto"/>
            <w:vAlign w:val="bottom"/>
          </w:tcPr>
          <w:p w:rsidR="00B87444" w:rsidRPr="004961A0" w:rsidRDefault="00B47D87" w:rsidP="00B87444">
            <w:pPr>
              <w:pStyle w:val="TableRowHead"/>
              <w:rPr>
                <w:rFonts w:ascii="Gill Sans" w:hAnsi="Gill Sans"/>
                <w:sz w:val="24"/>
                <w:lang w:val="en-GB" w:eastAsia="en-GB"/>
              </w:rPr>
            </w:pPr>
            <w:r w:rsidRPr="006B750E">
              <w:rPr>
                <w:rFonts w:ascii="Gill Sans" w:hAnsi="Gill Sans"/>
                <w:sz w:val="24"/>
                <w:lang w:val="en-GB" w:eastAsia="en-GB"/>
              </w:rPr>
              <w:t>National Disability Authority</w:t>
            </w:r>
            <w:r w:rsidR="00B87444" w:rsidRPr="004961A0">
              <w:rPr>
                <w:rFonts w:ascii="Gill Sans" w:hAnsi="Gill Sans"/>
                <w:sz w:val="24"/>
                <w:lang w:val="en-GB" w:eastAsia="en-GB"/>
              </w:rPr>
              <w:t xml:space="preserve"> Staff Pay</w:t>
            </w:r>
          </w:p>
        </w:tc>
        <w:tc>
          <w:tcPr>
            <w:tcW w:w="1440" w:type="dxa"/>
            <w:shd w:val="clear" w:color="auto" w:fill="auto"/>
            <w:vAlign w:val="bottom"/>
          </w:tcPr>
          <w:p w:rsidR="00B87444" w:rsidRPr="00821780" w:rsidRDefault="00B87444" w:rsidP="00B87444">
            <w:pPr>
              <w:pStyle w:val="TableCell"/>
              <w:rPr>
                <w:sz w:val="24"/>
                <w:lang w:val="en-GB" w:eastAsia="en-GB"/>
              </w:rPr>
            </w:pPr>
            <w:r>
              <w:rPr>
                <w:sz w:val="24"/>
                <w:lang w:val="en-GB" w:eastAsia="en-GB"/>
              </w:rPr>
              <w:t>2</w:t>
            </w:r>
            <w:r w:rsidRPr="00821780">
              <w:rPr>
                <w:sz w:val="24"/>
                <w:lang w:val="en-GB" w:eastAsia="en-GB"/>
              </w:rPr>
              <w:t>,</w:t>
            </w:r>
            <w:r>
              <w:rPr>
                <w:sz w:val="24"/>
                <w:lang w:val="en-GB" w:eastAsia="en-GB"/>
              </w:rPr>
              <w:t>003</w:t>
            </w:r>
            <w:r w:rsidRPr="00821780">
              <w:rPr>
                <w:sz w:val="24"/>
                <w:lang w:val="en-GB" w:eastAsia="en-GB"/>
              </w:rPr>
              <w:t>,</w:t>
            </w:r>
            <w:r>
              <w:rPr>
                <w:sz w:val="24"/>
                <w:lang w:val="en-GB" w:eastAsia="en-GB"/>
              </w:rPr>
              <w:t>001</w:t>
            </w:r>
          </w:p>
        </w:tc>
        <w:tc>
          <w:tcPr>
            <w:tcW w:w="1368" w:type="dxa"/>
            <w:shd w:val="clear" w:color="auto" w:fill="auto"/>
            <w:vAlign w:val="bottom"/>
          </w:tcPr>
          <w:p w:rsidR="00B87444" w:rsidRPr="00821780" w:rsidRDefault="00B87444" w:rsidP="00B87444">
            <w:pPr>
              <w:pStyle w:val="TableCell"/>
              <w:rPr>
                <w:sz w:val="24"/>
                <w:lang w:val="en-GB" w:eastAsia="en-GB"/>
              </w:rPr>
            </w:pPr>
            <w:r w:rsidRPr="00821780">
              <w:rPr>
                <w:sz w:val="24"/>
                <w:lang w:val="en-GB" w:eastAsia="en-GB"/>
              </w:rPr>
              <w:t>2,097,591</w:t>
            </w:r>
          </w:p>
        </w:tc>
      </w:tr>
      <w:tr w:rsidR="00B87444" w:rsidRPr="004961A0" w:rsidTr="000C6890">
        <w:tc>
          <w:tcPr>
            <w:tcW w:w="6048" w:type="dxa"/>
            <w:shd w:val="clear" w:color="auto" w:fill="auto"/>
            <w:vAlign w:val="bottom"/>
          </w:tcPr>
          <w:p w:rsidR="00B87444" w:rsidRPr="004961A0" w:rsidRDefault="00B87444" w:rsidP="00B87444">
            <w:pPr>
              <w:pStyle w:val="TableRowHead"/>
              <w:rPr>
                <w:rFonts w:ascii="Gill Sans" w:hAnsi="Gill Sans"/>
                <w:sz w:val="24"/>
                <w:lang w:val="en-GB" w:eastAsia="en-GB"/>
              </w:rPr>
            </w:pPr>
            <w:r w:rsidRPr="004961A0">
              <w:rPr>
                <w:rFonts w:ascii="Gill Sans" w:hAnsi="Gill Sans"/>
                <w:sz w:val="24"/>
                <w:lang w:val="en-GB" w:eastAsia="en-GB"/>
              </w:rPr>
              <w:t>Agency Staff</w:t>
            </w:r>
          </w:p>
        </w:tc>
        <w:tc>
          <w:tcPr>
            <w:tcW w:w="1440" w:type="dxa"/>
            <w:shd w:val="clear" w:color="auto" w:fill="auto"/>
            <w:vAlign w:val="bottom"/>
          </w:tcPr>
          <w:p w:rsidR="00B87444" w:rsidRPr="004961A0" w:rsidRDefault="00B87444" w:rsidP="00B87444">
            <w:pPr>
              <w:pStyle w:val="TableCell"/>
              <w:rPr>
                <w:sz w:val="24"/>
                <w:lang w:val="en-GB" w:eastAsia="en-GB"/>
              </w:rPr>
            </w:pPr>
            <w:r w:rsidRPr="004961A0">
              <w:rPr>
                <w:sz w:val="24"/>
                <w:lang w:val="en-GB" w:eastAsia="en-GB"/>
              </w:rPr>
              <w:t>1,</w:t>
            </w:r>
            <w:r>
              <w:rPr>
                <w:sz w:val="24"/>
                <w:lang w:val="en-GB" w:eastAsia="en-GB"/>
              </w:rPr>
              <w:t>918</w:t>
            </w:r>
            <w:r w:rsidRPr="004961A0">
              <w:rPr>
                <w:sz w:val="24"/>
                <w:lang w:val="en-GB" w:eastAsia="en-GB"/>
              </w:rPr>
              <w:t xml:space="preserve"> </w:t>
            </w:r>
          </w:p>
        </w:tc>
        <w:tc>
          <w:tcPr>
            <w:tcW w:w="1368" w:type="dxa"/>
            <w:shd w:val="clear" w:color="auto" w:fill="auto"/>
            <w:vAlign w:val="bottom"/>
          </w:tcPr>
          <w:p w:rsidR="00B87444" w:rsidRPr="004961A0" w:rsidRDefault="00B87444" w:rsidP="00B87444">
            <w:pPr>
              <w:pStyle w:val="TableCell"/>
              <w:rPr>
                <w:sz w:val="24"/>
                <w:lang w:val="en-GB" w:eastAsia="en-GB"/>
              </w:rPr>
            </w:pPr>
            <w:r w:rsidRPr="004961A0">
              <w:rPr>
                <w:sz w:val="24"/>
                <w:lang w:val="en-GB" w:eastAsia="en-GB"/>
              </w:rPr>
              <w:t xml:space="preserve">1,639 </w:t>
            </w:r>
          </w:p>
        </w:tc>
      </w:tr>
      <w:tr w:rsidR="00B87444" w:rsidRPr="004961A0" w:rsidTr="000C6890">
        <w:tc>
          <w:tcPr>
            <w:tcW w:w="6048" w:type="dxa"/>
            <w:shd w:val="clear" w:color="auto" w:fill="auto"/>
            <w:vAlign w:val="bottom"/>
          </w:tcPr>
          <w:p w:rsidR="00B87444" w:rsidRPr="004961A0" w:rsidRDefault="00B87444" w:rsidP="00B87444">
            <w:pPr>
              <w:spacing w:after="0"/>
              <w:rPr>
                <w:rFonts w:cs="Arial"/>
                <w:lang w:val="en-GB" w:eastAsia="en-GB"/>
              </w:rPr>
            </w:pPr>
          </w:p>
        </w:tc>
        <w:tc>
          <w:tcPr>
            <w:tcW w:w="1440" w:type="dxa"/>
            <w:shd w:val="clear" w:color="auto" w:fill="auto"/>
            <w:vAlign w:val="bottom"/>
          </w:tcPr>
          <w:p w:rsidR="00B87444" w:rsidRPr="004961A0" w:rsidRDefault="00B87444" w:rsidP="00B87444">
            <w:pPr>
              <w:pStyle w:val="TableCell"/>
              <w:rPr>
                <w:b/>
                <w:sz w:val="24"/>
                <w:lang w:val="en-GB" w:eastAsia="en-GB"/>
              </w:rPr>
            </w:pPr>
            <w:r>
              <w:rPr>
                <w:b/>
                <w:sz w:val="24"/>
                <w:lang w:val="en-GB" w:eastAsia="en-GB"/>
              </w:rPr>
              <w:t>2</w:t>
            </w:r>
            <w:r w:rsidRPr="004961A0">
              <w:rPr>
                <w:b/>
                <w:sz w:val="24"/>
                <w:lang w:val="en-GB" w:eastAsia="en-GB"/>
              </w:rPr>
              <w:t>,</w:t>
            </w:r>
            <w:r>
              <w:rPr>
                <w:b/>
                <w:sz w:val="24"/>
                <w:lang w:val="en-GB" w:eastAsia="en-GB"/>
              </w:rPr>
              <w:t>004</w:t>
            </w:r>
            <w:r w:rsidRPr="004961A0">
              <w:rPr>
                <w:b/>
                <w:sz w:val="24"/>
                <w:lang w:val="en-GB" w:eastAsia="en-GB"/>
              </w:rPr>
              <w:t>,</w:t>
            </w:r>
            <w:r>
              <w:rPr>
                <w:b/>
                <w:sz w:val="24"/>
                <w:lang w:val="en-GB" w:eastAsia="en-GB"/>
              </w:rPr>
              <w:t>919</w:t>
            </w:r>
            <w:r w:rsidRPr="004961A0">
              <w:rPr>
                <w:b/>
                <w:sz w:val="24"/>
                <w:lang w:val="en-GB" w:eastAsia="en-GB"/>
              </w:rPr>
              <w:t xml:space="preserve"> </w:t>
            </w:r>
          </w:p>
        </w:tc>
        <w:tc>
          <w:tcPr>
            <w:tcW w:w="1368" w:type="dxa"/>
            <w:shd w:val="clear" w:color="auto" w:fill="auto"/>
            <w:vAlign w:val="bottom"/>
          </w:tcPr>
          <w:p w:rsidR="00B87444" w:rsidRPr="004961A0" w:rsidRDefault="00B87444" w:rsidP="00B87444">
            <w:pPr>
              <w:pStyle w:val="TableCell"/>
              <w:rPr>
                <w:b/>
                <w:sz w:val="24"/>
                <w:lang w:val="en-GB" w:eastAsia="en-GB"/>
              </w:rPr>
            </w:pPr>
            <w:r w:rsidRPr="004961A0">
              <w:rPr>
                <w:b/>
                <w:sz w:val="24"/>
                <w:lang w:val="en-GB" w:eastAsia="en-GB"/>
              </w:rPr>
              <w:t>2,0</w:t>
            </w:r>
            <w:r>
              <w:rPr>
                <w:b/>
                <w:sz w:val="24"/>
                <w:lang w:val="en-GB" w:eastAsia="en-GB"/>
              </w:rPr>
              <w:t>99</w:t>
            </w:r>
            <w:r w:rsidRPr="004961A0">
              <w:rPr>
                <w:b/>
                <w:sz w:val="24"/>
                <w:lang w:val="en-GB" w:eastAsia="en-GB"/>
              </w:rPr>
              <w:t>,</w:t>
            </w:r>
            <w:r>
              <w:rPr>
                <w:b/>
                <w:sz w:val="24"/>
                <w:lang w:val="en-GB" w:eastAsia="en-GB"/>
              </w:rPr>
              <w:t>230</w:t>
            </w:r>
            <w:r w:rsidRPr="004961A0">
              <w:rPr>
                <w:b/>
                <w:sz w:val="24"/>
                <w:lang w:val="en-GB" w:eastAsia="en-GB"/>
              </w:rPr>
              <w:t xml:space="preserve"> </w:t>
            </w:r>
          </w:p>
        </w:tc>
      </w:tr>
    </w:tbl>
    <w:p w:rsidR="00B87444" w:rsidRDefault="00B87444" w:rsidP="00B87444">
      <w:pPr>
        <w:rPr>
          <w:lang w:val="en-GB" w:eastAsia="en-GB"/>
        </w:rPr>
      </w:pPr>
      <w:r w:rsidRPr="009A0453">
        <w:rPr>
          <w:lang w:val="en-GB" w:eastAsia="en-GB"/>
        </w:rPr>
        <w:t>The average number of staff employed by th</w:t>
      </w:r>
      <w:r>
        <w:rPr>
          <w:lang w:val="en-GB" w:eastAsia="en-GB"/>
        </w:rPr>
        <w:t>e Authority in the year was 33</w:t>
      </w:r>
      <w:r w:rsidRPr="009A0453">
        <w:rPr>
          <w:lang w:val="en-GB" w:eastAsia="en-GB"/>
        </w:rPr>
        <w:t xml:space="preserve"> (201</w:t>
      </w:r>
      <w:r>
        <w:rPr>
          <w:lang w:val="en-GB" w:eastAsia="en-GB"/>
        </w:rPr>
        <w:t>1: 32.5</w:t>
      </w:r>
      <w:r w:rsidRPr="009A0453">
        <w:rPr>
          <w:lang w:val="en-GB" w:eastAsia="en-GB"/>
        </w:rPr>
        <w:t>)</w:t>
      </w:r>
    </w:p>
    <w:p w:rsidR="00B87444" w:rsidRPr="004961A0" w:rsidRDefault="00B87444" w:rsidP="00E41BEB">
      <w:pPr>
        <w:pStyle w:val="Heading3"/>
      </w:pPr>
      <w:bookmarkStart w:id="51" w:name="_Toc335836398"/>
      <w:r w:rsidRPr="009A0453">
        <w:rPr>
          <w:lang w:val="en-GB" w:eastAsia="en-GB"/>
        </w:rPr>
        <w:t>Director's Remuneration</w:t>
      </w:r>
      <w:bookmarkEnd w:id="51"/>
    </w:p>
    <w:p w:rsidR="00B87444" w:rsidRDefault="00B87444" w:rsidP="00B87444">
      <w:pPr>
        <w:rPr>
          <w:lang w:val="en-GB" w:eastAsia="en-GB"/>
        </w:rPr>
      </w:pPr>
      <w:r w:rsidRPr="004961A0">
        <w:t>The Di</w:t>
      </w:r>
      <w:r>
        <w:t>rector was paid a salary in 2012</w:t>
      </w:r>
      <w:r w:rsidRPr="004961A0">
        <w:t xml:space="preserve"> of </w:t>
      </w:r>
      <w:r w:rsidRPr="004961A0">
        <w:rPr>
          <w:rFonts w:cs="Arial"/>
        </w:rPr>
        <w:t>€</w:t>
      </w:r>
      <w:r>
        <w:rPr>
          <w:rFonts w:cs="Gill Sans"/>
        </w:rPr>
        <w:t>97</w:t>
      </w:r>
      <w:r w:rsidRPr="004961A0">
        <w:rPr>
          <w:rFonts w:cs="Gill Sans"/>
        </w:rPr>
        <w:t>,</w:t>
      </w:r>
      <w:r>
        <w:rPr>
          <w:rFonts w:cs="Gill Sans"/>
        </w:rPr>
        <w:t>301</w:t>
      </w:r>
      <w:r w:rsidRPr="004961A0">
        <w:rPr>
          <w:rFonts w:cs="Gill Sans"/>
        </w:rPr>
        <w:t xml:space="preserve"> (20</w:t>
      </w:r>
      <w:r>
        <w:rPr>
          <w:rFonts w:cs="Gill Sans"/>
        </w:rPr>
        <w:t>11</w:t>
      </w:r>
      <w:r w:rsidRPr="004961A0">
        <w:rPr>
          <w:rFonts w:cs="Gill Sans"/>
        </w:rPr>
        <w:t xml:space="preserve">: </w:t>
      </w:r>
      <w:r w:rsidRPr="004961A0">
        <w:rPr>
          <w:rFonts w:cs="Arial"/>
        </w:rPr>
        <w:t>€</w:t>
      </w:r>
      <w:r>
        <w:rPr>
          <w:rFonts w:cs="Gill Sans"/>
        </w:rPr>
        <w:t>99</w:t>
      </w:r>
      <w:r w:rsidRPr="004961A0">
        <w:rPr>
          <w:rFonts w:cs="Gill Sans"/>
        </w:rPr>
        <w:t>,</w:t>
      </w:r>
      <w:r>
        <w:rPr>
          <w:rFonts w:cs="Gill Sans"/>
        </w:rPr>
        <w:t xml:space="preserve">236) </w:t>
      </w:r>
      <w:r w:rsidRPr="004961A0">
        <w:rPr>
          <w:rFonts w:cs="Gill Sans"/>
        </w:rPr>
        <w:t xml:space="preserve">on the Civil Service Principal Officer Scale. No other payment was made in the year to the Director in the nature of pay. </w:t>
      </w:r>
      <w:r w:rsidRPr="00C31B12">
        <w:rPr>
          <w:lang w:val="en-GB" w:eastAsia="en-GB"/>
        </w:rPr>
        <w:t>The Director is a member of an unfunded defined benefit public sector scheme and her entitlements do not extend beyond the standard entitlements available under such a scheme.</w:t>
      </w:r>
    </w:p>
    <w:p w:rsidR="00B87444" w:rsidRDefault="00B87444" w:rsidP="00E41BEB">
      <w:pPr>
        <w:pStyle w:val="Heading3"/>
        <w:rPr>
          <w:lang w:val="en-GB" w:eastAsia="en-GB"/>
        </w:rPr>
      </w:pPr>
      <w:r>
        <w:rPr>
          <w:lang w:val="en-GB" w:eastAsia="en-GB"/>
        </w:rPr>
        <w:br w:type="page"/>
      </w:r>
      <w:bookmarkStart w:id="52" w:name="_Toc335836399"/>
      <w:r w:rsidRPr="004961A0">
        <w:rPr>
          <w:lang w:val="en-GB" w:eastAsia="en-GB"/>
        </w:rPr>
        <w:t>5. Administration Costs</w:t>
      </w:r>
      <w:bookmarkEnd w:id="52"/>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022"/>
        <w:gridCol w:w="1377"/>
        <w:gridCol w:w="1377"/>
        <w:gridCol w:w="1377"/>
      </w:tblGrid>
      <w:tr w:rsidR="00B87444" w:rsidRPr="004961A0" w:rsidTr="000C6890">
        <w:tc>
          <w:tcPr>
            <w:tcW w:w="4428" w:type="dxa"/>
            <w:shd w:val="clear" w:color="auto" w:fill="auto"/>
          </w:tcPr>
          <w:p w:rsidR="00B87444" w:rsidRPr="004961A0" w:rsidRDefault="00B87444" w:rsidP="009F7884">
            <w:pPr>
              <w:pStyle w:val="TableHead"/>
              <w:keepNext/>
              <w:keepLines/>
              <w:jc w:val="right"/>
            </w:pPr>
          </w:p>
        </w:tc>
        <w:tc>
          <w:tcPr>
            <w:tcW w:w="1500" w:type="dxa"/>
            <w:shd w:val="clear" w:color="auto" w:fill="auto"/>
          </w:tcPr>
          <w:p w:rsidR="00B87444" w:rsidRPr="0055051C" w:rsidRDefault="00B87444" w:rsidP="009F7884">
            <w:pPr>
              <w:pStyle w:val="TableHead"/>
              <w:keepNext/>
              <w:keepLines/>
              <w:jc w:val="right"/>
              <w:rPr>
                <w:sz w:val="24"/>
              </w:rPr>
            </w:pPr>
            <w:r w:rsidRPr="0055051C">
              <w:rPr>
                <w:sz w:val="24"/>
              </w:rPr>
              <w:t>Notes</w:t>
            </w:r>
          </w:p>
        </w:tc>
        <w:tc>
          <w:tcPr>
            <w:tcW w:w="1500" w:type="dxa"/>
            <w:shd w:val="clear" w:color="auto" w:fill="auto"/>
            <w:vAlign w:val="bottom"/>
          </w:tcPr>
          <w:p w:rsidR="00B87444" w:rsidRPr="004961A0" w:rsidRDefault="00B87444" w:rsidP="00B87444">
            <w:pPr>
              <w:pStyle w:val="TableHead"/>
              <w:jc w:val="right"/>
              <w:rPr>
                <w:rFonts w:cs="Arial"/>
                <w:bCs/>
                <w:sz w:val="24"/>
                <w:lang w:val="en-GB" w:eastAsia="en-GB"/>
              </w:rPr>
            </w:pPr>
            <w:r w:rsidRPr="004961A0">
              <w:rPr>
                <w:rFonts w:cs="Arial"/>
                <w:bCs/>
                <w:sz w:val="24"/>
                <w:lang w:val="en-GB" w:eastAsia="en-GB"/>
              </w:rPr>
              <w:t>201</w:t>
            </w:r>
            <w:r>
              <w:rPr>
                <w:rFonts w:cs="Arial"/>
                <w:bCs/>
                <w:sz w:val="24"/>
                <w:lang w:val="en-GB" w:eastAsia="en-GB"/>
              </w:rPr>
              <w:t>2</w:t>
            </w:r>
          </w:p>
        </w:tc>
        <w:tc>
          <w:tcPr>
            <w:tcW w:w="1500" w:type="dxa"/>
            <w:shd w:val="clear" w:color="auto" w:fill="auto"/>
            <w:vAlign w:val="bottom"/>
          </w:tcPr>
          <w:p w:rsidR="00B87444" w:rsidRPr="004961A0" w:rsidRDefault="00B87444" w:rsidP="00B87444">
            <w:pPr>
              <w:pStyle w:val="TableHead"/>
              <w:jc w:val="right"/>
              <w:rPr>
                <w:rFonts w:cs="Arial"/>
                <w:bCs/>
                <w:sz w:val="24"/>
                <w:lang w:val="en-GB" w:eastAsia="en-GB"/>
              </w:rPr>
            </w:pPr>
            <w:r w:rsidRPr="004961A0">
              <w:rPr>
                <w:rFonts w:cs="Arial"/>
                <w:bCs/>
                <w:sz w:val="24"/>
                <w:lang w:val="en-GB" w:eastAsia="en-GB"/>
              </w:rPr>
              <w:t>201</w:t>
            </w:r>
            <w:r>
              <w:rPr>
                <w:rFonts w:cs="Arial"/>
                <w:bCs/>
                <w:sz w:val="24"/>
                <w:lang w:val="en-GB" w:eastAsia="en-GB"/>
              </w:rPr>
              <w:t>1</w:t>
            </w:r>
          </w:p>
        </w:tc>
      </w:tr>
      <w:tr w:rsidR="00B87444" w:rsidRPr="004961A0" w:rsidTr="000C6890">
        <w:tc>
          <w:tcPr>
            <w:tcW w:w="4428" w:type="dxa"/>
            <w:shd w:val="clear" w:color="auto" w:fill="auto"/>
          </w:tcPr>
          <w:p w:rsidR="00B87444" w:rsidRPr="004961A0" w:rsidRDefault="00B87444" w:rsidP="009F7884">
            <w:pPr>
              <w:pStyle w:val="TableRowHead"/>
              <w:keepLines/>
            </w:pPr>
          </w:p>
        </w:tc>
        <w:tc>
          <w:tcPr>
            <w:tcW w:w="1500" w:type="dxa"/>
            <w:shd w:val="clear" w:color="auto" w:fill="auto"/>
          </w:tcPr>
          <w:p w:rsidR="00B87444" w:rsidRPr="004961A0" w:rsidRDefault="00B87444" w:rsidP="009F7884">
            <w:pPr>
              <w:pStyle w:val="TableCell"/>
              <w:keepNext/>
              <w:keepLines/>
            </w:pPr>
          </w:p>
        </w:tc>
        <w:tc>
          <w:tcPr>
            <w:tcW w:w="1500" w:type="dxa"/>
            <w:shd w:val="clear" w:color="auto" w:fill="auto"/>
            <w:vAlign w:val="bottom"/>
          </w:tcPr>
          <w:p w:rsidR="00B87444" w:rsidRPr="004961A0" w:rsidRDefault="009D3F2F" w:rsidP="0053638B">
            <w:pPr>
              <w:pStyle w:val="TableCell"/>
              <w:rPr>
                <w:lang w:val="en-GB" w:eastAsia="en-GB"/>
              </w:rPr>
            </w:pPr>
            <w:r>
              <w:rPr>
                <w:lang w:val="en-GB" w:eastAsia="en-GB"/>
              </w:rPr>
              <w:t>€</w:t>
            </w:r>
          </w:p>
        </w:tc>
        <w:tc>
          <w:tcPr>
            <w:tcW w:w="1500" w:type="dxa"/>
            <w:shd w:val="clear" w:color="auto" w:fill="auto"/>
            <w:vAlign w:val="bottom"/>
          </w:tcPr>
          <w:p w:rsidR="00B87444" w:rsidRPr="004961A0" w:rsidRDefault="009D3F2F" w:rsidP="0053638B">
            <w:pPr>
              <w:pStyle w:val="TableCell"/>
              <w:rPr>
                <w:lang w:val="en-GB" w:eastAsia="en-GB"/>
              </w:rPr>
            </w:pPr>
            <w:r>
              <w:rPr>
                <w:lang w:val="en-GB" w:eastAsia="en-GB"/>
              </w:rPr>
              <w:t>€</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Travel</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19</w:t>
            </w:r>
            <w:r w:rsidRPr="0055051C">
              <w:rPr>
                <w:sz w:val="24"/>
                <w:lang w:val="en-GB" w:eastAsia="en-GB"/>
              </w:rPr>
              <w:t>,</w:t>
            </w:r>
            <w:r>
              <w:rPr>
                <w:sz w:val="24"/>
                <w:lang w:val="en-GB" w:eastAsia="en-GB"/>
              </w:rPr>
              <w:t>347</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28,001</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Training</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w:t>
            </w:r>
            <w:r>
              <w:rPr>
                <w:sz w:val="24"/>
                <w:lang w:val="en-GB" w:eastAsia="en-GB"/>
              </w:rPr>
              <w:t>5</w:t>
            </w:r>
            <w:r w:rsidRPr="0055051C">
              <w:rPr>
                <w:sz w:val="24"/>
                <w:lang w:val="en-GB" w:eastAsia="en-GB"/>
              </w:rPr>
              <w:t>,7</w:t>
            </w:r>
            <w:r>
              <w:rPr>
                <w:sz w:val="24"/>
                <w:lang w:val="en-GB" w:eastAsia="en-GB"/>
              </w:rPr>
              <w:t>60</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23,729</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Conference / Seminar Fees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7</w:t>
            </w:r>
            <w:r w:rsidRPr="0055051C">
              <w:rPr>
                <w:sz w:val="24"/>
                <w:lang w:val="en-GB" w:eastAsia="en-GB"/>
              </w:rPr>
              <w:t>,</w:t>
            </w:r>
            <w:r>
              <w:rPr>
                <w:sz w:val="24"/>
                <w:lang w:val="en-GB" w:eastAsia="en-GB"/>
              </w:rPr>
              <w:t>191</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5,022</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Authority Fees &amp; Expenses</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6</w:t>
            </w: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65</w:t>
            </w:r>
            <w:r w:rsidRPr="0055051C">
              <w:rPr>
                <w:sz w:val="24"/>
                <w:lang w:val="en-GB" w:eastAsia="en-GB"/>
              </w:rPr>
              <w:t>,</w:t>
            </w:r>
            <w:r>
              <w:rPr>
                <w:sz w:val="24"/>
                <w:lang w:val="en-GB" w:eastAsia="en-GB"/>
              </w:rPr>
              <w:t>502</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85,721</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Audit fee</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14,620</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17,240</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Bank Interest / Charges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328</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585</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Canteen/meals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12,256</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59,563</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Cleaning / Domestic</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53</w:t>
            </w:r>
            <w:r w:rsidRPr="0055051C">
              <w:rPr>
                <w:sz w:val="24"/>
                <w:lang w:val="en-GB" w:eastAsia="en-GB"/>
              </w:rPr>
              <w:t>,</w:t>
            </w:r>
            <w:r>
              <w:rPr>
                <w:sz w:val="24"/>
                <w:lang w:val="en-GB" w:eastAsia="en-GB"/>
              </w:rPr>
              <w:t>786</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56,522</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Computer Software Non Capital</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4,203</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11,211</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Computer supplies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w:t>
            </w:r>
            <w:r w:rsidRPr="0055051C">
              <w:rPr>
                <w:sz w:val="24"/>
                <w:lang w:val="en-GB" w:eastAsia="en-GB"/>
              </w:rPr>
              <w:t>,1</w:t>
            </w:r>
            <w:r>
              <w:rPr>
                <w:sz w:val="24"/>
                <w:lang w:val="en-GB" w:eastAsia="en-GB"/>
              </w:rPr>
              <w:t>98</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2,107</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Consultancy fees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w:t>
            </w:r>
            <w:r w:rsidRPr="0055051C">
              <w:rPr>
                <w:sz w:val="24"/>
                <w:lang w:val="en-GB" w:eastAsia="en-GB"/>
              </w:rPr>
              <w:t>,</w:t>
            </w:r>
            <w:r>
              <w:rPr>
                <w:sz w:val="24"/>
                <w:lang w:val="en-GB" w:eastAsia="en-GB"/>
              </w:rPr>
              <w:t>491</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4,341</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Couriers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2</w:t>
            </w:r>
            <w:r w:rsidRPr="0055051C">
              <w:rPr>
                <w:sz w:val="24"/>
                <w:lang w:val="en-GB" w:eastAsia="en-GB"/>
              </w:rPr>
              <w:t>,</w:t>
            </w:r>
            <w:r>
              <w:rPr>
                <w:sz w:val="24"/>
                <w:lang w:val="en-GB" w:eastAsia="en-GB"/>
              </w:rPr>
              <w:t>582</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1,753</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Gas / electricity</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45,786</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39,002</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Health &amp; Safety</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2</w:t>
            </w:r>
            <w:r w:rsidRPr="0055051C">
              <w:rPr>
                <w:sz w:val="24"/>
                <w:lang w:val="en-GB" w:eastAsia="en-GB"/>
              </w:rPr>
              <w:t>,</w:t>
            </w:r>
            <w:r>
              <w:rPr>
                <w:sz w:val="24"/>
                <w:lang w:val="en-GB" w:eastAsia="en-GB"/>
              </w:rPr>
              <w:t>291</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1,503</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Insurance</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11</w:t>
            </w:r>
            <w:r w:rsidRPr="0055051C">
              <w:rPr>
                <w:sz w:val="24"/>
                <w:lang w:val="en-GB" w:eastAsia="en-GB"/>
              </w:rPr>
              <w:t>,</w:t>
            </w:r>
            <w:r>
              <w:rPr>
                <w:sz w:val="24"/>
                <w:lang w:val="en-GB" w:eastAsia="en-GB"/>
              </w:rPr>
              <w:t>366</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14,380</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IT Support</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109</w:t>
            </w:r>
            <w:r w:rsidRPr="0055051C">
              <w:rPr>
                <w:sz w:val="24"/>
                <w:lang w:val="en-GB" w:eastAsia="en-GB"/>
              </w:rPr>
              <w:t>,</w:t>
            </w:r>
            <w:r>
              <w:rPr>
                <w:sz w:val="24"/>
                <w:lang w:val="en-GB" w:eastAsia="en-GB"/>
              </w:rPr>
              <w:t>830</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80,483</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Late Payment Interest</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8</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66</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Legal/Professional Fees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7</w:t>
            </w:r>
            <w:r w:rsidRPr="0055051C">
              <w:rPr>
                <w:sz w:val="24"/>
                <w:lang w:val="en-GB" w:eastAsia="en-GB"/>
              </w:rPr>
              <w:t>,</w:t>
            </w:r>
            <w:r>
              <w:rPr>
                <w:sz w:val="24"/>
                <w:lang w:val="en-GB" w:eastAsia="en-GB"/>
              </w:rPr>
              <w:t>258</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12,876</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Maintenance</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30</w:t>
            </w:r>
            <w:r w:rsidRPr="0055051C">
              <w:rPr>
                <w:sz w:val="24"/>
                <w:lang w:val="en-GB" w:eastAsia="en-GB"/>
              </w:rPr>
              <w:t>,</w:t>
            </w:r>
            <w:r>
              <w:rPr>
                <w:sz w:val="24"/>
                <w:lang w:val="en-GB" w:eastAsia="en-GB"/>
              </w:rPr>
              <w:t>121</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65,164</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Pr>
                <w:rFonts w:ascii="Gill Sans" w:hAnsi="Gill Sans"/>
                <w:sz w:val="24"/>
                <w:lang w:val="en-GB" w:eastAsia="en-GB"/>
              </w:rPr>
              <w:t>Office furniture/</w:t>
            </w:r>
            <w:r w:rsidRPr="0055051C">
              <w:rPr>
                <w:rFonts w:ascii="Gill Sans" w:hAnsi="Gill Sans"/>
                <w:sz w:val="24"/>
                <w:lang w:val="en-GB" w:eastAsia="en-GB"/>
              </w:rPr>
              <w:t>equipment Non</w:t>
            </w:r>
            <w:r>
              <w:rPr>
                <w:rFonts w:ascii="Gill Sans" w:hAnsi="Gill Sans"/>
                <w:sz w:val="24"/>
                <w:lang w:val="en-GB" w:eastAsia="en-GB"/>
              </w:rPr>
              <w:t xml:space="preserve"> Capital</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412</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976</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Office supplies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414</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8,182</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Postage and Telephones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23</w:t>
            </w:r>
            <w:r w:rsidRPr="0055051C">
              <w:rPr>
                <w:sz w:val="24"/>
                <w:lang w:val="en-GB" w:eastAsia="en-GB"/>
              </w:rPr>
              <w:t>,</w:t>
            </w:r>
            <w:r>
              <w:rPr>
                <w:sz w:val="24"/>
                <w:lang w:val="en-GB" w:eastAsia="en-GB"/>
              </w:rPr>
              <w:t>815</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24,806</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Printing / photocopying</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23</w:t>
            </w:r>
            <w:r w:rsidRPr="0055051C">
              <w:rPr>
                <w:sz w:val="24"/>
                <w:lang w:val="en-GB" w:eastAsia="en-GB"/>
              </w:rPr>
              <w:t>,</w:t>
            </w:r>
            <w:r>
              <w:rPr>
                <w:sz w:val="24"/>
                <w:lang w:val="en-GB" w:eastAsia="en-GB"/>
              </w:rPr>
              <w:t>775</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20,362</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Print Management</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0</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2,189</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Publications / periodicals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1,696</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60</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Rates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68</w:t>
            </w:r>
            <w:r w:rsidRPr="0055051C">
              <w:rPr>
                <w:sz w:val="24"/>
                <w:lang w:val="en-GB" w:eastAsia="en-GB"/>
              </w:rPr>
              <w:t>,</w:t>
            </w:r>
            <w:r>
              <w:rPr>
                <w:sz w:val="24"/>
                <w:lang w:val="en-GB" w:eastAsia="en-GB"/>
              </w:rPr>
              <w:t>839</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70,031</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Re</w:t>
            </w:r>
            <w:r>
              <w:rPr>
                <w:rFonts w:ascii="Gill Sans" w:hAnsi="Gill Sans"/>
                <w:sz w:val="24"/>
                <w:lang w:val="en-GB" w:eastAsia="en-GB"/>
              </w:rPr>
              <w:t>cruitment</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5,651</w:t>
            </w: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0</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Representations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433</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112</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Security</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w:t>
            </w:r>
            <w:r>
              <w:rPr>
                <w:sz w:val="24"/>
                <w:lang w:val="en-GB" w:eastAsia="en-GB"/>
              </w:rPr>
              <w:t>5</w:t>
            </w:r>
            <w:r w:rsidRPr="0055051C">
              <w:rPr>
                <w:sz w:val="24"/>
                <w:lang w:val="en-GB" w:eastAsia="en-GB"/>
              </w:rPr>
              <w:t>,</w:t>
            </w:r>
            <w:r>
              <w:rPr>
                <w:sz w:val="24"/>
                <w:lang w:val="en-GB" w:eastAsia="en-GB"/>
              </w:rPr>
              <w:t>458</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17,531</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Subscriptions / Donations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4</w:t>
            </w:r>
            <w:r w:rsidRPr="0055051C">
              <w:rPr>
                <w:sz w:val="24"/>
                <w:lang w:val="en-GB" w:eastAsia="en-GB"/>
              </w:rPr>
              <w:t>,</w:t>
            </w:r>
            <w:r>
              <w:rPr>
                <w:sz w:val="24"/>
                <w:lang w:val="en-GB" w:eastAsia="en-GB"/>
              </w:rPr>
              <w:t>260</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21,857</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Sundry</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785</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-488</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Translations / Interpreters</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1,327</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181</w:t>
            </w:r>
          </w:p>
        </w:tc>
      </w:tr>
      <w:tr w:rsidR="00B87444" w:rsidRPr="004961A0" w:rsidTr="000C6890">
        <w:tc>
          <w:tcPr>
            <w:tcW w:w="4428" w:type="dxa"/>
            <w:shd w:val="clear" w:color="auto" w:fill="auto"/>
            <w:vAlign w:val="bottom"/>
          </w:tcPr>
          <w:p w:rsidR="00B87444" w:rsidRPr="0055051C" w:rsidRDefault="00B87444" w:rsidP="00B87444">
            <w:pPr>
              <w:pStyle w:val="TableRowHead"/>
              <w:rPr>
                <w:rFonts w:ascii="Gill Sans" w:hAnsi="Gill Sans"/>
                <w:sz w:val="24"/>
                <w:lang w:val="en-GB" w:eastAsia="en-GB"/>
              </w:rPr>
            </w:pPr>
            <w:r w:rsidRPr="0055051C">
              <w:rPr>
                <w:rFonts w:ascii="Gill Sans" w:hAnsi="Gill Sans"/>
                <w:sz w:val="24"/>
                <w:lang w:val="en-GB" w:eastAsia="en-GB"/>
              </w:rPr>
              <w:t>Telephone Maintenance</w:t>
            </w:r>
          </w:p>
        </w:tc>
        <w:tc>
          <w:tcPr>
            <w:tcW w:w="1500" w:type="dxa"/>
            <w:shd w:val="clear" w:color="auto" w:fill="auto"/>
            <w:vAlign w:val="bottom"/>
          </w:tcPr>
          <w:p w:rsidR="00B87444" w:rsidRPr="0055051C" w:rsidRDefault="00B87444" w:rsidP="00B87444">
            <w:pPr>
              <w:pStyle w:val="TableCell"/>
              <w:rPr>
                <w:sz w:val="24"/>
                <w:lang w:val="en-GB" w:eastAsia="en-GB"/>
              </w:rPr>
            </w:pPr>
          </w:p>
        </w:tc>
        <w:tc>
          <w:tcPr>
            <w:tcW w:w="1500" w:type="dxa"/>
            <w:shd w:val="clear" w:color="auto" w:fill="auto"/>
            <w:vAlign w:val="bottom"/>
          </w:tcPr>
          <w:p w:rsidR="00B87444" w:rsidRPr="0055051C" w:rsidRDefault="00B87444" w:rsidP="00B87444">
            <w:pPr>
              <w:pStyle w:val="TableCell"/>
              <w:rPr>
                <w:sz w:val="24"/>
                <w:lang w:val="en-GB" w:eastAsia="en-GB"/>
              </w:rPr>
            </w:pPr>
            <w:r>
              <w:rPr>
                <w:sz w:val="24"/>
                <w:lang w:val="en-GB" w:eastAsia="en-GB"/>
              </w:rPr>
              <w:t>1,852</w:t>
            </w:r>
          </w:p>
        </w:tc>
        <w:tc>
          <w:tcPr>
            <w:tcW w:w="1500" w:type="dxa"/>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2,107</w:t>
            </w:r>
          </w:p>
        </w:tc>
      </w:tr>
      <w:tr w:rsidR="00B87444" w:rsidRPr="0055051C" w:rsidTr="000C6890">
        <w:tc>
          <w:tcPr>
            <w:tcW w:w="4428"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Pr="0055051C" w:rsidRDefault="00B87444" w:rsidP="00B87444">
            <w:pPr>
              <w:pStyle w:val="TableRowHead"/>
              <w:rPr>
                <w:rFonts w:ascii="Gill Sans" w:hAnsi="Gill Sans"/>
                <w:sz w:val="24"/>
                <w:lang w:val="en-GB" w:eastAsia="en-GB"/>
              </w:rPr>
            </w:pPr>
            <w:r>
              <w:rPr>
                <w:rFonts w:ascii="Gill Sans" w:hAnsi="Gill Sans"/>
                <w:sz w:val="24"/>
                <w:lang w:val="en-GB" w:eastAsia="en-GB"/>
              </w:rPr>
              <w:t>Reclassification</w:t>
            </w:r>
            <w:r w:rsidRPr="00A76FBC">
              <w:rPr>
                <w:rFonts w:ascii="Gill Sans" w:hAnsi="Gill Sans"/>
                <w:sz w:val="24"/>
                <w:lang w:val="en-GB" w:eastAsia="en-GB"/>
              </w:rPr>
              <w:t xml:space="preserve"> of fixed assets</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Pr="0055051C" w:rsidRDefault="00B87444" w:rsidP="00B87444">
            <w:pPr>
              <w:pStyle w:val="TableCell"/>
              <w:rPr>
                <w:sz w:val="24"/>
                <w:lang w:val="en-GB" w:eastAsia="en-GB"/>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Default="00B87444" w:rsidP="00B87444">
            <w:pPr>
              <w:pStyle w:val="TableCell"/>
              <w:rPr>
                <w:sz w:val="24"/>
                <w:lang w:val="en-GB" w:eastAsia="en-GB"/>
              </w:rPr>
            </w:pPr>
            <w:r>
              <w:rPr>
                <w:sz w:val="24"/>
                <w:lang w:val="en-GB" w:eastAsia="en-GB"/>
              </w:rPr>
              <w:t>5,671</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Pr="0055051C" w:rsidRDefault="00B87444" w:rsidP="00B87444">
            <w:pPr>
              <w:pStyle w:val="TableCell"/>
              <w:rPr>
                <w:sz w:val="24"/>
                <w:lang w:val="en-GB" w:eastAsia="en-GB"/>
              </w:rPr>
            </w:pPr>
            <w:r>
              <w:rPr>
                <w:sz w:val="24"/>
                <w:lang w:val="en-GB" w:eastAsia="en-GB"/>
              </w:rPr>
              <w:t>0</w:t>
            </w:r>
          </w:p>
        </w:tc>
      </w:tr>
      <w:tr w:rsidR="00B87444" w:rsidRPr="0055051C" w:rsidTr="000C6890">
        <w:tc>
          <w:tcPr>
            <w:tcW w:w="4428"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Pr="0055051C" w:rsidRDefault="00B87444" w:rsidP="00B87444">
            <w:pPr>
              <w:pStyle w:val="TableRowHead"/>
              <w:rPr>
                <w:rFonts w:ascii="Gill Sans" w:hAnsi="Gill Sans"/>
                <w:sz w:val="24"/>
                <w:lang w:val="en-GB" w:eastAsia="en-GB"/>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Pr="0055051C" w:rsidRDefault="00B87444" w:rsidP="00B87444">
            <w:pPr>
              <w:pStyle w:val="TableCell"/>
              <w:rPr>
                <w:sz w:val="24"/>
                <w:lang w:val="en-GB" w:eastAsia="en-GB"/>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Pr="0055051C" w:rsidRDefault="00B87444" w:rsidP="00B87444">
            <w:pPr>
              <w:pStyle w:val="TableCell"/>
              <w:rPr>
                <w:sz w:val="24"/>
                <w:lang w:val="en-GB" w:eastAsia="en-GB"/>
              </w:rPr>
            </w:pPr>
            <w:r>
              <w:rPr>
                <w:sz w:val="24"/>
                <w:lang w:val="en-GB" w:eastAsia="en-GB"/>
              </w:rPr>
              <w:t>569</w:t>
            </w:r>
            <w:r w:rsidRPr="0055051C">
              <w:rPr>
                <w:sz w:val="24"/>
                <w:lang w:val="en-GB" w:eastAsia="en-GB"/>
              </w:rPr>
              <w:t>,</w:t>
            </w:r>
            <w:r>
              <w:rPr>
                <w:sz w:val="24"/>
                <w:lang w:val="en-GB" w:eastAsia="en-GB"/>
              </w:rPr>
              <w:t>312</w:t>
            </w:r>
          </w:p>
        </w:tc>
        <w:tc>
          <w:tcPr>
            <w:tcW w:w="1500"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Pr="0055051C" w:rsidRDefault="00B87444" w:rsidP="00B87444">
            <w:pPr>
              <w:pStyle w:val="TableCell"/>
              <w:rPr>
                <w:sz w:val="24"/>
                <w:lang w:val="en-GB" w:eastAsia="en-GB"/>
              </w:rPr>
            </w:pPr>
            <w:r w:rsidRPr="0055051C">
              <w:rPr>
                <w:sz w:val="24"/>
                <w:lang w:val="en-GB" w:eastAsia="en-GB"/>
              </w:rPr>
              <w:t>677,175</w:t>
            </w:r>
          </w:p>
        </w:tc>
      </w:tr>
    </w:tbl>
    <w:p w:rsidR="00B87444" w:rsidRDefault="00B87444" w:rsidP="00B87444">
      <w:pPr>
        <w:pStyle w:val="Heading2"/>
      </w:pPr>
      <w:bookmarkStart w:id="53" w:name="_Toc335836400"/>
    </w:p>
    <w:p w:rsidR="00B87444" w:rsidRPr="0055051C" w:rsidRDefault="00B87444" w:rsidP="00E41BEB">
      <w:pPr>
        <w:pStyle w:val="Heading3"/>
        <w:rPr>
          <w:lang w:val="en-GB" w:eastAsia="en-GB"/>
        </w:rPr>
      </w:pPr>
      <w:r w:rsidRPr="0055051C">
        <w:rPr>
          <w:lang w:val="en-GB" w:eastAsia="en-GB"/>
        </w:rPr>
        <w:t xml:space="preserve">6. </w:t>
      </w:r>
      <w:r>
        <w:rPr>
          <w:lang w:val="en-GB" w:eastAsia="en-GB"/>
        </w:rPr>
        <w:t>Authority Fees and Expenses</w:t>
      </w:r>
      <w:bookmarkEnd w:id="53"/>
    </w:p>
    <w:p w:rsidR="00B87444" w:rsidRDefault="00B87444" w:rsidP="00B87444">
      <w:pPr>
        <w:rPr>
          <w:rFonts w:cs="Gill Sans"/>
          <w:lang w:val="en-GB" w:eastAsia="en-GB"/>
        </w:rPr>
      </w:pPr>
      <w:r w:rsidRPr="0055051C">
        <w:rPr>
          <w:lang w:val="en-GB" w:eastAsia="en-GB"/>
        </w:rPr>
        <w:t xml:space="preserve">Expenditure of </w:t>
      </w:r>
      <w:r w:rsidRPr="0055051C">
        <w:rPr>
          <w:rFonts w:cs="Arial"/>
          <w:lang w:val="en-GB" w:eastAsia="en-GB"/>
        </w:rPr>
        <w:t>€</w:t>
      </w:r>
      <w:r>
        <w:rPr>
          <w:lang w:val="en-GB" w:eastAsia="en-GB"/>
        </w:rPr>
        <w:t>59</w:t>
      </w:r>
      <w:r w:rsidRPr="0055051C">
        <w:rPr>
          <w:lang w:val="en-GB" w:eastAsia="en-GB"/>
        </w:rPr>
        <w:t>,</w:t>
      </w:r>
      <w:r>
        <w:rPr>
          <w:lang w:val="en-GB" w:eastAsia="en-GB"/>
        </w:rPr>
        <w:t>423</w:t>
      </w:r>
      <w:r w:rsidRPr="0055051C">
        <w:rPr>
          <w:lang w:val="en-GB" w:eastAsia="en-GB"/>
        </w:rPr>
        <w:t xml:space="preserve"> (</w:t>
      </w:r>
      <w:r w:rsidRPr="0055051C">
        <w:rPr>
          <w:rFonts w:cs="Arial"/>
          <w:lang w:val="en-GB" w:eastAsia="en-GB"/>
        </w:rPr>
        <w:t>€</w:t>
      </w:r>
      <w:r>
        <w:rPr>
          <w:rFonts w:cs="Gill Sans"/>
          <w:lang w:val="en-GB" w:eastAsia="en-GB"/>
        </w:rPr>
        <w:t>73</w:t>
      </w:r>
      <w:r w:rsidRPr="0055051C">
        <w:rPr>
          <w:rFonts w:cs="Gill Sans"/>
          <w:lang w:val="en-GB" w:eastAsia="en-GB"/>
        </w:rPr>
        <w:t>,</w:t>
      </w:r>
      <w:r>
        <w:rPr>
          <w:rFonts w:cs="Gill Sans"/>
          <w:lang w:val="en-GB" w:eastAsia="en-GB"/>
        </w:rPr>
        <w:t>317 in 2011</w:t>
      </w:r>
      <w:r w:rsidRPr="0055051C">
        <w:rPr>
          <w:rFonts w:cs="Gill Sans"/>
          <w:lang w:val="en-GB" w:eastAsia="en-GB"/>
        </w:rPr>
        <w:t>) in respect of the Authority Fees was paid.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906"/>
        <w:gridCol w:w="1749"/>
        <w:gridCol w:w="1749"/>
        <w:gridCol w:w="1749"/>
      </w:tblGrid>
      <w:tr w:rsidR="00B87444" w:rsidRPr="008358AD" w:rsidTr="000C6890">
        <w:trPr>
          <w:tblHeader/>
        </w:trPr>
        <w:tc>
          <w:tcPr>
            <w:tcW w:w="3168" w:type="dxa"/>
            <w:shd w:val="clear" w:color="auto" w:fill="auto"/>
          </w:tcPr>
          <w:p w:rsidR="00B87444" w:rsidRPr="008358AD" w:rsidRDefault="00B87444" w:rsidP="00B87444">
            <w:pPr>
              <w:pStyle w:val="TableHead"/>
              <w:rPr>
                <w:lang w:val="en-GB" w:eastAsia="en-GB"/>
              </w:rPr>
            </w:pPr>
            <w:r w:rsidRPr="008358AD">
              <w:rPr>
                <w:lang w:val="en-GB" w:eastAsia="en-GB"/>
              </w:rPr>
              <w:t>Authority Member</w:t>
            </w:r>
          </w:p>
        </w:tc>
        <w:tc>
          <w:tcPr>
            <w:tcW w:w="1896" w:type="dxa"/>
            <w:shd w:val="clear" w:color="auto" w:fill="auto"/>
          </w:tcPr>
          <w:p w:rsidR="00B87444" w:rsidRPr="008358AD" w:rsidRDefault="00B87444" w:rsidP="00B87444">
            <w:pPr>
              <w:pStyle w:val="TableHead"/>
              <w:rPr>
                <w:lang w:val="en-GB" w:eastAsia="en-GB"/>
              </w:rPr>
            </w:pPr>
            <w:r w:rsidRPr="008358AD">
              <w:rPr>
                <w:lang w:val="en-GB" w:eastAsia="en-GB"/>
              </w:rPr>
              <w:t>Fees</w:t>
            </w:r>
          </w:p>
        </w:tc>
        <w:tc>
          <w:tcPr>
            <w:tcW w:w="1896" w:type="dxa"/>
            <w:shd w:val="clear" w:color="auto" w:fill="auto"/>
          </w:tcPr>
          <w:p w:rsidR="00B87444" w:rsidRPr="008358AD" w:rsidRDefault="00B87444" w:rsidP="00B87444">
            <w:pPr>
              <w:pStyle w:val="TableHead"/>
              <w:rPr>
                <w:lang w:val="en-GB" w:eastAsia="en-GB"/>
              </w:rPr>
            </w:pPr>
            <w:r w:rsidRPr="008358AD">
              <w:rPr>
                <w:lang w:val="en-GB" w:eastAsia="en-GB"/>
              </w:rPr>
              <w:t>Expenses paid to or on behalf of</w:t>
            </w:r>
          </w:p>
        </w:tc>
        <w:tc>
          <w:tcPr>
            <w:tcW w:w="1896" w:type="dxa"/>
            <w:shd w:val="clear" w:color="auto" w:fill="auto"/>
          </w:tcPr>
          <w:p w:rsidR="00B87444" w:rsidRPr="008358AD" w:rsidRDefault="00B87444" w:rsidP="00B87444">
            <w:pPr>
              <w:pStyle w:val="TableHead"/>
              <w:rPr>
                <w:lang w:val="en-GB" w:eastAsia="en-GB"/>
              </w:rPr>
            </w:pPr>
            <w:r>
              <w:rPr>
                <w:lang w:val="en-GB" w:eastAsia="en-GB"/>
              </w:rPr>
              <w:t>Total</w:t>
            </w: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Peter McKevitt</w:t>
            </w:r>
          </w:p>
        </w:tc>
        <w:tc>
          <w:tcPr>
            <w:tcW w:w="1896" w:type="dxa"/>
            <w:shd w:val="clear" w:color="auto" w:fill="auto"/>
          </w:tcPr>
          <w:p w:rsidR="00B87444" w:rsidRPr="008358AD" w:rsidRDefault="00B87444" w:rsidP="00B87444">
            <w:pPr>
              <w:pStyle w:val="TableCell"/>
              <w:rPr>
                <w:sz w:val="24"/>
                <w:lang w:val="en-GB" w:eastAsia="en-GB"/>
              </w:rPr>
            </w:pPr>
            <w:r w:rsidRPr="00EB5111">
              <w:t>€</w:t>
            </w:r>
            <w:r w:rsidRPr="008358AD">
              <w:rPr>
                <w:sz w:val="24"/>
                <w:lang w:val="en-GB" w:eastAsia="en-GB"/>
              </w:rPr>
              <w:t>8,978</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209</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Caroline Burrell</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5,985</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116</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Desmond Kenny</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5,985</w:t>
            </w:r>
          </w:p>
        </w:tc>
        <w:tc>
          <w:tcPr>
            <w:tcW w:w="1896" w:type="dxa"/>
            <w:shd w:val="clear" w:color="auto" w:fill="auto"/>
          </w:tcPr>
          <w:p w:rsidR="00B87444" w:rsidRPr="008358AD" w:rsidRDefault="00B87444" w:rsidP="00B87444">
            <w:pPr>
              <w:pStyle w:val="TableCell"/>
              <w:rPr>
                <w:sz w:val="24"/>
                <w:lang w:val="en-GB" w:eastAsia="en-GB"/>
              </w:rPr>
            </w:pPr>
            <w:r w:rsidRPr="008358AD">
              <w:rPr>
                <w:sz w:val="24"/>
                <w:lang w:val="en-GB" w:eastAsia="en-GB"/>
              </w:rPr>
              <w:t> </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Fiona Duignan</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0</w:t>
            </w:r>
          </w:p>
        </w:tc>
        <w:tc>
          <w:tcPr>
            <w:tcW w:w="1896" w:type="dxa"/>
            <w:shd w:val="clear" w:color="auto" w:fill="auto"/>
          </w:tcPr>
          <w:p w:rsidR="00B87444" w:rsidRPr="008358AD" w:rsidRDefault="00B87444" w:rsidP="00B87444">
            <w:pPr>
              <w:pStyle w:val="TableCell"/>
              <w:rPr>
                <w:sz w:val="24"/>
                <w:lang w:val="en-GB" w:eastAsia="en-GB"/>
              </w:rPr>
            </w:pPr>
            <w:r w:rsidRPr="008358AD">
              <w:rPr>
                <w:sz w:val="24"/>
                <w:lang w:val="en-GB" w:eastAsia="en-GB"/>
              </w:rPr>
              <w:t> </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Joanne McCarthy</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5,985</w:t>
            </w:r>
          </w:p>
        </w:tc>
        <w:tc>
          <w:tcPr>
            <w:tcW w:w="1896" w:type="dxa"/>
            <w:shd w:val="clear" w:color="auto" w:fill="auto"/>
          </w:tcPr>
          <w:p w:rsidR="00B87444" w:rsidRPr="008358AD" w:rsidRDefault="00B87444" w:rsidP="00B87444">
            <w:pPr>
              <w:pStyle w:val="TableCell"/>
              <w:rPr>
                <w:sz w:val="24"/>
                <w:lang w:val="en-GB" w:eastAsia="en-GB"/>
              </w:rPr>
            </w:pPr>
            <w:r w:rsidRPr="008358AD">
              <w:rPr>
                <w:sz w:val="24"/>
                <w:lang w:val="en-GB" w:eastAsia="en-GB"/>
              </w:rPr>
              <w:t> </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Mary Lavelle</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5,985</w:t>
            </w:r>
          </w:p>
        </w:tc>
        <w:tc>
          <w:tcPr>
            <w:tcW w:w="1896" w:type="dxa"/>
            <w:shd w:val="clear" w:color="auto" w:fill="auto"/>
          </w:tcPr>
          <w:p w:rsidR="00B87444" w:rsidRPr="008358AD" w:rsidRDefault="00B87444" w:rsidP="00B87444">
            <w:pPr>
              <w:pStyle w:val="TableCell"/>
              <w:rPr>
                <w:sz w:val="24"/>
                <w:lang w:val="en-GB" w:eastAsia="en-GB"/>
              </w:rPr>
            </w:pPr>
            <w:r w:rsidRPr="008358AD">
              <w:rPr>
                <w:sz w:val="24"/>
                <w:lang w:val="en-GB" w:eastAsia="en-GB"/>
              </w:rPr>
              <w:t> </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Tara Cunningham</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5,985</w:t>
            </w:r>
          </w:p>
        </w:tc>
        <w:tc>
          <w:tcPr>
            <w:tcW w:w="1896" w:type="dxa"/>
            <w:shd w:val="clear" w:color="auto" w:fill="auto"/>
          </w:tcPr>
          <w:p w:rsidR="00B87444" w:rsidRPr="008358AD" w:rsidRDefault="00B87444" w:rsidP="00B87444">
            <w:pPr>
              <w:pStyle w:val="TableCell"/>
              <w:rPr>
                <w:sz w:val="24"/>
                <w:lang w:val="en-GB" w:eastAsia="en-GB"/>
              </w:rPr>
            </w:pP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Tony Bates</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0</w:t>
            </w:r>
          </w:p>
        </w:tc>
        <w:tc>
          <w:tcPr>
            <w:tcW w:w="1896" w:type="dxa"/>
            <w:shd w:val="clear" w:color="auto" w:fill="auto"/>
          </w:tcPr>
          <w:p w:rsidR="00B87444" w:rsidRPr="008358AD" w:rsidRDefault="00B87444" w:rsidP="00B87444">
            <w:pPr>
              <w:pStyle w:val="TableCell"/>
              <w:rPr>
                <w:sz w:val="24"/>
                <w:lang w:val="en-GB" w:eastAsia="en-GB"/>
              </w:rPr>
            </w:pPr>
            <w:r w:rsidRPr="008358AD">
              <w:rPr>
                <w:sz w:val="24"/>
                <w:lang w:val="en-GB" w:eastAsia="en-GB"/>
              </w:rPr>
              <w:t> </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Frank Cunneen</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5,985</w:t>
            </w:r>
          </w:p>
        </w:tc>
        <w:tc>
          <w:tcPr>
            <w:tcW w:w="1896" w:type="dxa"/>
            <w:shd w:val="clear" w:color="auto" w:fill="auto"/>
          </w:tcPr>
          <w:p w:rsidR="00B87444" w:rsidRPr="008358AD" w:rsidRDefault="00B87444" w:rsidP="00B87444">
            <w:pPr>
              <w:pStyle w:val="TableCell"/>
              <w:rPr>
                <w:sz w:val="24"/>
                <w:lang w:val="en-GB" w:eastAsia="en-GB"/>
              </w:rPr>
            </w:pPr>
            <w:r w:rsidRPr="008358AD">
              <w:rPr>
                <w:sz w:val="24"/>
                <w:lang w:val="en-GB" w:eastAsia="en-GB"/>
              </w:rPr>
              <w:t> </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David Joyce</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5,985</w:t>
            </w:r>
          </w:p>
        </w:tc>
        <w:tc>
          <w:tcPr>
            <w:tcW w:w="1896" w:type="dxa"/>
            <w:shd w:val="clear" w:color="auto" w:fill="auto"/>
          </w:tcPr>
          <w:p w:rsidR="00B87444" w:rsidRPr="008358AD" w:rsidRDefault="00B87444" w:rsidP="00B87444">
            <w:pPr>
              <w:pStyle w:val="TableCell"/>
              <w:rPr>
                <w:sz w:val="24"/>
                <w:lang w:val="en-GB" w:eastAsia="en-GB"/>
              </w:rPr>
            </w:pPr>
            <w:r w:rsidRPr="008358AD">
              <w:rPr>
                <w:sz w:val="24"/>
                <w:lang w:val="en-GB" w:eastAsia="en-GB"/>
              </w:rPr>
              <w:t> </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Pr>
                <w:rFonts w:ascii="Gill Sans" w:hAnsi="Gill Sans"/>
                <w:sz w:val="24"/>
                <w:lang w:val="en-GB" w:eastAsia="en-GB"/>
              </w:rPr>
              <w:t>James O’Grady</w:t>
            </w:r>
          </w:p>
        </w:tc>
        <w:tc>
          <w:tcPr>
            <w:tcW w:w="1896" w:type="dxa"/>
            <w:shd w:val="clear" w:color="auto" w:fill="auto"/>
          </w:tcPr>
          <w:p w:rsidR="00B87444" w:rsidRPr="008358AD" w:rsidRDefault="00B87444" w:rsidP="00B87444">
            <w:pPr>
              <w:pStyle w:val="TableCell"/>
              <w:rPr>
                <w:sz w:val="24"/>
                <w:lang w:val="en-GB" w:eastAsia="en-GB"/>
              </w:rPr>
            </w:pPr>
            <w:r w:rsidRPr="00EB5111">
              <w:t>€</w:t>
            </w:r>
            <w:r w:rsidRPr="008358AD">
              <w:rPr>
                <w:sz w:val="24"/>
                <w:lang w:val="en-GB" w:eastAsia="en-GB"/>
              </w:rPr>
              <w:t>5,985</w:t>
            </w:r>
          </w:p>
        </w:tc>
        <w:tc>
          <w:tcPr>
            <w:tcW w:w="1896" w:type="dxa"/>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4,087</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Default="00B87444" w:rsidP="00B87444">
            <w:pPr>
              <w:pStyle w:val="TableRowHead"/>
              <w:rPr>
                <w:rFonts w:ascii="Gill Sans" w:hAnsi="Gill Sans"/>
                <w:sz w:val="24"/>
                <w:lang w:val="en-GB" w:eastAsia="en-GB"/>
              </w:rPr>
            </w:pPr>
            <w:r>
              <w:rPr>
                <w:rFonts w:ascii="Gill Sans" w:hAnsi="Gill Sans"/>
                <w:sz w:val="24"/>
                <w:lang w:val="en-GB" w:eastAsia="en-GB"/>
              </w:rPr>
              <w:t>Linda Grealy</w:t>
            </w:r>
          </w:p>
        </w:tc>
        <w:tc>
          <w:tcPr>
            <w:tcW w:w="1896" w:type="dxa"/>
            <w:tcBorders>
              <w:bottom w:val="single" w:sz="2" w:space="0" w:color="000000"/>
            </w:tcBorders>
            <w:shd w:val="clear" w:color="auto" w:fill="auto"/>
          </w:tcPr>
          <w:p w:rsidR="00B87444" w:rsidRPr="008358AD" w:rsidRDefault="00B87444" w:rsidP="00B87444">
            <w:pPr>
              <w:pStyle w:val="TableCell"/>
              <w:rPr>
                <w:rFonts w:ascii="Arial" w:hAnsi="Arial" w:cs="Arial"/>
                <w:sz w:val="24"/>
                <w:lang w:val="en-GB" w:eastAsia="en-GB"/>
              </w:rPr>
            </w:pPr>
            <w:r w:rsidRPr="00EB5111">
              <w:t>€</w:t>
            </w:r>
            <w:r>
              <w:rPr>
                <w:sz w:val="24"/>
                <w:lang w:val="en-GB" w:eastAsia="en-GB"/>
              </w:rPr>
              <w:t>0</w:t>
            </w:r>
          </w:p>
        </w:tc>
        <w:tc>
          <w:tcPr>
            <w:tcW w:w="1896" w:type="dxa"/>
            <w:tcBorders>
              <w:bottom w:val="single" w:sz="2" w:space="0" w:color="000000"/>
            </w:tcBorders>
            <w:shd w:val="clear" w:color="auto" w:fill="auto"/>
          </w:tcPr>
          <w:p w:rsidR="00B87444" w:rsidRPr="008358AD" w:rsidRDefault="00B87444" w:rsidP="00B87444">
            <w:pPr>
              <w:pStyle w:val="TableCell"/>
              <w:rPr>
                <w:sz w:val="24"/>
                <w:lang w:val="en-GB" w:eastAsia="en-GB"/>
              </w:rPr>
            </w:pP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tcBorders>
              <w:right w:val="single" w:sz="2" w:space="0" w:color="000000"/>
            </w:tcBorders>
            <w:shd w:val="clear" w:color="auto" w:fill="auto"/>
            <w:vAlign w:val="bottom"/>
          </w:tcPr>
          <w:p w:rsidR="00B87444" w:rsidRDefault="00B87444" w:rsidP="00B87444">
            <w:pPr>
              <w:pStyle w:val="TableRowHead"/>
              <w:rPr>
                <w:rFonts w:ascii="Gill Sans" w:hAnsi="Gill Sans"/>
                <w:sz w:val="24"/>
                <w:lang w:val="en-GB" w:eastAsia="en-GB"/>
              </w:rPr>
            </w:pPr>
            <w:r>
              <w:rPr>
                <w:rFonts w:ascii="Gill Sans" w:hAnsi="Gill Sans"/>
                <w:sz w:val="24"/>
                <w:lang w:val="en-GB" w:eastAsia="en-GB"/>
              </w:rPr>
              <w:t>Shane Hogan</w:t>
            </w:r>
          </w:p>
        </w:tc>
        <w:tc>
          <w:tcPr>
            <w:tcW w:w="1896" w:type="dxa"/>
            <w:tcBorders>
              <w:top w:val="single" w:sz="2" w:space="0" w:color="000000"/>
              <w:left w:val="single" w:sz="2" w:space="0" w:color="000000"/>
              <w:bottom w:val="single" w:sz="18" w:space="0" w:color="000000"/>
              <w:right w:val="single" w:sz="2" w:space="0" w:color="000000"/>
            </w:tcBorders>
            <w:shd w:val="clear" w:color="auto" w:fill="auto"/>
          </w:tcPr>
          <w:p w:rsidR="00B87444" w:rsidRPr="008358AD" w:rsidRDefault="00B87444" w:rsidP="00B87444">
            <w:pPr>
              <w:pStyle w:val="TableCell"/>
              <w:rPr>
                <w:rFonts w:ascii="Arial" w:hAnsi="Arial" w:cs="Arial"/>
                <w:sz w:val="24"/>
                <w:lang w:val="en-GB" w:eastAsia="en-GB"/>
              </w:rPr>
            </w:pPr>
            <w:r w:rsidRPr="00EB5111">
              <w:t>€</w:t>
            </w:r>
            <w:r>
              <w:rPr>
                <w:sz w:val="24"/>
                <w:lang w:val="en-GB" w:eastAsia="en-GB"/>
              </w:rPr>
              <w:t>0</w:t>
            </w:r>
          </w:p>
        </w:tc>
        <w:tc>
          <w:tcPr>
            <w:tcW w:w="1896" w:type="dxa"/>
            <w:tcBorders>
              <w:top w:val="single" w:sz="2" w:space="0" w:color="000000"/>
              <w:left w:val="single" w:sz="2" w:space="0" w:color="000000"/>
              <w:bottom w:val="single" w:sz="18" w:space="0" w:color="000000"/>
              <w:right w:val="single" w:sz="2" w:space="0" w:color="000000"/>
            </w:tcBorders>
            <w:shd w:val="clear" w:color="auto" w:fill="auto"/>
          </w:tcPr>
          <w:p w:rsidR="00B87444" w:rsidRPr="008358AD" w:rsidRDefault="00B87444" w:rsidP="00B87444">
            <w:pPr>
              <w:pStyle w:val="TableCell"/>
              <w:rPr>
                <w:sz w:val="24"/>
                <w:lang w:val="en-GB" w:eastAsia="en-GB"/>
              </w:rPr>
            </w:pPr>
          </w:p>
        </w:tc>
        <w:tc>
          <w:tcPr>
            <w:tcW w:w="1896" w:type="dxa"/>
            <w:tcBorders>
              <w:left w:val="single" w:sz="2" w:space="0" w:color="000000"/>
            </w:tcBorders>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Default="00B87444" w:rsidP="00B87444">
            <w:pPr>
              <w:pStyle w:val="TableRowHead"/>
              <w:rPr>
                <w:rFonts w:ascii="Gill Sans" w:hAnsi="Gill Sans"/>
                <w:sz w:val="24"/>
                <w:lang w:val="en-GB" w:eastAsia="en-GB"/>
              </w:rPr>
            </w:pPr>
            <w:r>
              <w:rPr>
                <w:rFonts w:ascii="Gill Sans" w:hAnsi="Gill Sans"/>
                <w:sz w:val="24"/>
                <w:lang w:val="en-GB" w:eastAsia="en-GB"/>
              </w:rPr>
              <w:t>Subtotal</w:t>
            </w:r>
          </w:p>
        </w:tc>
        <w:tc>
          <w:tcPr>
            <w:tcW w:w="1896" w:type="dxa"/>
            <w:tcBorders>
              <w:top w:val="single" w:sz="18" w:space="0" w:color="000000"/>
            </w:tcBorders>
            <w:shd w:val="clear" w:color="auto" w:fill="auto"/>
          </w:tcPr>
          <w:p w:rsidR="00B87444" w:rsidRPr="008358AD" w:rsidRDefault="00B87444" w:rsidP="00B87444">
            <w:pPr>
              <w:pStyle w:val="TableCell"/>
              <w:rPr>
                <w:rFonts w:ascii="Arial" w:hAnsi="Arial" w:cs="Arial"/>
                <w:sz w:val="24"/>
                <w:lang w:val="en-GB" w:eastAsia="en-GB"/>
              </w:rPr>
            </w:pPr>
            <w:r w:rsidRPr="00EB5111">
              <w:t>€</w:t>
            </w:r>
            <w:r>
              <w:rPr>
                <w:sz w:val="24"/>
                <w:lang w:val="en-GB" w:eastAsia="en-GB"/>
              </w:rPr>
              <w:t>56</w:t>
            </w:r>
            <w:r w:rsidRPr="008358AD">
              <w:rPr>
                <w:sz w:val="24"/>
                <w:lang w:val="en-GB" w:eastAsia="en-GB"/>
              </w:rPr>
              <w:t>,</w:t>
            </w:r>
            <w:r>
              <w:rPr>
                <w:sz w:val="24"/>
                <w:lang w:val="en-GB" w:eastAsia="en-GB"/>
              </w:rPr>
              <w:t>858</w:t>
            </w:r>
          </w:p>
        </w:tc>
        <w:tc>
          <w:tcPr>
            <w:tcW w:w="1896" w:type="dxa"/>
            <w:tcBorders>
              <w:top w:val="single" w:sz="18" w:space="0" w:color="000000"/>
            </w:tcBorders>
            <w:shd w:val="clear" w:color="auto" w:fill="auto"/>
          </w:tcPr>
          <w:p w:rsidR="00B87444" w:rsidRPr="008358AD" w:rsidRDefault="00B87444" w:rsidP="00B87444">
            <w:pPr>
              <w:pStyle w:val="TableCell"/>
              <w:rPr>
                <w:sz w:val="24"/>
                <w:lang w:val="en-GB" w:eastAsia="en-GB"/>
              </w:rPr>
            </w:pPr>
            <w:r w:rsidRPr="00EB5111">
              <w:t>€</w:t>
            </w:r>
            <w:r w:rsidRPr="008358AD">
              <w:rPr>
                <w:sz w:val="24"/>
                <w:lang w:val="en-GB" w:eastAsia="en-GB"/>
              </w:rPr>
              <w:t>4</w:t>
            </w:r>
            <w:r>
              <w:rPr>
                <w:sz w:val="24"/>
                <w:lang w:val="en-GB" w:eastAsia="en-GB"/>
              </w:rPr>
              <w:t>,412</w:t>
            </w: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Default="00B87444" w:rsidP="00B87444">
            <w:pPr>
              <w:pStyle w:val="TableRowHead"/>
              <w:rPr>
                <w:rFonts w:ascii="Gill Sans" w:hAnsi="Gill Sans"/>
                <w:sz w:val="24"/>
                <w:lang w:val="en-GB" w:eastAsia="en-GB"/>
              </w:rPr>
            </w:pPr>
          </w:p>
        </w:tc>
        <w:tc>
          <w:tcPr>
            <w:tcW w:w="1896" w:type="dxa"/>
            <w:tcBorders>
              <w:bottom w:val="single" w:sz="2" w:space="0" w:color="000000"/>
            </w:tcBorders>
            <w:shd w:val="clear" w:color="auto" w:fill="auto"/>
          </w:tcPr>
          <w:p w:rsidR="00B87444" w:rsidRPr="008358AD" w:rsidRDefault="00B87444" w:rsidP="00B87444">
            <w:pPr>
              <w:pStyle w:val="TableCell"/>
              <w:rPr>
                <w:rFonts w:ascii="Arial" w:hAnsi="Arial" w:cs="Arial"/>
                <w:sz w:val="24"/>
                <w:lang w:val="en-GB" w:eastAsia="en-GB"/>
              </w:rPr>
            </w:pPr>
          </w:p>
        </w:tc>
        <w:tc>
          <w:tcPr>
            <w:tcW w:w="1896" w:type="dxa"/>
            <w:tcBorders>
              <w:bottom w:val="single" w:sz="2" w:space="0" w:color="000000"/>
            </w:tcBorders>
            <w:shd w:val="clear" w:color="auto" w:fill="auto"/>
          </w:tcPr>
          <w:p w:rsidR="00B87444" w:rsidRPr="008358AD" w:rsidRDefault="00B87444" w:rsidP="00B87444">
            <w:pPr>
              <w:pStyle w:val="TableCell"/>
              <w:rPr>
                <w:sz w:val="24"/>
                <w:lang w:val="en-GB" w:eastAsia="en-GB"/>
              </w:rPr>
            </w:pPr>
          </w:p>
        </w:tc>
        <w:tc>
          <w:tcPr>
            <w:tcW w:w="1896" w:type="dxa"/>
            <w:shd w:val="clear" w:color="auto" w:fill="auto"/>
          </w:tcPr>
          <w:p w:rsidR="00B87444" w:rsidRPr="008358AD" w:rsidRDefault="00B87444" w:rsidP="00B87444">
            <w:pPr>
              <w:pStyle w:val="TableCell"/>
              <w:rPr>
                <w:sz w:val="24"/>
                <w:lang w:val="en-GB" w:eastAsia="en-GB"/>
              </w:rPr>
            </w:pPr>
          </w:p>
        </w:tc>
      </w:tr>
      <w:tr w:rsidR="009D3F2F" w:rsidRPr="008358AD" w:rsidTr="000C6890">
        <w:tc>
          <w:tcPr>
            <w:tcW w:w="3168" w:type="dxa"/>
            <w:shd w:val="clear" w:color="auto" w:fill="auto"/>
            <w:vAlign w:val="bottom"/>
          </w:tcPr>
          <w:p w:rsidR="009D3F2F" w:rsidRPr="009D3F2F" w:rsidRDefault="009D3F2F" w:rsidP="00B87444">
            <w:pPr>
              <w:pStyle w:val="TableRowHead"/>
              <w:rPr>
                <w:rFonts w:ascii="Gill Sans" w:hAnsi="Gill Sans"/>
                <w:sz w:val="24"/>
                <w:lang w:val="en-GB" w:eastAsia="en-GB"/>
              </w:rPr>
            </w:pPr>
            <w:r w:rsidRPr="009D3F2F">
              <w:rPr>
                <w:rFonts w:ascii="Gill Sans" w:hAnsi="Gill Sans"/>
                <w:sz w:val="24"/>
                <w:lang w:val="en-GB" w:eastAsia="en-GB"/>
              </w:rPr>
              <w:t>Non Authority Member:</w:t>
            </w:r>
          </w:p>
        </w:tc>
        <w:tc>
          <w:tcPr>
            <w:tcW w:w="1896" w:type="dxa"/>
            <w:tcBorders>
              <w:bottom w:val="single" w:sz="2" w:space="0" w:color="000000"/>
            </w:tcBorders>
            <w:shd w:val="clear" w:color="auto" w:fill="auto"/>
          </w:tcPr>
          <w:p w:rsidR="009D3F2F" w:rsidRPr="008358AD" w:rsidRDefault="009D3F2F" w:rsidP="00B87444">
            <w:pPr>
              <w:pStyle w:val="TableCell"/>
              <w:rPr>
                <w:rFonts w:ascii="Arial" w:hAnsi="Arial" w:cs="Arial"/>
                <w:sz w:val="24"/>
                <w:lang w:val="en-GB" w:eastAsia="en-GB"/>
              </w:rPr>
            </w:pPr>
          </w:p>
        </w:tc>
        <w:tc>
          <w:tcPr>
            <w:tcW w:w="1896" w:type="dxa"/>
            <w:tcBorders>
              <w:bottom w:val="single" w:sz="2" w:space="0" w:color="000000"/>
            </w:tcBorders>
            <w:shd w:val="clear" w:color="auto" w:fill="auto"/>
          </w:tcPr>
          <w:p w:rsidR="009D3F2F" w:rsidRPr="008358AD" w:rsidRDefault="009D3F2F" w:rsidP="00B87444">
            <w:pPr>
              <w:pStyle w:val="TableCell"/>
              <w:rPr>
                <w:sz w:val="24"/>
                <w:lang w:val="en-GB" w:eastAsia="en-GB"/>
              </w:rPr>
            </w:pPr>
          </w:p>
        </w:tc>
        <w:tc>
          <w:tcPr>
            <w:tcW w:w="1896" w:type="dxa"/>
            <w:shd w:val="clear" w:color="auto" w:fill="auto"/>
          </w:tcPr>
          <w:p w:rsidR="009D3F2F" w:rsidRPr="008358AD" w:rsidRDefault="009D3F2F" w:rsidP="00B87444">
            <w:pPr>
              <w:pStyle w:val="TableCell"/>
              <w:rPr>
                <w:sz w:val="24"/>
                <w:lang w:val="en-GB" w:eastAsia="en-GB"/>
              </w:rPr>
            </w:pPr>
          </w:p>
        </w:tc>
      </w:tr>
      <w:tr w:rsidR="00B87444" w:rsidRPr="008358AD" w:rsidTr="000C6890">
        <w:tc>
          <w:tcPr>
            <w:tcW w:w="3168" w:type="dxa"/>
            <w:tcBorders>
              <w:right w:val="single" w:sz="2" w:space="0" w:color="000000"/>
            </w:tcBorders>
            <w:shd w:val="clear" w:color="auto" w:fill="auto"/>
            <w:vAlign w:val="bottom"/>
          </w:tcPr>
          <w:p w:rsidR="00B87444" w:rsidRPr="00081AA4" w:rsidRDefault="00B87444" w:rsidP="00B87444">
            <w:pPr>
              <w:pStyle w:val="TableRowHead"/>
              <w:rPr>
                <w:rFonts w:ascii="Gill Sans" w:hAnsi="Gill Sans"/>
                <w:sz w:val="24"/>
                <w:lang w:val="en-GB" w:eastAsia="en-GB"/>
              </w:rPr>
            </w:pPr>
            <w:r>
              <w:rPr>
                <w:rFonts w:ascii="Gill Sans" w:hAnsi="Gill Sans"/>
                <w:sz w:val="24"/>
                <w:lang w:val="en-GB" w:eastAsia="en-GB"/>
              </w:rPr>
              <w:t>Donal Lawlor</w:t>
            </w:r>
            <w:r w:rsidRPr="00081AA4">
              <w:rPr>
                <w:rFonts w:ascii="Gill Sans" w:hAnsi="Gill Sans"/>
                <w:sz w:val="24"/>
                <w:lang w:val="en-GB" w:eastAsia="en-GB"/>
              </w:rPr>
              <w:t xml:space="preserve"> (Audit Committee Chairperson)</w:t>
            </w:r>
          </w:p>
        </w:tc>
        <w:tc>
          <w:tcPr>
            <w:tcW w:w="1896" w:type="dxa"/>
            <w:tcBorders>
              <w:top w:val="single" w:sz="2" w:space="0" w:color="000000"/>
              <w:left w:val="single" w:sz="2" w:space="0" w:color="000000"/>
              <w:bottom w:val="single" w:sz="18" w:space="0" w:color="000000"/>
              <w:right w:val="single" w:sz="2" w:space="0" w:color="000000"/>
            </w:tcBorders>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2</w:t>
            </w:r>
            <w:r w:rsidRPr="008358AD">
              <w:rPr>
                <w:sz w:val="24"/>
                <w:lang w:val="en-GB" w:eastAsia="en-GB"/>
              </w:rPr>
              <w:t>,</w:t>
            </w:r>
            <w:r>
              <w:rPr>
                <w:sz w:val="24"/>
                <w:lang w:val="en-GB" w:eastAsia="en-GB"/>
              </w:rPr>
              <w:t>565</w:t>
            </w:r>
          </w:p>
        </w:tc>
        <w:tc>
          <w:tcPr>
            <w:tcW w:w="1896" w:type="dxa"/>
            <w:tcBorders>
              <w:top w:val="single" w:sz="2" w:space="0" w:color="000000"/>
              <w:left w:val="single" w:sz="2" w:space="0" w:color="000000"/>
              <w:bottom w:val="single" w:sz="18" w:space="0" w:color="000000"/>
              <w:right w:val="single" w:sz="2" w:space="0" w:color="000000"/>
            </w:tcBorders>
            <w:shd w:val="clear" w:color="auto" w:fill="auto"/>
          </w:tcPr>
          <w:p w:rsidR="00B87444" w:rsidRPr="008358AD" w:rsidRDefault="00B87444" w:rsidP="00B87444">
            <w:pPr>
              <w:pStyle w:val="TableCell"/>
              <w:rPr>
                <w:sz w:val="24"/>
                <w:lang w:val="en-GB" w:eastAsia="en-GB"/>
              </w:rPr>
            </w:pPr>
            <w:r w:rsidRPr="008358AD">
              <w:rPr>
                <w:sz w:val="24"/>
                <w:lang w:val="en-GB" w:eastAsia="en-GB"/>
              </w:rPr>
              <w:t> </w:t>
            </w:r>
          </w:p>
        </w:tc>
        <w:tc>
          <w:tcPr>
            <w:tcW w:w="1896" w:type="dxa"/>
            <w:tcBorders>
              <w:left w:val="single" w:sz="2" w:space="0" w:color="000000"/>
            </w:tcBorders>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Total</w:t>
            </w:r>
          </w:p>
        </w:tc>
        <w:tc>
          <w:tcPr>
            <w:tcW w:w="1896" w:type="dxa"/>
            <w:tcBorders>
              <w:top w:val="single" w:sz="18" w:space="0" w:color="000000"/>
            </w:tcBorders>
            <w:shd w:val="clear" w:color="auto" w:fill="auto"/>
          </w:tcPr>
          <w:p w:rsidR="00B87444" w:rsidRPr="008358AD" w:rsidRDefault="00B87444" w:rsidP="00B87444">
            <w:pPr>
              <w:pStyle w:val="TableCell"/>
              <w:rPr>
                <w:sz w:val="24"/>
                <w:lang w:val="en-GB" w:eastAsia="en-GB"/>
              </w:rPr>
            </w:pPr>
            <w:r w:rsidRPr="00EB5111">
              <w:t>€</w:t>
            </w:r>
            <w:r>
              <w:rPr>
                <w:sz w:val="24"/>
                <w:lang w:val="en-GB" w:eastAsia="en-GB"/>
              </w:rPr>
              <w:t>59</w:t>
            </w:r>
            <w:r w:rsidRPr="008358AD">
              <w:rPr>
                <w:sz w:val="24"/>
                <w:lang w:val="en-GB" w:eastAsia="en-GB"/>
              </w:rPr>
              <w:t>,</w:t>
            </w:r>
            <w:r>
              <w:rPr>
                <w:sz w:val="24"/>
                <w:lang w:val="en-GB" w:eastAsia="en-GB"/>
              </w:rPr>
              <w:t>423</w:t>
            </w:r>
          </w:p>
        </w:tc>
        <w:tc>
          <w:tcPr>
            <w:tcW w:w="1896" w:type="dxa"/>
            <w:tcBorders>
              <w:top w:val="single" w:sz="18" w:space="0" w:color="000000"/>
            </w:tcBorders>
            <w:shd w:val="clear" w:color="auto" w:fill="auto"/>
          </w:tcPr>
          <w:p w:rsidR="00B87444" w:rsidRPr="008358AD" w:rsidRDefault="00B87444" w:rsidP="00B87444">
            <w:pPr>
              <w:pStyle w:val="TableCell"/>
              <w:rPr>
                <w:sz w:val="24"/>
                <w:lang w:val="en-GB" w:eastAsia="en-GB"/>
              </w:rPr>
            </w:pPr>
            <w:r w:rsidRPr="00EB5111">
              <w:t>€</w:t>
            </w:r>
            <w:r w:rsidRPr="008358AD">
              <w:rPr>
                <w:sz w:val="24"/>
                <w:lang w:val="en-GB" w:eastAsia="en-GB"/>
              </w:rPr>
              <w:t>4</w:t>
            </w:r>
            <w:r>
              <w:rPr>
                <w:sz w:val="24"/>
                <w:lang w:val="en-GB" w:eastAsia="en-GB"/>
              </w:rPr>
              <w:t>,412</w:t>
            </w:r>
          </w:p>
        </w:tc>
        <w:tc>
          <w:tcPr>
            <w:tcW w:w="1896" w:type="dxa"/>
            <w:shd w:val="clear" w:color="auto" w:fill="auto"/>
          </w:tcPr>
          <w:p w:rsidR="00B87444" w:rsidRPr="008358AD" w:rsidRDefault="00B87444" w:rsidP="00B87444">
            <w:pPr>
              <w:pStyle w:val="TableCell"/>
              <w:rPr>
                <w:sz w:val="24"/>
                <w:lang w:val="en-GB" w:eastAsia="en-GB"/>
              </w:rPr>
            </w:pPr>
            <w:r w:rsidRPr="00EB5111">
              <w:t>€</w:t>
            </w:r>
            <w:r w:rsidRPr="000614F3">
              <w:rPr>
                <w:rFonts w:cs="Arial"/>
                <w:sz w:val="24"/>
                <w:lang w:val="en-GB" w:eastAsia="en-GB"/>
              </w:rPr>
              <w:t>63</w:t>
            </w:r>
            <w:r w:rsidRPr="008358AD">
              <w:rPr>
                <w:sz w:val="24"/>
                <w:lang w:val="en-GB" w:eastAsia="en-GB"/>
              </w:rPr>
              <w:t>,</w:t>
            </w:r>
            <w:r>
              <w:rPr>
                <w:sz w:val="24"/>
                <w:lang w:val="en-GB" w:eastAsia="en-GB"/>
              </w:rPr>
              <w:t>835</w:t>
            </w: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p>
        </w:tc>
        <w:tc>
          <w:tcPr>
            <w:tcW w:w="1896" w:type="dxa"/>
            <w:shd w:val="clear" w:color="auto" w:fill="auto"/>
          </w:tcPr>
          <w:p w:rsidR="00B87444" w:rsidRPr="008358AD" w:rsidRDefault="00B87444" w:rsidP="00B87444">
            <w:pPr>
              <w:pStyle w:val="TableCell"/>
              <w:rPr>
                <w:sz w:val="24"/>
                <w:lang w:val="en-GB" w:eastAsia="en-GB"/>
              </w:rPr>
            </w:pPr>
          </w:p>
        </w:tc>
        <w:tc>
          <w:tcPr>
            <w:tcW w:w="1896" w:type="dxa"/>
            <w:shd w:val="clear" w:color="auto" w:fill="auto"/>
          </w:tcPr>
          <w:p w:rsidR="00B87444" w:rsidRPr="008358AD" w:rsidRDefault="00B87444" w:rsidP="00B87444">
            <w:pPr>
              <w:pStyle w:val="TableCell"/>
              <w:rPr>
                <w:sz w:val="24"/>
                <w:lang w:val="en-GB" w:eastAsia="en-GB"/>
              </w:rPr>
            </w:pPr>
          </w:p>
        </w:tc>
        <w:tc>
          <w:tcPr>
            <w:tcW w:w="1896" w:type="dxa"/>
            <w:shd w:val="clear" w:color="auto" w:fill="auto"/>
          </w:tcPr>
          <w:p w:rsidR="00B87444" w:rsidRPr="008358AD" w:rsidRDefault="00B87444" w:rsidP="00B87444">
            <w:pPr>
              <w:pStyle w:val="TableCell"/>
              <w:rPr>
                <w:sz w:val="24"/>
                <w:lang w:val="en-GB" w:eastAsia="en-GB"/>
              </w:rPr>
            </w:pP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Employers PRSI for Authority</w:t>
            </w:r>
          </w:p>
        </w:tc>
        <w:tc>
          <w:tcPr>
            <w:tcW w:w="1896" w:type="dxa"/>
            <w:shd w:val="clear" w:color="auto" w:fill="auto"/>
          </w:tcPr>
          <w:p w:rsidR="00B87444" w:rsidRPr="008358AD" w:rsidRDefault="00B87444" w:rsidP="00B87444">
            <w:pPr>
              <w:pStyle w:val="TableCell"/>
              <w:rPr>
                <w:sz w:val="24"/>
                <w:lang w:val="en-GB" w:eastAsia="en-GB"/>
              </w:rPr>
            </w:pPr>
          </w:p>
        </w:tc>
        <w:tc>
          <w:tcPr>
            <w:tcW w:w="1896" w:type="dxa"/>
            <w:shd w:val="clear" w:color="auto" w:fill="auto"/>
          </w:tcPr>
          <w:p w:rsidR="00B87444" w:rsidRPr="008358AD" w:rsidRDefault="00B87444" w:rsidP="00B87444">
            <w:pPr>
              <w:pStyle w:val="TableCell"/>
              <w:rPr>
                <w:sz w:val="24"/>
                <w:lang w:val="en-GB" w:eastAsia="en-GB"/>
              </w:rPr>
            </w:pPr>
          </w:p>
        </w:tc>
        <w:tc>
          <w:tcPr>
            <w:tcW w:w="1896" w:type="dxa"/>
            <w:tcBorders>
              <w:bottom w:val="single" w:sz="2" w:space="0" w:color="000000"/>
            </w:tcBorders>
            <w:shd w:val="clear" w:color="auto" w:fill="auto"/>
          </w:tcPr>
          <w:p w:rsidR="00B87444" w:rsidRPr="008358AD" w:rsidRDefault="00B87444" w:rsidP="00B87444">
            <w:pPr>
              <w:pStyle w:val="TableCell"/>
              <w:rPr>
                <w:sz w:val="24"/>
                <w:lang w:val="en-GB" w:eastAsia="en-GB"/>
              </w:rPr>
            </w:pPr>
            <w:r w:rsidRPr="00EB5111">
              <w:t>€</w:t>
            </w:r>
            <w:r w:rsidRPr="000614F3">
              <w:rPr>
                <w:rFonts w:cs="Arial"/>
                <w:sz w:val="24"/>
                <w:lang w:val="en-GB" w:eastAsia="en-GB"/>
              </w:rPr>
              <w:t>276</w:t>
            </w:r>
          </w:p>
        </w:tc>
      </w:tr>
      <w:tr w:rsidR="00B87444" w:rsidRPr="008358AD" w:rsidTr="000C6890">
        <w:tc>
          <w:tcPr>
            <w:tcW w:w="3168"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Other Expenses</w:t>
            </w:r>
          </w:p>
        </w:tc>
        <w:tc>
          <w:tcPr>
            <w:tcW w:w="1896" w:type="dxa"/>
            <w:shd w:val="clear" w:color="auto" w:fill="auto"/>
          </w:tcPr>
          <w:p w:rsidR="00B87444" w:rsidRPr="008358AD" w:rsidRDefault="00B87444" w:rsidP="00B87444">
            <w:pPr>
              <w:pStyle w:val="TableCell"/>
              <w:rPr>
                <w:sz w:val="24"/>
                <w:lang w:val="en-GB" w:eastAsia="en-GB"/>
              </w:rPr>
            </w:pPr>
          </w:p>
        </w:tc>
        <w:tc>
          <w:tcPr>
            <w:tcW w:w="1896" w:type="dxa"/>
            <w:tcBorders>
              <w:right w:val="single" w:sz="2" w:space="0" w:color="000000"/>
            </w:tcBorders>
            <w:shd w:val="clear" w:color="auto" w:fill="auto"/>
          </w:tcPr>
          <w:p w:rsidR="00B87444" w:rsidRPr="008358AD" w:rsidRDefault="00B87444" w:rsidP="00B87444">
            <w:pPr>
              <w:pStyle w:val="TableCell"/>
              <w:rPr>
                <w:sz w:val="24"/>
                <w:lang w:val="en-GB" w:eastAsia="en-GB"/>
              </w:rPr>
            </w:pPr>
          </w:p>
        </w:tc>
        <w:tc>
          <w:tcPr>
            <w:tcW w:w="1896" w:type="dxa"/>
            <w:tcBorders>
              <w:top w:val="single" w:sz="2" w:space="0" w:color="000000"/>
              <w:left w:val="single" w:sz="2" w:space="0" w:color="000000"/>
              <w:bottom w:val="single" w:sz="18" w:space="0" w:color="000000"/>
              <w:right w:val="single" w:sz="2" w:space="0" w:color="000000"/>
            </w:tcBorders>
            <w:shd w:val="clear" w:color="auto" w:fill="auto"/>
          </w:tcPr>
          <w:p w:rsidR="00B87444" w:rsidRPr="008358AD" w:rsidRDefault="00B87444" w:rsidP="00B87444">
            <w:pPr>
              <w:pStyle w:val="TableCell"/>
              <w:rPr>
                <w:sz w:val="24"/>
                <w:lang w:val="en-GB" w:eastAsia="en-GB"/>
              </w:rPr>
            </w:pPr>
            <w:r w:rsidRPr="00EB5111">
              <w:t>€</w:t>
            </w:r>
            <w:r w:rsidRPr="008358AD">
              <w:rPr>
                <w:sz w:val="24"/>
                <w:lang w:val="en-GB" w:eastAsia="en-GB"/>
              </w:rPr>
              <w:t>1,</w:t>
            </w:r>
            <w:r>
              <w:rPr>
                <w:sz w:val="24"/>
                <w:lang w:val="en-GB" w:eastAsia="en-GB"/>
              </w:rPr>
              <w:t>391</w:t>
            </w:r>
          </w:p>
        </w:tc>
      </w:tr>
      <w:tr w:rsidR="00B87444" w:rsidRPr="008358AD" w:rsidTr="000C6890">
        <w:tc>
          <w:tcPr>
            <w:tcW w:w="3168" w:type="dxa"/>
            <w:tcBorders>
              <w:top w:val="single" w:sz="6" w:space="0" w:color="000000"/>
              <w:left w:val="single" w:sz="6" w:space="0" w:color="000000"/>
              <w:bottom w:val="single" w:sz="6" w:space="0" w:color="000000"/>
              <w:right w:val="single" w:sz="6" w:space="0" w:color="000000"/>
            </w:tcBorders>
            <w:shd w:val="clear" w:color="auto" w:fill="auto"/>
            <w:vAlign w:val="bottom"/>
          </w:tcPr>
          <w:p w:rsidR="00B87444" w:rsidRPr="008358AD" w:rsidRDefault="00B87444" w:rsidP="00B87444">
            <w:pPr>
              <w:spacing w:after="0"/>
              <w:rPr>
                <w:lang w:val="en-GB" w:eastAsia="en-GB"/>
              </w:rPr>
            </w:pPr>
          </w:p>
        </w:tc>
        <w:tc>
          <w:tcPr>
            <w:tcW w:w="1896" w:type="dxa"/>
            <w:tcBorders>
              <w:top w:val="single" w:sz="6" w:space="0" w:color="000000"/>
              <w:left w:val="single" w:sz="6" w:space="0" w:color="000000"/>
              <w:bottom w:val="single" w:sz="6" w:space="0" w:color="000000"/>
              <w:right w:val="single" w:sz="6" w:space="0" w:color="000000"/>
            </w:tcBorders>
            <w:shd w:val="clear" w:color="auto" w:fill="auto"/>
          </w:tcPr>
          <w:p w:rsidR="00B87444" w:rsidRPr="008358AD" w:rsidRDefault="00B87444" w:rsidP="00B87444">
            <w:pPr>
              <w:pStyle w:val="TableCell"/>
              <w:rPr>
                <w:sz w:val="24"/>
                <w:lang w:val="en-GB" w:eastAsia="en-GB"/>
              </w:rPr>
            </w:pPr>
          </w:p>
        </w:tc>
        <w:tc>
          <w:tcPr>
            <w:tcW w:w="1896" w:type="dxa"/>
            <w:tcBorders>
              <w:top w:val="single" w:sz="6" w:space="0" w:color="000000"/>
              <w:left w:val="single" w:sz="6" w:space="0" w:color="000000"/>
              <w:bottom w:val="single" w:sz="6" w:space="0" w:color="000000"/>
              <w:right w:val="single" w:sz="6" w:space="0" w:color="000000"/>
            </w:tcBorders>
            <w:shd w:val="clear" w:color="auto" w:fill="auto"/>
          </w:tcPr>
          <w:p w:rsidR="00B87444" w:rsidRPr="008358AD" w:rsidRDefault="00B87444" w:rsidP="00B87444">
            <w:pPr>
              <w:pStyle w:val="TableCell"/>
              <w:rPr>
                <w:sz w:val="24"/>
                <w:lang w:val="en-GB" w:eastAsia="en-GB"/>
              </w:rPr>
            </w:pPr>
          </w:p>
        </w:tc>
        <w:tc>
          <w:tcPr>
            <w:tcW w:w="1896" w:type="dxa"/>
            <w:tcBorders>
              <w:top w:val="single" w:sz="18" w:space="0" w:color="000000"/>
              <w:left w:val="single" w:sz="6" w:space="0" w:color="000000"/>
              <w:bottom w:val="single" w:sz="6" w:space="0" w:color="000000"/>
              <w:right w:val="single" w:sz="6" w:space="0" w:color="000000"/>
            </w:tcBorders>
            <w:shd w:val="clear" w:color="auto" w:fill="auto"/>
          </w:tcPr>
          <w:p w:rsidR="00B87444" w:rsidRPr="008358AD" w:rsidRDefault="00B87444" w:rsidP="00B87444">
            <w:pPr>
              <w:pStyle w:val="TableCell"/>
              <w:rPr>
                <w:sz w:val="24"/>
                <w:lang w:val="en-GB" w:eastAsia="en-GB"/>
              </w:rPr>
            </w:pPr>
            <w:r w:rsidRPr="008358AD">
              <w:rPr>
                <w:rFonts w:cs="Arial"/>
                <w:sz w:val="24"/>
                <w:lang w:val="en-GB" w:eastAsia="en-GB"/>
              </w:rPr>
              <w:t>€</w:t>
            </w:r>
            <w:r>
              <w:rPr>
                <w:sz w:val="24"/>
                <w:lang w:val="en-GB" w:eastAsia="en-GB"/>
              </w:rPr>
              <w:t>65</w:t>
            </w:r>
            <w:r w:rsidRPr="008358AD">
              <w:rPr>
                <w:sz w:val="24"/>
                <w:lang w:val="en-GB" w:eastAsia="en-GB"/>
              </w:rPr>
              <w:t>,</w:t>
            </w:r>
            <w:r>
              <w:rPr>
                <w:sz w:val="24"/>
                <w:lang w:val="en-GB" w:eastAsia="en-GB"/>
              </w:rPr>
              <w:t>502</w:t>
            </w:r>
          </w:p>
        </w:tc>
      </w:tr>
    </w:tbl>
    <w:p w:rsidR="00B87444" w:rsidRPr="00D066D3" w:rsidRDefault="00B87444" w:rsidP="00B87444"/>
    <w:p w:rsidR="00B87444" w:rsidRPr="005617E3" w:rsidRDefault="00B87444" w:rsidP="00401049">
      <w:r w:rsidRPr="00230E49">
        <w:t xml:space="preserve">Payments were made to the Revenue Commissioners in respect of PRSI on fees paid to authority members. The </w:t>
      </w:r>
      <w:r w:rsidR="00B47D87" w:rsidRPr="00B47D87">
        <w:t>National Disability Authority</w:t>
      </w:r>
      <w:r w:rsidRPr="00230E49">
        <w:t xml:space="preserve"> consulted with the Revenue Commissioners regarding these payments and it was clarified that PRSI should not have been paid on the authority members fees. It was agreed that the amount paid to the Revenue </w:t>
      </w:r>
      <w:r>
        <w:t>Commissioners would be refunded.</w:t>
      </w:r>
    </w:p>
    <w:p w:rsidR="00B87444" w:rsidRDefault="00B87444" w:rsidP="00E41BEB">
      <w:pPr>
        <w:pStyle w:val="Heading3"/>
      </w:pPr>
      <w:r w:rsidRPr="00401049">
        <w:br w:type="page"/>
      </w:r>
      <w:bookmarkStart w:id="54" w:name="_Toc335836401"/>
      <w:r>
        <w:t>7. Fixed Assets</w:t>
      </w:r>
      <w:bookmarkEnd w:id="54"/>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550"/>
        <w:gridCol w:w="1522"/>
        <w:gridCol w:w="1616"/>
        <w:gridCol w:w="1440"/>
        <w:gridCol w:w="1025"/>
      </w:tblGrid>
      <w:tr w:rsidR="00B87444" w:rsidRPr="00081AA4" w:rsidTr="00E017B0">
        <w:trPr>
          <w:tblHeader/>
        </w:trPr>
        <w:tc>
          <w:tcPr>
            <w:tcW w:w="2550" w:type="dxa"/>
            <w:shd w:val="clear" w:color="auto" w:fill="auto"/>
          </w:tcPr>
          <w:p w:rsidR="00B87444" w:rsidRPr="00081AA4" w:rsidRDefault="00B87444" w:rsidP="00B87444">
            <w:pPr>
              <w:pStyle w:val="TableHead"/>
              <w:jc w:val="right"/>
            </w:pPr>
          </w:p>
        </w:tc>
        <w:tc>
          <w:tcPr>
            <w:tcW w:w="1522" w:type="dxa"/>
            <w:vAlign w:val="bottom"/>
          </w:tcPr>
          <w:p w:rsidR="00B87444" w:rsidRPr="00081AA4" w:rsidRDefault="00B87444" w:rsidP="00B87444">
            <w:pPr>
              <w:pStyle w:val="TableHead"/>
              <w:rPr>
                <w:lang w:val="en-GB" w:eastAsia="en-GB"/>
              </w:rPr>
            </w:pPr>
            <w:r w:rsidRPr="00081AA4">
              <w:rPr>
                <w:lang w:val="en-GB" w:eastAsia="en-GB"/>
              </w:rPr>
              <w:t>Computer Hardware and Software</w:t>
            </w:r>
          </w:p>
        </w:tc>
        <w:tc>
          <w:tcPr>
            <w:tcW w:w="1616" w:type="dxa"/>
            <w:vAlign w:val="bottom"/>
          </w:tcPr>
          <w:p w:rsidR="00B87444" w:rsidRPr="00081AA4" w:rsidRDefault="00B87444" w:rsidP="00B87444">
            <w:pPr>
              <w:pStyle w:val="TableHead"/>
              <w:rPr>
                <w:lang w:val="en-GB" w:eastAsia="en-GB"/>
              </w:rPr>
            </w:pPr>
            <w:r w:rsidRPr="00081AA4">
              <w:rPr>
                <w:lang w:val="en-GB" w:eastAsia="en-GB"/>
              </w:rPr>
              <w:t>Office Furniture and Equipment</w:t>
            </w:r>
          </w:p>
        </w:tc>
        <w:tc>
          <w:tcPr>
            <w:tcW w:w="1440" w:type="dxa"/>
            <w:vAlign w:val="bottom"/>
          </w:tcPr>
          <w:p w:rsidR="00B87444" w:rsidRPr="00081AA4" w:rsidRDefault="00B87444" w:rsidP="00B87444">
            <w:pPr>
              <w:pStyle w:val="TableHead"/>
              <w:rPr>
                <w:lang w:val="en-GB" w:eastAsia="en-GB"/>
              </w:rPr>
            </w:pPr>
            <w:r w:rsidRPr="00081AA4">
              <w:rPr>
                <w:lang w:val="en-GB" w:eastAsia="en-GB"/>
              </w:rPr>
              <w:t>Premises</w:t>
            </w:r>
          </w:p>
        </w:tc>
        <w:tc>
          <w:tcPr>
            <w:tcW w:w="1025" w:type="dxa"/>
            <w:vAlign w:val="bottom"/>
          </w:tcPr>
          <w:p w:rsidR="00B87444" w:rsidRPr="00081AA4" w:rsidRDefault="00B87444" w:rsidP="00B87444">
            <w:pPr>
              <w:pStyle w:val="TableHead"/>
              <w:rPr>
                <w:lang w:val="en-GB" w:eastAsia="en-GB"/>
              </w:rPr>
            </w:pPr>
            <w:r w:rsidRPr="00081AA4">
              <w:rPr>
                <w:lang w:val="en-GB" w:eastAsia="en-GB"/>
              </w:rPr>
              <w:t>Total</w:t>
            </w:r>
          </w:p>
        </w:tc>
      </w:tr>
      <w:tr w:rsidR="00B87444" w:rsidRPr="00081AA4" w:rsidTr="00E017B0">
        <w:tc>
          <w:tcPr>
            <w:tcW w:w="2550" w:type="dxa"/>
            <w:shd w:val="clear" w:color="auto" w:fill="auto"/>
          </w:tcPr>
          <w:p w:rsidR="00B87444" w:rsidRPr="00081AA4" w:rsidRDefault="00B87444" w:rsidP="00B87444">
            <w:pPr>
              <w:pStyle w:val="TableRowHead"/>
            </w:pPr>
          </w:p>
        </w:tc>
        <w:tc>
          <w:tcPr>
            <w:tcW w:w="1522" w:type="dxa"/>
            <w:vAlign w:val="bottom"/>
          </w:tcPr>
          <w:p w:rsidR="00B87444" w:rsidRPr="00081AA4" w:rsidRDefault="009D3F2F" w:rsidP="0053638B">
            <w:pPr>
              <w:pStyle w:val="TableCell"/>
              <w:rPr>
                <w:lang w:val="en-GB" w:eastAsia="en-GB"/>
              </w:rPr>
            </w:pPr>
            <w:r>
              <w:rPr>
                <w:lang w:val="en-GB" w:eastAsia="en-GB"/>
              </w:rPr>
              <w:t>€</w:t>
            </w:r>
          </w:p>
        </w:tc>
        <w:tc>
          <w:tcPr>
            <w:tcW w:w="1616" w:type="dxa"/>
            <w:vAlign w:val="bottom"/>
          </w:tcPr>
          <w:p w:rsidR="00B87444" w:rsidRPr="00081AA4" w:rsidRDefault="009D3F2F" w:rsidP="0053638B">
            <w:pPr>
              <w:pStyle w:val="TableCell"/>
              <w:rPr>
                <w:lang w:val="en-GB" w:eastAsia="en-GB"/>
              </w:rPr>
            </w:pPr>
            <w:r>
              <w:rPr>
                <w:lang w:val="en-GB" w:eastAsia="en-GB"/>
              </w:rPr>
              <w:t>€</w:t>
            </w:r>
          </w:p>
        </w:tc>
        <w:tc>
          <w:tcPr>
            <w:tcW w:w="1440" w:type="dxa"/>
            <w:vAlign w:val="bottom"/>
          </w:tcPr>
          <w:p w:rsidR="00B87444" w:rsidRPr="00081AA4" w:rsidRDefault="009D3F2F" w:rsidP="0053638B">
            <w:pPr>
              <w:pStyle w:val="TableCell"/>
              <w:rPr>
                <w:lang w:val="en-GB" w:eastAsia="en-GB"/>
              </w:rPr>
            </w:pPr>
            <w:r>
              <w:rPr>
                <w:lang w:val="en-GB" w:eastAsia="en-GB"/>
              </w:rPr>
              <w:t>€</w:t>
            </w:r>
          </w:p>
        </w:tc>
        <w:tc>
          <w:tcPr>
            <w:tcW w:w="1025" w:type="dxa"/>
            <w:vAlign w:val="bottom"/>
          </w:tcPr>
          <w:p w:rsidR="00B87444" w:rsidRPr="00081AA4" w:rsidRDefault="009D3F2F" w:rsidP="0053638B">
            <w:pPr>
              <w:pStyle w:val="TableCell"/>
              <w:rPr>
                <w:lang w:val="en-GB" w:eastAsia="en-GB"/>
              </w:rPr>
            </w:pPr>
            <w:r>
              <w:rPr>
                <w:lang w:val="en-GB" w:eastAsia="en-GB"/>
              </w:rPr>
              <w:t>€</w:t>
            </w:r>
          </w:p>
        </w:tc>
      </w:tr>
      <w:tr w:rsidR="00B87444" w:rsidRPr="00081AA4" w:rsidTr="00E017B0">
        <w:tc>
          <w:tcPr>
            <w:tcW w:w="8153" w:type="dxa"/>
            <w:gridSpan w:val="5"/>
            <w:shd w:val="clear" w:color="auto" w:fill="auto"/>
          </w:tcPr>
          <w:p w:rsidR="00B87444" w:rsidRPr="00081AA4" w:rsidRDefault="00B87444" w:rsidP="00B87444">
            <w:pPr>
              <w:pStyle w:val="TableHead"/>
              <w:jc w:val="center"/>
              <w:rPr>
                <w:sz w:val="24"/>
                <w:lang w:val="en-GB" w:eastAsia="en-GB"/>
              </w:rPr>
            </w:pPr>
            <w:r>
              <w:rPr>
                <w:sz w:val="24"/>
                <w:lang w:val="en-GB" w:eastAsia="en-GB"/>
              </w:rPr>
              <w:t>Cost or Valuation</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sz w:val="24"/>
                <w:lang w:val="en-GB" w:eastAsia="en-GB"/>
              </w:rPr>
            </w:pPr>
            <w:r>
              <w:rPr>
                <w:rFonts w:ascii="Gill Sans" w:hAnsi="Gill Sans"/>
                <w:sz w:val="24"/>
                <w:lang w:val="en-GB" w:eastAsia="en-GB"/>
              </w:rPr>
              <w:t>Balance at 1 January 2012</w:t>
            </w:r>
          </w:p>
        </w:tc>
        <w:tc>
          <w:tcPr>
            <w:tcW w:w="1522" w:type="dxa"/>
            <w:vAlign w:val="bottom"/>
          </w:tcPr>
          <w:p w:rsidR="00B87444" w:rsidRPr="00081AA4" w:rsidRDefault="00B87444" w:rsidP="00B87444">
            <w:pPr>
              <w:pStyle w:val="TableCell"/>
              <w:rPr>
                <w:sz w:val="24"/>
                <w:lang w:val="en-GB" w:eastAsia="en-GB"/>
              </w:rPr>
            </w:pPr>
            <w:r>
              <w:rPr>
                <w:sz w:val="24"/>
                <w:lang w:val="en-GB" w:eastAsia="en-GB"/>
              </w:rPr>
              <w:t>400</w:t>
            </w:r>
            <w:r w:rsidRPr="00081AA4">
              <w:rPr>
                <w:sz w:val="24"/>
                <w:lang w:val="en-GB" w:eastAsia="en-GB"/>
              </w:rPr>
              <w:t>,5</w:t>
            </w:r>
            <w:r>
              <w:rPr>
                <w:sz w:val="24"/>
                <w:lang w:val="en-GB" w:eastAsia="en-GB"/>
              </w:rPr>
              <w:t>3</w:t>
            </w:r>
            <w:r w:rsidRPr="00081AA4">
              <w:rPr>
                <w:sz w:val="24"/>
                <w:lang w:val="en-GB" w:eastAsia="en-GB"/>
              </w:rPr>
              <w:t xml:space="preserve">4 </w:t>
            </w:r>
          </w:p>
        </w:tc>
        <w:tc>
          <w:tcPr>
            <w:tcW w:w="1616" w:type="dxa"/>
            <w:vAlign w:val="bottom"/>
          </w:tcPr>
          <w:p w:rsidR="00B87444" w:rsidRPr="00081AA4" w:rsidRDefault="00B87444" w:rsidP="00B87444">
            <w:pPr>
              <w:pStyle w:val="TableCell"/>
              <w:rPr>
                <w:sz w:val="24"/>
                <w:lang w:val="en-GB" w:eastAsia="en-GB"/>
              </w:rPr>
            </w:pPr>
            <w:r w:rsidRPr="00081AA4">
              <w:rPr>
                <w:sz w:val="24"/>
                <w:lang w:val="en-GB" w:eastAsia="en-GB"/>
              </w:rPr>
              <w:t>31</w:t>
            </w:r>
            <w:r>
              <w:rPr>
                <w:sz w:val="24"/>
                <w:lang w:val="en-GB" w:eastAsia="en-GB"/>
              </w:rPr>
              <w:t>3</w:t>
            </w:r>
            <w:r w:rsidRPr="00081AA4">
              <w:rPr>
                <w:sz w:val="24"/>
                <w:lang w:val="en-GB" w:eastAsia="en-GB"/>
              </w:rPr>
              <w:t>,</w:t>
            </w:r>
            <w:r>
              <w:rPr>
                <w:sz w:val="24"/>
                <w:lang w:val="en-GB" w:eastAsia="en-GB"/>
              </w:rPr>
              <w:t>710</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sidRPr="00081AA4">
              <w:rPr>
                <w:sz w:val="24"/>
                <w:lang w:val="en-GB" w:eastAsia="en-GB"/>
              </w:rPr>
              <w:t xml:space="preserve">3,941,086 </w:t>
            </w:r>
          </w:p>
        </w:tc>
        <w:tc>
          <w:tcPr>
            <w:tcW w:w="1025" w:type="dxa"/>
            <w:vAlign w:val="bottom"/>
          </w:tcPr>
          <w:p w:rsidR="00B87444" w:rsidRPr="00081AA4" w:rsidRDefault="00B87444" w:rsidP="00B87444">
            <w:pPr>
              <w:pStyle w:val="TableCell"/>
              <w:rPr>
                <w:sz w:val="24"/>
                <w:lang w:val="en-GB" w:eastAsia="en-GB"/>
              </w:rPr>
            </w:pPr>
            <w:r w:rsidRPr="00081AA4">
              <w:rPr>
                <w:sz w:val="24"/>
                <w:lang w:val="en-GB" w:eastAsia="en-GB"/>
              </w:rPr>
              <w:t>4,6</w:t>
            </w:r>
            <w:r>
              <w:rPr>
                <w:sz w:val="24"/>
                <w:lang w:val="en-GB" w:eastAsia="en-GB"/>
              </w:rPr>
              <w:t>55</w:t>
            </w:r>
            <w:r w:rsidRPr="00081AA4">
              <w:rPr>
                <w:sz w:val="24"/>
                <w:lang w:val="en-GB" w:eastAsia="en-GB"/>
              </w:rPr>
              <w:t>,</w:t>
            </w:r>
            <w:r>
              <w:rPr>
                <w:sz w:val="24"/>
                <w:lang w:val="en-GB" w:eastAsia="en-GB"/>
              </w:rPr>
              <w:t>330</w:t>
            </w:r>
            <w:r w:rsidRPr="00081AA4">
              <w:rPr>
                <w:sz w:val="24"/>
                <w:lang w:val="en-GB" w:eastAsia="en-GB"/>
              </w:rPr>
              <w:t xml:space="preserve"> </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 xml:space="preserve">Additions at cost </w:t>
            </w:r>
          </w:p>
        </w:tc>
        <w:tc>
          <w:tcPr>
            <w:tcW w:w="1522" w:type="dxa"/>
            <w:vAlign w:val="bottom"/>
          </w:tcPr>
          <w:p w:rsidR="00B87444" w:rsidRPr="00081AA4" w:rsidRDefault="00B87444" w:rsidP="00B87444">
            <w:pPr>
              <w:pStyle w:val="TableCell"/>
              <w:rPr>
                <w:sz w:val="24"/>
                <w:lang w:val="en-GB" w:eastAsia="en-GB"/>
              </w:rPr>
            </w:pPr>
            <w:r>
              <w:rPr>
                <w:sz w:val="24"/>
                <w:lang w:val="en-GB" w:eastAsia="en-GB"/>
              </w:rPr>
              <w:t>1,428</w:t>
            </w:r>
            <w:r w:rsidRPr="00081AA4">
              <w:rPr>
                <w:sz w:val="24"/>
                <w:lang w:val="en-GB" w:eastAsia="en-GB"/>
              </w:rPr>
              <w:t xml:space="preserve"> </w:t>
            </w:r>
          </w:p>
        </w:tc>
        <w:tc>
          <w:tcPr>
            <w:tcW w:w="1616" w:type="dxa"/>
            <w:vAlign w:val="bottom"/>
          </w:tcPr>
          <w:p w:rsidR="00B87444" w:rsidRPr="00081AA4" w:rsidRDefault="00B87444" w:rsidP="00B87444">
            <w:pPr>
              <w:pStyle w:val="TableCell"/>
              <w:rPr>
                <w:sz w:val="24"/>
                <w:lang w:val="en-GB" w:eastAsia="en-GB"/>
              </w:rPr>
            </w:pPr>
            <w:r>
              <w:rPr>
                <w:sz w:val="24"/>
                <w:lang w:val="en-GB" w:eastAsia="en-GB"/>
              </w:rPr>
              <w:t>0</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sidRPr="00081AA4">
              <w:rPr>
                <w:sz w:val="24"/>
                <w:lang w:val="en-GB" w:eastAsia="en-GB"/>
              </w:rPr>
              <w:t xml:space="preserve">0 </w:t>
            </w:r>
          </w:p>
        </w:tc>
        <w:tc>
          <w:tcPr>
            <w:tcW w:w="1025" w:type="dxa"/>
            <w:vAlign w:val="bottom"/>
          </w:tcPr>
          <w:p w:rsidR="00B87444" w:rsidRPr="00081AA4" w:rsidRDefault="00B87444" w:rsidP="00B87444">
            <w:pPr>
              <w:pStyle w:val="TableCell"/>
              <w:rPr>
                <w:sz w:val="24"/>
                <w:lang w:val="en-GB" w:eastAsia="en-GB"/>
              </w:rPr>
            </w:pPr>
            <w:r>
              <w:rPr>
                <w:sz w:val="24"/>
                <w:lang w:val="en-GB" w:eastAsia="en-GB"/>
              </w:rPr>
              <w:t>1,428</w:t>
            </w:r>
            <w:r w:rsidRPr="00081AA4">
              <w:rPr>
                <w:sz w:val="24"/>
                <w:lang w:val="en-GB" w:eastAsia="en-GB"/>
              </w:rPr>
              <w:t xml:space="preserve"> </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sz w:val="24"/>
                <w:lang w:val="en-GB" w:eastAsia="en-GB"/>
              </w:rPr>
            </w:pPr>
            <w:r>
              <w:rPr>
                <w:rFonts w:ascii="Gill Sans" w:hAnsi="Gill Sans"/>
                <w:sz w:val="24"/>
                <w:lang w:val="en-GB" w:eastAsia="en-GB"/>
              </w:rPr>
              <w:t>Reclassification of Assets</w:t>
            </w:r>
          </w:p>
        </w:tc>
        <w:tc>
          <w:tcPr>
            <w:tcW w:w="1522" w:type="dxa"/>
            <w:vAlign w:val="bottom"/>
          </w:tcPr>
          <w:p w:rsidR="00B87444" w:rsidRPr="00081AA4" w:rsidRDefault="00B87444" w:rsidP="00B87444">
            <w:pPr>
              <w:pStyle w:val="TableCell"/>
              <w:rPr>
                <w:sz w:val="24"/>
                <w:lang w:val="en-GB" w:eastAsia="en-GB"/>
              </w:rPr>
            </w:pPr>
            <w:r>
              <w:rPr>
                <w:sz w:val="24"/>
                <w:lang w:val="en-GB" w:eastAsia="en-GB"/>
              </w:rPr>
              <w:t>9,816</w:t>
            </w:r>
            <w:r w:rsidRPr="00081AA4">
              <w:rPr>
                <w:sz w:val="24"/>
                <w:lang w:val="en-GB" w:eastAsia="en-GB"/>
              </w:rPr>
              <w:t xml:space="preserve"> </w:t>
            </w:r>
          </w:p>
        </w:tc>
        <w:tc>
          <w:tcPr>
            <w:tcW w:w="1616" w:type="dxa"/>
            <w:vAlign w:val="bottom"/>
          </w:tcPr>
          <w:p w:rsidR="00B87444" w:rsidRPr="00081AA4" w:rsidRDefault="00B87444" w:rsidP="00B87444">
            <w:pPr>
              <w:pStyle w:val="TableCell"/>
              <w:rPr>
                <w:sz w:val="24"/>
                <w:lang w:val="en-GB" w:eastAsia="en-GB"/>
              </w:rPr>
            </w:pPr>
            <w:r>
              <w:rPr>
                <w:sz w:val="24"/>
                <w:lang w:val="en-GB" w:eastAsia="en-GB"/>
              </w:rPr>
              <w:t>(204,581)</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Pr>
                <w:sz w:val="24"/>
                <w:lang w:val="en-GB" w:eastAsia="en-GB"/>
              </w:rPr>
              <w:t>47,518</w:t>
            </w:r>
            <w:r w:rsidRPr="00081AA4">
              <w:rPr>
                <w:sz w:val="24"/>
                <w:lang w:val="en-GB" w:eastAsia="en-GB"/>
              </w:rPr>
              <w:t xml:space="preserve"> </w:t>
            </w:r>
          </w:p>
        </w:tc>
        <w:tc>
          <w:tcPr>
            <w:tcW w:w="1025" w:type="dxa"/>
            <w:vAlign w:val="bottom"/>
          </w:tcPr>
          <w:p w:rsidR="00B87444" w:rsidRPr="00081AA4" w:rsidRDefault="00B87444" w:rsidP="00B87444">
            <w:pPr>
              <w:pStyle w:val="TableCell"/>
              <w:rPr>
                <w:sz w:val="24"/>
                <w:lang w:val="en-GB" w:eastAsia="en-GB"/>
              </w:rPr>
            </w:pPr>
            <w:r>
              <w:rPr>
                <w:sz w:val="24"/>
                <w:lang w:val="en-GB" w:eastAsia="en-GB"/>
              </w:rPr>
              <w:t>(147,247)</w:t>
            </w:r>
            <w:r w:rsidRPr="00081AA4">
              <w:rPr>
                <w:sz w:val="24"/>
                <w:lang w:val="en-GB" w:eastAsia="en-GB"/>
              </w:rPr>
              <w:t xml:space="preserve"> </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Balance at</w:t>
            </w:r>
            <w:r>
              <w:rPr>
                <w:rFonts w:ascii="Gill Sans" w:hAnsi="Gill Sans"/>
                <w:sz w:val="24"/>
                <w:lang w:val="en-GB" w:eastAsia="en-GB"/>
              </w:rPr>
              <w:t xml:space="preserve"> 31 December 2012</w:t>
            </w:r>
          </w:p>
        </w:tc>
        <w:tc>
          <w:tcPr>
            <w:tcW w:w="1522" w:type="dxa"/>
            <w:vAlign w:val="bottom"/>
          </w:tcPr>
          <w:p w:rsidR="00B87444" w:rsidRPr="00081AA4" w:rsidRDefault="00B87444" w:rsidP="00B87444">
            <w:pPr>
              <w:pStyle w:val="TableCell"/>
              <w:rPr>
                <w:sz w:val="24"/>
                <w:lang w:val="en-GB" w:eastAsia="en-GB"/>
              </w:rPr>
            </w:pPr>
            <w:r>
              <w:rPr>
                <w:sz w:val="24"/>
                <w:lang w:val="en-GB" w:eastAsia="en-GB"/>
              </w:rPr>
              <w:t>411</w:t>
            </w:r>
            <w:r w:rsidRPr="00081AA4">
              <w:rPr>
                <w:sz w:val="24"/>
                <w:lang w:val="en-GB" w:eastAsia="en-GB"/>
              </w:rPr>
              <w:t>,</w:t>
            </w:r>
            <w:r>
              <w:rPr>
                <w:sz w:val="24"/>
                <w:lang w:val="en-GB" w:eastAsia="en-GB"/>
              </w:rPr>
              <w:t>778</w:t>
            </w:r>
            <w:r w:rsidRPr="00081AA4">
              <w:rPr>
                <w:sz w:val="24"/>
                <w:lang w:val="en-GB" w:eastAsia="en-GB"/>
              </w:rPr>
              <w:t xml:space="preserve"> </w:t>
            </w:r>
          </w:p>
        </w:tc>
        <w:tc>
          <w:tcPr>
            <w:tcW w:w="1616" w:type="dxa"/>
            <w:vAlign w:val="bottom"/>
          </w:tcPr>
          <w:p w:rsidR="00B87444" w:rsidRPr="00081AA4" w:rsidRDefault="00B87444" w:rsidP="00B87444">
            <w:pPr>
              <w:pStyle w:val="TableCell"/>
              <w:rPr>
                <w:sz w:val="24"/>
                <w:lang w:val="en-GB" w:eastAsia="en-GB"/>
              </w:rPr>
            </w:pPr>
            <w:r>
              <w:rPr>
                <w:sz w:val="24"/>
                <w:lang w:val="en-GB" w:eastAsia="en-GB"/>
              </w:rPr>
              <w:t>109</w:t>
            </w:r>
            <w:r w:rsidRPr="00081AA4">
              <w:rPr>
                <w:sz w:val="24"/>
                <w:lang w:val="en-GB" w:eastAsia="en-GB"/>
              </w:rPr>
              <w:t>,</w:t>
            </w:r>
            <w:r>
              <w:rPr>
                <w:sz w:val="24"/>
                <w:lang w:val="en-GB" w:eastAsia="en-GB"/>
              </w:rPr>
              <w:t>129</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sidRPr="00081AA4">
              <w:rPr>
                <w:sz w:val="24"/>
                <w:lang w:val="en-GB" w:eastAsia="en-GB"/>
              </w:rPr>
              <w:t>3,9</w:t>
            </w:r>
            <w:r>
              <w:rPr>
                <w:sz w:val="24"/>
                <w:lang w:val="en-GB" w:eastAsia="en-GB"/>
              </w:rPr>
              <w:t>88</w:t>
            </w:r>
            <w:r w:rsidRPr="00081AA4">
              <w:rPr>
                <w:sz w:val="24"/>
                <w:lang w:val="en-GB" w:eastAsia="en-GB"/>
              </w:rPr>
              <w:t>,</w:t>
            </w:r>
            <w:r>
              <w:rPr>
                <w:sz w:val="24"/>
                <w:lang w:val="en-GB" w:eastAsia="en-GB"/>
              </w:rPr>
              <w:t>604</w:t>
            </w:r>
            <w:r w:rsidRPr="00081AA4">
              <w:rPr>
                <w:sz w:val="24"/>
                <w:lang w:val="en-GB" w:eastAsia="en-GB"/>
              </w:rPr>
              <w:t xml:space="preserve"> </w:t>
            </w:r>
          </w:p>
        </w:tc>
        <w:tc>
          <w:tcPr>
            <w:tcW w:w="1025" w:type="dxa"/>
            <w:vAlign w:val="bottom"/>
          </w:tcPr>
          <w:p w:rsidR="00B87444" w:rsidRPr="00081AA4" w:rsidRDefault="00B87444" w:rsidP="00B87444">
            <w:pPr>
              <w:pStyle w:val="TableCell"/>
              <w:rPr>
                <w:sz w:val="24"/>
                <w:lang w:val="en-GB" w:eastAsia="en-GB"/>
              </w:rPr>
            </w:pPr>
            <w:r w:rsidRPr="00081AA4">
              <w:rPr>
                <w:sz w:val="24"/>
                <w:lang w:val="en-GB" w:eastAsia="en-GB"/>
              </w:rPr>
              <w:t>4,</w:t>
            </w:r>
            <w:r>
              <w:rPr>
                <w:sz w:val="24"/>
                <w:lang w:val="en-GB" w:eastAsia="en-GB"/>
              </w:rPr>
              <w:t>509</w:t>
            </w:r>
            <w:r w:rsidRPr="00081AA4">
              <w:rPr>
                <w:sz w:val="24"/>
                <w:lang w:val="en-GB" w:eastAsia="en-GB"/>
              </w:rPr>
              <w:t>,</w:t>
            </w:r>
            <w:r>
              <w:rPr>
                <w:sz w:val="24"/>
                <w:lang w:val="en-GB" w:eastAsia="en-GB"/>
              </w:rPr>
              <w:t>511</w:t>
            </w:r>
            <w:r w:rsidRPr="00081AA4">
              <w:rPr>
                <w:sz w:val="24"/>
                <w:lang w:val="en-GB" w:eastAsia="en-GB"/>
              </w:rPr>
              <w:t xml:space="preserve"> </w:t>
            </w:r>
          </w:p>
        </w:tc>
      </w:tr>
      <w:tr w:rsidR="00B87444" w:rsidRPr="00081AA4" w:rsidTr="00E017B0">
        <w:tc>
          <w:tcPr>
            <w:tcW w:w="8153" w:type="dxa"/>
            <w:gridSpan w:val="5"/>
            <w:shd w:val="clear" w:color="auto" w:fill="auto"/>
            <w:vAlign w:val="bottom"/>
          </w:tcPr>
          <w:p w:rsidR="00B87444" w:rsidRPr="00081AA4" w:rsidRDefault="00B87444" w:rsidP="00B87444">
            <w:pPr>
              <w:pStyle w:val="TableHead"/>
              <w:jc w:val="center"/>
              <w:rPr>
                <w:sz w:val="24"/>
                <w:lang w:val="en-GB" w:eastAsia="en-GB"/>
              </w:rPr>
            </w:pPr>
            <w:r w:rsidRPr="00081AA4">
              <w:rPr>
                <w:sz w:val="24"/>
                <w:lang w:val="en-GB" w:eastAsia="en-GB"/>
              </w:rPr>
              <w:t>Accumulated Depreciation</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sz w:val="24"/>
                <w:lang w:val="en-GB" w:eastAsia="en-GB"/>
              </w:rPr>
            </w:pPr>
            <w:r>
              <w:rPr>
                <w:rFonts w:ascii="Gill Sans" w:hAnsi="Gill Sans"/>
                <w:sz w:val="24"/>
                <w:lang w:val="en-GB" w:eastAsia="en-GB"/>
              </w:rPr>
              <w:t>Balance at 1 January 2012</w:t>
            </w:r>
          </w:p>
        </w:tc>
        <w:tc>
          <w:tcPr>
            <w:tcW w:w="1522" w:type="dxa"/>
            <w:vAlign w:val="bottom"/>
          </w:tcPr>
          <w:p w:rsidR="00B87444" w:rsidRPr="00081AA4" w:rsidRDefault="00B87444" w:rsidP="00B87444">
            <w:pPr>
              <w:pStyle w:val="TableCell"/>
              <w:rPr>
                <w:sz w:val="24"/>
                <w:lang w:val="en-GB" w:eastAsia="en-GB"/>
              </w:rPr>
            </w:pPr>
            <w:r>
              <w:rPr>
                <w:sz w:val="24"/>
                <w:lang w:val="en-GB" w:eastAsia="en-GB"/>
              </w:rPr>
              <w:t>393</w:t>
            </w:r>
            <w:r w:rsidRPr="00081AA4">
              <w:rPr>
                <w:sz w:val="24"/>
                <w:lang w:val="en-GB" w:eastAsia="en-GB"/>
              </w:rPr>
              <w:t>,</w:t>
            </w:r>
            <w:r>
              <w:rPr>
                <w:sz w:val="24"/>
                <w:lang w:val="en-GB" w:eastAsia="en-GB"/>
              </w:rPr>
              <w:t>314</w:t>
            </w:r>
            <w:r w:rsidRPr="00081AA4">
              <w:rPr>
                <w:sz w:val="24"/>
                <w:lang w:val="en-GB" w:eastAsia="en-GB"/>
              </w:rPr>
              <w:t xml:space="preserve"> </w:t>
            </w:r>
          </w:p>
        </w:tc>
        <w:tc>
          <w:tcPr>
            <w:tcW w:w="1616" w:type="dxa"/>
            <w:vAlign w:val="bottom"/>
          </w:tcPr>
          <w:p w:rsidR="00B87444" w:rsidRPr="00081AA4" w:rsidRDefault="00B87444" w:rsidP="00B87444">
            <w:pPr>
              <w:pStyle w:val="TableCell"/>
              <w:rPr>
                <w:sz w:val="24"/>
                <w:lang w:val="en-GB" w:eastAsia="en-GB"/>
              </w:rPr>
            </w:pPr>
            <w:r>
              <w:rPr>
                <w:sz w:val="24"/>
                <w:lang w:val="en-GB" w:eastAsia="en-GB"/>
              </w:rPr>
              <w:t>308</w:t>
            </w:r>
            <w:r w:rsidRPr="00081AA4">
              <w:rPr>
                <w:sz w:val="24"/>
                <w:lang w:val="en-GB" w:eastAsia="en-GB"/>
              </w:rPr>
              <w:t>,5</w:t>
            </w:r>
            <w:r>
              <w:rPr>
                <w:sz w:val="24"/>
                <w:lang w:val="en-GB" w:eastAsia="en-GB"/>
              </w:rPr>
              <w:t>06</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Pr>
                <w:sz w:val="24"/>
                <w:lang w:val="en-GB" w:eastAsia="en-GB"/>
              </w:rPr>
              <w:t>925</w:t>
            </w:r>
            <w:r w:rsidRPr="00081AA4">
              <w:rPr>
                <w:sz w:val="24"/>
                <w:lang w:val="en-GB" w:eastAsia="en-GB"/>
              </w:rPr>
              <w:t>,</w:t>
            </w:r>
            <w:r>
              <w:rPr>
                <w:sz w:val="24"/>
                <w:lang w:val="en-GB" w:eastAsia="en-GB"/>
              </w:rPr>
              <w:t>644</w:t>
            </w:r>
            <w:r w:rsidRPr="00081AA4">
              <w:rPr>
                <w:sz w:val="24"/>
                <w:lang w:val="en-GB" w:eastAsia="en-GB"/>
              </w:rPr>
              <w:t xml:space="preserve"> </w:t>
            </w:r>
          </w:p>
        </w:tc>
        <w:tc>
          <w:tcPr>
            <w:tcW w:w="1025" w:type="dxa"/>
            <w:vAlign w:val="bottom"/>
          </w:tcPr>
          <w:p w:rsidR="00B87444" w:rsidRPr="00081AA4" w:rsidRDefault="00B87444" w:rsidP="00B87444">
            <w:pPr>
              <w:pStyle w:val="TableCell"/>
              <w:rPr>
                <w:sz w:val="24"/>
                <w:lang w:val="en-GB" w:eastAsia="en-GB"/>
              </w:rPr>
            </w:pPr>
            <w:r w:rsidRPr="00081AA4">
              <w:rPr>
                <w:sz w:val="24"/>
                <w:lang w:val="en-GB" w:eastAsia="en-GB"/>
              </w:rPr>
              <w:t>1,</w:t>
            </w:r>
            <w:r>
              <w:rPr>
                <w:sz w:val="24"/>
                <w:lang w:val="en-GB" w:eastAsia="en-GB"/>
              </w:rPr>
              <w:t>627</w:t>
            </w:r>
            <w:r w:rsidRPr="00081AA4">
              <w:rPr>
                <w:sz w:val="24"/>
                <w:lang w:val="en-GB" w:eastAsia="en-GB"/>
              </w:rPr>
              <w:t>,</w:t>
            </w:r>
            <w:r>
              <w:rPr>
                <w:sz w:val="24"/>
                <w:lang w:val="en-GB" w:eastAsia="en-GB"/>
              </w:rPr>
              <w:t>464</w:t>
            </w:r>
            <w:r w:rsidRPr="00081AA4">
              <w:rPr>
                <w:sz w:val="24"/>
                <w:lang w:val="en-GB" w:eastAsia="en-GB"/>
              </w:rPr>
              <w:t xml:space="preserve"> </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Charged in the year</w:t>
            </w:r>
          </w:p>
        </w:tc>
        <w:tc>
          <w:tcPr>
            <w:tcW w:w="1522" w:type="dxa"/>
            <w:vAlign w:val="bottom"/>
          </w:tcPr>
          <w:p w:rsidR="00B87444" w:rsidRPr="00081AA4" w:rsidRDefault="00B87444" w:rsidP="00B87444">
            <w:pPr>
              <w:pStyle w:val="TableCell"/>
              <w:rPr>
                <w:sz w:val="24"/>
                <w:lang w:val="en-GB" w:eastAsia="en-GB"/>
              </w:rPr>
            </w:pPr>
            <w:r>
              <w:rPr>
                <w:sz w:val="24"/>
                <w:lang w:val="en-GB" w:eastAsia="en-GB"/>
              </w:rPr>
              <w:t>3</w:t>
            </w:r>
            <w:r w:rsidRPr="00081AA4">
              <w:rPr>
                <w:sz w:val="24"/>
                <w:lang w:val="en-GB" w:eastAsia="en-GB"/>
              </w:rPr>
              <w:t>,</w:t>
            </w:r>
            <w:r>
              <w:rPr>
                <w:sz w:val="24"/>
                <w:lang w:val="en-GB" w:eastAsia="en-GB"/>
              </w:rPr>
              <w:t>725</w:t>
            </w:r>
            <w:r w:rsidRPr="00081AA4">
              <w:rPr>
                <w:sz w:val="24"/>
                <w:lang w:val="en-GB" w:eastAsia="en-GB"/>
              </w:rPr>
              <w:t xml:space="preserve"> </w:t>
            </w:r>
          </w:p>
        </w:tc>
        <w:tc>
          <w:tcPr>
            <w:tcW w:w="1616" w:type="dxa"/>
            <w:vAlign w:val="bottom"/>
          </w:tcPr>
          <w:p w:rsidR="00B87444" w:rsidRPr="00081AA4" w:rsidRDefault="00B87444" w:rsidP="00B87444">
            <w:pPr>
              <w:pStyle w:val="TableCell"/>
              <w:rPr>
                <w:sz w:val="24"/>
                <w:lang w:val="en-GB" w:eastAsia="en-GB"/>
              </w:rPr>
            </w:pPr>
            <w:r>
              <w:rPr>
                <w:sz w:val="24"/>
                <w:lang w:val="en-GB" w:eastAsia="en-GB"/>
              </w:rPr>
              <w:t>570</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sidRPr="00081AA4">
              <w:rPr>
                <w:sz w:val="24"/>
                <w:lang w:val="en-GB" w:eastAsia="en-GB"/>
              </w:rPr>
              <w:t>7</w:t>
            </w:r>
            <w:r>
              <w:rPr>
                <w:sz w:val="24"/>
                <w:lang w:val="en-GB" w:eastAsia="en-GB"/>
              </w:rPr>
              <w:t>5</w:t>
            </w:r>
            <w:r w:rsidRPr="00081AA4">
              <w:rPr>
                <w:sz w:val="24"/>
                <w:lang w:val="en-GB" w:eastAsia="en-GB"/>
              </w:rPr>
              <w:t>,3</w:t>
            </w:r>
            <w:r>
              <w:rPr>
                <w:sz w:val="24"/>
                <w:lang w:val="en-GB" w:eastAsia="en-GB"/>
              </w:rPr>
              <w:t>86</w:t>
            </w:r>
            <w:r w:rsidRPr="00081AA4">
              <w:rPr>
                <w:sz w:val="24"/>
                <w:lang w:val="en-GB" w:eastAsia="en-GB"/>
              </w:rPr>
              <w:t xml:space="preserve"> </w:t>
            </w:r>
          </w:p>
        </w:tc>
        <w:tc>
          <w:tcPr>
            <w:tcW w:w="1025" w:type="dxa"/>
            <w:vAlign w:val="bottom"/>
          </w:tcPr>
          <w:p w:rsidR="00B87444" w:rsidRPr="00081AA4" w:rsidRDefault="00B87444" w:rsidP="00B87444">
            <w:pPr>
              <w:pStyle w:val="TableCell"/>
              <w:rPr>
                <w:sz w:val="24"/>
                <w:lang w:val="en-GB" w:eastAsia="en-GB"/>
              </w:rPr>
            </w:pPr>
            <w:r>
              <w:rPr>
                <w:sz w:val="24"/>
                <w:lang w:val="en-GB" w:eastAsia="en-GB"/>
              </w:rPr>
              <w:t>79</w:t>
            </w:r>
            <w:r w:rsidRPr="00081AA4">
              <w:rPr>
                <w:sz w:val="24"/>
                <w:lang w:val="en-GB" w:eastAsia="en-GB"/>
              </w:rPr>
              <w:t>,</w:t>
            </w:r>
            <w:r>
              <w:rPr>
                <w:sz w:val="24"/>
                <w:lang w:val="en-GB" w:eastAsia="en-GB"/>
              </w:rPr>
              <w:t>681</w:t>
            </w:r>
            <w:r w:rsidRPr="00081AA4">
              <w:rPr>
                <w:sz w:val="24"/>
                <w:lang w:val="en-GB" w:eastAsia="en-GB"/>
              </w:rPr>
              <w:t xml:space="preserve"> </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sz w:val="24"/>
                <w:lang w:val="en-GB" w:eastAsia="en-GB"/>
              </w:rPr>
            </w:pPr>
            <w:r>
              <w:rPr>
                <w:rFonts w:ascii="Gill Sans" w:hAnsi="Gill Sans"/>
                <w:sz w:val="24"/>
                <w:lang w:val="en-GB" w:eastAsia="en-GB"/>
              </w:rPr>
              <w:t>Reclassification of Assets</w:t>
            </w:r>
          </w:p>
        </w:tc>
        <w:tc>
          <w:tcPr>
            <w:tcW w:w="1522" w:type="dxa"/>
            <w:vAlign w:val="bottom"/>
          </w:tcPr>
          <w:p w:rsidR="00B87444" w:rsidRPr="00081AA4" w:rsidRDefault="00B87444" w:rsidP="00B87444">
            <w:pPr>
              <w:pStyle w:val="TableCell"/>
              <w:rPr>
                <w:sz w:val="24"/>
                <w:lang w:val="en-GB" w:eastAsia="en-GB"/>
              </w:rPr>
            </w:pPr>
            <w:r>
              <w:rPr>
                <w:sz w:val="24"/>
                <w:lang w:val="en-GB" w:eastAsia="en-GB"/>
              </w:rPr>
              <w:t>11,845</w:t>
            </w:r>
            <w:r w:rsidRPr="00081AA4">
              <w:rPr>
                <w:sz w:val="24"/>
                <w:lang w:val="en-GB" w:eastAsia="en-GB"/>
              </w:rPr>
              <w:t xml:space="preserve"> </w:t>
            </w:r>
          </w:p>
        </w:tc>
        <w:tc>
          <w:tcPr>
            <w:tcW w:w="1616" w:type="dxa"/>
            <w:vAlign w:val="bottom"/>
          </w:tcPr>
          <w:p w:rsidR="00B87444" w:rsidRPr="00081AA4" w:rsidRDefault="00B87444" w:rsidP="00B87444">
            <w:pPr>
              <w:pStyle w:val="TableCell"/>
              <w:rPr>
                <w:sz w:val="24"/>
                <w:lang w:val="en-GB" w:eastAsia="en-GB"/>
              </w:rPr>
            </w:pPr>
            <w:r>
              <w:rPr>
                <w:sz w:val="24"/>
                <w:lang w:val="en-GB" w:eastAsia="en-GB"/>
              </w:rPr>
              <w:t>(200,939)</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Pr>
                <w:sz w:val="24"/>
                <w:lang w:val="en-GB" w:eastAsia="en-GB"/>
              </w:rPr>
              <w:t>47,518</w:t>
            </w:r>
          </w:p>
        </w:tc>
        <w:tc>
          <w:tcPr>
            <w:tcW w:w="1025" w:type="dxa"/>
            <w:vAlign w:val="bottom"/>
          </w:tcPr>
          <w:p w:rsidR="00B87444" w:rsidRPr="00081AA4" w:rsidRDefault="00B87444" w:rsidP="00B87444">
            <w:pPr>
              <w:pStyle w:val="TableCell"/>
              <w:rPr>
                <w:sz w:val="24"/>
                <w:lang w:val="en-GB" w:eastAsia="en-GB"/>
              </w:rPr>
            </w:pPr>
            <w:r>
              <w:rPr>
                <w:sz w:val="24"/>
                <w:lang w:val="en-GB" w:eastAsia="en-GB"/>
              </w:rPr>
              <w:t>(141,576)</w:t>
            </w:r>
            <w:r w:rsidRPr="00081AA4">
              <w:rPr>
                <w:sz w:val="24"/>
                <w:lang w:val="en-GB" w:eastAsia="en-GB"/>
              </w:rPr>
              <w:t xml:space="preserve"> </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sz w:val="24"/>
                <w:lang w:val="en-GB" w:eastAsia="en-GB"/>
              </w:rPr>
            </w:pPr>
            <w:r w:rsidRPr="00081AA4">
              <w:rPr>
                <w:rFonts w:ascii="Gill Sans" w:hAnsi="Gill Sans"/>
                <w:sz w:val="24"/>
                <w:lang w:val="en-GB" w:eastAsia="en-GB"/>
              </w:rPr>
              <w:t>Balance at 31 December 201</w:t>
            </w:r>
            <w:r>
              <w:rPr>
                <w:rFonts w:ascii="Gill Sans" w:hAnsi="Gill Sans"/>
                <w:sz w:val="24"/>
                <w:lang w:val="en-GB" w:eastAsia="en-GB"/>
              </w:rPr>
              <w:t>2</w:t>
            </w:r>
          </w:p>
        </w:tc>
        <w:tc>
          <w:tcPr>
            <w:tcW w:w="1522" w:type="dxa"/>
            <w:vAlign w:val="bottom"/>
          </w:tcPr>
          <w:p w:rsidR="00B87444" w:rsidRPr="00CD7510" w:rsidRDefault="00B87444" w:rsidP="00B87444">
            <w:pPr>
              <w:pStyle w:val="TableCell"/>
              <w:rPr>
                <w:b/>
                <w:sz w:val="24"/>
                <w:lang w:val="en-GB" w:eastAsia="en-GB"/>
              </w:rPr>
            </w:pPr>
            <w:r>
              <w:rPr>
                <w:b/>
                <w:sz w:val="24"/>
                <w:lang w:val="en-GB" w:eastAsia="en-GB"/>
              </w:rPr>
              <w:t>408</w:t>
            </w:r>
            <w:r w:rsidRPr="00CD7510">
              <w:rPr>
                <w:b/>
                <w:sz w:val="24"/>
                <w:lang w:val="en-GB" w:eastAsia="en-GB"/>
              </w:rPr>
              <w:t>,</w:t>
            </w:r>
            <w:r>
              <w:rPr>
                <w:b/>
                <w:sz w:val="24"/>
                <w:lang w:val="en-GB" w:eastAsia="en-GB"/>
              </w:rPr>
              <w:t>884</w:t>
            </w:r>
            <w:r w:rsidRPr="00CD7510">
              <w:rPr>
                <w:b/>
                <w:sz w:val="24"/>
                <w:lang w:val="en-GB" w:eastAsia="en-GB"/>
              </w:rPr>
              <w:t xml:space="preserve"> </w:t>
            </w:r>
          </w:p>
        </w:tc>
        <w:tc>
          <w:tcPr>
            <w:tcW w:w="1616" w:type="dxa"/>
            <w:vAlign w:val="bottom"/>
          </w:tcPr>
          <w:p w:rsidR="00B87444" w:rsidRPr="00CD7510" w:rsidRDefault="00B87444" w:rsidP="00B87444">
            <w:pPr>
              <w:pStyle w:val="TableCell"/>
              <w:rPr>
                <w:b/>
                <w:sz w:val="24"/>
                <w:lang w:val="en-GB" w:eastAsia="en-GB"/>
              </w:rPr>
            </w:pPr>
            <w:r>
              <w:rPr>
                <w:b/>
                <w:sz w:val="24"/>
                <w:lang w:val="en-GB" w:eastAsia="en-GB"/>
              </w:rPr>
              <w:t>108</w:t>
            </w:r>
            <w:r w:rsidRPr="00CD7510">
              <w:rPr>
                <w:b/>
                <w:sz w:val="24"/>
                <w:lang w:val="en-GB" w:eastAsia="en-GB"/>
              </w:rPr>
              <w:t>,</w:t>
            </w:r>
            <w:r>
              <w:rPr>
                <w:b/>
                <w:sz w:val="24"/>
                <w:lang w:val="en-GB" w:eastAsia="en-GB"/>
              </w:rPr>
              <w:t>137</w:t>
            </w:r>
            <w:r w:rsidRPr="00CD7510">
              <w:rPr>
                <w:b/>
                <w:sz w:val="24"/>
                <w:lang w:val="en-GB" w:eastAsia="en-GB"/>
              </w:rPr>
              <w:t xml:space="preserve"> </w:t>
            </w:r>
          </w:p>
        </w:tc>
        <w:tc>
          <w:tcPr>
            <w:tcW w:w="1440" w:type="dxa"/>
            <w:vAlign w:val="bottom"/>
          </w:tcPr>
          <w:p w:rsidR="00B87444" w:rsidRPr="00CD7510" w:rsidRDefault="00B87444" w:rsidP="00B87444">
            <w:pPr>
              <w:pStyle w:val="TableCell"/>
              <w:rPr>
                <w:b/>
                <w:sz w:val="24"/>
                <w:lang w:val="en-GB" w:eastAsia="en-GB"/>
              </w:rPr>
            </w:pPr>
            <w:r>
              <w:rPr>
                <w:b/>
                <w:sz w:val="24"/>
                <w:lang w:val="en-GB" w:eastAsia="en-GB"/>
              </w:rPr>
              <w:t>1,048</w:t>
            </w:r>
            <w:r w:rsidRPr="00CD7510">
              <w:rPr>
                <w:b/>
                <w:sz w:val="24"/>
                <w:lang w:val="en-GB" w:eastAsia="en-GB"/>
              </w:rPr>
              <w:t>,</w:t>
            </w:r>
            <w:r>
              <w:rPr>
                <w:b/>
                <w:sz w:val="24"/>
                <w:lang w:val="en-GB" w:eastAsia="en-GB"/>
              </w:rPr>
              <w:t>548</w:t>
            </w:r>
            <w:r w:rsidRPr="00CD7510">
              <w:rPr>
                <w:b/>
                <w:sz w:val="24"/>
                <w:lang w:val="en-GB" w:eastAsia="en-GB"/>
              </w:rPr>
              <w:t xml:space="preserve"> </w:t>
            </w:r>
          </w:p>
        </w:tc>
        <w:tc>
          <w:tcPr>
            <w:tcW w:w="1025" w:type="dxa"/>
            <w:vAlign w:val="bottom"/>
          </w:tcPr>
          <w:p w:rsidR="00B87444" w:rsidRPr="00CD7510" w:rsidRDefault="00B87444" w:rsidP="00B87444">
            <w:pPr>
              <w:pStyle w:val="TableCell"/>
              <w:rPr>
                <w:b/>
                <w:sz w:val="24"/>
                <w:lang w:val="en-GB" w:eastAsia="en-GB"/>
              </w:rPr>
            </w:pPr>
            <w:r w:rsidRPr="00CD7510">
              <w:rPr>
                <w:b/>
                <w:sz w:val="24"/>
                <w:lang w:val="en-GB" w:eastAsia="en-GB"/>
              </w:rPr>
              <w:t>1,</w:t>
            </w:r>
            <w:r>
              <w:rPr>
                <w:b/>
                <w:sz w:val="24"/>
                <w:lang w:val="en-GB" w:eastAsia="en-GB"/>
              </w:rPr>
              <w:t>565</w:t>
            </w:r>
            <w:r w:rsidRPr="00CD7510">
              <w:rPr>
                <w:b/>
                <w:sz w:val="24"/>
                <w:lang w:val="en-GB" w:eastAsia="en-GB"/>
              </w:rPr>
              <w:t>,</w:t>
            </w:r>
            <w:r>
              <w:rPr>
                <w:b/>
                <w:sz w:val="24"/>
                <w:lang w:val="en-GB" w:eastAsia="en-GB"/>
              </w:rPr>
              <w:t>569</w:t>
            </w:r>
            <w:r w:rsidRPr="00CD7510">
              <w:rPr>
                <w:b/>
                <w:sz w:val="24"/>
                <w:lang w:val="en-GB" w:eastAsia="en-GB"/>
              </w:rPr>
              <w:t xml:space="preserve"> </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bCs/>
                <w:sz w:val="24"/>
                <w:lang w:val="en-GB" w:eastAsia="en-GB"/>
              </w:rPr>
            </w:pPr>
            <w:r w:rsidRPr="00081AA4">
              <w:rPr>
                <w:rFonts w:ascii="Gill Sans" w:hAnsi="Gill Sans"/>
                <w:bCs/>
                <w:sz w:val="24"/>
                <w:lang w:val="en-GB" w:eastAsia="en-GB"/>
              </w:rPr>
              <w:t>N</w:t>
            </w:r>
            <w:r>
              <w:rPr>
                <w:rFonts w:ascii="Gill Sans" w:hAnsi="Gill Sans"/>
                <w:bCs/>
                <w:sz w:val="24"/>
                <w:lang w:val="en-GB" w:eastAsia="en-GB"/>
              </w:rPr>
              <w:t>et Book Value - 31 December 2012</w:t>
            </w:r>
          </w:p>
        </w:tc>
        <w:tc>
          <w:tcPr>
            <w:tcW w:w="1522" w:type="dxa"/>
            <w:vAlign w:val="bottom"/>
          </w:tcPr>
          <w:p w:rsidR="00B87444" w:rsidRPr="00081AA4" w:rsidRDefault="00B87444" w:rsidP="00B87444">
            <w:pPr>
              <w:pStyle w:val="TableCell"/>
              <w:rPr>
                <w:sz w:val="24"/>
                <w:lang w:val="en-GB" w:eastAsia="en-GB"/>
              </w:rPr>
            </w:pPr>
            <w:r>
              <w:rPr>
                <w:sz w:val="24"/>
                <w:lang w:val="en-GB" w:eastAsia="en-GB"/>
              </w:rPr>
              <w:t>2</w:t>
            </w:r>
            <w:r w:rsidRPr="00081AA4">
              <w:rPr>
                <w:sz w:val="24"/>
                <w:lang w:val="en-GB" w:eastAsia="en-GB"/>
              </w:rPr>
              <w:t>,</w:t>
            </w:r>
            <w:r>
              <w:rPr>
                <w:sz w:val="24"/>
                <w:lang w:val="en-GB" w:eastAsia="en-GB"/>
              </w:rPr>
              <w:t>894</w:t>
            </w:r>
            <w:r w:rsidRPr="00081AA4">
              <w:rPr>
                <w:sz w:val="24"/>
                <w:lang w:val="en-GB" w:eastAsia="en-GB"/>
              </w:rPr>
              <w:t xml:space="preserve"> </w:t>
            </w:r>
          </w:p>
        </w:tc>
        <w:tc>
          <w:tcPr>
            <w:tcW w:w="1616" w:type="dxa"/>
            <w:vAlign w:val="bottom"/>
          </w:tcPr>
          <w:p w:rsidR="00B87444" w:rsidRPr="00081AA4" w:rsidRDefault="00B87444" w:rsidP="00B87444">
            <w:pPr>
              <w:pStyle w:val="TableCell"/>
              <w:rPr>
                <w:sz w:val="24"/>
                <w:lang w:val="en-GB" w:eastAsia="en-GB"/>
              </w:rPr>
            </w:pPr>
            <w:r>
              <w:rPr>
                <w:sz w:val="24"/>
                <w:lang w:val="en-GB" w:eastAsia="en-GB"/>
              </w:rPr>
              <w:t>992</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Pr>
                <w:sz w:val="24"/>
                <w:lang w:val="en-GB" w:eastAsia="en-GB"/>
              </w:rPr>
              <w:t>2</w:t>
            </w:r>
            <w:r w:rsidRPr="00081AA4">
              <w:rPr>
                <w:sz w:val="24"/>
                <w:lang w:val="en-GB" w:eastAsia="en-GB"/>
              </w:rPr>
              <w:t>,</w:t>
            </w:r>
            <w:r>
              <w:rPr>
                <w:sz w:val="24"/>
                <w:lang w:val="en-GB" w:eastAsia="en-GB"/>
              </w:rPr>
              <w:t>940</w:t>
            </w:r>
            <w:r w:rsidRPr="00081AA4">
              <w:rPr>
                <w:sz w:val="24"/>
                <w:lang w:val="en-GB" w:eastAsia="en-GB"/>
              </w:rPr>
              <w:t>,</w:t>
            </w:r>
            <w:r>
              <w:rPr>
                <w:sz w:val="24"/>
                <w:lang w:val="en-GB" w:eastAsia="en-GB"/>
              </w:rPr>
              <w:t>056</w:t>
            </w:r>
            <w:r w:rsidRPr="00081AA4">
              <w:rPr>
                <w:sz w:val="24"/>
                <w:lang w:val="en-GB" w:eastAsia="en-GB"/>
              </w:rPr>
              <w:t xml:space="preserve"> </w:t>
            </w:r>
          </w:p>
        </w:tc>
        <w:tc>
          <w:tcPr>
            <w:tcW w:w="1025" w:type="dxa"/>
            <w:vAlign w:val="bottom"/>
          </w:tcPr>
          <w:p w:rsidR="00B87444" w:rsidRPr="00081AA4" w:rsidRDefault="00B87444" w:rsidP="00B87444">
            <w:pPr>
              <w:pStyle w:val="TableCell"/>
              <w:rPr>
                <w:sz w:val="24"/>
                <w:lang w:val="en-GB" w:eastAsia="en-GB"/>
              </w:rPr>
            </w:pPr>
            <w:r>
              <w:rPr>
                <w:sz w:val="24"/>
                <w:lang w:val="en-GB" w:eastAsia="en-GB"/>
              </w:rPr>
              <w:t>2</w:t>
            </w:r>
            <w:r w:rsidRPr="00081AA4">
              <w:rPr>
                <w:sz w:val="24"/>
                <w:lang w:val="en-GB" w:eastAsia="en-GB"/>
              </w:rPr>
              <w:t>,</w:t>
            </w:r>
            <w:r>
              <w:rPr>
                <w:sz w:val="24"/>
                <w:lang w:val="en-GB" w:eastAsia="en-GB"/>
              </w:rPr>
              <w:t>943</w:t>
            </w:r>
            <w:r w:rsidRPr="00081AA4">
              <w:rPr>
                <w:sz w:val="24"/>
                <w:lang w:val="en-GB" w:eastAsia="en-GB"/>
              </w:rPr>
              <w:t>,</w:t>
            </w:r>
            <w:r>
              <w:rPr>
                <w:sz w:val="24"/>
                <w:lang w:val="en-GB" w:eastAsia="en-GB"/>
              </w:rPr>
              <w:t>942</w:t>
            </w:r>
            <w:r w:rsidRPr="00081AA4">
              <w:rPr>
                <w:sz w:val="24"/>
                <w:lang w:val="en-GB" w:eastAsia="en-GB"/>
              </w:rPr>
              <w:t xml:space="preserve"> </w:t>
            </w:r>
          </w:p>
        </w:tc>
      </w:tr>
      <w:tr w:rsidR="00B87444" w:rsidRPr="00081AA4" w:rsidTr="00E017B0">
        <w:tc>
          <w:tcPr>
            <w:tcW w:w="2550" w:type="dxa"/>
            <w:shd w:val="clear" w:color="auto" w:fill="auto"/>
            <w:vAlign w:val="bottom"/>
          </w:tcPr>
          <w:p w:rsidR="00B87444" w:rsidRPr="00081AA4" w:rsidRDefault="00B87444" w:rsidP="00B87444">
            <w:pPr>
              <w:pStyle w:val="TableRowHead"/>
              <w:rPr>
                <w:rFonts w:ascii="Gill Sans" w:hAnsi="Gill Sans"/>
                <w:bCs/>
                <w:sz w:val="24"/>
                <w:lang w:val="en-GB" w:eastAsia="en-GB"/>
              </w:rPr>
            </w:pPr>
            <w:r w:rsidRPr="00081AA4">
              <w:rPr>
                <w:rFonts w:ascii="Gill Sans" w:hAnsi="Gill Sans"/>
                <w:bCs/>
                <w:sz w:val="24"/>
                <w:lang w:val="en-GB" w:eastAsia="en-GB"/>
              </w:rPr>
              <w:t>N</w:t>
            </w:r>
            <w:r>
              <w:rPr>
                <w:rFonts w:ascii="Gill Sans" w:hAnsi="Gill Sans"/>
                <w:bCs/>
                <w:sz w:val="24"/>
                <w:lang w:val="en-GB" w:eastAsia="en-GB"/>
              </w:rPr>
              <w:t>et Book Value - 31 December 2011</w:t>
            </w:r>
          </w:p>
        </w:tc>
        <w:tc>
          <w:tcPr>
            <w:tcW w:w="1522" w:type="dxa"/>
            <w:vAlign w:val="bottom"/>
          </w:tcPr>
          <w:p w:rsidR="00B87444" w:rsidRPr="00081AA4" w:rsidRDefault="00B87444" w:rsidP="00B87444">
            <w:pPr>
              <w:pStyle w:val="TableCell"/>
              <w:rPr>
                <w:sz w:val="24"/>
                <w:lang w:val="en-GB" w:eastAsia="en-GB"/>
              </w:rPr>
            </w:pPr>
            <w:r>
              <w:rPr>
                <w:sz w:val="24"/>
                <w:lang w:val="en-GB" w:eastAsia="en-GB"/>
              </w:rPr>
              <w:t>7,220</w:t>
            </w:r>
            <w:r w:rsidRPr="00081AA4">
              <w:rPr>
                <w:sz w:val="24"/>
                <w:lang w:val="en-GB" w:eastAsia="en-GB"/>
              </w:rPr>
              <w:t xml:space="preserve"> </w:t>
            </w:r>
          </w:p>
        </w:tc>
        <w:tc>
          <w:tcPr>
            <w:tcW w:w="1616" w:type="dxa"/>
            <w:vAlign w:val="bottom"/>
          </w:tcPr>
          <w:p w:rsidR="00B87444" w:rsidRPr="00081AA4" w:rsidRDefault="00B87444" w:rsidP="00B87444">
            <w:pPr>
              <w:pStyle w:val="TableCell"/>
              <w:rPr>
                <w:sz w:val="24"/>
                <w:lang w:val="en-GB" w:eastAsia="en-GB"/>
              </w:rPr>
            </w:pPr>
            <w:r w:rsidRPr="00081AA4">
              <w:rPr>
                <w:sz w:val="24"/>
                <w:lang w:val="en-GB" w:eastAsia="en-GB"/>
              </w:rPr>
              <w:t>5,</w:t>
            </w:r>
            <w:r>
              <w:rPr>
                <w:sz w:val="24"/>
                <w:lang w:val="en-GB" w:eastAsia="en-GB"/>
              </w:rPr>
              <w:t>204</w:t>
            </w:r>
            <w:r w:rsidRPr="00081AA4">
              <w:rPr>
                <w:sz w:val="24"/>
                <w:lang w:val="en-GB" w:eastAsia="en-GB"/>
              </w:rPr>
              <w:t xml:space="preserve"> </w:t>
            </w:r>
          </w:p>
        </w:tc>
        <w:tc>
          <w:tcPr>
            <w:tcW w:w="1440" w:type="dxa"/>
            <w:vAlign w:val="bottom"/>
          </w:tcPr>
          <w:p w:rsidR="00B87444" w:rsidRPr="00081AA4" w:rsidRDefault="00B87444" w:rsidP="00B87444">
            <w:pPr>
              <w:pStyle w:val="TableCell"/>
              <w:rPr>
                <w:sz w:val="24"/>
                <w:lang w:val="en-GB" w:eastAsia="en-GB"/>
              </w:rPr>
            </w:pPr>
            <w:r w:rsidRPr="00081AA4">
              <w:rPr>
                <w:sz w:val="24"/>
                <w:lang w:val="en-GB" w:eastAsia="en-GB"/>
              </w:rPr>
              <w:t>3,0</w:t>
            </w:r>
            <w:r>
              <w:rPr>
                <w:sz w:val="24"/>
                <w:lang w:val="en-GB" w:eastAsia="en-GB"/>
              </w:rPr>
              <w:t>15</w:t>
            </w:r>
            <w:r w:rsidRPr="00081AA4">
              <w:rPr>
                <w:sz w:val="24"/>
                <w:lang w:val="en-GB" w:eastAsia="en-GB"/>
              </w:rPr>
              <w:t>,</w:t>
            </w:r>
            <w:r>
              <w:rPr>
                <w:sz w:val="24"/>
                <w:lang w:val="en-GB" w:eastAsia="en-GB"/>
              </w:rPr>
              <w:t>442</w:t>
            </w:r>
            <w:r w:rsidRPr="00081AA4">
              <w:rPr>
                <w:sz w:val="24"/>
                <w:lang w:val="en-GB" w:eastAsia="en-GB"/>
              </w:rPr>
              <w:t xml:space="preserve"> </w:t>
            </w:r>
          </w:p>
        </w:tc>
        <w:tc>
          <w:tcPr>
            <w:tcW w:w="1025" w:type="dxa"/>
            <w:vAlign w:val="bottom"/>
          </w:tcPr>
          <w:p w:rsidR="00B87444" w:rsidRPr="00081AA4" w:rsidRDefault="00B87444" w:rsidP="00B87444">
            <w:pPr>
              <w:pStyle w:val="TableCell"/>
              <w:rPr>
                <w:sz w:val="24"/>
                <w:lang w:val="en-GB" w:eastAsia="en-GB"/>
              </w:rPr>
            </w:pPr>
            <w:r w:rsidRPr="00081AA4">
              <w:rPr>
                <w:sz w:val="24"/>
                <w:lang w:val="en-GB" w:eastAsia="en-GB"/>
              </w:rPr>
              <w:t>3,</w:t>
            </w:r>
            <w:r>
              <w:rPr>
                <w:sz w:val="24"/>
                <w:lang w:val="en-GB" w:eastAsia="en-GB"/>
              </w:rPr>
              <w:t>027</w:t>
            </w:r>
            <w:r w:rsidRPr="00081AA4">
              <w:rPr>
                <w:sz w:val="24"/>
                <w:lang w:val="en-GB" w:eastAsia="en-GB"/>
              </w:rPr>
              <w:t>,</w:t>
            </w:r>
            <w:r>
              <w:rPr>
                <w:sz w:val="24"/>
                <w:lang w:val="en-GB" w:eastAsia="en-GB"/>
              </w:rPr>
              <w:t>866</w:t>
            </w:r>
            <w:r w:rsidRPr="00081AA4">
              <w:rPr>
                <w:sz w:val="24"/>
                <w:lang w:val="en-GB" w:eastAsia="en-GB"/>
              </w:rPr>
              <w:t xml:space="preserve"> </w:t>
            </w:r>
          </w:p>
        </w:tc>
      </w:tr>
    </w:tbl>
    <w:p w:rsidR="00B87444" w:rsidRPr="00684A06" w:rsidRDefault="00B87444" w:rsidP="00B87444">
      <w:r>
        <w:br/>
        <w:t xml:space="preserve">During the year the Authority arranged work to be undertaken to ensure a comprehensive fixed asset register, which included an examination of historical differences between the fixed assets per the financial statements and the fixed asset register. The register has now been fully reconciled. The exercise resulted in a number of assets being re-classified and some obsolete equipment being written off. The overall effect was an additional charge </w:t>
      </w:r>
      <w:r w:rsidRPr="00D32BC3">
        <w:t xml:space="preserve">of </w:t>
      </w:r>
      <w:r w:rsidRPr="00D32BC3">
        <w:rPr>
          <w:lang w:val="en-GB" w:eastAsia="en-GB"/>
        </w:rPr>
        <w:t>€5,671</w:t>
      </w:r>
      <w:r>
        <w:rPr>
          <w:lang w:val="en-GB" w:eastAsia="en-GB"/>
        </w:rPr>
        <w:t>.</w:t>
      </w:r>
    </w:p>
    <w:p w:rsidR="009F7884" w:rsidRDefault="00B87444" w:rsidP="009F7884">
      <w:r>
        <w:t xml:space="preserve">The Board operates its business from a premises at </w:t>
      </w:r>
      <w:smartTag w:uri="urn:schemas-microsoft-com:office:smarttags" w:element="Street">
        <w:smartTag w:uri="urn:schemas-microsoft-com:office:smarttags" w:element="address">
          <w:r>
            <w:t>25 Clyde Road</w:t>
          </w:r>
        </w:smartTag>
      </w:smartTag>
      <w:r>
        <w:t xml:space="preserve">, Ballsbridge, </w:t>
      </w:r>
      <w:smartTag w:uri="urn:schemas-microsoft-com:office:smarttags" w:element="place">
        <w:smartTag w:uri="urn:schemas-microsoft-com:office:smarttags" w:element="City">
          <w:r>
            <w:t>Dublin</w:t>
          </w:r>
        </w:smartTag>
      </w:smartTag>
      <w:r>
        <w:t xml:space="preserve"> 4, which it owns. The board does not own or lease any other property.</w:t>
      </w:r>
    </w:p>
    <w:p w:rsidR="00B87444" w:rsidRPr="009F7884" w:rsidRDefault="00B87444" w:rsidP="009F7884">
      <w:pPr>
        <w:pStyle w:val="Heading3"/>
      </w:pPr>
      <w:r>
        <w:br w:type="page"/>
      </w:r>
      <w:bookmarkStart w:id="55" w:name="_Toc335836402"/>
      <w:r w:rsidRPr="00CD7510">
        <w:rPr>
          <w:lang w:val="en-GB" w:eastAsia="en-GB"/>
        </w:rPr>
        <w:t>8. Capital Account</w:t>
      </w:r>
      <w:bookmarkEnd w:id="55"/>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892"/>
        <w:gridCol w:w="1005"/>
        <w:gridCol w:w="1628"/>
        <w:gridCol w:w="1628"/>
      </w:tblGrid>
      <w:tr w:rsidR="00B87444" w:rsidRPr="00CD7510" w:rsidTr="000C6890">
        <w:trPr>
          <w:tblHeader/>
        </w:trPr>
        <w:tc>
          <w:tcPr>
            <w:tcW w:w="4248" w:type="dxa"/>
            <w:vAlign w:val="bottom"/>
          </w:tcPr>
          <w:p w:rsidR="00B87444" w:rsidRPr="00CD7510" w:rsidRDefault="00B87444" w:rsidP="00B87444">
            <w:pPr>
              <w:spacing w:after="0"/>
              <w:rPr>
                <w:rFonts w:cs="Arial"/>
                <w:lang w:val="en-GB" w:eastAsia="en-GB"/>
              </w:rPr>
            </w:pPr>
          </w:p>
        </w:tc>
        <w:tc>
          <w:tcPr>
            <w:tcW w:w="1080" w:type="dxa"/>
            <w:vAlign w:val="bottom"/>
          </w:tcPr>
          <w:p w:rsidR="00B87444" w:rsidRPr="00CD7510" w:rsidRDefault="00B87444" w:rsidP="00B87444">
            <w:pPr>
              <w:pStyle w:val="TableHead"/>
              <w:rPr>
                <w:lang w:val="en-GB" w:eastAsia="en-GB"/>
              </w:rPr>
            </w:pPr>
            <w:r w:rsidRPr="00CD7510">
              <w:rPr>
                <w:lang w:val="en-GB" w:eastAsia="en-GB"/>
              </w:rPr>
              <w:t>Notes</w:t>
            </w:r>
          </w:p>
        </w:tc>
        <w:tc>
          <w:tcPr>
            <w:tcW w:w="1764" w:type="dxa"/>
            <w:vAlign w:val="bottom"/>
          </w:tcPr>
          <w:p w:rsidR="00B87444" w:rsidRPr="00CD7510" w:rsidRDefault="00B87444" w:rsidP="00B87444">
            <w:pPr>
              <w:pStyle w:val="TableHead"/>
              <w:jc w:val="right"/>
              <w:rPr>
                <w:bCs/>
                <w:lang w:val="en-GB" w:eastAsia="en-GB"/>
              </w:rPr>
            </w:pPr>
            <w:r w:rsidRPr="00CD7510">
              <w:rPr>
                <w:bCs/>
                <w:lang w:val="en-GB" w:eastAsia="en-GB"/>
              </w:rPr>
              <w:t>201</w:t>
            </w:r>
            <w:r>
              <w:rPr>
                <w:bCs/>
                <w:lang w:val="en-GB" w:eastAsia="en-GB"/>
              </w:rPr>
              <w:t>2</w:t>
            </w:r>
          </w:p>
        </w:tc>
        <w:tc>
          <w:tcPr>
            <w:tcW w:w="1764" w:type="dxa"/>
            <w:vAlign w:val="bottom"/>
          </w:tcPr>
          <w:p w:rsidR="00B87444" w:rsidRPr="00CD7510" w:rsidRDefault="00B87444" w:rsidP="00B87444">
            <w:pPr>
              <w:pStyle w:val="TableHead"/>
              <w:jc w:val="right"/>
              <w:rPr>
                <w:bCs/>
                <w:lang w:val="en-GB" w:eastAsia="en-GB"/>
              </w:rPr>
            </w:pPr>
            <w:r w:rsidRPr="00CD7510">
              <w:rPr>
                <w:bCs/>
                <w:lang w:val="en-GB" w:eastAsia="en-GB"/>
              </w:rPr>
              <w:t>201</w:t>
            </w:r>
            <w:r>
              <w:rPr>
                <w:bCs/>
                <w:lang w:val="en-GB" w:eastAsia="en-GB"/>
              </w:rPr>
              <w:t>1</w:t>
            </w:r>
          </w:p>
        </w:tc>
      </w:tr>
      <w:tr w:rsidR="00B87444" w:rsidRPr="00CD7510" w:rsidTr="000C6890">
        <w:tc>
          <w:tcPr>
            <w:tcW w:w="4248" w:type="dxa"/>
            <w:vAlign w:val="bottom"/>
          </w:tcPr>
          <w:p w:rsidR="00B87444" w:rsidRPr="00CD7510" w:rsidRDefault="00B87444" w:rsidP="00B87444">
            <w:pPr>
              <w:spacing w:after="0"/>
              <w:rPr>
                <w:rFonts w:cs="Arial"/>
                <w:lang w:val="en-GB" w:eastAsia="en-GB"/>
              </w:rPr>
            </w:pPr>
          </w:p>
        </w:tc>
        <w:tc>
          <w:tcPr>
            <w:tcW w:w="1080" w:type="dxa"/>
            <w:vAlign w:val="bottom"/>
          </w:tcPr>
          <w:p w:rsidR="00B87444" w:rsidRPr="00CD7510" w:rsidRDefault="00B87444" w:rsidP="00B87444">
            <w:pPr>
              <w:spacing w:after="0"/>
              <w:rPr>
                <w:rFonts w:cs="Arial"/>
                <w:lang w:val="en-GB" w:eastAsia="en-GB"/>
              </w:rPr>
            </w:pPr>
          </w:p>
        </w:tc>
        <w:tc>
          <w:tcPr>
            <w:tcW w:w="1764" w:type="dxa"/>
            <w:vAlign w:val="bottom"/>
          </w:tcPr>
          <w:p w:rsidR="00B87444" w:rsidRPr="00CD7510" w:rsidRDefault="00B87444" w:rsidP="0053638B">
            <w:pPr>
              <w:pStyle w:val="TableCell"/>
              <w:rPr>
                <w:lang w:val="en-GB" w:eastAsia="en-GB"/>
              </w:rPr>
            </w:pPr>
            <w:r w:rsidRPr="00CD7510">
              <w:rPr>
                <w:lang w:val="en-GB" w:eastAsia="en-GB"/>
              </w:rPr>
              <w:t>€</w:t>
            </w:r>
          </w:p>
        </w:tc>
        <w:tc>
          <w:tcPr>
            <w:tcW w:w="1764" w:type="dxa"/>
            <w:vAlign w:val="bottom"/>
          </w:tcPr>
          <w:p w:rsidR="00B87444" w:rsidRPr="00CD7510" w:rsidRDefault="00B87444" w:rsidP="0053638B">
            <w:pPr>
              <w:pStyle w:val="TableCell"/>
              <w:rPr>
                <w:lang w:val="en-GB" w:eastAsia="en-GB"/>
              </w:rPr>
            </w:pPr>
            <w:r w:rsidRPr="00CD7510">
              <w:rPr>
                <w:lang w:val="en-GB" w:eastAsia="en-GB"/>
              </w:rPr>
              <w:t>€</w:t>
            </w:r>
          </w:p>
        </w:tc>
      </w:tr>
      <w:tr w:rsidR="00B87444" w:rsidRPr="00CD7510" w:rsidTr="000C6890">
        <w:tc>
          <w:tcPr>
            <w:tcW w:w="4248" w:type="dxa"/>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Balance at 1 January</w:t>
            </w:r>
          </w:p>
        </w:tc>
        <w:tc>
          <w:tcPr>
            <w:tcW w:w="1080" w:type="dxa"/>
            <w:vAlign w:val="bottom"/>
          </w:tcPr>
          <w:p w:rsidR="00B87444" w:rsidRPr="00CD7510" w:rsidRDefault="00B87444" w:rsidP="00B87444">
            <w:pPr>
              <w:spacing w:after="0"/>
              <w:rPr>
                <w:rFonts w:cs="Arial"/>
                <w:lang w:val="en-GB" w:eastAsia="en-GB"/>
              </w:rPr>
            </w:pP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3,</w:t>
            </w:r>
            <w:r>
              <w:rPr>
                <w:rFonts w:cs="Arial"/>
                <w:lang w:val="en-GB" w:eastAsia="en-GB"/>
              </w:rPr>
              <w:t>027</w:t>
            </w:r>
            <w:r w:rsidRPr="00CD7510">
              <w:rPr>
                <w:rFonts w:cs="Arial"/>
                <w:lang w:val="en-GB" w:eastAsia="en-GB"/>
              </w:rPr>
              <w:t>,</w:t>
            </w:r>
            <w:r>
              <w:rPr>
                <w:rFonts w:cs="Arial"/>
                <w:lang w:val="en-GB" w:eastAsia="en-GB"/>
              </w:rPr>
              <w:t>866</w:t>
            </w:r>
            <w:r w:rsidRPr="00CD7510">
              <w:rPr>
                <w:rFonts w:cs="Arial"/>
                <w:lang w:val="en-GB" w:eastAsia="en-GB"/>
              </w:rPr>
              <w:t xml:space="preserve"> </w:t>
            </w: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 xml:space="preserve">3,111,965 </w:t>
            </w:r>
          </w:p>
        </w:tc>
      </w:tr>
      <w:tr w:rsidR="00B87444" w:rsidRPr="00CD7510" w:rsidTr="000C6890">
        <w:tc>
          <w:tcPr>
            <w:tcW w:w="8856" w:type="dxa"/>
            <w:gridSpan w:val="4"/>
            <w:vAlign w:val="bottom"/>
          </w:tcPr>
          <w:p w:rsidR="00B87444" w:rsidRPr="00CD7510" w:rsidRDefault="00B87444" w:rsidP="00B87444">
            <w:pPr>
              <w:pStyle w:val="TableHead"/>
              <w:jc w:val="center"/>
              <w:rPr>
                <w:sz w:val="24"/>
                <w:lang w:val="en-GB" w:eastAsia="en-GB"/>
              </w:rPr>
            </w:pPr>
            <w:r w:rsidRPr="00CD7510">
              <w:rPr>
                <w:sz w:val="24"/>
                <w:lang w:val="en-GB" w:eastAsia="en-GB"/>
              </w:rPr>
              <w:t>Transfer (to) / from the Income and Expenditure Account</w:t>
            </w:r>
          </w:p>
        </w:tc>
      </w:tr>
      <w:tr w:rsidR="00B87444" w:rsidRPr="00CD7510" w:rsidTr="000C6890">
        <w:tc>
          <w:tcPr>
            <w:tcW w:w="4248" w:type="dxa"/>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 xml:space="preserve">Income applied to purchase fixed assets </w:t>
            </w:r>
          </w:p>
        </w:tc>
        <w:tc>
          <w:tcPr>
            <w:tcW w:w="1080"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 xml:space="preserve">7 </w:t>
            </w:r>
          </w:p>
        </w:tc>
        <w:tc>
          <w:tcPr>
            <w:tcW w:w="1764" w:type="dxa"/>
            <w:vAlign w:val="bottom"/>
          </w:tcPr>
          <w:p w:rsidR="00B87444" w:rsidRPr="00CD7510" w:rsidRDefault="00B87444" w:rsidP="00B87444">
            <w:pPr>
              <w:spacing w:after="0"/>
              <w:jc w:val="right"/>
              <w:rPr>
                <w:rFonts w:cs="Arial"/>
                <w:lang w:val="en-GB" w:eastAsia="en-GB"/>
              </w:rPr>
            </w:pPr>
            <w:r>
              <w:rPr>
                <w:rFonts w:cs="Arial"/>
                <w:lang w:val="en-GB" w:eastAsia="en-GB"/>
              </w:rPr>
              <w:t>1,428</w:t>
            </w:r>
            <w:r w:rsidRPr="00CD7510">
              <w:rPr>
                <w:rFonts w:cs="Arial"/>
                <w:lang w:val="en-GB" w:eastAsia="en-GB"/>
              </w:rPr>
              <w:t xml:space="preserve"> </w:t>
            </w: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 xml:space="preserve">9,235 </w:t>
            </w:r>
          </w:p>
        </w:tc>
      </w:tr>
      <w:tr w:rsidR="00B87444" w:rsidRPr="00CD7510" w:rsidTr="000C6890">
        <w:tc>
          <w:tcPr>
            <w:tcW w:w="4248" w:type="dxa"/>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 xml:space="preserve">Amortised in the year in line with asset depreciation </w:t>
            </w:r>
          </w:p>
        </w:tc>
        <w:tc>
          <w:tcPr>
            <w:tcW w:w="1080"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 xml:space="preserve">7 </w:t>
            </w: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w:t>
            </w:r>
            <w:r>
              <w:rPr>
                <w:rFonts w:cs="Arial"/>
                <w:lang w:val="en-GB" w:eastAsia="en-GB"/>
              </w:rPr>
              <w:t>79</w:t>
            </w:r>
            <w:r w:rsidRPr="00CD7510">
              <w:rPr>
                <w:rFonts w:cs="Arial"/>
                <w:lang w:val="en-GB" w:eastAsia="en-GB"/>
              </w:rPr>
              <w:t>,</w:t>
            </w:r>
            <w:r>
              <w:rPr>
                <w:rFonts w:cs="Arial"/>
                <w:lang w:val="en-GB" w:eastAsia="en-GB"/>
              </w:rPr>
              <w:t>681</w:t>
            </w:r>
            <w:r w:rsidRPr="00CD7510">
              <w:rPr>
                <w:rFonts w:cs="Arial"/>
                <w:lang w:val="en-GB" w:eastAsia="en-GB"/>
              </w:rPr>
              <w:t>)</w:t>
            </w: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(93,334)</w:t>
            </w:r>
          </w:p>
        </w:tc>
      </w:tr>
      <w:tr w:rsidR="00B87444" w:rsidRPr="00CD7510" w:rsidTr="000C6890">
        <w:tc>
          <w:tcPr>
            <w:tcW w:w="4248" w:type="dxa"/>
            <w:vAlign w:val="bottom"/>
          </w:tcPr>
          <w:p w:rsidR="00B87444" w:rsidRPr="0024314E" w:rsidRDefault="00B87444" w:rsidP="00B87444">
            <w:pPr>
              <w:pStyle w:val="TableRowHead"/>
              <w:rPr>
                <w:rFonts w:ascii="Gill Sans" w:hAnsi="Gill Sans"/>
                <w:sz w:val="24"/>
                <w:lang w:val="en-GB" w:eastAsia="en-GB"/>
              </w:rPr>
            </w:pPr>
            <w:r>
              <w:rPr>
                <w:rFonts w:ascii="Gill Sans" w:hAnsi="Gill Sans"/>
                <w:sz w:val="24"/>
                <w:lang w:val="en-GB" w:eastAsia="en-GB"/>
              </w:rPr>
              <w:t>Reclassification</w:t>
            </w:r>
            <w:r w:rsidRPr="0024314E">
              <w:rPr>
                <w:rFonts w:ascii="Gill Sans" w:hAnsi="Gill Sans"/>
                <w:sz w:val="24"/>
                <w:lang w:val="en-GB" w:eastAsia="en-GB"/>
              </w:rPr>
              <w:t xml:space="preserve"> of Fixed Assets</w:t>
            </w:r>
          </w:p>
        </w:tc>
        <w:tc>
          <w:tcPr>
            <w:tcW w:w="1080"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 xml:space="preserve">7 </w:t>
            </w:r>
          </w:p>
        </w:tc>
        <w:tc>
          <w:tcPr>
            <w:tcW w:w="1764" w:type="dxa"/>
            <w:vAlign w:val="bottom"/>
          </w:tcPr>
          <w:p w:rsidR="00B87444" w:rsidRPr="00CD7510" w:rsidRDefault="00B87444" w:rsidP="00B87444">
            <w:pPr>
              <w:spacing w:after="0"/>
              <w:jc w:val="right"/>
              <w:rPr>
                <w:rFonts w:cs="Arial"/>
                <w:lang w:val="en-GB" w:eastAsia="en-GB"/>
              </w:rPr>
            </w:pPr>
            <w:r>
              <w:rPr>
                <w:rFonts w:cs="Arial"/>
                <w:lang w:val="en-GB" w:eastAsia="en-GB"/>
              </w:rPr>
              <w:t>(5,671)</w:t>
            </w:r>
            <w:r w:rsidRPr="00CD7510">
              <w:rPr>
                <w:rFonts w:cs="Arial"/>
                <w:lang w:val="en-GB" w:eastAsia="en-GB"/>
              </w:rPr>
              <w:t xml:space="preserve"> </w:t>
            </w: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 xml:space="preserve">0 </w:t>
            </w:r>
          </w:p>
        </w:tc>
      </w:tr>
      <w:tr w:rsidR="00B87444" w:rsidRPr="00CD7510" w:rsidTr="000C6890">
        <w:tc>
          <w:tcPr>
            <w:tcW w:w="4248" w:type="dxa"/>
            <w:vAlign w:val="bottom"/>
          </w:tcPr>
          <w:p w:rsidR="00B87444" w:rsidRPr="0024314E" w:rsidRDefault="00B87444" w:rsidP="00B87444">
            <w:pPr>
              <w:pStyle w:val="TableRowHead"/>
              <w:rPr>
                <w:rFonts w:ascii="Gill Sans" w:hAnsi="Gill Sans"/>
                <w:sz w:val="24"/>
                <w:lang w:val="en-GB" w:eastAsia="en-GB"/>
              </w:rPr>
            </w:pPr>
          </w:p>
        </w:tc>
        <w:tc>
          <w:tcPr>
            <w:tcW w:w="1080" w:type="dxa"/>
            <w:vAlign w:val="bottom"/>
          </w:tcPr>
          <w:p w:rsidR="00B87444" w:rsidRPr="00CD7510" w:rsidRDefault="00B87444" w:rsidP="00B87444">
            <w:pPr>
              <w:spacing w:after="0"/>
              <w:rPr>
                <w:rFonts w:cs="Arial"/>
                <w:lang w:val="en-GB" w:eastAsia="en-GB"/>
              </w:rPr>
            </w:pP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(8</w:t>
            </w:r>
            <w:r>
              <w:rPr>
                <w:rFonts w:cs="Arial"/>
                <w:lang w:val="en-GB" w:eastAsia="en-GB"/>
              </w:rPr>
              <w:t>3,924</w:t>
            </w:r>
            <w:r w:rsidRPr="00CD7510">
              <w:rPr>
                <w:rFonts w:cs="Arial"/>
                <w:lang w:val="en-GB" w:eastAsia="en-GB"/>
              </w:rPr>
              <w:t>)</w:t>
            </w: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(84,099)</w:t>
            </w:r>
          </w:p>
        </w:tc>
      </w:tr>
      <w:tr w:rsidR="00B87444" w:rsidRPr="00CD7510" w:rsidTr="000C6890">
        <w:tc>
          <w:tcPr>
            <w:tcW w:w="4248" w:type="dxa"/>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 xml:space="preserve">Balance at 31 December </w:t>
            </w:r>
          </w:p>
        </w:tc>
        <w:tc>
          <w:tcPr>
            <w:tcW w:w="1080" w:type="dxa"/>
            <w:vAlign w:val="bottom"/>
          </w:tcPr>
          <w:p w:rsidR="00B87444" w:rsidRPr="00CD7510" w:rsidRDefault="00B87444" w:rsidP="00B87444">
            <w:pPr>
              <w:spacing w:after="0"/>
              <w:rPr>
                <w:rFonts w:cs="Arial"/>
                <w:lang w:val="en-GB" w:eastAsia="en-GB"/>
              </w:rPr>
            </w:pPr>
          </w:p>
        </w:tc>
        <w:tc>
          <w:tcPr>
            <w:tcW w:w="1764" w:type="dxa"/>
            <w:vAlign w:val="bottom"/>
          </w:tcPr>
          <w:p w:rsidR="00B87444" w:rsidRPr="00CD7510" w:rsidRDefault="00B87444" w:rsidP="00B87444">
            <w:pPr>
              <w:spacing w:after="0"/>
              <w:jc w:val="right"/>
              <w:rPr>
                <w:rFonts w:cs="Arial"/>
                <w:lang w:val="en-GB" w:eastAsia="en-GB"/>
              </w:rPr>
            </w:pPr>
            <w:r>
              <w:rPr>
                <w:rFonts w:cs="Arial"/>
                <w:lang w:val="en-GB" w:eastAsia="en-GB"/>
              </w:rPr>
              <w:t>2</w:t>
            </w:r>
            <w:r w:rsidRPr="00CD7510">
              <w:rPr>
                <w:rFonts w:cs="Arial"/>
                <w:lang w:val="en-GB" w:eastAsia="en-GB"/>
              </w:rPr>
              <w:t>,</w:t>
            </w:r>
            <w:r>
              <w:rPr>
                <w:rFonts w:cs="Arial"/>
                <w:lang w:val="en-GB" w:eastAsia="en-GB"/>
              </w:rPr>
              <w:t>943</w:t>
            </w:r>
            <w:r w:rsidRPr="00CD7510">
              <w:rPr>
                <w:rFonts w:cs="Arial"/>
                <w:lang w:val="en-GB" w:eastAsia="en-GB"/>
              </w:rPr>
              <w:t>,</w:t>
            </w:r>
            <w:r>
              <w:rPr>
                <w:rFonts w:cs="Arial"/>
                <w:lang w:val="en-GB" w:eastAsia="en-GB"/>
              </w:rPr>
              <w:t>942</w:t>
            </w:r>
            <w:r w:rsidRPr="00CD7510">
              <w:rPr>
                <w:rFonts w:cs="Arial"/>
                <w:lang w:val="en-GB" w:eastAsia="en-GB"/>
              </w:rPr>
              <w:t xml:space="preserve"> </w:t>
            </w:r>
          </w:p>
        </w:tc>
        <w:tc>
          <w:tcPr>
            <w:tcW w:w="1764" w:type="dxa"/>
            <w:vAlign w:val="bottom"/>
          </w:tcPr>
          <w:p w:rsidR="00B87444" w:rsidRPr="00CD7510" w:rsidRDefault="00B87444" w:rsidP="00B87444">
            <w:pPr>
              <w:spacing w:after="0"/>
              <w:jc w:val="right"/>
              <w:rPr>
                <w:rFonts w:cs="Arial"/>
                <w:lang w:val="en-GB" w:eastAsia="en-GB"/>
              </w:rPr>
            </w:pPr>
            <w:r w:rsidRPr="00CD7510">
              <w:rPr>
                <w:rFonts w:cs="Arial"/>
                <w:lang w:val="en-GB" w:eastAsia="en-GB"/>
              </w:rPr>
              <w:t xml:space="preserve">3,027,866 </w:t>
            </w:r>
          </w:p>
        </w:tc>
      </w:tr>
    </w:tbl>
    <w:p w:rsidR="00E41BEB" w:rsidRDefault="00E41BEB" w:rsidP="00E41BEB">
      <w:pPr>
        <w:pStyle w:val="Heading3"/>
      </w:pPr>
      <w:bookmarkStart w:id="56" w:name="_Toc335836403"/>
    </w:p>
    <w:p w:rsidR="00B87444" w:rsidRDefault="00B87444" w:rsidP="00E41BEB">
      <w:pPr>
        <w:pStyle w:val="Heading3"/>
      </w:pPr>
      <w:r w:rsidRPr="0024314E">
        <w:t>9. Cash Flow Reconciliation</w:t>
      </w:r>
      <w:bookmarkEnd w:id="56"/>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395"/>
        <w:gridCol w:w="1879"/>
        <w:gridCol w:w="1879"/>
      </w:tblGrid>
      <w:tr w:rsidR="00B87444" w:rsidRPr="0024314E" w:rsidTr="000C6890">
        <w:trPr>
          <w:tblHeader/>
        </w:trPr>
        <w:tc>
          <w:tcPr>
            <w:tcW w:w="4788" w:type="dxa"/>
            <w:shd w:val="clear" w:color="auto" w:fill="auto"/>
          </w:tcPr>
          <w:p w:rsidR="00B87444" w:rsidRPr="0024314E" w:rsidRDefault="00B87444" w:rsidP="00B87444">
            <w:pPr>
              <w:pStyle w:val="TableHead"/>
              <w:jc w:val="right"/>
            </w:pPr>
          </w:p>
        </w:tc>
        <w:tc>
          <w:tcPr>
            <w:tcW w:w="2034" w:type="dxa"/>
            <w:shd w:val="clear" w:color="auto" w:fill="auto"/>
            <w:vAlign w:val="bottom"/>
          </w:tcPr>
          <w:p w:rsidR="00B87444" w:rsidRPr="00CD7510" w:rsidRDefault="00B87444" w:rsidP="00B87444">
            <w:pPr>
              <w:pStyle w:val="TableHead"/>
              <w:jc w:val="right"/>
              <w:rPr>
                <w:bCs/>
                <w:lang w:val="en-GB" w:eastAsia="en-GB"/>
              </w:rPr>
            </w:pPr>
            <w:r w:rsidRPr="00CD7510">
              <w:rPr>
                <w:bCs/>
                <w:lang w:val="en-GB" w:eastAsia="en-GB"/>
              </w:rPr>
              <w:t>201</w:t>
            </w:r>
            <w:r>
              <w:rPr>
                <w:bCs/>
                <w:lang w:val="en-GB" w:eastAsia="en-GB"/>
              </w:rPr>
              <w:t>2</w:t>
            </w:r>
          </w:p>
        </w:tc>
        <w:tc>
          <w:tcPr>
            <w:tcW w:w="2034" w:type="dxa"/>
            <w:shd w:val="clear" w:color="auto" w:fill="auto"/>
            <w:vAlign w:val="bottom"/>
          </w:tcPr>
          <w:p w:rsidR="00B87444" w:rsidRPr="00CD7510" w:rsidRDefault="00B87444" w:rsidP="00B87444">
            <w:pPr>
              <w:pStyle w:val="TableHead"/>
              <w:jc w:val="right"/>
              <w:rPr>
                <w:bCs/>
                <w:lang w:val="en-GB" w:eastAsia="en-GB"/>
              </w:rPr>
            </w:pPr>
            <w:r w:rsidRPr="00CD7510">
              <w:rPr>
                <w:bCs/>
                <w:lang w:val="en-GB" w:eastAsia="en-GB"/>
              </w:rPr>
              <w:t>201</w:t>
            </w:r>
            <w:r>
              <w:rPr>
                <w:bCs/>
                <w:lang w:val="en-GB" w:eastAsia="en-GB"/>
              </w:rPr>
              <w:t>1</w:t>
            </w:r>
          </w:p>
        </w:tc>
      </w:tr>
      <w:tr w:rsidR="00B87444" w:rsidRPr="0024314E" w:rsidTr="000C6890">
        <w:tc>
          <w:tcPr>
            <w:tcW w:w="4788" w:type="dxa"/>
            <w:shd w:val="clear" w:color="auto" w:fill="auto"/>
          </w:tcPr>
          <w:p w:rsidR="00B87444" w:rsidRPr="0024314E" w:rsidRDefault="00B87444" w:rsidP="00B87444">
            <w:pPr>
              <w:pStyle w:val="TableRowHead"/>
            </w:pPr>
          </w:p>
        </w:tc>
        <w:tc>
          <w:tcPr>
            <w:tcW w:w="2034" w:type="dxa"/>
            <w:shd w:val="clear" w:color="auto" w:fill="auto"/>
            <w:vAlign w:val="bottom"/>
          </w:tcPr>
          <w:p w:rsidR="00B87444" w:rsidRPr="00CD7510" w:rsidRDefault="00B87444" w:rsidP="0053638B">
            <w:pPr>
              <w:pStyle w:val="TableCell"/>
              <w:rPr>
                <w:lang w:val="en-GB" w:eastAsia="en-GB"/>
              </w:rPr>
            </w:pPr>
            <w:r w:rsidRPr="00CD7510">
              <w:rPr>
                <w:lang w:val="en-GB" w:eastAsia="en-GB"/>
              </w:rPr>
              <w:t>€</w:t>
            </w:r>
          </w:p>
        </w:tc>
        <w:tc>
          <w:tcPr>
            <w:tcW w:w="2034" w:type="dxa"/>
            <w:shd w:val="clear" w:color="auto" w:fill="auto"/>
            <w:vAlign w:val="bottom"/>
          </w:tcPr>
          <w:p w:rsidR="00B87444" w:rsidRPr="00CD7510" w:rsidRDefault="00B87444" w:rsidP="0053638B">
            <w:pPr>
              <w:pStyle w:val="TableCell"/>
              <w:rPr>
                <w:lang w:val="en-GB" w:eastAsia="en-GB"/>
              </w:rPr>
            </w:pPr>
            <w:r w:rsidRPr="00CD7510">
              <w:rPr>
                <w:lang w:val="en-GB" w:eastAsia="en-GB"/>
              </w:rPr>
              <w:t>€</w:t>
            </w:r>
          </w:p>
        </w:tc>
      </w:tr>
      <w:tr w:rsidR="00B87444" w:rsidRPr="0024314E" w:rsidTr="000C6890">
        <w:tc>
          <w:tcPr>
            <w:tcW w:w="8856" w:type="dxa"/>
            <w:gridSpan w:val="3"/>
            <w:shd w:val="clear" w:color="auto" w:fill="auto"/>
          </w:tcPr>
          <w:p w:rsidR="00B87444" w:rsidRPr="0024314E" w:rsidRDefault="00B87444" w:rsidP="00B87444">
            <w:pPr>
              <w:pStyle w:val="TableHead"/>
              <w:jc w:val="center"/>
            </w:pPr>
            <w:r w:rsidRPr="0024314E">
              <w:t>9 (a) Reconciliation Of Deficit For The Year To Cashflow From Operating Activities</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Surplus / (Deficit) for the period</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144</w:t>
            </w:r>
            <w:r w:rsidRPr="0024314E">
              <w:rPr>
                <w:sz w:val="24"/>
                <w:lang w:val="en-GB" w:eastAsia="en-GB"/>
              </w:rPr>
              <w:t>,</w:t>
            </w:r>
            <w:r>
              <w:rPr>
                <w:sz w:val="24"/>
                <w:lang w:val="en-GB" w:eastAsia="en-GB"/>
              </w:rPr>
              <w:t>235</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(16,606)</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Adjustment for non operating items</w:t>
            </w:r>
          </w:p>
        </w:tc>
        <w:tc>
          <w:tcPr>
            <w:tcW w:w="2034" w:type="dxa"/>
            <w:shd w:val="clear" w:color="auto" w:fill="auto"/>
            <w:vAlign w:val="bottom"/>
          </w:tcPr>
          <w:p w:rsidR="00B87444" w:rsidRPr="0024314E" w:rsidRDefault="00B87444" w:rsidP="00B87444">
            <w:pPr>
              <w:pStyle w:val="TableCell"/>
              <w:rPr>
                <w:sz w:val="24"/>
                <w:lang w:val="en-GB" w:eastAsia="en-GB"/>
              </w:rPr>
            </w:pPr>
          </w:p>
        </w:tc>
        <w:tc>
          <w:tcPr>
            <w:tcW w:w="2034" w:type="dxa"/>
            <w:shd w:val="clear" w:color="auto" w:fill="auto"/>
            <w:vAlign w:val="bottom"/>
          </w:tcPr>
          <w:p w:rsidR="00B87444" w:rsidRPr="0024314E" w:rsidRDefault="00B87444" w:rsidP="00B87444">
            <w:pPr>
              <w:pStyle w:val="TableCell"/>
              <w:rPr>
                <w:sz w:val="24"/>
                <w:lang w:val="en-GB" w:eastAsia="en-GB"/>
              </w:rPr>
            </w:pP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Interest Receivable</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 xml:space="preserve">0 </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 xml:space="preserve">0 </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 xml:space="preserve">Movement on Capital Account </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(83</w:t>
            </w:r>
            <w:r w:rsidRPr="0024314E">
              <w:rPr>
                <w:sz w:val="24"/>
                <w:lang w:val="en-GB" w:eastAsia="en-GB"/>
              </w:rPr>
              <w:t>,</w:t>
            </w:r>
            <w:r>
              <w:rPr>
                <w:sz w:val="24"/>
                <w:lang w:val="en-GB" w:eastAsia="en-GB"/>
              </w:rPr>
              <w:t>924</w:t>
            </w:r>
            <w:r w:rsidRPr="0024314E">
              <w:rPr>
                <w:sz w:val="24"/>
                <w:lang w:val="en-GB" w:eastAsia="en-GB"/>
              </w:rPr>
              <w:t>)</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(84,099)</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Adjustment for non cash items</w:t>
            </w:r>
          </w:p>
        </w:tc>
        <w:tc>
          <w:tcPr>
            <w:tcW w:w="2034" w:type="dxa"/>
            <w:shd w:val="clear" w:color="auto" w:fill="auto"/>
            <w:vAlign w:val="bottom"/>
          </w:tcPr>
          <w:p w:rsidR="00B87444" w:rsidRPr="0024314E" w:rsidRDefault="00B87444" w:rsidP="00B87444">
            <w:pPr>
              <w:pStyle w:val="TableCell"/>
              <w:rPr>
                <w:sz w:val="24"/>
                <w:lang w:val="en-GB" w:eastAsia="en-GB"/>
              </w:rPr>
            </w:pPr>
          </w:p>
        </w:tc>
        <w:tc>
          <w:tcPr>
            <w:tcW w:w="2034" w:type="dxa"/>
            <w:shd w:val="clear" w:color="auto" w:fill="auto"/>
            <w:vAlign w:val="bottom"/>
          </w:tcPr>
          <w:p w:rsidR="00B87444" w:rsidRPr="0024314E" w:rsidRDefault="00B87444" w:rsidP="00B87444">
            <w:pPr>
              <w:pStyle w:val="TableCell"/>
              <w:rPr>
                <w:sz w:val="24"/>
                <w:lang w:val="en-GB" w:eastAsia="en-GB"/>
              </w:rPr>
            </w:pP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Depreciation</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79</w:t>
            </w:r>
            <w:r w:rsidRPr="0024314E">
              <w:rPr>
                <w:sz w:val="24"/>
                <w:lang w:val="en-GB" w:eastAsia="en-GB"/>
              </w:rPr>
              <w:t>,</w:t>
            </w:r>
            <w:r>
              <w:rPr>
                <w:sz w:val="24"/>
                <w:lang w:val="en-GB" w:eastAsia="en-GB"/>
              </w:rPr>
              <w:t>681</w:t>
            </w:r>
            <w:r w:rsidRPr="0024314E">
              <w:rPr>
                <w:sz w:val="24"/>
                <w:lang w:val="en-GB" w:eastAsia="en-GB"/>
              </w:rPr>
              <w:t xml:space="preserve"> </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 xml:space="preserve">93,334 </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Pr>
                <w:rFonts w:ascii="Gill Sans" w:hAnsi="Gill Sans"/>
                <w:sz w:val="24"/>
                <w:lang w:val="en-GB" w:eastAsia="en-GB"/>
              </w:rPr>
              <w:t>Reclassification of Fixed Assets</w:t>
            </w:r>
          </w:p>
        </w:tc>
        <w:tc>
          <w:tcPr>
            <w:tcW w:w="2034" w:type="dxa"/>
            <w:shd w:val="clear" w:color="auto" w:fill="auto"/>
            <w:vAlign w:val="bottom"/>
          </w:tcPr>
          <w:p w:rsidR="00B87444" w:rsidRDefault="00B87444" w:rsidP="00B87444">
            <w:pPr>
              <w:pStyle w:val="TableCell"/>
              <w:rPr>
                <w:sz w:val="24"/>
                <w:lang w:val="en-GB" w:eastAsia="en-GB"/>
              </w:rPr>
            </w:pPr>
            <w:r>
              <w:rPr>
                <w:sz w:val="24"/>
                <w:lang w:val="en-GB" w:eastAsia="en-GB"/>
              </w:rPr>
              <w:t>5,671</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0</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 xml:space="preserve">Change in Debtors </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(52</w:t>
            </w:r>
            <w:r w:rsidRPr="0024314E">
              <w:rPr>
                <w:sz w:val="24"/>
                <w:lang w:val="en-GB" w:eastAsia="en-GB"/>
              </w:rPr>
              <w:t>,</w:t>
            </w:r>
            <w:r>
              <w:rPr>
                <w:sz w:val="24"/>
                <w:lang w:val="en-GB" w:eastAsia="en-GB"/>
              </w:rPr>
              <w:t>762</w:t>
            </w:r>
            <w:r w:rsidRPr="0024314E">
              <w:rPr>
                <w:sz w:val="24"/>
                <w:lang w:val="en-GB" w:eastAsia="en-GB"/>
              </w:rPr>
              <w:t>)</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(58,609)</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 xml:space="preserve">Change in Creditors </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(83</w:t>
            </w:r>
            <w:r w:rsidRPr="0024314E">
              <w:rPr>
                <w:sz w:val="24"/>
                <w:lang w:val="en-GB" w:eastAsia="en-GB"/>
              </w:rPr>
              <w:t>,</w:t>
            </w:r>
            <w:r>
              <w:rPr>
                <w:sz w:val="24"/>
                <w:lang w:val="en-GB" w:eastAsia="en-GB"/>
              </w:rPr>
              <w:t>2</w:t>
            </w:r>
            <w:r w:rsidRPr="0024314E">
              <w:rPr>
                <w:sz w:val="24"/>
                <w:lang w:val="en-GB" w:eastAsia="en-GB"/>
              </w:rPr>
              <w:t>2</w:t>
            </w:r>
            <w:r>
              <w:rPr>
                <w:sz w:val="24"/>
                <w:lang w:val="en-GB" w:eastAsia="en-GB"/>
              </w:rPr>
              <w:t>7)</w:t>
            </w:r>
            <w:r w:rsidRPr="0024314E">
              <w:rPr>
                <w:sz w:val="24"/>
                <w:lang w:val="en-GB" w:eastAsia="en-GB"/>
              </w:rPr>
              <w:t xml:space="preserve"> </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 xml:space="preserve">75,028 </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Cashflow from Operating Activities</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9</w:t>
            </w:r>
            <w:r w:rsidRPr="0024314E">
              <w:rPr>
                <w:sz w:val="24"/>
                <w:lang w:val="en-GB" w:eastAsia="en-GB"/>
              </w:rPr>
              <w:t>,</w:t>
            </w:r>
            <w:r>
              <w:rPr>
                <w:sz w:val="24"/>
                <w:lang w:val="en-GB" w:eastAsia="en-GB"/>
              </w:rPr>
              <w:t>674</w:t>
            </w:r>
            <w:r w:rsidRPr="0024314E">
              <w:rPr>
                <w:sz w:val="24"/>
                <w:lang w:val="en-GB" w:eastAsia="en-GB"/>
              </w:rPr>
              <w:t xml:space="preserve"> </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 xml:space="preserve">9,048 </w:t>
            </w:r>
          </w:p>
        </w:tc>
      </w:tr>
      <w:tr w:rsidR="00B87444" w:rsidRPr="0024314E" w:rsidTr="000C6890">
        <w:tc>
          <w:tcPr>
            <w:tcW w:w="8856" w:type="dxa"/>
            <w:gridSpan w:val="3"/>
            <w:shd w:val="clear" w:color="auto" w:fill="auto"/>
            <w:vAlign w:val="bottom"/>
          </w:tcPr>
          <w:p w:rsidR="00B87444" w:rsidRPr="0024314E" w:rsidRDefault="00B87444" w:rsidP="00B87444">
            <w:pPr>
              <w:pStyle w:val="TableHead"/>
              <w:jc w:val="center"/>
              <w:rPr>
                <w:lang w:val="en-GB" w:eastAsia="en-GB"/>
              </w:rPr>
            </w:pPr>
            <w:r w:rsidRPr="0024314E">
              <w:rPr>
                <w:lang w:val="en-GB" w:eastAsia="en-GB"/>
              </w:rPr>
              <w:t>9(b) Reconciliation Of Cashflow To Movement In Net Funds</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Net Funds at 31 December 201</w:t>
            </w:r>
            <w:r>
              <w:rPr>
                <w:rFonts w:ascii="Gill Sans" w:hAnsi="Gill Sans"/>
                <w:sz w:val="24"/>
                <w:lang w:val="en-GB" w:eastAsia="en-GB"/>
              </w:rPr>
              <w:t>1</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114</w:t>
            </w:r>
            <w:r w:rsidRPr="0024314E">
              <w:rPr>
                <w:sz w:val="24"/>
                <w:lang w:val="en-GB" w:eastAsia="en-GB"/>
              </w:rPr>
              <w:t xml:space="preserve"> </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 xml:space="preserve">301 </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Pr>
                <w:rFonts w:ascii="Gill Sans" w:hAnsi="Gill Sans"/>
                <w:sz w:val="24"/>
                <w:lang w:val="en-GB" w:eastAsia="en-GB"/>
              </w:rPr>
              <w:t>Increase / (</w:t>
            </w:r>
            <w:r w:rsidRPr="0024314E">
              <w:rPr>
                <w:rFonts w:ascii="Gill Sans" w:hAnsi="Gill Sans"/>
                <w:sz w:val="24"/>
                <w:lang w:val="en-GB" w:eastAsia="en-GB"/>
              </w:rPr>
              <w:t>Decrease</w:t>
            </w:r>
            <w:r>
              <w:rPr>
                <w:rFonts w:ascii="Gill Sans" w:hAnsi="Gill Sans"/>
                <w:sz w:val="24"/>
                <w:lang w:val="en-GB" w:eastAsia="en-GB"/>
              </w:rPr>
              <w:t>)</w:t>
            </w:r>
            <w:r w:rsidRPr="0024314E">
              <w:rPr>
                <w:rFonts w:ascii="Gill Sans" w:hAnsi="Gill Sans"/>
                <w:sz w:val="24"/>
                <w:lang w:val="en-GB" w:eastAsia="en-GB"/>
              </w:rPr>
              <w:t xml:space="preserve"> in Cash</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8,246</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(187)</w:t>
            </w:r>
          </w:p>
        </w:tc>
      </w:tr>
      <w:tr w:rsidR="00B87444" w:rsidRPr="0024314E" w:rsidTr="000C6890">
        <w:tc>
          <w:tcPr>
            <w:tcW w:w="4788" w:type="dxa"/>
            <w:shd w:val="clear" w:color="auto" w:fill="auto"/>
            <w:vAlign w:val="bottom"/>
          </w:tcPr>
          <w:p w:rsidR="00B87444" w:rsidRPr="0024314E" w:rsidRDefault="00B87444" w:rsidP="00B87444">
            <w:pPr>
              <w:pStyle w:val="TableRowHead"/>
              <w:rPr>
                <w:rFonts w:ascii="Gill Sans" w:hAnsi="Gill Sans"/>
                <w:sz w:val="24"/>
                <w:lang w:val="en-GB" w:eastAsia="en-GB"/>
              </w:rPr>
            </w:pPr>
            <w:r w:rsidRPr="0024314E">
              <w:rPr>
                <w:rFonts w:ascii="Gill Sans" w:hAnsi="Gill Sans"/>
                <w:sz w:val="24"/>
                <w:lang w:val="en-GB" w:eastAsia="en-GB"/>
              </w:rPr>
              <w:t>Net Funds at 31 December 201</w:t>
            </w:r>
            <w:r>
              <w:rPr>
                <w:rFonts w:ascii="Gill Sans" w:hAnsi="Gill Sans"/>
                <w:sz w:val="24"/>
                <w:lang w:val="en-GB" w:eastAsia="en-GB"/>
              </w:rPr>
              <w:t>2</w:t>
            </w:r>
          </w:p>
        </w:tc>
        <w:tc>
          <w:tcPr>
            <w:tcW w:w="2034" w:type="dxa"/>
            <w:shd w:val="clear" w:color="auto" w:fill="auto"/>
            <w:vAlign w:val="bottom"/>
          </w:tcPr>
          <w:p w:rsidR="00B87444" w:rsidRPr="0024314E" w:rsidRDefault="00B87444" w:rsidP="00B87444">
            <w:pPr>
              <w:pStyle w:val="TableCell"/>
              <w:rPr>
                <w:sz w:val="24"/>
                <w:lang w:val="en-GB" w:eastAsia="en-GB"/>
              </w:rPr>
            </w:pPr>
            <w:r>
              <w:rPr>
                <w:sz w:val="24"/>
                <w:lang w:val="en-GB" w:eastAsia="en-GB"/>
              </w:rPr>
              <w:t>8,360</w:t>
            </w:r>
            <w:r w:rsidRPr="0024314E">
              <w:rPr>
                <w:sz w:val="24"/>
                <w:lang w:val="en-GB" w:eastAsia="en-GB"/>
              </w:rPr>
              <w:t xml:space="preserve"> </w:t>
            </w:r>
          </w:p>
        </w:tc>
        <w:tc>
          <w:tcPr>
            <w:tcW w:w="2034" w:type="dxa"/>
            <w:shd w:val="clear" w:color="auto" w:fill="auto"/>
            <w:vAlign w:val="bottom"/>
          </w:tcPr>
          <w:p w:rsidR="00B87444" w:rsidRPr="0024314E" w:rsidRDefault="00B87444" w:rsidP="00B87444">
            <w:pPr>
              <w:pStyle w:val="TableCell"/>
              <w:rPr>
                <w:sz w:val="24"/>
                <w:lang w:val="en-GB" w:eastAsia="en-GB"/>
              </w:rPr>
            </w:pPr>
            <w:r w:rsidRPr="0024314E">
              <w:rPr>
                <w:sz w:val="24"/>
                <w:lang w:val="en-GB" w:eastAsia="en-GB"/>
              </w:rPr>
              <w:t xml:space="preserve">114 </w:t>
            </w:r>
          </w:p>
        </w:tc>
      </w:tr>
    </w:tbl>
    <w:p w:rsidR="00B87444" w:rsidRPr="00B22912" w:rsidRDefault="00B87444" w:rsidP="00E41BEB">
      <w:pPr>
        <w:pStyle w:val="Heading3"/>
        <w:rPr>
          <w:lang w:val="en-GB" w:eastAsia="en-GB"/>
        </w:rPr>
      </w:pPr>
      <w:r>
        <w:br/>
      </w:r>
      <w:bookmarkStart w:id="57" w:name="_Toc335836404"/>
      <w:r w:rsidRPr="00B22912">
        <w:rPr>
          <w:lang w:val="en-GB" w:eastAsia="en-GB"/>
        </w:rPr>
        <w:t>10. Superannuation</w:t>
      </w:r>
      <w:bookmarkEnd w:id="57"/>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r w:rsidRPr="00B22912">
        <w:rPr>
          <w:lang w:val="en-GB" w:eastAsia="en-GB"/>
        </w:rPr>
        <w:tab/>
      </w:r>
    </w:p>
    <w:p w:rsidR="00B87444" w:rsidRDefault="00B87444" w:rsidP="00B87444">
      <w:pPr>
        <w:rPr>
          <w:lang w:val="en-GB" w:eastAsia="en-GB"/>
        </w:rPr>
      </w:pPr>
      <w:r w:rsidRPr="00B22912">
        <w:rPr>
          <w:lang w:val="en-GB" w:eastAsia="en-GB"/>
        </w:rPr>
        <w:t xml:space="preserve">Under the National Disability Authority Act 1999, the Authority with the approval of the Minister for </w:t>
      </w:r>
      <w:bookmarkStart w:id="58" w:name="OLE_LINK1"/>
      <w:bookmarkStart w:id="59" w:name="OLE_LINK2"/>
      <w:r w:rsidRPr="00B22912">
        <w:rPr>
          <w:lang w:val="en-GB" w:eastAsia="en-GB"/>
        </w:rPr>
        <w:t xml:space="preserve">Justice </w:t>
      </w:r>
      <w:r>
        <w:rPr>
          <w:lang w:val="en-GB" w:eastAsia="en-GB"/>
        </w:rPr>
        <w:t xml:space="preserve">and </w:t>
      </w:r>
      <w:r w:rsidRPr="00B22912">
        <w:rPr>
          <w:lang w:val="en-GB" w:eastAsia="en-GB"/>
        </w:rPr>
        <w:t xml:space="preserve">Equality </w:t>
      </w:r>
      <w:bookmarkEnd w:id="58"/>
      <w:bookmarkEnd w:id="59"/>
      <w:r w:rsidRPr="00B22912">
        <w:rPr>
          <w:lang w:val="en-GB" w:eastAsia="en-GB"/>
        </w:rPr>
        <w:t>and the consent of the Minister for Finance, shall make a scheme or schemes for the granting of superannuation benefits to or in respect of the members of staff, including the Director of the Authority.</w:t>
      </w:r>
    </w:p>
    <w:p w:rsidR="00B87444" w:rsidRDefault="00B87444" w:rsidP="00B87444">
      <w:pPr>
        <w:rPr>
          <w:lang w:val="en-GB" w:eastAsia="en-GB"/>
        </w:rPr>
      </w:pPr>
      <w:r w:rsidRPr="00B22912">
        <w:rPr>
          <w:lang w:val="en-GB" w:eastAsia="en-GB"/>
        </w:rPr>
        <w:t xml:space="preserve">A Model Scheme has been drafted and is awaiting approval from the Department of Justice </w:t>
      </w:r>
      <w:r>
        <w:rPr>
          <w:lang w:val="en-GB" w:eastAsia="en-GB"/>
        </w:rPr>
        <w:t xml:space="preserve">and </w:t>
      </w:r>
      <w:r w:rsidRPr="00B22912">
        <w:rPr>
          <w:lang w:val="en-GB" w:eastAsia="en-GB"/>
        </w:rPr>
        <w:t xml:space="preserve">Equality and the Department of </w:t>
      </w:r>
      <w:r>
        <w:rPr>
          <w:lang w:val="en-GB" w:eastAsia="en-GB"/>
        </w:rPr>
        <w:t>Public Expenditure and Reform</w:t>
      </w:r>
      <w:r w:rsidRPr="00B22912">
        <w:rPr>
          <w:lang w:val="en-GB" w:eastAsia="en-GB"/>
        </w:rPr>
        <w:t>.</w:t>
      </w:r>
      <w:r>
        <w:rPr>
          <w:lang w:val="en-GB" w:eastAsia="en-GB"/>
        </w:rPr>
        <w:t xml:space="preserve"> </w:t>
      </w:r>
    </w:p>
    <w:p w:rsidR="00B87444" w:rsidRDefault="00B87444" w:rsidP="00B87444">
      <w:pPr>
        <w:rPr>
          <w:lang w:val="en-GB" w:eastAsia="en-GB"/>
        </w:rPr>
      </w:pPr>
      <w:r w:rsidRPr="00431600">
        <w:rPr>
          <w:lang w:val="en-GB" w:eastAsia="en-GB"/>
        </w:rPr>
        <w:t>The National Disability Authority (NDA) operates an unfunded defined benefit superannuation schemes for staff. Superannuation entitlements arising under the schemes are paid out of current income and are charged to the Income and Expenditure Account, net of employee superannuation contributions, in the yea</w:t>
      </w:r>
      <w:r>
        <w:rPr>
          <w:lang w:val="en-GB" w:eastAsia="en-GB"/>
        </w:rPr>
        <w:t>r in which they become payable.</w:t>
      </w:r>
    </w:p>
    <w:p w:rsidR="00B87444" w:rsidRPr="00B22912" w:rsidRDefault="00B87444" w:rsidP="00B87444">
      <w:pPr>
        <w:rPr>
          <w:lang w:val="en-GB" w:eastAsia="en-GB"/>
        </w:rPr>
      </w:pPr>
      <w:r w:rsidRPr="00B22912">
        <w:rPr>
          <w:lang w:val="en-GB" w:eastAsia="en-GB"/>
        </w:rPr>
        <w:t xml:space="preserve">At present staff who were formerly staff of the National Rehabilitation Board who retire receive Superannuation benefits under the terms of the Local Government Superannuation Scheme. Staff who have been employed by </w:t>
      </w:r>
      <w:r w:rsidR="00B47D87" w:rsidRPr="00B47D87">
        <w:rPr>
          <w:lang w:val="en-GB" w:eastAsia="en-GB"/>
        </w:rPr>
        <w:t>National Disability Authority</w:t>
      </w:r>
      <w:r w:rsidRPr="00B22912">
        <w:rPr>
          <w:lang w:val="en-GB" w:eastAsia="en-GB"/>
        </w:rPr>
        <w:t xml:space="preserve"> subsequent to its establishment and who retire receive benefits in line with the terms of the Nominated Health Agencies Superannuation Scheme.</w:t>
      </w:r>
    </w:p>
    <w:p w:rsidR="00B87444" w:rsidRDefault="00B87444" w:rsidP="00E41BEB">
      <w:pPr>
        <w:pStyle w:val="Heading4"/>
        <w:rPr>
          <w:lang w:val="en-GB" w:eastAsia="en-GB"/>
        </w:rPr>
      </w:pPr>
      <w:bookmarkStart w:id="60" w:name="_Toc335836405"/>
      <w:r w:rsidRPr="00B22912">
        <w:rPr>
          <w:lang w:val="en-GB" w:eastAsia="en-GB"/>
        </w:rPr>
        <w:t>(a) Pension Scheme</w:t>
      </w:r>
      <w:bookmarkEnd w:id="60"/>
    </w:p>
    <w:p w:rsidR="00B87444" w:rsidRDefault="00B87444" w:rsidP="00B87444">
      <w:pPr>
        <w:rPr>
          <w:lang w:val="en-GB" w:eastAsia="en-GB"/>
        </w:rPr>
      </w:pPr>
      <w:r w:rsidRPr="00431600">
        <w:rPr>
          <w:lang w:val="en-GB" w:eastAsia="en-GB"/>
        </w:rPr>
        <w:t xml:space="preserve">'The results set out below are based on an actuarial valuation of the liabilities in respect of the serving, retired and deceased staff of the </w:t>
      </w:r>
      <w:r w:rsidR="00B47D87" w:rsidRPr="00B47D87">
        <w:rPr>
          <w:lang w:val="en-GB" w:eastAsia="en-GB"/>
        </w:rPr>
        <w:t>National Disability Authority</w:t>
      </w:r>
      <w:r w:rsidRPr="00431600">
        <w:rPr>
          <w:lang w:val="en-GB" w:eastAsia="en-GB"/>
        </w:rPr>
        <w:t xml:space="preserve"> as at 31 December 2012. This valuation was carried out by a qualified independent actuary for the purposes of the accounting standard, Financial Reporting Standard No. 17 </w:t>
      </w:r>
      <w:r>
        <w:rPr>
          <w:lang w:val="en-GB" w:eastAsia="en-GB"/>
        </w:rPr>
        <w:t>– Retirement Benefits (FRS 17).</w:t>
      </w:r>
    </w:p>
    <w:p w:rsidR="00B87444" w:rsidRDefault="00B87444" w:rsidP="00B87444">
      <w:pPr>
        <w:rPr>
          <w:lang w:val="en-GB" w:eastAsia="en-GB"/>
        </w:rPr>
      </w:pPr>
      <w:r w:rsidRPr="00B22912">
        <w:rPr>
          <w:lang w:val="en-GB" w:eastAsia="en-GB"/>
        </w:rPr>
        <w:t>This valuation was carried out using the projected unit method.</w:t>
      </w:r>
      <w:r>
        <w:rPr>
          <w:lang w:val="en-GB" w:eastAsia="en-GB"/>
        </w:rPr>
        <w:t xml:space="preserve"> </w:t>
      </w:r>
      <w:r w:rsidRPr="00B22912">
        <w:rPr>
          <w:lang w:val="en-GB" w:eastAsia="en-GB"/>
        </w:rPr>
        <w:t>The financial assumptions used to calculate scheme liabilities were as follows: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951"/>
        <w:gridCol w:w="2101"/>
        <w:gridCol w:w="2101"/>
      </w:tblGrid>
      <w:tr w:rsidR="00B87444" w:rsidRPr="007D6157" w:rsidTr="000C6890">
        <w:trPr>
          <w:tblHeader/>
        </w:trPr>
        <w:tc>
          <w:tcPr>
            <w:tcW w:w="4068" w:type="dxa"/>
            <w:vAlign w:val="bottom"/>
          </w:tcPr>
          <w:p w:rsidR="00B87444" w:rsidRPr="007D6157" w:rsidRDefault="00B87444" w:rsidP="00B87444">
            <w:pPr>
              <w:spacing w:after="0"/>
              <w:rPr>
                <w:rFonts w:cs="Arial"/>
                <w:b/>
                <w:bCs/>
                <w:lang w:val="en-GB" w:eastAsia="en-GB"/>
              </w:rPr>
            </w:pPr>
          </w:p>
        </w:tc>
        <w:tc>
          <w:tcPr>
            <w:tcW w:w="2160" w:type="dxa"/>
            <w:vAlign w:val="bottom"/>
          </w:tcPr>
          <w:p w:rsidR="00B87444" w:rsidRPr="007D6157" w:rsidRDefault="00B87444" w:rsidP="00B87444">
            <w:pPr>
              <w:pStyle w:val="TableHead"/>
              <w:jc w:val="right"/>
              <w:rPr>
                <w:lang w:val="en-GB" w:eastAsia="en-GB"/>
              </w:rPr>
            </w:pPr>
            <w:r>
              <w:rPr>
                <w:lang w:val="en-GB" w:eastAsia="en-GB"/>
              </w:rPr>
              <w:t>2012</w:t>
            </w:r>
          </w:p>
        </w:tc>
        <w:tc>
          <w:tcPr>
            <w:tcW w:w="2160" w:type="dxa"/>
            <w:vAlign w:val="bottom"/>
          </w:tcPr>
          <w:p w:rsidR="00B87444" w:rsidRPr="007D6157" w:rsidRDefault="00B87444" w:rsidP="00B87444">
            <w:pPr>
              <w:pStyle w:val="TableHead"/>
              <w:jc w:val="right"/>
              <w:rPr>
                <w:lang w:val="en-GB" w:eastAsia="en-GB"/>
              </w:rPr>
            </w:pPr>
            <w:r>
              <w:rPr>
                <w:lang w:val="en-GB" w:eastAsia="en-GB"/>
              </w:rPr>
              <w:t>2011</w:t>
            </w:r>
          </w:p>
        </w:tc>
      </w:tr>
      <w:tr w:rsidR="00B87444" w:rsidRPr="007D6157" w:rsidTr="000C6890">
        <w:tc>
          <w:tcPr>
            <w:tcW w:w="4068" w:type="dxa"/>
            <w:vAlign w:val="bottom"/>
          </w:tcPr>
          <w:p w:rsidR="00B87444" w:rsidRPr="007D6157" w:rsidRDefault="00B87444" w:rsidP="00B87444">
            <w:pPr>
              <w:pStyle w:val="TableRowHead"/>
              <w:rPr>
                <w:rFonts w:ascii="Gill Sans" w:hAnsi="Gill Sans"/>
                <w:sz w:val="24"/>
                <w:lang w:val="en-GB" w:eastAsia="en-GB"/>
              </w:rPr>
            </w:pPr>
            <w:r w:rsidRPr="007D6157">
              <w:rPr>
                <w:rFonts w:ascii="Gill Sans" w:hAnsi="Gill Sans"/>
                <w:sz w:val="24"/>
                <w:lang w:val="en-GB" w:eastAsia="en-GB"/>
              </w:rPr>
              <w:t>Discount Rate</w:t>
            </w:r>
          </w:p>
        </w:tc>
        <w:tc>
          <w:tcPr>
            <w:tcW w:w="2160" w:type="dxa"/>
            <w:vAlign w:val="bottom"/>
          </w:tcPr>
          <w:p w:rsidR="00B87444" w:rsidRPr="007D6157" w:rsidRDefault="00B87444" w:rsidP="00B87444">
            <w:pPr>
              <w:pStyle w:val="TableCell"/>
              <w:rPr>
                <w:sz w:val="24"/>
                <w:lang w:val="en-GB" w:eastAsia="en-GB"/>
              </w:rPr>
            </w:pPr>
            <w:r w:rsidRPr="007D6157">
              <w:rPr>
                <w:sz w:val="24"/>
                <w:lang w:val="en-GB" w:eastAsia="en-GB"/>
              </w:rPr>
              <w:t>5.5%</w:t>
            </w:r>
          </w:p>
        </w:tc>
        <w:tc>
          <w:tcPr>
            <w:tcW w:w="2160" w:type="dxa"/>
            <w:vAlign w:val="bottom"/>
          </w:tcPr>
          <w:p w:rsidR="00B87444" w:rsidRPr="007D6157" w:rsidRDefault="00B87444" w:rsidP="00B87444">
            <w:pPr>
              <w:pStyle w:val="TableCell"/>
              <w:rPr>
                <w:sz w:val="24"/>
                <w:lang w:val="en-GB" w:eastAsia="en-GB"/>
              </w:rPr>
            </w:pPr>
            <w:r w:rsidRPr="007D6157">
              <w:rPr>
                <w:sz w:val="24"/>
                <w:lang w:val="en-GB" w:eastAsia="en-GB"/>
              </w:rPr>
              <w:t>5.5%</w:t>
            </w:r>
          </w:p>
        </w:tc>
      </w:tr>
      <w:tr w:rsidR="00B87444" w:rsidRPr="007D6157" w:rsidTr="000C6890">
        <w:tc>
          <w:tcPr>
            <w:tcW w:w="4068" w:type="dxa"/>
            <w:vAlign w:val="bottom"/>
          </w:tcPr>
          <w:p w:rsidR="00B87444" w:rsidRPr="007D6157" w:rsidRDefault="00B87444" w:rsidP="00B87444">
            <w:pPr>
              <w:pStyle w:val="TableRowHead"/>
              <w:rPr>
                <w:rFonts w:ascii="Gill Sans" w:hAnsi="Gill Sans"/>
                <w:sz w:val="24"/>
                <w:lang w:val="en-GB" w:eastAsia="en-GB"/>
              </w:rPr>
            </w:pPr>
            <w:r w:rsidRPr="007D6157">
              <w:rPr>
                <w:rFonts w:ascii="Gill Sans" w:hAnsi="Gill Sans"/>
                <w:sz w:val="24"/>
                <w:lang w:val="en-GB" w:eastAsia="en-GB"/>
              </w:rPr>
              <w:t>Salary increase assumption</w:t>
            </w:r>
          </w:p>
        </w:tc>
        <w:tc>
          <w:tcPr>
            <w:tcW w:w="2160" w:type="dxa"/>
            <w:vAlign w:val="bottom"/>
          </w:tcPr>
          <w:p w:rsidR="00B87444" w:rsidRPr="007D6157" w:rsidRDefault="00B87444" w:rsidP="00B87444">
            <w:pPr>
              <w:pStyle w:val="TableCell"/>
              <w:rPr>
                <w:sz w:val="24"/>
                <w:lang w:val="en-GB" w:eastAsia="en-GB"/>
              </w:rPr>
            </w:pPr>
            <w:r w:rsidRPr="007D6157">
              <w:rPr>
                <w:sz w:val="24"/>
                <w:lang w:val="en-GB" w:eastAsia="en-GB"/>
              </w:rPr>
              <w:t>4%</w:t>
            </w:r>
          </w:p>
        </w:tc>
        <w:tc>
          <w:tcPr>
            <w:tcW w:w="2160" w:type="dxa"/>
            <w:vAlign w:val="bottom"/>
          </w:tcPr>
          <w:p w:rsidR="00B87444" w:rsidRPr="007D6157" w:rsidRDefault="00B87444" w:rsidP="00B87444">
            <w:pPr>
              <w:pStyle w:val="TableCell"/>
              <w:rPr>
                <w:sz w:val="24"/>
                <w:lang w:val="en-GB" w:eastAsia="en-GB"/>
              </w:rPr>
            </w:pPr>
            <w:r w:rsidRPr="007D6157">
              <w:rPr>
                <w:sz w:val="24"/>
                <w:lang w:val="en-GB" w:eastAsia="en-GB"/>
              </w:rPr>
              <w:t>4%</w:t>
            </w:r>
          </w:p>
        </w:tc>
      </w:tr>
      <w:tr w:rsidR="00B87444" w:rsidRPr="007D6157" w:rsidTr="000C6890">
        <w:tc>
          <w:tcPr>
            <w:tcW w:w="4068" w:type="dxa"/>
            <w:vAlign w:val="bottom"/>
          </w:tcPr>
          <w:p w:rsidR="00B87444" w:rsidRPr="007D6157" w:rsidRDefault="00B87444" w:rsidP="00B87444">
            <w:pPr>
              <w:pStyle w:val="TableRowHead"/>
              <w:rPr>
                <w:rFonts w:ascii="Gill Sans" w:hAnsi="Gill Sans"/>
                <w:sz w:val="24"/>
                <w:lang w:val="en-GB" w:eastAsia="en-GB"/>
              </w:rPr>
            </w:pPr>
            <w:r w:rsidRPr="007D6157">
              <w:rPr>
                <w:rFonts w:ascii="Gill Sans" w:hAnsi="Gill Sans"/>
                <w:sz w:val="24"/>
                <w:lang w:val="en-GB" w:eastAsia="en-GB"/>
              </w:rPr>
              <w:t>Pension increase assumption</w:t>
            </w:r>
          </w:p>
        </w:tc>
        <w:tc>
          <w:tcPr>
            <w:tcW w:w="2160" w:type="dxa"/>
            <w:vAlign w:val="bottom"/>
          </w:tcPr>
          <w:p w:rsidR="00B87444" w:rsidRPr="007D6157" w:rsidRDefault="00B87444" w:rsidP="00B87444">
            <w:pPr>
              <w:pStyle w:val="TableCell"/>
              <w:rPr>
                <w:sz w:val="24"/>
                <w:lang w:val="en-GB" w:eastAsia="en-GB"/>
              </w:rPr>
            </w:pPr>
            <w:r w:rsidRPr="007D6157">
              <w:rPr>
                <w:sz w:val="24"/>
                <w:lang w:val="en-GB" w:eastAsia="en-GB"/>
              </w:rPr>
              <w:t>4%</w:t>
            </w:r>
          </w:p>
        </w:tc>
        <w:tc>
          <w:tcPr>
            <w:tcW w:w="2160" w:type="dxa"/>
            <w:vAlign w:val="bottom"/>
          </w:tcPr>
          <w:p w:rsidR="00B87444" w:rsidRPr="007D6157" w:rsidRDefault="00B87444" w:rsidP="00B87444">
            <w:pPr>
              <w:pStyle w:val="TableCell"/>
              <w:rPr>
                <w:sz w:val="24"/>
                <w:lang w:val="en-GB" w:eastAsia="en-GB"/>
              </w:rPr>
            </w:pPr>
            <w:r w:rsidRPr="007D6157">
              <w:rPr>
                <w:sz w:val="24"/>
                <w:lang w:val="en-GB" w:eastAsia="en-GB"/>
              </w:rPr>
              <w:t>4%</w:t>
            </w:r>
          </w:p>
        </w:tc>
      </w:tr>
      <w:tr w:rsidR="00B87444" w:rsidRPr="007D6157" w:rsidTr="000C6890">
        <w:tc>
          <w:tcPr>
            <w:tcW w:w="4068" w:type="dxa"/>
            <w:vAlign w:val="bottom"/>
          </w:tcPr>
          <w:p w:rsidR="00B87444" w:rsidRPr="007D6157" w:rsidRDefault="00B87444" w:rsidP="00B87444">
            <w:pPr>
              <w:pStyle w:val="TableRowHead"/>
              <w:rPr>
                <w:rFonts w:ascii="Gill Sans" w:hAnsi="Gill Sans"/>
                <w:sz w:val="24"/>
                <w:lang w:val="en-GB" w:eastAsia="en-GB"/>
              </w:rPr>
            </w:pPr>
            <w:r w:rsidRPr="007D6157">
              <w:rPr>
                <w:rFonts w:ascii="Gill Sans" w:hAnsi="Gill Sans"/>
                <w:sz w:val="24"/>
                <w:lang w:val="en-GB" w:eastAsia="en-GB"/>
              </w:rPr>
              <w:t>Price inflation</w:t>
            </w:r>
          </w:p>
        </w:tc>
        <w:tc>
          <w:tcPr>
            <w:tcW w:w="2160" w:type="dxa"/>
            <w:vAlign w:val="bottom"/>
          </w:tcPr>
          <w:p w:rsidR="00B87444" w:rsidRPr="007D6157" w:rsidRDefault="00B87444" w:rsidP="00B87444">
            <w:pPr>
              <w:pStyle w:val="TableCell"/>
              <w:rPr>
                <w:sz w:val="24"/>
                <w:lang w:val="en-GB" w:eastAsia="en-GB"/>
              </w:rPr>
            </w:pPr>
            <w:r w:rsidRPr="007D6157">
              <w:rPr>
                <w:sz w:val="24"/>
                <w:lang w:val="en-GB" w:eastAsia="en-GB"/>
              </w:rPr>
              <w:t>2%</w:t>
            </w:r>
          </w:p>
        </w:tc>
        <w:tc>
          <w:tcPr>
            <w:tcW w:w="2160" w:type="dxa"/>
            <w:vAlign w:val="bottom"/>
          </w:tcPr>
          <w:p w:rsidR="00B87444" w:rsidRPr="007D6157" w:rsidRDefault="00B87444" w:rsidP="00B87444">
            <w:pPr>
              <w:pStyle w:val="TableCell"/>
              <w:rPr>
                <w:sz w:val="24"/>
                <w:lang w:val="en-GB" w:eastAsia="en-GB"/>
              </w:rPr>
            </w:pPr>
            <w:r w:rsidRPr="007D6157">
              <w:rPr>
                <w:sz w:val="24"/>
                <w:lang w:val="en-GB" w:eastAsia="en-GB"/>
              </w:rPr>
              <w:t>2%</w:t>
            </w:r>
          </w:p>
        </w:tc>
      </w:tr>
    </w:tbl>
    <w:p w:rsidR="00B87444" w:rsidRDefault="00B87444" w:rsidP="00B87444">
      <w:r>
        <w:br/>
      </w:r>
      <w:r w:rsidRPr="007D6157">
        <w:t xml:space="preserve">As the </w:t>
      </w:r>
      <w:r w:rsidR="00B47D87" w:rsidRPr="00B47D87">
        <w:rPr>
          <w:lang w:val="en-GB" w:eastAsia="en-GB"/>
        </w:rPr>
        <w:t>National Disability Authority</w:t>
      </w:r>
      <w:r w:rsidRPr="007D6157">
        <w:t xml:space="preserve"> schemes are unfunded, there are no assets held in respect of accrued pension liabilities of the </w:t>
      </w:r>
      <w:r w:rsidR="00B47D87" w:rsidRPr="00B47D87">
        <w:rPr>
          <w:lang w:val="en-GB" w:eastAsia="en-GB"/>
        </w:rPr>
        <w:t>National Disability Authority</w:t>
      </w:r>
      <w:r w:rsidR="00B47D87" w:rsidRPr="007D6157">
        <w:t xml:space="preserve"> </w:t>
      </w:r>
      <w:r w:rsidRPr="007D6157">
        <w:t>staff.</w:t>
      </w:r>
    </w:p>
    <w:p w:rsidR="00B87444" w:rsidRPr="00826690" w:rsidRDefault="00B87444" w:rsidP="00E41BEB">
      <w:pPr>
        <w:pStyle w:val="Heading4"/>
        <w:rPr>
          <w:lang w:val="en-GB" w:eastAsia="en-GB"/>
        </w:rPr>
      </w:pPr>
      <w:r w:rsidRPr="00826690">
        <w:rPr>
          <w:lang w:val="en-GB" w:eastAsia="en-GB"/>
        </w:rPr>
        <w:t>(b) Net Deferred Funding For Pensions In Year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383"/>
        <w:gridCol w:w="1385"/>
        <w:gridCol w:w="1385"/>
      </w:tblGrid>
      <w:tr w:rsidR="00B87444" w:rsidRPr="00826690" w:rsidTr="009F7884">
        <w:trPr>
          <w:tblHeader/>
        </w:trPr>
        <w:tc>
          <w:tcPr>
            <w:tcW w:w="5868" w:type="dxa"/>
            <w:shd w:val="clear" w:color="auto" w:fill="auto"/>
          </w:tcPr>
          <w:p w:rsidR="00B87444" w:rsidRPr="00826690" w:rsidRDefault="00B87444" w:rsidP="00B87444">
            <w:pPr>
              <w:pStyle w:val="TableHead"/>
              <w:keepLines/>
              <w:jc w:val="right"/>
              <w:rPr>
                <w:lang w:val="en-GB" w:eastAsia="en-GB"/>
              </w:rPr>
            </w:pPr>
          </w:p>
        </w:tc>
        <w:tc>
          <w:tcPr>
            <w:tcW w:w="1494" w:type="dxa"/>
            <w:shd w:val="clear" w:color="auto" w:fill="auto"/>
          </w:tcPr>
          <w:p w:rsidR="00B87444" w:rsidRPr="00246162" w:rsidRDefault="00B87444" w:rsidP="00B87444">
            <w:pPr>
              <w:pStyle w:val="TableHead"/>
              <w:keepLines/>
              <w:jc w:val="right"/>
              <w:rPr>
                <w:sz w:val="24"/>
              </w:rPr>
            </w:pPr>
            <w:r w:rsidRPr="00246162">
              <w:rPr>
                <w:sz w:val="24"/>
              </w:rPr>
              <w:t>201</w:t>
            </w:r>
            <w:r>
              <w:rPr>
                <w:sz w:val="24"/>
              </w:rPr>
              <w:t>2</w:t>
            </w:r>
          </w:p>
        </w:tc>
        <w:tc>
          <w:tcPr>
            <w:tcW w:w="1494" w:type="dxa"/>
            <w:shd w:val="clear" w:color="auto" w:fill="auto"/>
          </w:tcPr>
          <w:p w:rsidR="00B87444" w:rsidRPr="00246162" w:rsidRDefault="00B87444" w:rsidP="00B87444">
            <w:pPr>
              <w:pStyle w:val="TableHead"/>
              <w:keepLines/>
              <w:jc w:val="right"/>
              <w:rPr>
                <w:sz w:val="24"/>
              </w:rPr>
            </w:pPr>
            <w:r>
              <w:rPr>
                <w:sz w:val="24"/>
              </w:rPr>
              <w:t>2011</w:t>
            </w:r>
          </w:p>
        </w:tc>
      </w:tr>
      <w:tr w:rsidR="00B87444" w:rsidRPr="00826690" w:rsidTr="009F7884">
        <w:tc>
          <w:tcPr>
            <w:tcW w:w="5868" w:type="dxa"/>
            <w:shd w:val="clear" w:color="auto" w:fill="auto"/>
          </w:tcPr>
          <w:p w:rsidR="00B87444" w:rsidRPr="00826690" w:rsidRDefault="00B87444" w:rsidP="00B87444">
            <w:pPr>
              <w:pStyle w:val="TableRowHead"/>
              <w:keepNext w:val="0"/>
              <w:keepLines/>
              <w:rPr>
                <w:lang w:val="en-GB" w:eastAsia="en-GB"/>
              </w:rPr>
            </w:pPr>
          </w:p>
        </w:tc>
        <w:tc>
          <w:tcPr>
            <w:tcW w:w="1494" w:type="dxa"/>
            <w:shd w:val="clear" w:color="auto" w:fill="auto"/>
            <w:vAlign w:val="bottom"/>
          </w:tcPr>
          <w:p w:rsidR="00B87444" w:rsidRPr="009D3F2F" w:rsidRDefault="009D3F2F" w:rsidP="0053638B">
            <w:pPr>
              <w:pStyle w:val="TableCell"/>
              <w:rPr>
                <w:lang w:val="en-GB" w:eastAsia="en-GB"/>
              </w:rPr>
            </w:pPr>
            <w:r w:rsidRPr="009D3F2F">
              <w:rPr>
                <w:lang w:val="en-GB" w:eastAsia="en-GB"/>
              </w:rPr>
              <w:t>€</w:t>
            </w:r>
          </w:p>
        </w:tc>
        <w:tc>
          <w:tcPr>
            <w:tcW w:w="1494" w:type="dxa"/>
            <w:shd w:val="clear" w:color="auto" w:fill="auto"/>
            <w:vAlign w:val="bottom"/>
          </w:tcPr>
          <w:p w:rsidR="00B87444" w:rsidRPr="009D3F2F" w:rsidRDefault="009D3F2F" w:rsidP="0053638B">
            <w:pPr>
              <w:pStyle w:val="TableCell"/>
              <w:rPr>
                <w:lang w:val="en-GB" w:eastAsia="en-GB"/>
              </w:rPr>
            </w:pPr>
            <w:r w:rsidRPr="009D3F2F">
              <w:rPr>
                <w:lang w:val="en-GB" w:eastAsia="en-GB"/>
              </w:rPr>
              <w:t>€</w:t>
            </w:r>
          </w:p>
        </w:tc>
      </w:tr>
      <w:tr w:rsidR="00B87444" w:rsidRPr="00826690" w:rsidTr="009F7884">
        <w:tc>
          <w:tcPr>
            <w:tcW w:w="5868" w:type="dxa"/>
            <w:shd w:val="clear" w:color="auto" w:fill="auto"/>
            <w:vAlign w:val="bottom"/>
          </w:tcPr>
          <w:p w:rsidR="00B87444" w:rsidRPr="00246162" w:rsidRDefault="00B87444" w:rsidP="00B87444">
            <w:pPr>
              <w:pStyle w:val="TableRowHead"/>
              <w:keepNext w:val="0"/>
              <w:keepLines/>
              <w:rPr>
                <w:rFonts w:ascii="Gill Sans" w:hAnsi="Gill Sans"/>
                <w:sz w:val="24"/>
                <w:lang w:val="en-GB" w:eastAsia="en-GB"/>
              </w:rPr>
            </w:pPr>
            <w:r w:rsidRPr="00246162">
              <w:rPr>
                <w:rFonts w:ascii="Gill Sans" w:hAnsi="Gill Sans"/>
                <w:sz w:val="24"/>
                <w:lang w:val="en-GB" w:eastAsia="en-GB"/>
              </w:rPr>
              <w:t>Funding recoverable in respect of current year pension costs</w:t>
            </w:r>
          </w:p>
        </w:tc>
        <w:tc>
          <w:tcPr>
            <w:tcW w:w="149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1,</w:t>
            </w:r>
            <w:r>
              <w:rPr>
                <w:sz w:val="24"/>
                <w:lang w:val="en-GB" w:eastAsia="en-GB"/>
              </w:rPr>
              <w:t>37</w:t>
            </w:r>
            <w:r w:rsidRPr="00092A32">
              <w:rPr>
                <w:sz w:val="24"/>
                <w:lang w:val="en-GB" w:eastAsia="en-GB"/>
              </w:rPr>
              <w:t xml:space="preserve">0,000 </w:t>
            </w:r>
          </w:p>
        </w:tc>
        <w:tc>
          <w:tcPr>
            <w:tcW w:w="149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 xml:space="preserve">1,440,000 </w:t>
            </w:r>
          </w:p>
        </w:tc>
      </w:tr>
      <w:tr w:rsidR="00B87444" w:rsidRPr="00826690" w:rsidTr="009F7884">
        <w:tc>
          <w:tcPr>
            <w:tcW w:w="5868" w:type="dxa"/>
            <w:shd w:val="clear" w:color="auto" w:fill="auto"/>
            <w:vAlign w:val="bottom"/>
          </w:tcPr>
          <w:p w:rsidR="00B87444" w:rsidRPr="00246162" w:rsidRDefault="00B87444" w:rsidP="00B87444">
            <w:pPr>
              <w:pStyle w:val="TableRowHead"/>
              <w:keepNext w:val="0"/>
              <w:keepLines/>
              <w:rPr>
                <w:rFonts w:ascii="Gill Sans" w:hAnsi="Gill Sans"/>
                <w:sz w:val="24"/>
                <w:lang w:val="en-GB" w:eastAsia="en-GB"/>
              </w:rPr>
            </w:pPr>
            <w:r w:rsidRPr="00246162">
              <w:rPr>
                <w:rFonts w:ascii="Gill Sans" w:hAnsi="Gill Sans"/>
                <w:sz w:val="24"/>
                <w:lang w:val="en-GB" w:eastAsia="en-GB"/>
              </w:rPr>
              <w:t>State Grant applied to pay pensioners</w:t>
            </w:r>
          </w:p>
        </w:tc>
        <w:tc>
          <w:tcPr>
            <w:tcW w:w="149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w:t>
            </w:r>
            <w:r>
              <w:rPr>
                <w:sz w:val="24"/>
                <w:lang w:val="en-GB" w:eastAsia="en-GB"/>
              </w:rPr>
              <w:t>540</w:t>
            </w:r>
            <w:r w:rsidRPr="00092A32">
              <w:rPr>
                <w:sz w:val="24"/>
                <w:lang w:val="en-GB" w:eastAsia="en-GB"/>
              </w:rPr>
              <w:t>,</w:t>
            </w:r>
            <w:r>
              <w:rPr>
                <w:sz w:val="24"/>
                <w:lang w:val="en-GB" w:eastAsia="en-GB"/>
              </w:rPr>
              <w:t>000</w:t>
            </w:r>
            <w:r w:rsidRPr="00092A32">
              <w:rPr>
                <w:sz w:val="24"/>
                <w:lang w:val="en-GB" w:eastAsia="en-GB"/>
              </w:rPr>
              <w:t>)</w:t>
            </w:r>
          </w:p>
        </w:tc>
        <w:tc>
          <w:tcPr>
            <w:tcW w:w="149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(58</w:t>
            </w:r>
            <w:r>
              <w:rPr>
                <w:sz w:val="24"/>
                <w:lang w:val="en-GB" w:eastAsia="en-GB"/>
              </w:rPr>
              <w:t>0</w:t>
            </w:r>
            <w:r w:rsidRPr="00092A32">
              <w:rPr>
                <w:sz w:val="24"/>
                <w:lang w:val="en-GB" w:eastAsia="en-GB"/>
              </w:rPr>
              <w:t>,</w:t>
            </w:r>
            <w:r>
              <w:rPr>
                <w:sz w:val="24"/>
                <w:lang w:val="en-GB" w:eastAsia="en-GB"/>
              </w:rPr>
              <w:t>000</w:t>
            </w:r>
            <w:r w:rsidRPr="00092A32">
              <w:rPr>
                <w:sz w:val="24"/>
                <w:lang w:val="en-GB" w:eastAsia="en-GB"/>
              </w:rPr>
              <w:t>)</w:t>
            </w:r>
          </w:p>
        </w:tc>
      </w:tr>
      <w:tr w:rsidR="00B87444" w:rsidRPr="00826690" w:rsidTr="009F7884">
        <w:tc>
          <w:tcPr>
            <w:tcW w:w="5868" w:type="dxa"/>
            <w:shd w:val="clear" w:color="auto" w:fill="auto"/>
          </w:tcPr>
          <w:p w:rsidR="00B87444" w:rsidRPr="00246162" w:rsidRDefault="00B87444" w:rsidP="00B87444">
            <w:pPr>
              <w:pStyle w:val="TableRowHead"/>
              <w:keepNext w:val="0"/>
              <w:keepLines/>
              <w:rPr>
                <w:rFonts w:ascii="Gill Sans" w:hAnsi="Gill Sans"/>
                <w:sz w:val="24"/>
                <w:lang w:val="en-GB" w:eastAsia="en-GB"/>
              </w:rPr>
            </w:pPr>
          </w:p>
        </w:tc>
        <w:tc>
          <w:tcPr>
            <w:tcW w:w="1494" w:type="dxa"/>
            <w:shd w:val="clear" w:color="auto" w:fill="auto"/>
            <w:vAlign w:val="bottom"/>
          </w:tcPr>
          <w:p w:rsidR="00B87444" w:rsidRPr="00092A32" w:rsidRDefault="00B87444" w:rsidP="00B87444">
            <w:pPr>
              <w:pStyle w:val="TableCell"/>
              <w:rPr>
                <w:sz w:val="24"/>
                <w:lang w:val="en-GB" w:eastAsia="en-GB"/>
              </w:rPr>
            </w:pPr>
            <w:r>
              <w:rPr>
                <w:sz w:val="24"/>
                <w:lang w:val="en-GB" w:eastAsia="en-GB"/>
              </w:rPr>
              <w:t>830,000</w:t>
            </w:r>
            <w:r w:rsidRPr="00092A32">
              <w:rPr>
                <w:sz w:val="24"/>
                <w:lang w:val="en-GB" w:eastAsia="en-GB"/>
              </w:rPr>
              <w:t xml:space="preserve"> </w:t>
            </w:r>
          </w:p>
        </w:tc>
        <w:tc>
          <w:tcPr>
            <w:tcW w:w="1494" w:type="dxa"/>
            <w:shd w:val="clear" w:color="auto" w:fill="auto"/>
            <w:vAlign w:val="bottom"/>
          </w:tcPr>
          <w:p w:rsidR="00B87444" w:rsidRPr="00092A32" w:rsidRDefault="00B87444" w:rsidP="00B87444">
            <w:pPr>
              <w:pStyle w:val="TableCell"/>
              <w:rPr>
                <w:sz w:val="24"/>
                <w:lang w:val="en-GB" w:eastAsia="en-GB"/>
              </w:rPr>
            </w:pPr>
            <w:r>
              <w:rPr>
                <w:sz w:val="24"/>
                <w:lang w:val="en-GB" w:eastAsia="en-GB"/>
              </w:rPr>
              <w:t>860,000</w:t>
            </w:r>
            <w:r w:rsidRPr="00092A32">
              <w:rPr>
                <w:sz w:val="24"/>
                <w:lang w:val="en-GB" w:eastAsia="en-GB"/>
              </w:rPr>
              <w:t xml:space="preserve"> </w:t>
            </w:r>
          </w:p>
        </w:tc>
      </w:tr>
    </w:tbl>
    <w:p w:rsidR="00B87444" w:rsidRDefault="00B87444" w:rsidP="00E41BEB">
      <w:pPr>
        <w:pStyle w:val="Heading4"/>
      </w:pPr>
      <w:r>
        <w:rPr>
          <w:lang w:val="en-GB" w:eastAsia="en-GB"/>
        </w:rPr>
        <w:t xml:space="preserve">(c) Analysis of the amount </w:t>
      </w:r>
      <w:r w:rsidRPr="001F30C2">
        <w:rPr>
          <w:lang w:val="en-GB" w:eastAsia="en-GB"/>
        </w:rPr>
        <w:t>charged to operating profit under FRS 17</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559"/>
        <w:gridCol w:w="1797"/>
        <w:gridCol w:w="1797"/>
      </w:tblGrid>
      <w:tr w:rsidR="00B87444" w:rsidRPr="00826690" w:rsidTr="009F7884">
        <w:tc>
          <w:tcPr>
            <w:tcW w:w="4968" w:type="dxa"/>
            <w:shd w:val="clear" w:color="auto" w:fill="auto"/>
          </w:tcPr>
          <w:p w:rsidR="00B87444" w:rsidRPr="0013007A" w:rsidRDefault="00B87444" w:rsidP="00B87444">
            <w:pPr>
              <w:pStyle w:val="TableRowHead"/>
              <w:rPr>
                <w:sz w:val="22"/>
                <w:szCs w:val="22"/>
                <w:lang w:val="en-GB" w:eastAsia="en-GB"/>
              </w:rPr>
            </w:pPr>
          </w:p>
        </w:tc>
        <w:tc>
          <w:tcPr>
            <w:tcW w:w="1944" w:type="dxa"/>
            <w:shd w:val="clear" w:color="auto" w:fill="auto"/>
          </w:tcPr>
          <w:p w:rsidR="00B87444" w:rsidRPr="00246162" w:rsidRDefault="00B87444" w:rsidP="00B87444">
            <w:pPr>
              <w:pStyle w:val="TableHead"/>
              <w:keepLines/>
              <w:jc w:val="right"/>
              <w:rPr>
                <w:sz w:val="24"/>
              </w:rPr>
            </w:pPr>
            <w:r w:rsidRPr="00246162">
              <w:rPr>
                <w:sz w:val="24"/>
              </w:rPr>
              <w:t>201</w:t>
            </w:r>
            <w:r>
              <w:rPr>
                <w:sz w:val="24"/>
              </w:rPr>
              <w:t>2</w:t>
            </w:r>
          </w:p>
        </w:tc>
        <w:tc>
          <w:tcPr>
            <w:tcW w:w="1944" w:type="dxa"/>
            <w:shd w:val="clear" w:color="auto" w:fill="auto"/>
          </w:tcPr>
          <w:p w:rsidR="00B87444" w:rsidRPr="00246162" w:rsidRDefault="00B87444" w:rsidP="00B87444">
            <w:pPr>
              <w:pStyle w:val="TableHead"/>
              <w:keepLines/>
              <w:jc w:val="right"/>
              <w:rPr>
                <w:sz w:val="24"/>
              </w:rPr>
            </w:pPr>
            <w:r w:rsidRPr="00246162">
              <w:rPr>
                <w:sz w:val="24"/>
              </w:rPr>
              <w:t>201</w:t>
            </w:r>
            <w:r>
              <w:rPr>
                <w:sz w:val="24"/>
              </w:rPr>
              <w:t>1</w:t>
            </w:r>
          </w:p>
        </w:tc>
      </w:tr>
      <w:tr w:rsidR="00B87444" w:rsidRPr="00826690" w:rsidTr="009F7884">
        <w:tc>
          <w:tcPr>
            <w:tcW w:w="4968" w:type="dxa"/>
            <w:shd w:val="clear" w:color="auto" w:fill="auto"/>
          </w:tcPr>
          <w:p w:rsidR="00B87444" w:rsidRPr="0013007A" w:rsidRDefault="00B87444" w:rsidP="00B87444">
            <w:pPr>
              <w:pStyle w:val="TableRowHead"/>
              <w:rPr>
                <w:sz w:val="22"/>
                <w:szCs w:val="22"/>
                <w:lang w:val="en-GB" w:eastAsia="en-GB"/>
              </w:rPr>
            </w:pPr>
          </w:p>
        </w:tc>
        <w:tc>
          <w:tcPr>
            <w:tcW w:w="1944" w:type="dxa"/>
            <w:shd w:val="clear" w:color="auto" w:fill="auto"/>
            <w:vAlign w:val="bottom"/>
          </w:tcPr>
          <w:p w:rsidR="00B87444" w:rsidRPr="00C16FC7" w:rsidRDefault="009D3F2F" w:rsidP="0053638B">
            <w:pPr>
              <w:pStyle w:val="TableCell"/>
              <w:rPr>
                <w:lang w:val="en-GB" w:eastAsia="en-GB"/>
              </w:rPr>
            </w:pPr>
            <w:r w:rsidRPr="00C16FC7">
              <w:rPr>
                <w:lang w:val="en-GB" w:eastAsia="en-GB"/>
              </w:rPr>
              <w:t>€</w:t>
            </w:r>
          </w:p>
        </w:tc>
        <w:tc>
          <w:tcPr>
            <w:tcW w:w="1944" w:type="dxa"/>
            <w:shd w:val="clear" w:color="auto" w:fill="auto"/>
            <w:vAlign w:val="bottom"/>
          </w:tcPr>
          <w:p w:rsidR="00B87444" w:rsidRPr="00C16FC7" w:rsidRDefault="009D3F2F" w:rsidP="0053638B">
            <w:pPr>
              <w:pStyle w:val="TableCell"/>
              <w:rPr>
                <w:lang w:val="en-GB" w:eastAsia="en-GB"/>
              </w:rPr>
            </w:pPr>
            <w:r w:rsidRPr="00C16FC7">
              <w:rPr>
                <w:lang w:val="en-GB" w:eastAsia="en-GB"/>
              </w:rPr>
              <w:t>€</w:t>
            </w:r>
          </w:p>
        </w:tc>
      </w:tr>
      <w:tr w:rsidR="00B87444" w:rsidRPr="00826690" w:rsidTr="009F7884">
        <w:tc>
          <w:tcPr>
            <w:tcW w:w="4968" w:type="dxa"/>
            <w:shd w:val="clear" w:color="auto" w:fill="auto"/>
            <w:vAlign w:val="bottom"/>
          </w:tcPr>
          <w:p w:rsidR="00B87444" w:rsidRPr="00246162" w:rsidRDefault="00B87444" w:rsidP="00B87444">
            <w:pPr>
              <w:pStyle w:val="TableRowHead"/>
              <w:rPr>
                <w:rFonts w:ascii="Gill Sans" w:hAnsi="Gill Sans"/>
                <w:sz w:val="24"/>
                <w:lang w:val="en-GB" w:eastAsia="en-GB"/>
              </w:rPr>
            </w:pPr>
            <w:r w:rsidRPr="00246162">
              <w:rPr>
                <w:rFonts w:ascii="Gill Sans" w:hAnsi="Gill Sans"/>
                <w:sz w:val="24"/>
                <w:lang w:val="en-GB" w:eastAsia="en-GB"/>
              </w:rPr>
              <w:t>Current service cost</w:t>
            </w:r>
          </w:p>
        </w:tc>
        <w:tc>
          <w:tcPr>
            <w:tcW w:w="1944" w:type="dxa"/>
            <w:shd w:val="clear" w:color="auto" w:fill="auto"/>
            <w:vAlign w:val="bottom"/>
          </w:tcPr>
          <w:p w:rsidR="00B87444" w:rsidRPr="00092A32" w:rsidRDefault="00B87444" w:rsidP="00B87444">
            <w:pPr>
              <w:pStyle w:val="TableCell"/>
              <w:rPr>
                <w:sz w:val="24"/>
                <w:lang w:val="en-GB" w:eastAsia="en-GB"/>
              </w:rPr>
            </w:pPr>
            <w:r>
              <w:rPr>
                <w:sz w:val="24"/>
                <w:lang w:val="en-GB" w:eastAsia="en-GB"/>
              </w:rPr>
              <w:t>45</w:t>
            </w:r>
            <w:r w:rsidRPr="00092A32">
              <w:rPr>
                <w:sz w:val="24"/>
                <w:lang w:val="en-GB" w:eastAsia="en-GB"/>
              </w:rPr>
              <w:t xml:space="preserve">0,000 </w:t>
            </w:r>
          </w:p>
        </w:tc>
        <w:tc>
          <w:tcPr>
            <w:tcW w:w="194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 xml:space="preserve">500,000 </w:t>
            </w:r>
          </w:p>
        </w:tc>
      </w:tr>
      <w:tr w:rsidR="00B87444" w:rsidRPr="00826690" w:rsidTr="009F7884">
        <w:tc>
          <w:tcPr>
            <w:tcW w:w="4968" w:type="dxa"/>
            <w:shd w:val="clear" w:color="auto" w:fill="auto"/>
            <w:vAlign w:val="bottom"/>
          </w:tcPr>
          <w:p w:rsidR="00B87444" w:rsidRPr="00246162" w:rsidRDefault="00B87444" w:rsidP="00B87444">
            <w:pPr>
              <w:pStyle w:val="TableRowHead"/>
              <w:rPr>
                <w:rFonts w:ascii="Gill Sans" w:hAnsi="Gill Sans"/>
                <w:sz w:val="24"/>
                <w:lang w:val="en-GB" w:eastAsia="en-GB"/>
              </w:rPr>
            </w:pPr>
            <w:r w:rsidRPr="00246162">
              <w:rPr>
                <w:rFonts w:ascii="Gill Sans" w:hAnsi="Gill Sans"/>
                <w:sz w:val="24"/>
                <w:lang w:val="en-GB" w:eastAsia="en-GB"/>
              </w:rPr>
              <w:t xml:space="preserve">Interest on pension scheme liabilities </w:t>
            </w:r>
          </w:p>
        </w:tc>
        <w:tc>
          <w:tcPr>
            <w:tcW w:w="1944" w:type="dxa"/>
            <w:shd w:val="clear" w:color="auto" w:fill="auto"/>
            <w:vAlign w:val="bottom"/>
          </w:tcPr>
          <w:p w:rsidR="00B87444" w:rsidRPr="00092A32" w:rsidRDefault="00B87444" w:rsidP="00B87444">
            <w:pPr>
              <w:pStyle w:val="TableCell"/>
              <w:rPr>
                <w:sz w:val="24"/>
                <w:lang w:val="en-GB" w:eastAsia="en-GB"/>
              </w:rPr>
            </w:pPr>
            <w:r>
              <w:rPr>
                <w:sz w:val="24"/>
                <w:lang w:val="en-GB" w:eastAsia="en-GB"/>
              </w:rPr>
              <w:t>92</w:t>
            </w:r>
            <w:r w:rsidRPr="00092A32">
              <w:rPr>
                <w:sz w:val="24"/>
                <w:lang w:val="en-GB" w:eastAsia="en-GB"/>
              </w:rPr>
              <w:t xml:space="preserve">0,000 </w:t>
            </w:r>
          </w:p>
        </w:tc>
        <w:tc>
          <w:tcPr>
            <w:tcW w:w="194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 xml:space="preserve">940,000 </w:t>
            </w:r>
          </w:p>
        </w:tc>
      </w:tr>
      <w:tr w:rsidR="00B87444" w:rsidRPr="00826690" w:rsidTr="009F7884">
        <w:tc>
          <w:tcPr>
            <w:tcW w:w="4968" w:type="dxa"/>
            <w:shd w:val="clear" w:color="auto" w:fill="auto"/>
            <w:vAlign w:val="bottom"/>
          </w:tcPr>
          <w:p w:rsidR="00B87444" w:rsidRPr="00246162" w:rsidRDefault="00B87444" w:rsidP="00B87444">
            <w:pPr>
              <w:pStyle w:val="TableRowHead"/>
              <w:rPr>
                <w:rFonts w:ascii="Gill Sans" w:hAnsi="Gill Sans"/>
                <w:sz w:val="24"/>
                <w:lang w:val="en-GB" w:eastAsia="en-GB"/>
              </w:rPr>
            </w:pPr>
            <w:r w:rsidRPr="00246162">
              <w:rPr>
                <w:rFonts w:ascii="Gill Sans" w:hAnsi="Gill Sans"/>
                <w:sz w:val="24"/>
                <w:lang w:val="en-GB" w:eastAsia="en-GB"/>
              </w:rPr>
              <w:t>Employee contribution</w:t>
            </w:r>
          </w:p>
        </w:tc>
        <w:tc>
          <w:tcPr>
            <w:tcW w:w="194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w:t>
            </w:r>
            <w:r>
              <w:rPr>
                <w:sz w:val="24"/>
                <w:lang w:val="en-GB" w:eastAsia="en-GB"/>
              </w:rPr>
              <w:t>114</w:t>
            </w:r>
            <w:r w:rsidRPr="00092A32">
              <w:rPr>
                <w:sz w:val="24"/>
                <w:lang w:val="en-GB" w:eastAsia="en-GB"/>
              </w:rPr>
              <w:t>,</w:t>
            </w:r>
            <w:r>
              <w:rPr>
                <w:sz w:val="24"/>
                <w:lang w:val="en-GB" w:eastAsia="en-GB"/>
              </w:rPr>
              <w:t>123</w:t>
            </w:r>
            <w:r w:rsidRPr="00092A32">
              <w:rPr>
                <w:sz w:val="24"/>
                <w:lang w:val="en-GB" w:eastAsia="en-GB"/>
              </w:rPr>
              <w:t>)</w:t>
            </w:r>
          </w:p>
        </w:tc>
        <w:tc>
          <w:tcPr>
            <w:tcW w:w="194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(127,998)</w:t>
            </w:r>
          </w:p>
        </w:tc>
      </w:tr>
      <w:tr w:rsidR="00B87444" w:rsidRPr="00826690" w:rsidTr="009F7884">
        <w:tc>
          <w:tcPr>
            <w:tcW w:w="4968" w:type="dxa"/>
            <w:shd w:val="clear" w:color="auto" w:fill="auto"/>
            <w:vAlign w:val="bottom"/>
          </w:tcPr>
          <w:p w:rsidR="00B87444" w:rsidRPr="00246162" w:rsidRDefault="00B87444" w:rsidP="00B87444">
            <w:pPr>
              <w:pStyle w:val="TableRowHead"/>
              <w:rPr>
                <w:rFonts w:ascii="Gill Sans" w:hAnsi="Gill Sans"/>
                <w:sz w:val="24"/>
                <w:lang w:val="en-GB" w:eastAsia="en-GB"/>
              </w:rPr>
            </w:pPr>
            <w:r w:rsidRPr="00246162">
              <w:rPr>
                <w:rFonts w:ascii="Gill Sans" w:hAnsi="Gill Sans"/>
                <w:sz w:val="24"/>
                <w:lang w:val="en-GB" w:eastAsia="en-GB"/>
              </w:rPr>
              <w:t>Past service cost</w:t>
            </w:r>
          </w:p>
        </w:tc>
        <w:tc>
          <w:tcPr>
            <w:tcW w:w="194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 xml:space="preserve">-    </w:t>
            </w:r>
          </w:p>
        </w:tc>
        <w:tc>
          <w:tcPr>
            <w:tcW w:w="194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 xml:space="preserve">-     </w:t>
            </w:r>
          </w:p>
        </w:tc>
      </w:tr>
      <w:tr w:rsidR="00B87444" w:rsidRPr="00826690" w:rsidTr="009F7884">
        <w:tc>
          <w:tcPr>
            <w:tcW w:w="4968" w:type="dxa"/>
            <w:shd w:val="clear" w:color="auto" w:fill="auto"/>
            <w:vAlign w:val="bottom"/>
          </w:tcPr>
          <w:p w:rsidR="00B87444" w:rsidRPr="00246162" w:rsidRDefault="00B87444" w:rsidP="00B87444">
            <w:pPr>
              <w:pStyle w:val="TableRowHead"/>
              <w:rPr>
                <w:rFonts w:ascii="Gill Sans" w:hAnsi="Gill Sans"/>
                <w:sz w:val="24"/>
                <w:lang w:val="en-GB" w:eastAsia="en-GB"/>
              </w:rPr>
            </w:pPr>
            <w:r w:rsidRPr="00246162">
              <w:rPr>
                <w:rFonts w:ascii="Gill Sans" w:hAnsi="Gill Sans"/>
                <w:sz w:val="24"/>
                <w:lang w:val="en-GB" w:eastAsia="en-GB"/>
              </w:rPr>
              <w:t>Total operating charge</w:t>
            </w:r>
          </w:p>
        </w:tc>
        <w:tc>
          <w:tcPr>
            <w:tcW w:w="194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1,</w:t>
            </w:r>
            <w:r>
              <w:rPr>
                <w:sz w:val="24"/>
                <w:lang w:val="en-GB" w:eastAsia="en-GB"/>
              </w:rPr>
              <w:t>255</w:t>
            </w:r>
            <w:r w:rsidRPr="00092A32">
              <w:rPr>
                <w:sz w:val="24"/>
                <w:lang w:val="en-GB" w:eastAsia="en-GB"/>
              </w:rPr>
              <w:t>,</w:t>
            </w:r>
            <w:r>
              <w:rPr>
                <w:sz w:val="24"/>
                <w:lang w:val="en-GB" w:eastAsia="en-GB"/>
              </w:rPr>
              <w:t>877</w:t>
            </w:r>
            <w:r w:rsidRPr="00092A32">
              <w:rPr>
                <w:sz w:val="24"/>
                <w:lang w:val="en-GB" w:eastAsia="en-GB"/>
              </w:rPr>
              <w:t xml:space="preserve"> </w:t>
            </w:r>
          </w:p>
        </w:tc>
        <w:tc>
          <w:tcPr>
            <w:tcW w:w="1944" w:type="dxa"/>
            <w:shd w:val="clear" w:color="auto" w:fill="auto"/>
            <w:vAlign w:val="bottom"/>
          </w:tcPr>
          <w:p w:rsidR="00B87444" w:rsidRPr="00092A32" w:rsidRDefault="00B87444" w:rsidP="00B87444">
            <w:pPr>
              <w:pStyle w:val="TableCell"/>
              <w:rPr>
                <w:sz w:val="24"/>
                <w:lang w:val="en-GB" w:eastAsia="en-GB"/>
              </w:rPr>
            </w:pPr>
            <w:r w:rsidRPr="00092A32">
              <w:rPr>
                <w:sz w:val="24"/>
                <w:lang w:val="en-GB" w:eastAsia="en-GB"/>
              </w:rPr>
              <w:t xml:space="preserve">1,312,002 </w:t>
            </w:r>
          </w:p>
        </w:tc>
      </w:tr>
    </w:tbl>
    <w:p w:rsidR="00B87444" w:rsidRDefault="00B87444" w:rsidP="00E41BEB">
      <w:pPr>
        <w:pStyle w:val="Heading4"/>
        <w:rPr>
          <w:lang w:val="en-GB" w:eastAsia="en-GB"/>
        </w:rPr>
      </w:pPr>
      <w:r>
        <w:rPr>
          <w:lang w:val="en-GB" w:eastAsia="en-GB"/>
        </w:rPr>
        <w:br/>
      </w:r>
      <w:bookmarkStart w:id="61" w:name="_Toc335836406"/>
      <w:r w:rsidRPr="001F30C2">
        <w:rPr>
          <w:lang w:val="en-GB" w:eastAsia="en-GB"/>
        </w:rPr>
        <w:t>(d) Deferred Funding Asset for Pensions</w:t>
      </w:r>
      <w:bookmarkEnd w:id="61"/>
    </w:p>
    <w:p w:rsidR="00B87444" w:rsidRDefault="00B87444" w:rsidP="00C16FC7">
      <w:pPr>
        <w:rPr>
          <w:lang w:val="en-GB" w:eastAsia="en-GB"/>
        </w:rPr>
      </w:pPr>
      <w:r w:rsidRPr="00431600">
        <w:rPr>
          <w:lang w:val="en-GB" w:eastAsia="en-GB"/>
        </w:rPr>
        <w:t xml:space="preserve">The National Disability Authority recognises these amounts as an asset corresponding to the unfunded deferred liability for pensions on the basis of the set of assumptions described above and a number of past events.  These events include the statutory basis for the establishment of the superannuation scheme, and the policy and practice currently in place in relation to funding public service pensions including contributions by employees and </w:t>
      </w:r>
      <w:r>
        <w:rPr>
          <w:lang w:val="en-GB" w:eastAsia="en-GB"/>
        </w:rPr>
        <w:t xml:space="preserve">the annual estimates process.  </w:t>
      </w:r>
      <w:r w:rsidRPr="00431600">
        <w:rPr>
          <w:lang w:val="en-GB" w:eastAsia="en-GB"/>
        </w:rPr>
        <w:t xml:space="preserve">While there is no formal agreement regarding these specific amounts with the Department of Justice, Equality &amp; Law Reform, the National Disability Authority has no evidence that this funding policy will not continue to meet such sums in accordance with current practice.  The deferred funding asset for pensions as at 31 December 2012 amounted to €16.5 million (2011: €16.7 million). </w:t>
      </w:r>
    </w:p>
    <w:p w:rsidR="00B87444" w:rsidRPr="0013007A" w:rsidRDefault="00B87444" w:rsidP="00E41BEB">
      <w:pPr>
        <w:pStyle w:val="Heading4"/>
      </w:pPr>
      <w:r w:rsidRPr="00826690">
        <w:rPr>
          <w:lang w:val="en-GB" w:eastAsia="en-GB"/>
        </w:rPr>
        <w:t>(e) Movement in deficit during the year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573"/>
        <w:gridCol w:w="2290"/>
        <w:gridCol w:w="2290"/>
      </w:tblGrid>
      <w:tr w:rsidR="00B87444" w:rsidRPr="00246162" w:rsidTr="009F7884">
        <w:trPr>
          <w:tblHeader/>
        </w:trPr>
        <w:tc>
          <w:tcPr>
            <w:tcW w:w="3888" w:type="dxa"/>
            <w:shd w:val="clear" w:color="auto" w:fill="auto"/>
          </w:tcPr>
          <w:p w:rsidR="00B87444" w:rsidRPr="00246162" w:rsidRDefault="00B87444" w:rsidP="00B87444">
            <w:pPr>
              <w:pStyle w:val="TableHead"/>
              <w:widowControl w:val="0"/>
              <w:jc w:val="right"/>
            </w:pPr>
          </w:p>
        </w:tc>
        <w:tc>
          <w:tcPr>
            <w:tcW w:w="2484" w:type="dxa"/>
            <w:shd w:val="clear" w:color="auto" w:fill="auto"/>
            <w:vAlign w:val="bottom"/>
          </w:tcPr>
          <w:p w:rsidR="00B87444" w:rsidRPr="00246162" w:rsidRDefault="00B87444" w:rsidP="00B87444">
            <w:pPr>
              <w:spacing w:after="0"/>
              <w:jc w:val="right"/>
              <w:rPr>
                <w:rFonts w:cs="Arial"/>
                <w:b/>
                <w:bCs/>
                <w:lang w:val="en-GB" w:eastAsia="en-GB"/>
              </w:rPr>
            </w:pPr>
            <w:r w:rsidRPr="00246162">
              <w:rPr>
                <w:rFonts w:cs="Arial"/>
                <w:b/>
                <w:bCs/>
                <w:lang w:val="en-GB" w:eastAsia="en-GB"/>
              </w:rPr>
              <w:t>201</w:t>
            </w:r>
            <w:r>
              <w:rPr>
                <w:rFonts w:cs="Arial"/>
                <w:b/>
                <w:bCs/>
                <w:lang w:val="en-GB" w:eastAsia="en-GB"/>
              </w:rPr>
              <w:t>2</w:t>
            </w:r>
          </w:p>
        </w:tc>
        <w:tc>
          <w:tcPr>
            <w:tcW w:w="2484" w:type="dxa"/>
            <w:shd w:val="clear" w:color="auto" w:fill="auto"/>
            <w:vAlign w:val="bottom"/>
          </w:tcPr>
          <w:p w:rsidR="00B87444" w:rsidRPr="00246162" w:rsidRDefault="00B87444" w:rsidP="00B87444">
            <w:pPr>
              <w:spacing w:after="0"/>
              <w:jc w:val="right"/>
              <w:rPr>
                <w:rFonts w:cs="Arial"/>
                <w:b/>
                <w:bCs/>
                <w:lang w:val="en-GB" w:eastAsia="en-GB"/>
              </w:rPr>
            </w:pPr>
            <w:r w:rsidRPr="00246162">
              <w:rPr>
                <w:rFonts w:cs="Arial"/>
                <w:b/>
                <w:bCs/>
                <w:lang w:val="en-GB" w:eastAsia="en-GB"/>
              </w:rPr>
              <w:t>201</w:t>
            </w:r>
            <w:r>
              <w:rPr>
                <w:rFonts w:cs="Arial"/>
                <w:b/>
                <w:bCs/>
                <w:lang w:val="en-GB" w:eastAsia="en-GB"/>
              </w:rPr>
              <w:t>1</w:t>
            </w:r>
          </w:p>
        </w:tc>
      </w:tr>
      <w:tr w:rsidR="00B87444" w:rsidRPr="00246162" w:rsidTr="009F7884">
        <w:tc>
          <w:tcPr>
            <w:tcW w:w="3888" w:type="dxa"/>
            <w:shd w:val="clear" w:color="auto" w:fill="auto"/>
          </w:tcPr>
          <w:p w:rsidR="00B87444" w:rsidRPr="00246162" w:rsidRDefault="00B87444" w:rsidP="00B87444">
            <w:pPr>
              <w:pStyle w:val="TableRowHead"/>
              <w:keepNext w:val="0"/>
              <w:widowControl w:val="0"/>
              <w:rPr>
                <w:rFonts w:ascii="Gill Sans" w:hAnsi="Gill Sans"/>
              </w:rPr>
            </w:pPr>
          </w:p>
        </w:tc>
        <w:tc>
          <w:tcPr>
            <w:tcW w:w="2484" w:type="dxa"/>
            <w:shd w:val="clear" w:color="auto" w:fill="auto"/>
            <w:vAlign w:val="bottom"/>
          </w:tcPr>
          <w:p w:rsidR="00B87444" w:rsidRPr="00246162" w:rsidRDefault="009D3F2F" w:rsidP="0053638B">
            <w:pPr>
              <w:pStyle w:val="TableCell"/>
              <w:rPr>
                <w:lang w:val="en-GB" w:eastAsia="en-GB"/>
              </w:rPr>
            </w:pPr>
            <w:r>
              <w:rPr>
                <w:lang w:val="en-GB" w:eastAsia="en-GB"/>
              </w:rPr>
              <w:t>€</w:t>
            </w:r>
          </w:p>
        </w:tc>
        <w:tc>
          <w:tcPr>
            <w:tcW w:w="2484" w:type="dxa"/>
            <w:shd w:val="clear" w:color="auto" w:fill="auto"/>
            <w:vAlign w:val="bottom"/>
          </w:tcPr>
          <w:p w:rsidR="00B87444" w:rsidRPr="00246162" w:rsidRDefault="009D3F2F" w:rsidP="0053638B">
            <w:pPr>
              <w:pStyle w:val="TableCell"/>
              <w:rPr>
                <w:lang w:val="en-GB" w:eastAsia="en-GB"/>
              </w:rPr>
            </w:pPr>
            <w:r>
              <w:rPr>
                <w:lang w:val="en-GB" w:eastAsia="en-GB"/>
              </w:rPr>
              <w:t>€</w:t>
            </w:r>
          </w:p>
        </w:tc>
      </w:tr>
      <w:tr w:rsidR="00B87444" w:rsidRPr="00246162" w:rsidTr="009F7884">
        <w:tc>
          <w:tcPr>
            <w:tcW w:w="3888" w:type="dxa"/>
            <w:shd w:val="clear" w:color="auto" w:fill="auto"/>
            <w:vAlign w:val="bottom"/>
          </w:tcPr>
          <w:p w:rsidR="00B87444" w:rsidRPr="00246162" w:rsidRDefault="00B87444" w:rsidP="00B87444">
            <w:pPr>
              <w:pStyle w:val="TableRowHead"/>
              <w:keepNext w:val="0"/>
              <w:widowControl w:val="0"/>
              <w:rPr>
                <w:rFonts w:ascii="Gill Sans" w:hAnsi="Gill Sans"/>
                <w:sz w:val="24"/>
                <w:lang w:val="en-GB" w:eastAsia="en-GB"/>
              </w:rPr>
            </w:pPr>
            <w:r w:rsidRPr="00246162">
              <w:rPr>
                <w:rFonts w:ascii="Gill Sans" w:hAnsi="Gill Sans"/>
                <w:sz w:val="24"/>
                <w:lang w:val="en-GB" w:eastAsia="en-GB"/>
              </w:rPr>
              <w:t>Scheme Liability at 1 January</w:t>
            </w:r>
          </w:p>
        </w:tc>
        <w:tc>
          <w:tcPr>
            <w:tcW w:w="2484" w:type="dxa"/>
            <w:shd w:val="clear" w:color="auto" w:fill="auto"/>
            <w:vAlign w:val="bottom"/>
          </w:tcPr>
          <w:p w:rsidR="00B87444" w:rsidRPr="00246162" w:rsidRDefault="00B87444" w:rsidP="00B87444">
            <w:pPr>
              <w:spacing w:after="0"/>
              <w:jc w:val="right"/>
              <w:rPr>
                <w:rFonts w:cs="Arial"/>
                <w:lang w:val="en-GB" w:eastAsia="en-GB"/>
              </w:rPr>
            </w:pPr>
            <w:r>
              <w:rPr>
                <w:rFonts w:cs="Gill Sans"/>
                <w:lang w:val="en-GB" w:eastAsia="en-GB"/>
              </w:rPr>
              <w:t>16</w:t>
            </w:r>
            <w:r w:rsidRPr="00246162">
              <w:rPr>
                <w:rFonts w:cs="Gill Sans"/>
                <w:lang w:val="en-GB" w:eastAsia="en-GB"/>
              </w:rPr>
              <w:t>,</w:t>
            </w:r>
            <w:r>
              <w:rPr>
                <w:rFonts w:cs="Gill Sans"/>
                <w:lang w:val="en-GB" w:eastAsia="en-GB"/>
              </w:rPr>
              <w:t>7</w:t>
            </w:r>
            <w:r w:rsidRPr="00246162">
              <w:rPr>
                <w:rFonts w:cs="Gill Sans"/>
                <w:lang w:val="en-GB" w:eastAsia="en-GB"/>
              </w:rPr>
              <w:t xml:space="preserve">00,000 </w:t>
            </w:r>
          </w:p>
        </w:tc>
        <w:tc>
          <w:tcPr>
            <w:tcW w:w="2484" w:type="dxa"/>
            <w:shd w:val="clear" w:color="auto" w:fill="auto"/>
            <w:vAlign w:val="bottom"/>
          </w:tcPr>
          <w:p w:rsidR="00B87444" w:rsidRPr="00246162" w:rsidRDefault="00B87444" w:rsidP="00B87444">
            <w:pPr>
              <w:spacing w:after="0"/>
              <w:jc w:val="right"/>
              <w:rPr>
                <w:rFonts w:cs="Arial"/>
                <w:lang w:val="en-GB" w:eastAsia="en-GB"/>
              </w:rPr>
            </w:pPr>
            <w:r w:rsidRPr="00246162">
              <w:rPr>
                <w:rFonts w:cs="Gill Sans"/>
                <w:lang w:val="en-GB" w:eastAsia="en-GB"/>
              </w:rPr>
              <w:t xml:space="preserve">17,100,000 </w:t>
            </w:r>
          </w:p>
        </w:tc>
      </w:tr>
      <w:tr w:rsidR="00B87444" w:rsidRPr="00246162" w:rsidTr="009F7884">
        <w:tc>
          <w:tcPr>
            <w:tcW w:w="3888" w:type="dxa"/>
            <w:shd w:val="clear" w:color="auto" w:fill="auto"/>
            <w:vAlign w:val="bottom"/>
          </w:tcPr>
          <w:p w:rsidR="00B87444" w:rsidRPr="00246162" w:rsidRDefault="00B87444" w:rsidP="00B87444">
            <w:pPr>
              <w:pStyle w:val="TableRowHead"/>
              <w:keepNext w:val="0"/>
              <w:widowControl w:val="0"/>
              <w:rPr>
                <w:rFonts w:ascii="Gill Sans" w:hAnsi="Gill Sans"/>
                <w:sz w:val="24"/>
                <w:lang w:val="en-GB" w:eastAsia="en-GB"/>
              </w:rPr>
            </w:pPr>
            <w:r w:rsidRPr="00246162">
              <w:rPr>
                <w:rFonts w:ascii="Gill Sans" w:hAnsi="Gill Sans"/>
                <w:sz w:val="24"/>
                <w:lang w:val="en-GB" w:eastAsia="en-GB"/>
              </w:rPr>
              <w:t>Current service cost</w:t>
            </w:r>
          </w:p>
        </w:tc>
        <w:tc>
          <w:tcPr>
            <w:tcW w:w="2484" w:type="dxa"/>
            <w:shd w:val="clear" w:color="auto" w:fill="auto"/>
            <w:vAlign w:val="bottom"/>
          </w:tcPr>
          <w:p w:rsidR="00B87444" w:rsidRPr="00246162" w:rsidRDefault="00B87444" w:rsidP="00B87444">
            <w:pPr>
              <w:spacing w:after="0"/>
              <w:jc w:val="right"/>
              <w:rPr>
                <w:rFonts w:cs="Arial"/>
                <w:lang w:val="en-GB" w:eastAsia="en-GB"/>
              </w:rPr>
            </w:pPr>
            <w:r>
              <w:rPr>
                <w:rFonts w:cs="Gill Sans"/>
                <w:lang w:val="en-GB" w:eastAsia="en-GB"/>
              </w:rPr>
              <w:t>45</w:t>
            </w:r>
            <w:r w:rsidRPr="00246162">
              <w:rPr>
                <w:rFonts w:cs="Gill Sans"/>
                <w:lang w:val="en-GB" w:eastAsia="en-GB"/>
              </w:rPr>
              <w:t xml:space="preserve">0,000 </w:t>
            </w:r>
          </w:p>
        </w:tc>
        <w:tc>
          <w:tcPr>
            <w:tcW w:w="2484" w:type="dxa"/>
            <w:shd w:val="clear" w:color="auto" w:fill="auto"/>
            <w:vAlign w:val="bottom"/>
          </w:tcPr>
          <w:p w:rsidR="00B87444" w:rsidRPr="00246162" w:rsidRDefault="00B87444" w:rsidP="00B87444">
            <w:pPr>
              <w:spacing w:after="0"/>
              <w:jc w:val="right"/>
              <w:rPr>
                <w:rFonts w:cs="Arial"/>
                <w:lang w:val="en-GB" w:eastAsia="en-GB"/>
              </w:rPr>
            </w:pPr>
            <w:r w:rsidRPr="00246162">
              <w:rPr>
                <w:rFonts w:cs="Gill Sans"/>
                <w:lang w:val="en-GB" w:eastAsia="en-GB"/>
              </w:rPr>
              <w:t xml:space="preserve">500,000 </w:t>
            </w:r>
          </w:p>
        </w:tc>
      </w:tr>
      <w:tr w:rsidR="00B87444" w:rsidRPr="00246162" w:rsidTr="009F7884">
        <w:tc>
          <w:tcPr>
            <w:tcW w:w="3888" w:type="dxa"/>
            <w:shd w:val="clear" w:color="auto" w:fill="auto"/>
            <w:vAlign w:val="bottom"/>
          </w:tcPr>
          <w:p w:rsidR="00B87444" w:rsidRPr="00246162" w:rsidRDefault="00B87444" w:rsidP="00B87444">
            <w:pPr>
              <w:pStyle w:val="TableRowHead"/>
              <w:keepNext w:val="0"/>
              <w:widowControl w:val="0"/>
              <w:rPr>
                <w:rFonts w:ascii="Gill Sans" w:hAnsi="Gill Sans"/>
                <w:sz w:val="24"/>
                <w:lang w:val="en-GB" w:eastAsia="en-GB"/>
              </w:rPr>
            </w:pPr>
            <w:r w:rsidRPr="00246162">
              <w:rPr>
                <w:rFonts w:ascii="Gill Sans" w:hAnsi="Gill Sans"/>
                <w:sz w:val="24"/>
                <w:lang w:val="en-GB" w:eastAsia="en-GB"/>
              </w:rPr>
              <w:t>Interest on scheme liabilities</w:t>
            </w:r>
          </w:p>
        </w:tc>
        <w:tc>
          <w:tcPr>
            <w:tcW w:w="2484" w:type="dxa"/>
            <w:shd w:val="clear" w:color="auto" w:fill="auto"/>
            <w:vAlign w:val="bottom"/>
          </w:tcPr>
          <w:p w:rsidR="00B87444" w:rsidRPr="00246162" w:rsidRDefault="00B87444" w:rsidP="00B87444">
            <w:pPr>
              <w:spacing w:after="0"/>
              <w:jc w:val="right"/>
              <w:rPr>
                <w:rFonts w:cs="Arial"/>
                <w:lang w:val="en-GB" w:eastAsia="en-GB"/>
              </w:rPr>
            </w:pPr>
            <w:r>
              <w:rPr>
                <w:rFonts w:cs="Gill Sans"/>
                <w:lang w:val="en-GB" w:eastAsia="en-GB"/>
              </w:rPr>
              <w:t>92</w:t>
            </w:r>
            <w:r w:rsidRPr="00246162">
              <w:rPr>
                <w:rFonts w:cs="Gill Sans"/>
                <w:lang w:val="en-GB" w:eastAsia="en-GB"/>
              </w:rPr>
              <w:t xml:space="preserve">0,000 </w:t>
            </w:r>
          </w:p>
        </w:tc>
        <w:tc>
          <w:tcPr>
            <w:tcW w:w="2484" w:type="dxa"/>
            <w:shd w:val="clear" w:color="auto" w:fill="auto"/>
            <w:vAlign w:val="bottom"/>
          </w:tcPr>
          <w:p w:rsidR="00B87444" w:rsidRPr="00246162" w:rsidRDefault="00B87444" w:rsidP="00B87444">
            <w:pPr>
              <w:spacing w:after="0"/>
              <w:jc w:val="right"/>
              <w:rPr>
                <w:rFonts w:cs="Arial"/>
                <w:lang w:val="en-GB" w:eastAsia="en-GB"/>
              </w:rPr>
            </w:pPr>
            <w:r w:rsidRPr="00246162">
              <w:rPr>
                <w:rFonts w:cs="Gill Sans"/>
                <w:lang w:val="en-GB" w:eastAsia="en-GB"/>
              </w:rPr>
              <w:t xml:space="preserve">940,000 </w:t>
            </w:r>
          </w:p>
        </w:tc>
      </w:tr>
      <w:tr w:rsidR="00B87444" w:rsidRPr="00246162" w:rsidTr="009F7884">
        <w:tc>
          <w:tcPr>
            <w:tcW w:w="3888" w:type="dxa"/>
            <w:shd w:val="clear" w:color="auto" w:fill="auto"/>
            <w:vAlign w:val="bottom"/>
          </w:tcPr>
          <w:p w:rsidR="00B87444" w:rsidRPr="00246162" w:rsidRDefault="00B87444" w:rsidP="00B87444">
            <w:pPr>
              <w:pStyle w:val="TableRowHead"/>
              <w:keepNext w:val="0"/>
              <w:widowControl w:val="0"/>
              <w:rPr>
                <w:rFonts w:ascii="Gill Sans" w:hAnsi="Gill Sans"/>
                <w:sz w:val="24"/>
                <w:lang w:val="en-GB" w:eastAsia="en-GB"/>
              </w:rPr>
            </w:pPr>
            <w:r w:rsidRPr="00246162">
              <w:rPr>
                <w:rFonts w:ascii="Gill Sans" w:hAnsi="Gill Sans"/>
                <w:sz w:val="24"/>
                <w:lang w:val="en-GB" w:eastAsia="en-GB"/>
              </w:rPr>
              <w:t>Benefits payable</w:t>
            </w:r>
          </w:p>
        </w:tc>
        <w:tc>
          <w:tcPr>
            <w:tcW w:w="2484" w:type="dxa"/>
            <w:shd w:val="clear" w:color="auto" w:fill="auto"/>
            <w:vAlign w:val="bottom"/>
          </w:tcPr>
          <w:p w:rsidR="00B87444" w:rsidRPr="00246162" w:rsidRDefault="00B87444" w:rsidP="00B87444">
            <w:pPr>
              <w:spacing w:after="0"/>
              <w:jc w:val="right"/>
              <w:rPr>
                <w:rFonts w:cs="Arial"/>
                <w:lang w:val="en-GB" w:eastAsia="en-GB"/>
              </w:rPr>
            </w:pPr>
            <w:r w:rsidRPr="00246162">
              <w:rPr>
                <w:rFonts w:cs="Arial"/>
                <w:lang w:val="en-GB" w:eastAsia="en-GB"/>
              </w:rPr>
              <w:t>(</w:t>
            </w:r>
            <w:r>
              <w:rPr>
                <w:rFonts w:cs="Gill Sans"/>
                <w:lang w:val="en-GB" w:eastAsia="en-GB"/>
              </w:rPr>
              <w:t>54</w:t>
            </w:r>
            <w:r w:rsidRPr="00246162">
              <w:rPr>
                <w:rFonts w:cs="Gill Sans"/>
                <w:lang w:val="en-GB" w:eastAsia="en-GB"/>
              </w:rPr>
              <w:t>0,000)</w:t>
            </w:r>
          </w:p>
        </w:tc>
        <w:tc>
          <w:tcPr>
            <w:tcW w:w="2484" w:type="dxa"/>
            <w:shd w:val="clear" w:color="auto" w:fill="auto"/>
            <w:vAlign w:val="bottom"/>
          </w:tcPr>
          <w:p w:rsidR="00B87444" w:rsidRPr="00246162" w:rsidRDefault="00B87444" w:rsidP="00B87444">
            <w:pPr>
              <w:spacing w:after="0"/>
              <w:jc w:val="right"/>
              <w:rPr>
                <w:rFonts w:cs="Arial"/>
                <w:lang w:val="en-GB" w:eastAsia="en-GB"/>
              </w:rPr>
            </w:pPr>
            <w:r w:rsidRPr="00246162">
              <w:rPr>
                <w:rFonts w:cs="Arial"/>
                <w:lang w:val="en-GB" w:eastAsia="en-GB"/>
              </w:rPr>
              <w:t>(</w:t>
            </w:r>
            <w:r w:rsidRPr="00246162">
              <w:rPr>
                <w:rFonts w:cs="Gill Sans"/>
                <w:lang w:val="en-GB" w:eastAsia="en-GB"/>
              </w:rPr>
              <w:t>580,000)</w:t>
            </w:r>
          </w:p>
        </w:tc>
      </w:tr>
      <w:tr w:rsidR="00B87444" w:rsidRPr="00246162" w:rsidTr="009F7884">
        <w:tc>
          <w:tcPr>
            <w:tcW w:w="3888" w:type="dxa"/>
            <w:shd w:val="clear" w:color="auto" w:fill="auto"/>
            <w:vAlign w:val="bottom"/>
          </w:tcPr>
          <w:p w:rsidR="00B87444" w:rsidRPr="00246162" w:rsidRDefault="00B87444" w:rsidP="00B87444">
            <w:pPr>
              <w:pStyle w:val="TableRowHead"/>
              <w:keepNext w:val="0"/>
              <w:widowControl w:val="0"/>
              <w:rPr>
                <w:rFonts w:ascii="Gill Sans" w:hAnsi="Gill Sans"/>
                <w:sz w:val="24"/>
                <w:lang w:val="en-GB" w:eastAsia="en-GB"/>
              </w:rPr>
            </w:pPr>
            <w:r w:rsidRPr="00246162">
              <w:rPr>
                <w:rFonts w:ascii="Gill Sans" w:hAnsi="Gill Sans"/>
                <w:sz w:val="24"/>
                <w:lang w:val="en-GB" w:eastAsia="en-GB"/>
              </w:rPr>
              <w:t>Actuarial loss recognised in STRGL</w:t>
            </w:r>
          </w:p>
        </w:tc>
        <w:tc>
          <w:tcPr>
            <w:tcW w:w="2484" w:type="dxa"/>
            <w:shd w:val="clear" w:color="auto" w:fill="auto"/>
            <w:vAlign w:val="bottom"/>
          </w:tcPr>
          <w:p w:rsidR="00B87444" w:rsidRPr="00246162" w:rsidRDefault="00B87444" w:rsidP="00B87444">
            <w:pPr>
              <w:spacing w:after="0"/>
              <w:jc w:val="right"/>
              <w:rPr>
                <w:rFonts w:cs="Arial"/>
                <w:lang w:val="en-GB" w:eastAsia="en-GB"/>
              </w:rPr>
            </w:pPr>
            <w:r w:rsidRPr="00246162">
              <w:rPr>
                <w:rFonts w:cs="Arial"/>
                <w:lang w:val="en-GB" w:eastAsia="en-GB"/>
              </w:rPr>
              <w:t>(</w:t>
            </w:r>
            <w:r w:rsidRPr="00246162">
              <w:rPr>
                <w:rFonts w:cs="Gill Sans"/>
                <w:lang w:val="en-GB" w:eastAsia="en-GB"/>
              </w:rPr>
              <w:t>1,</w:t>
            </w:r>
            <w:r>
              <w:rPr>
                <w:rFonts w:cs="Gill Sans"/>
                <w:lang w:val="en-GB" w:eastAsia="en-GB"/>
              </w:rPr>
              <w:t>03</w:t>
            </w:r>
            <w:r w:rsidRPr="00246162">
              <w:rPr>
                <w:rFonts w:cs="Gill Sans"/>
                <w:lang w:val="en-GB" w:eastAsia="en-GB"/>
              </w:rPr>
              <w:t>0,000)</w:t>
            </w:r>
          </w:p>
        </w:tc>
        <w:tc>
          <w:tcPr>
            <w:tcW w:w="2484" w:type="dxa"/>
            <w:shd w:val="clear" w:color="auto" w:fill="auto"/>
            <w:vAlign w:val="bottom"/>
          </w:tcPr>
          <w:p w:rsidR="00B87444" w:rsidRPr="00246162" w:rsidRDefault="00B87444" w:rsidP="00B87444">
            <w:pPr>
              <w:spacing w:after="0"/>
              <w:jc w:val="right"/>
              <w:rPr>
                <w:rFonts w:cs="Arial"/>
                <w:lang w:val="en-GB" w:eastAsia="en-GB"/>
              </w:rPr>
            </w:pPr>
            <w:r w:rsidRPr="00246162">
              <w:rPr>
                <w:rFonts w:cs="Arial"/>
                <w:lang w:val="en-GB" w:eastAsia="en-GB"/>
              </w:rPr>
              <w:t>(</w:t>
            </w:r>
            <w:r w:rsidRPr="00246162">
              <w:rPr>
                <w:rFonts w:cs="Gill Sans"/>
                <w:lang w:val="en-GB" w:eastAsia="en-GB"/>
              </w:rPr>
              <w:t>1,260,000)</w:t>
            </w:r>
          </w:p>
        </w:tc>
      </w:tr>
      <w:tr w:rsidR="00B87444" w:rsidRPr="00246162" w:rsidTr="009F7884">
        <w:tc>
          <w:tcPr>
            <w:tcW w:w="3888" w:type="dxa"/>
            <w:shd w:val="clear" w:color="auto" w:fill="auto"/>
            <w:vAlign w:val="bottom"/>
          </w:tcPr>
          <w:p w:rsidR="00B87444" w:rsidRPr="00246162" w:rsidRDefault="00B87444" w:rsidP="00B87444">
            <w:pPr>
              <w:pStyle w:val="TableRowHead"/>
              <w:keepNext w:val="0"/>
              <w:widowControl w:val="0"/>
              <w:rPr>
                <w:rFonts w:ascii="Gill Sans" w:hAnsi="Gill Sans"/>
                <w:sz w:val="24"/>
                <w:lang w:val="en-GB" w:eastAsia="en-GB"/>
              </w:rPr>
            </w:pPr>
            <w:r w:rsidRPr="00246162">
              <w:rPr>
                <w:rFonts w:ascii="Gill Sans" w:hAnsi="Gill Sans"/>
                <w:sz w:val="24"/>
                <w:lang w:val="en-GB" w:eastAsia="en-GB"/>
              </w:rPr>
              <w:t>Pension Liability</w:t>
            </w:r>
          </w:p>
        </w:tc>
        <w:tc>
          <w:tcPr>
            <w:tcW w:w="2484" w:type="dxa"/>
            <w:shd w:val="clear" w:color="auto" w:fill="auto"/>
            <w:vAlign w:val="bottom"/>
          </w:tcPr>
          <w:p w:rsidR="00B87444" w:rsidRPr="00246162" w:rsidRDefault="00B87444" w:rsidP="00B87444">
            <w:pPr>
              <w:spacing w:after="0"/>
              <w:jc w:val="right"/>
              <w:rPr>
                <w:rFonts w:cs="Arial"/>
                <w:b/>
                <w:lang w:val="en-GB" w:eastAsia="en-GB"/>
              </w:rPr>
            </w:pPr>
            <w:r w:rsidRPr="00246162">
              <w:rPr>
                <w:rFonts w:cs="Gill Sans"/>
                <w:b/>
                <w:lang w:val="en-GB" w:eastAsia="en-GB"/>
              </w:rPr>
              <w:t>16,</w:t>
            </w:r>
            <w:r>
              <w:rPr>
                <w:rFonts w:cs="Gill Sans"/>
                <w:b/>
                <w:lang w:val="en-GB" w:eastAsia="en-GB"/>
              </w:rPr>
              <w:t>5</w:t>
            </w:r>
            <w:r w:rsidRPr="00246162">
              <w:rPr>
                <w:rFonts w:cs="Gill Sans"/>
                <w:b/>
                <w:lang w:val="en-GB" w:eastAsia="en-GB"/>
              </w:rPr>
              <w:t xml:space="preserve">00,000 </w:t>
            </w:r>
          </w:p>
        </w:tc>
        <w:tc>
          <w:tcPr>
            <w:tcW w:w="2484" w:type="dxa"/>
            <w:shd w:val="clear" w:color="auto" w:fill="auto"/>
            <w:vAlign w:val="bottom"/>
          </w:tcPr>
          <w:p w:rsidR="00B87444" w:rsidRPr="00246162" w:rsidRDefault="00B87444" w:rsidP="00B87444">
            <w:pPr>
              <w:spacing w:after="0"/>
              <w:jc w:val="right"/>
              <w:rPr>
                <w:rFonts w:cs="Arial"/>
                <w:b/>
                <w:lang w:val="en-GB" w:eastAsia="en-GB"/>
              </w:rPr>
            </w:pPr>
            <w:r w:rsidRPr="00246162">
              <w:rPr>
                <w:rFonts w:cs="Gill Sans"/>
                <w:b/>
                <w:lang w:val="en-GB" w:eastAsia="en-GB"/>
              </w:rPr>
              <w:t xml:space="preserve">16,700,000 </w:t>
            </w:r>
          </w:p>
        </w:tc>
      </w:tr>
    </w:tbl>
    <w:p w:rsidR="00B87444" w:rsidRDefault="00B87444" w:rsidP="00E41BEB">
      <w:pPr>
        <w:pStyle w:val="Heading4"/>
        <w:rPr>
          <w:lang w:val="en-GB" w:eastAsia="en-GB"/>
        </w:rPr>
      </w:pPr>
      <w:r>
        <w:br/>
      </w:r>
      <w:r w:rsidRPr="00826690">
        <w:rPr>
          <w:lang w:val="en-GB" w:eastAsia="en-GB"/>
        </w:rPr>
        <w:t>History of experience gains and losses</w:t>
      </w:r>
    </w:p>
    <w:tbl>
      <w:tblPr>
        <w:tblW w:w="514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448"/>
        <w:gridCol w:w="1496"/>
        <w:gridCol w:w="1620"/>
        <w:gridCol w:w="1465"/>
        <w:gridCol w:w="1360"/>
      </w:tblGrid>
      <w:tr w:rsidR="00B87444" w:rsidRPr="009079DB" w:rsidTr="00C83107">
        <w:trPr>
          <w:tblHeader/>
        </w:trPr>
        <w:tc>
          <w:tcPr>
            <w:tcW w:w="8389" w:type="dxa"/>
            <w:gridSpan w:val="5"/>
            <w:shd w:val="clear" w:color="auto" w:fill="auto"/>
          </w:tcPr>
          <w:p w:rsidR="00B87444" w:rsidRPr="00246162" w:rsidRDefault="00B87444" w:rsidP="00B87444">
            <w:pPr>
              <w:pStyle w:val="TableHead"/>
              <w:keepNext/>
              <w:widowControl w:val="0"/>
              <w:rPr>
                <w:sz w:val="24"/>
                <w:lang w:val="en-GB" w:eastAsia="en-GB"/>
              </w:rPr>
            </w:pPr>
            <w:r w:rsidRPr="00246162">
              <w:rPr>
                <w:sz w:val="24"/>
                <w:lang w:val="en-GB" w:eastAsia="en-GB"/>
              </w:rPr>
              <w:t>Experience (gains) / losses on scheme liabilities</w:t>
            </w:r>
          </w:p>
        </w:tc>
      </w:tr>
      <w:tr w:rsidR="00B87444" w:rsidRPr="009079DB" w:rsidTr="00C83107">
        <w:trPr>
          <w:tblHeader/>
        </w:trPr>
        <w:tc>
          <w:tcPr>
            <w:tcW w:w="2448" w:type="dxa"/>
            <w:shd w:val="clear" w:color="auto" w:fill="auto"/>
          </w:tcPr>
          <w:p w:rsidR="00B87444" w:rsidRPr="00246162" w:rsidRDefault="00B87444" w:rsidP="00B87444">
            <w:pPr>
              <w:pStyle w:val="TableHead"/>
              <w:keepNext/>
              <w:widowControl w:val="0"/>
              <w:jc w:val="right"/>
              <w:rPr>
                <w:sz w:val="24"/>
              </w:rPr>
            </w:pPr>
          </w:p>
        </w:tc>
        <w:tc>
          <w:tcPr>
            <w:tcW w:w="1496" w:type="dxa"/>
            <w:shd w:val="clear" w:color="auto" w:fill="auto"/>
            <w:vAlign w:val="bottom"/>
          </w:tcPr>
          <w:p w:rsidR="00B87444" w:rsidRPr="00246162" w:rsidRDefault="00B87444" w:rsidP="00B87444">
            <w:pPr>
              <w:pStyle w:val="TableHead"/>
              <w:jc w:val="right"/>
              <w:rPr>
                <w:sz w:val="24"/>
                <w:lang w:val="en-GB" w:eastAsia="en-GB"/>
              </w:rPr>
            </w:pPr>
            <w:r w:rsidRPr="00246162">
              <w:rPr>
                <w:sz w:val="24"/>
                <w:lang w:val="en-GB" w:eastAsia="en-GB"/>
              </w:rPr>
              <w:t>201</w:t>
            </w:r>
            <w:r>
              <w:rPr>
                <w:sz w:val="24"/>
                <w:lang w:val="en-GB" w:eastAsia="en-GB"/>
              </w:rPr>
              <w:t>2</w:t>
            </w:r>
          </w:p>
        </w:tc>
        <w:tc>
          <w:tcPr>
            <w:tcW w:w="1620" w:type="dxa"/>
            <w:shd w:val="clear" w:color="auto" w:fill="auto"/>
            <w:vAlign w:val="bottom"/>
          </w:tcPr>
          <w:p w:rsidR="00B87444" w:rsidRPr="00246162" w:rsidRDefault="00B87444" w:rsidP="00B87444">
            <w:pPr>
              <w:pStyle w:val="TableHead"/>
              <w:jc w:val="right"/>
              <w:rPr>
                <w:sz w:val="24"/>
                <w:lang w:val="en-GB" w:eastAsia="en-GB"/>
              </w:rPr>
            </w:pPr>
            <w:r w:rsidRPr="00246162">
              <w:rPr>
                <w:sz w:val="24"/>
                <w:lang w:val="en-GB" w:eastAsia="en-GB"/>
              </w:rPr>
              <w:t>201</w:t>
            </w:r>
            <w:r>
              <w:rPr>
                <w:sz w:val="24"/>
                <w:lang w:val="en-GB" w:eastAsia="en-GB"/>
              </w:rPr>
              <w:t>1</w:t>
            </w:r>
          </w:p>
        </w:tc>
        <w:tc>
          <w:tcPr>
            <w:tcW w:w="1465" w:type="dxa"/>
            <w:shd w:val="clear" w:color="auto" w:fill="auto"/>
            <w:vAlign w:val="bottom"/>
          </w:tcPr>
          <w:p w:rsidR="00B87444" w:rsidRPr="00246162" w:rsidRDefault="00B87444" w:rsidP="00B87444">
            <w:pPr>
              <w:pStyle w:val="TableHead"/>
              <w:jc w:val="right"/>
              <w:rPr>
                <w:sz w:val="24"/>
                <w:lang w:val="en-GB" w:eastAsia="en-GB"/>
              </w:rPr>
            </w:pPr>
            <w:r w:rsidRPr="00246162">
              <w:rPr>
                <w:sz w:val="24"/>
                <w:lang w:val="en-GB" w:eastAsia="en-GB"/>
              </w:rPr>
              <w:t>20</w:t>
            </w:r>
            <w:r>
              <w:rPr>
                <w:sz w:val="24"/>
                <w:lang w:val="en-GB" w:eastAsia="en-GB"/>
              </w:rPr>
              <w:t>10</w:t>
            </w:r>
          </w:p>
        </w:tc>
        <w:tc>
          <w:tcPr>
            <w:tcW w:w="1360" w:type="dxa"/>
            <w:shd w:val="clear" w:color="auto" w:fill="auto"/>
            <w:vAlign w:val="bottom"/>
          </w:tcPr>
          <w:p w:rsidR="00B87444" w:rsidRPr="00246162" w:rsidRDefault="00B87444" w:rsidP="00B87444">
            <w:pPr>
              <w:pStyle w:val="TableHead"/>
              <w:jc w:val="right"/>
              <w:rPr>
                <w:sz w:val="24"/>
                <w:lang w:val="en-GB" w:eastAsia="en-GB"/>
              </w:rPr>
            </w:pPr>
            <w:r w:rsidRPr="00246162">
              <w:rPr>
                <w:sz w:val="24"/>
                <w:lang w:val="en-GB" w:eastAsia="en-GB"/>
              </w:rPr>
              <w:t>20</w:t>
            </w:r>
            <w:r>
              <w:rPr>
                <w:sz w:val="24"/>
                <w:lang w:val="en-GB" w:eastAsia="en-GB"/>
              </w:rPr>
              <w:t>09</w:t>
            </w:r>
          </w:p>
        </w:tc>
      </w:tr>
      <w:tr w:rsidR="00B87444" w:rsidRPr="009079DB" w:rsidTr="00C83107">
        <w:tc>
          <w:tcPr>
            <w:tcW w:w="2448" w:type="dxa"/>
            <w:shd w:val="clear" w:color="auto" w:fill="auto"/>
            <w:vAlign w:val="bottom"/>
          </w:tcPr>
          <w:p w:rsidR="00B87444" w:rsidRPr="00246162" w:rsidRDefault="00B87444" w:rsidP="00B87444">
            <w:pPr>
              <w:pStyle w:val="TableRowHead"/>
              <w:widowControl w:val="0"/>
              <w:rPr>
                <w:rFonts w:ascii="Gill Sans" w:hAnsi="Gill Sans"/>
                <w:sz w:val="24"/>
                <w:lang w:val="en-GB" w:eastAsia="en-GB"/>
              </w:rPr>
            </w:pPr>
            <w:r w:rsidRPr="00246162">
              <w:rPr>
                <w:rFonts w:ascii="Gill Sans" w:hAnsi="Gill Sans"/>
                <w:sz w:val="24"/>
                <w:lang w:val="en-GB" w:eastAsia="en-GB"/>
              </w:rPr>
              <w:t>amount</w:t>
            </w:r>
          </w:p>
        </w:tc>
        <w:tc>
          <w:tcPr>
            <w:tcW w:w="1496" w:type="dxa"/>
            <w:shd w:val="clear" w:color="auto" w:fill="auto"/>
            <w:vAlign w:val="bottom"/>
          </w:tcPr>
          <w:p w:rsidR="00B87444" w:rsidRPr="00246162" w:rsidRDefault="00B87444" w:rsidP="00B87444">
            <w:pPr>
              <w:pStyle w:val="TableCell"/>
              <w:rPr>
                <w:sz w:val="24"/>
                <w:lang w:val="en-GB" w:eastAsia="en-GB"/>
              </w:rPr>
            </w:pPr>
            <w:r w:rsidRPr="00246162">
              <w:rPr>
                <w:sz w:val="24"/>
                <w:lang w:val="en-GB" w:eastAsia="en-GB"/>
              </w:rPr>
              <w:t>(€1,</w:t>
            </w:r>
            <w:r>
              <w:rPr>
                <w:sz w:val="24"/>
                <w:lang w:val="en-GB" w:eastAsia="en-GB"/>
              </w:rPr>
              <w:t>03</w:t>
            </w:r>
            <w:r w:rsidRPr="00246162">
              <w:rPr>
                <w:sz w:val="24"/>
                <w:lang w:val="en-GB" w:eastAsia="en-GB"/>
              </w:rPr>
              <w:t>0,000)</w:t>
            </w:r>
          </w:p>
        </w:tc>
        <w:tc>
          <w:tcPr>
            <w:tcW w:w="1620" w:type="dxa"/>
            <w:shd w:val="clear" w:color="auto" w:fill="auto"/>
            <w:vAlign w:val="bottom"/>
          </w:tcPr>
          <w:p w:rsidR="00B87444" w:rsidRPr="00246162" w:rsidRDefault="00B87444" w:rsidP="00B87444">
            <w:pPr>
              <w:pStyle w:val="TableCell"/>
              <w:rPr>
                <w:sz w:val="24"/>
                <w:lang w:val="en-GB" w:eastAsia="en-GB"/>
              </w:rPr>
            </w:pPr>
            <w:r w:rsidRPr="00246162">
              <w:rPr>
                <w:sz w:val="24"/>
                <w:lang w:val="en-GB" w:eastAsia="en-GB"/>
              </w:rPr>
              <w:t>(€1,260,000)</w:t>
            </w:r>
          </w:p>
        </w:tc>
        <w:tc>
          <w:tcPr>
            <w:tcW w:w="1465" w:type="dxa"/>
            <w:shd w:val="clear" w:color="auto" w:fill="auto"/>
            <w:vAlign w:val="bottom"/>
          </w:tcPr>
          <w:p w:rsidR="00B87444" w:rsidRPr="00246162" w:rsidRDefault="00B87444" w:rsidP="00B87444">
            <w:pPr>
              <w:pStyle w:val="TableCell"/>
              <w:rPr>
                <w:sz w:val="24"/>
                <w:lang w:val="en-GB" w:eastAsia="en-GB"/>
              </w:rPr>
            </w:pPr>
            <w:r w:rsidRPr="00246162">
              <w:rPr>
                <w:sz w:val="24"/>
                <w:lang w:val="en-GB" w:eastAsia="en-GB"/>
              </w:rPr>
              <w:t>(</w:t>
            </w:r>
            <w:r w:rsidRPr="00246162">
              <w:rPr>
                <w:rFonts w:cs="Arial"/>
                <w:sz w:val="24"/>
                <w:lang w:val="en-GB" w:eastAsia="en-GB"/>
              </w:rPr>
              <w:t>€</w:t>
            </w:r>
            <w:r w:rsidRPr="00246162">
              <w:rPr>
                <w:rFonts w:cs="Gill Sans"/>
                <w:sz w:val="24"/>
                <w:lang w:val="en-GB" w:eastAsia="en-GB"/>
              </w:rPr>
              <w:t>2,419,000)</w:t>
            </w:r>
          </w:p>
        </w:tc>
        <w:tc>
          <w:tcPr>
            <w:tcW w:w="1360" w:type="dxa"/>
            <w:shd w:val="clear" w:color="auto" w:fill="auto"/>
            <w:vAlign w:val="bottom"/>
          </w:tcPr>
          <w:p w:rsidR="00B87444" w:rsidRPr="00246162" w:rsidRDefault="00B87444" w:rsidP="00B87444">
            <w:pPr>
              <w:pStyle w:val="TableCell"/>
              <w:rPr>
                <w:sz w:val="24"/>
                <w:lang w:val="en-GB" w:eastAsia="en-GB"/>
              </w:rPr>
            </w:pPr>
            <w:r w:rsidRPr="00246162">
              <w:rPr>
                <w:sz w:val="24"/>
                <w:lang w:val="en-GB" w:eastAsia="en-GB"/>
              </w:rPr>
              <w:t>(</w:t>
            </w:r>
            <w:r w:rsidRPr="00246162">
              <w:rPr>
                <w:rFonts w:cs="Arial"/>
                <w:sz w:val="24"/>
                <w:lang w:val="en-GB" w:eastAsia="en-GB"/>
              </w:rPr>
              <w:t>€</w:t>
            </w:r>
            <w:r w:rsidRPr="00246162">
              <w:rPr>
                <w:rFonts w:cs="Gill Sans"/>
                <w:sz w:val="24"/>
                <w:lang w:val="en-GB" w:eastAsia="en-GB"/>
              </w:rPr>
              <w:t>300,000)</w:t>
            </w:r>
          </w:p>
        </w:tc>
      </w:tr>
      <w:tr w:rsidR="00B87444" w:rsidRPr="009079DB" w:rsidTr="00C83107">
        <w:tc>
          <w:tcPr>
            <w:tcW w:w="2448" w:type="dxa"/>
            <w:shd w:val="clear" w:color="auto" w:fill="auto"/>
            <w:vAlign w:val="bottom"/>
          </w:tcPr>
          <w:p w:rsidR="00B87444" w:rsidRPr="00246162" w:rsidRDefault="00B87444" w:rsidP="00B87444">
            <w:pPr>
              <w:pStyle w:val="TableRowHead"/>
              <w:widowControl w:val="0"/>
              <w:rPr>
                <w:rFonts w:ascii="Gill Sans" w:hAnsi="Gill Sans"/>
                <w:sz w:val="24"/>
                <w:lang w:val="en-GB" w:eastAsia="en-GB"/>
              </w:rPr>
            </w:pPr>
            <w:r w:rsidRPr="00246162">
              <w:rPr>
                <w:rFonts w:ascii="Gill Sans" w:hAnsi="Gill Sans"/>
                <w:sz w:val="24"/>
                <w:lang w:val="en-GB" w:eastAsia="en-GB"/>
              </w:rPr>
              <w:t>percentage of the present value of the scheme liabilities</w:t>
            </w:r>
          </w:p>
        </w:tc>
        <w:tc>
          <w:tcPr>
            <w:tcW w:w="1496" w:type="dxa"/>
            <w:shd w:val="clear" w:color="auto" w:fill="auto"/>
            <w:vAlign w:val="bottom"/>
          </w:tcPr>
          <w:p w:rsidR="00B87444" w:rsidRPr="00246162" w:rsidRDefault="00B87444" w:rsidP="00B87444">
            <w:pPr>
              <w:pStyle w:val="TableCell"/>
              <w:rPr>
                <w:sz w:val="24"/>
                <w:lang w:val="en-GB" w:eastAsia="en-GB"/>
              </w:rPr>
            </w:pPr>
            <w:r w:rsidRPr="00246162">
              <w:rPr>
                <w:sz w:val="24"/>
                <w:lang w:val="en-GB" w:eastAsia="en-GB"/>
              </w:rPr>
              <w:t>(</w:t>
            </w:r>
            <w:r>
              <w:rPr>
                <w:sz w:val="24"/>
                <w:lang w:val="en-GB" w:eastAsia="en-GB"/>
              </w:rPr>
              <w:t>6</w:t>
            </w:r>
            <w:r w:rsidRPr="00246162">
              <w:rPr>
                <w:sz w:val="24"/>
                <w:lang w:val="en-GB" w:eastAsia="en-GB"/>
              </w:rPr>
              <w:t>%)</w:t>
            </w:r>
          </w:p>
        </w:tc>
        <w:tc>
          <w:tcPr>
            <w:tcW w:w="1620" w:type="dxa"/>
            <w:shd w:val="clear" w:color="auto" w:fill="auto"/>
            <w:vAlign w:val="bottom"/>
          </w:tcPr>
          <w:p w:rsidR="00B87444" w:rsidRPr="00246162" w:rsidRDefault="00B87444" w:rsidP="00B87444">
            <w:pPr>
              <w:pStyle w:val="TableCell"/>
              <w:rPr>
                <w:sz w:val="24"/>
                <w:lang w:val="en-GB" w:eastAsia="en-GB"/>
              </w:rPr>
            </w:pPr>
            <w:r w:rsidRPr="00246162">
              <w:rPr>
                <w:sz w:val="24"/>
                <w:lang w:val="en-GB" w:eastAsia="en-GB"/>
              </w:rPr>
              <w:t>(8%)</w:t>
            </w:r>
          </w:p>
        </w:tc>
        <w:tc>
          <w:tcPr>
            <w:tcW w:w="1465" w:type="dxa"/>
            <w:shd w:val="clear" w:color="auto" w:fill="auto"/>
            <w:vAlign w:val="bottom"/>
          </w:tcPr>
          <w:p w:rsidR="00B87444" w:rsidRPr="00246162" w:rsidRDefault="00B87444" w:rsidP="00B87444">
            <w:pPr>
              <w:pStyle w:val="TableCell"/>
              <w:rPr>
                <w:sz w:val="24"/>
                <w:lang w:val="en-GB" w:eastAsia="en-GB"/>
              </w:rPr>
            </w:pPr>
            <w:r w:rsidRPr="00246162">
              <w:rPr>
                <w:sz w:val="24"/>
                <w:lang w:val="en-GB" w:eastAsia="en-GB"/>
              </w:rPr>
              <w:t>(14%)</w:t>
            </w:r>
          </w:p>
        </w:tc>
        <w:tc>
          <w:tcPr>
            <w:tcW w:w="1360" w:type="dxa"/>
            <w:shd w:val="clear" w:color="auto" w:fill="auto"/>
            <w:vAlign w:val="bottom"/>
          </w:tcPr>
          <w:p w:rsidR="00B87444" w:rsidRPr="00246162" w:rsidRDefault="00B87444" w:rsidP="00B87444">
            <w:pPr>
              <w:pStyle w:val="TableCell"/>
              <w:rPr>
                <w:sz w:val="24"/>
                <w:lang w:val="en-GB" w:eastAsia="en-GB"/>
              </w:rPr>
            </w:pPr>
            <w:r w:rsidRPr="00246162">
              <w:rPr>
                <w:sz w:val="24"/>
                <w:lang w:val="en-GB" w:eastAsia="en-GB"/>
              </w:rPr>
              <w:t>(</w:t>
            </w:r>
            <w:r>
              <w:rPr>
                <w:sz w:val="24"/>
                <w:lang w:val="en-GB" w:eastAsia="en-GB"/>
              </w:rPr>
              <w:t>2</w:t>
            </w:r>
            <w:r w:rsidRPr="00246162">
              <w:rPr>
                <w:sz w:val="24"/>
                <w:lang w:val="en-GB" w:eastAsia="en-GB"/>
              </w:rPr>
              <w:t>%)</w:t>
            </w:r>
          </w:p>
        </w:tc>
      </w:tr>
    </w:tbl>
    <w:p w:rsidR="00B87444" w:rsidRDefault="00B87444" w:rsidP="00E41BEB">
      <w:pPr>
        <w:pStyle w:val="Heading4"/>
        <w:rPr>
          <w:lang w:val="en-GB" w:eastAsia="en-GB"/>
        </w:rPr>
      </w:pPr>
      <w:r>
        <w:rPr>
          <w:lang w:val="en-GB" w:eastAsia="en-GB"/>
        </w:rPr>
        <w:br/>
      </w:r>
      <w:bookmarkStart w:id="62" w:name="_Toc335836407"/>
      <w:r w:rsidRPr="00826690">
        <w:rPr>
          <w:lang w:val="en-GB" w:eastAsia="en-GB"/>
        </w:rPr>
        <w:t>Pension Levy Contributions</w:t>
      </w:r>
      <w:bookmarkEnd w:id="62"/>
    </w:p>
    <w:p w:rsidR="00B87444" w:rsidRDefault="00B87444" w:rsidP="00B87444">
      <w:pPr>
        <w:rPr>
          <w:lang w:val="en-GB" w:eastAsia="en-GB"/>
        </w:rPr>
      </w:pPr>
      <w:r w:rsidRPr="00567CF6">
        <w:rPr>
          <w:rFonts w:cs="Arial"/>
        </w:rPr>
        <w:t>€</w:t>
      </w:r>
      <w:r w:rsidRPr="00567CF6">
        <w:rPr>
          <w:rFonts w:cs="Gill Sans"/>
        </w:rPr>
        <w:t>1</w:t>
      </w:r>
      <w:r w:rsidRPr="00567CF6">
        <w:t>22,</w:t>
      </w:r>
      <w:r>
        <w:t>272</w:t>
      </w:r>
      <w:r w:rsidRPr="00567CF6">
        <w:t xml:space="preserve"> was</w:t>
      </w:r>
      <w:r w:rsidRPr="00826690">
        <w:rPr>
          <w:lang w:val="en-GB" w:eastAsia="en-GB"/>
        </w:rPr>
        <w:t xml:space="preserve"> deducted from staff by way of pension levy and retained by the Department of Justice </w:t>
      </w:r>
      <w:r>
        <w:rPr>
          <w:lang w:val="en-GB" w:eastAsia="en-GB"/>
        </w:rPr>
        <w:t>and Equality.</w:t>
      </w:r>
    </w:p>
    <w:p w:rsidR="00B87444" w:rsidRDefault="00B87444" w:rsidP="00E41BEB">
      <w:pPr>
        <w:pStyle w:val="Heading3"/>
        <w:rPr>
          <w:lang w:val="en-GB" w:eastAsia="en-GB"/>
        </w:rPr>
      </w:pPr>
      <w:r w:rsidRPr="009079DB">
        <w:rPr>
          <w:lang w:val="en-GB" w:eastAsia="en-GB"/>
        </w:rPr>
        <w:t xml:space="preserve">11. </w:t>
      </w:r>
      <w:r>
        <w:rPr>
          <w:lang w:val="en-GB" w:eastAsia="en-GB"/>
        </w:rPr>
        <w:t>Creditors a</w:t>
      </w:r>
      <w:r w:rsidRPr="009079DB">
        <w:rPr>
          <w:lang w:val="en-GB" w:eastAsia="en-GB"/>
        </w:rPr>
        <w:t>nd Accruals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395"/>
        <w:gridCol w:w="1879"/>
        <w:gridCol w:w="1879"/>
      </w:tblGrid>
      <w:tr w:rsidR="00B87444" w:rsidRPr="00AF114C" w:rsidTr="009F7884">
        <w:trPr>
          <w:tblHeader/>
        </w:trPr>
        <w:tc>
          <w:tcPr>
            <w:tcW w:w="4788" w:type="dxa"/>
            <w:shd w:val="clear" w:color="auto" w:fill="auto"/>
          </w:tcPr>
          <w:p w:rsidR="00B87444" w:rsidRPr="00AF114C" w:rsidRDefault="00B87444" w:rsidP="00B87444">
            <w:pPr>
              <w:pStyle w:val="TableHead"/>
              <w:jc w:val="right"/>
            </w:pPr>
          </w:p>
        </w:tc>
        <w:tc>
          <w:tcPr>
            <w:tcW w:w="2034" w:type="dxa"/>
            <w:shd w:val="clear" w:color="auto" w:fill="auto"/>
            <w:vAlign w:val="bottom"/>
          </w:tcPr>
          <w:p w:rsidR="00B87444" w:rsidRPr="000626A3" w:rsidRDefault="00B87444" w:rsidP="00B87444">
            <w:pPr>
              <w:pStyle w:val="TableHead"/>
              <w:jc w:val="right"/>
              <w:rPr>
                <w:sz w:val="24"/>
                <w:lang w:val="en-GB" w:eastAsia="en-GB"/>
              </w:rPr>
            </w:pPr>
            <w:r w:rsidRPr="000626A3">
              <w:rPr>
                <w:sz w:val="24"/>
                <w:lang w:val="en-GB" w:eastAsia="en-GB"/>
              </w:rPr>
              <w:t>201</w:t>
            </w:r>
            <w:r>
              <w:rPr>
                <w:sz w:val="24"/>
                <w:lang w:val="en-GB" w:eastAsia="en-GB"/>
              </w:rPr>
              <w:t>2</w:t>
            </w:r>
          </w:p>
        </w:tc>
        <w:tc>
          <w:tcPr>
            <w:tcW w:w="2034" w:type="dxa"/>
            <w:shd w:val="clear" w:color="auto" w:fill="auto"/>
            <w:vAlign w:val="bottom"/>
          </w:tcPr>
          <w:p w:rsidR="00B87444" w:rsidRPr="000626A3" w:rsidRDefault="00B87444" w:rsidP="00B87444">
            <w:pPr>
              <w:pStyle w:val="TableHead"/>
              <w:jc w:val="right"/>
              <w:rPr>
                <w:sz w:val="24"/>
                <w:lang w:val="en-GB" w:eastAsia="en-GB"/>
              </w:rPr>
            </w:pPr>
            <w:r w:rsidRPr="000626A3">
              <w:rPr>
                <w:sz w:val="24"/>
                <w:lang w:val="en-GB" w:eastAsia="en-GB"/>
              </w:rPr>
              <w:t>201</w:t>
            </w:r>
            <w:r>
              <w:rPr>
                <w:sz w:val="24"/>
                <w:lang w:val="en-GB" w:eastAsia="en-GB"/>
              </w:rPr>
              <w:t>1</w:t>
            </w:r>
          </w:p>
        </w:tc>
      </w:tr>
      <w:tr w:rsidR="00B87444" w:rsidRPr="00AF114C" w:rsidTr="009F7884">
        <w:tc>
          <w:tcPr>
            <w:tcW w:w="4788" w:type="dxa"/>
            <w:shd w:val="clear" w:color="auto" w:fill="auto"/>
          </w:tcPr>
          <w:p w:rsidR="00B87444" w:rsidRPr="00AF114C" w:rsidRDefault="00B87444" w:rsidP="00B87444">
            <w:pPr>
              <w:pStyle w:val="TableRowHead"/>
            </w:pPr>
          </w:p>
        </w:tc>
        <w:tc>
          <w:tcPr>
            <w:tcW w:w="2034" w:type="dxa"/>
            <w:shd w:val="clear" w:color="auto" w:fill="auto"/>
            <w:vAlign w:val="bottom"/>
          </w:tcPr>
          <w:p w:rsidR="00B87444" w:rsidRPr="009F7884" w:rsidRDefault="00B87444" w:rsidP="0053638B">
            <w:pPr>
              <w:pStyle w:val="TableCell"/>
              <w:rPr>
                <w:szCs w:val="22"/>
              </w:rPr>
            </w:pPr>
            <w:r w:rsidRPr="009F7884">
              <w:rPr>
                <w:szCs w:val="22"/>
              </w:rPr>
              <w:t>€</w:t>
            </w:r>
          </w:p>
        </w:tc>
        <w:tc>
          <w:tcPr>
            <w:tcW w:w="2034" w:type="dxa"/>
            <w:shd w:val="clear" w:color="auto" w:fill="auto"/>
            <w:vAlign w:val="bottom"/>
          </w:tcPr>
          <w:p w:rsidR="00B87444" w:rsidRPr="009F7884" w:rsidRDefault="00B87444" w:rsidP="0053638B">
            <w:pPr>
              <w:pStyle w:val="TableCell"/>
              <w:rPr>
                <w:szCs w:val="22"/>
              </w:rPr>
            </w:pPr>
            <w:r w:rsidRPr="009F7884">
              <w:rPr>
                <w:szCs w:val="22"/>
              </w:rPr>
              <w:t>€</w:t>
            </w:r>
          </w:p>
        </w:tc>
      </w:tr>
      <w:tr w:rsidR="00B87444" w:rsidRPr="00AF114C" w:rsidTr="009F7884">
        <w:tc>
          <w:tcPr>
            <w:tcW w:w="4788" w:type="dxa"/>
            <w:shd w:val="clear" w:color="auto" w:fill="auto"/>
            <w:vAlign w:val="bottom"/>
          </w:tcPr>
          <w:p w:rsidR="00B87444" w:rsidRPr="000626A3" w:rsidRDefault="00B87444" w:rsidP="00B87444">
            <w:pPr>
              <w:pStyle w:val="TableRowHead"/>
              <w:rPr>
                <w:rFonts w:ascii="Gill Sans" w:hAnsi="Gill Sans"/>
                <w:sz w:val="24"/>
                <w:lang w:val="en-GB" w:eastAsia="en-GB"/>
              </w:rPr>
            </w:pPr>
            <w:r w:rsidRPr="000626A3">
              <w:rPr>
                <w:rFonts w:ascii="Gill Sans" w:hAnsi="Gill Sans"/>
                <w:sz w:val="24"/>
                <w:lang w:val="en-GB" w:eastAsia="en-GB"/>
              </w:rPr>
              <w:t>Accruals</w:t>
            </w:r>
          </w:p>
        </w:tc>
        <w:tc>
          <w:tcPr>
            <w:tcW w:w="2034" w:type="dxa"/>
            <w:shd w:val="clear" w:color="auto" w:fill="auto"/>
            <w:vAlign w:val="bottom"/>
          </w:tcPr>
          <w:p w:rsidR="00B87444" w:rsidRPr="000626A3" w:rsidRDefault="00B87444" w:rsidP="00B87444">
            <w:pPr>
              <w:pStyle w:val="TableCell"/>
              <w:rPr>
                <w:rFonts w:cs="Gill Sans"/>
                <w:sz w:val="24"/>
                <w:lang w:val="en-GB" w:eastAsia="en-GB"/>
              </w:rPr>
            </w:pPr>
            <w:r>
              <w:rPr>
                <w:rFonts w:cs="Gill Sans"/>
                <w:sz w:val="24"/>
                <w:lang w:val="en-GB" w:eastAsia="en-GB"/>
              </w:rPr>
              <w:t>39</w:t>
            </w:r>
            <w:r w:rsidRPr="000626A3">
              <w:rPr>
                <w:rFonts w:cs="Gill Sans"/>
                <w:sz w:val="24"/>
                <w:lang w:val="en-GB" w:eastAsia="en-GB"/>
              </w:rPr>
              <w:t>,</w:t>
            </w:r>
            <w:r>
              <w:rPr>
                <w:rFonts w:cs="Gill Sans"/>
                <w:sz w:val="24"/>
                <w:lang w:val="en-GB" w:eastAsia="en-GB"/>
              </w:rPr>
              <w:t>082</w:t>
            </w:r>
          </w:p>
        </w:tc>
        <w:tc>
          <w:tcPr>
            <w:tcW w:w="2034" w:type="dxa"/>
            <w:shd w:val="clear" w:color="auto" w:fill="auto"/>
            <w:vAlign w:val="bottom"/>
          </w:tcPr>
          <w:p w:rsidR="00B87444" w:rsidRPr="000626A3" w:rsidRDefault="00B87444" w:rsidP="00B87444">
            <w:pPr>
              <w:pStyle w:val="TableCell"/>
              <w:rPr>
                <w:rFonts w:cs="Gill Sans"/>
                <w:sz w:val="24"/>
                <w:lang w:val="en-GB" w:eastAsia="en-GB"/>
              </w:rPr>
            </w:pPr>
            <w:r w:rsidRPr="000626A3">
              <w:rPr>
                <w:rFonts w:cs="Gill Sans"/>
                <w:sz w:val="24"/>
                <w:lang w:val="en-GB" w:eastAsia="en-GB"/>
              </w:rPr>
              <w:t>122,309</w:t>
            </w:r>
          </w:p>
        </w:tc>
      </w:tr>
      <w:tr w:rsidR="00B87444" w:rsidRPr="00AF114C" w:rsidTr="009F7884">
        <w:tc>
          <w:tcPr>
            <w:tcW w:w="4788" w:type="dxa"/>
            <w:shd w:val="clear" w:color="auto" w:fill="auto"/>
            <w:vAlign w:val="bottom"/>
          </w:tcPr>
          <w:p w:rsidR="00B87444" w:rsidRPr="000626A3" w:rsidRDefault="00B87444" w:rsidP="00B87444">
            <w:pPr>
              <w:pStyle w:val="TableRowHead"/>
              <w:rPr>
                <w:rFonts w:ascii="Gill Sans" w:hAnsi="Gill Sans"/>
                <w:sz w:val="24"/>
                <w:lang w:val="en-GB" w:eastAsia="en-GB"/>
              </w:rPr>
            </w:pPr>
            <w:r w:rsidRPr="000626A3">
              <w:rPr>
                <w:rFonts w:ascii="Gill Sans" w:hAnsi="Gill Sans"/>
                <w:sz w:val="24"/>
                <w:lang w:val="en-GB" w:eastAsia="en-GB"/>
              </w:rPr>
              <w:t>Total Creditors</w:t>
            </w:r>
          </w:p>
        </w:tc>
        <w:tc>
          <w:tcPr>
            <w:tcW w:w="2034" w:type="dxa"/>
            <w:shd w:val="clear" w:color="auto" w:fill="auto"/>
            <w:vAlign w:val="bottom"/>
          </w:tcPr>
          <w:p w:rsidR="00B87444" w:rsidRPr="000626A3" w:rsidRDefault="00B87444" w:rsidP="00B87444">
            <w:pPr>
              <w:pStyle w:val="TableCell"/>
              <w:rPr>
                <w:sz w:val="24"/>
                <w:lang w:val="en-GB" w:eastAsia="en-GB"/>
              </w:rPr>
            </w:pPr>
            <w:r>
              <w:rPr>
                <w:rFonts w:cs="Gill Sans"/>
                <w:sz w:val="24"/>
                <w:lang w:val="en-GB" w:eastAsia="en-GB"/>
              </w:rPr>
              <w:t>39</w:t>
            </w:r>
            <w:r w:rsidRPr="000626A3">
              <w:rPr>
                <w:rFonts w:cs="Gill Sans"/>
                <w:sz w:val="24"/>
                <w:lang w:val="en-GB" w:eastAsia="en-GB"/>
              </w:rPr>
              <w:t>,</w:t>
            </w:r>
            <w:r>
              <w:rPr>
                <w:rFonts w:cs="Gill Sans"/>
                <w:sz w:val="24"/>
                <w:lang w:val="en-GB" w:eastAsia="en-GB"/>
              </w:rPr>
              <w:t>082</w:t>
            </w:r>
          </w:p>
        </w:tc>
        <w:tc>
          <w:tcPr>
            <w:tcW w:w="2034" w:type="dxa"/>
            <w:shd w:val="clear" w:color="auto" w:fill="auto"/>
            <w:vAlign w:val="bottom"/>
          </w:tcPr>
          <w:p w:rsidR="00B87444" w:rsidRPr="000626A3" w:rsidRDefault="00B87444" w:rsidP="00B87444">
            <w:pPr>
              <w:pStyle w:val="TableCell"/>
              <w:rPr>
                <w:sz w:val="24"/>
                <w:lang w:val="en-GB" w:eastAsia="en-GB"/>
              </w:rPr>
            </w:pPr>
            <w:r w:rsidRPr="000626A3">
              <w:rPr>
                <w:rFonts w:cs="Gill Sans"/>
                <w:sz w:val="24"/>
                <w:lang w:val="en-GB" w:eastAsia="en-GB"/>
              </w:rPr>
              <w:t>122,309</w:t>
            </w:r>
          </w:p>
        </w:tc>
      </w:tr>
    </w:tbl>
    <w:p w:rsidR="00B87444" w:rsidRPr="0058102A" w:rsidRDefault="00B87444" w:rsidP="00E41BEB">
      <w:pPr>
        <w:pStyle w:val="Heading3"/>
      </w:pPr>
      <w:r>
        <w:br/>
      </w:r>
      <w:r w:rsidRPr="0058102A">
        <w:t>12. Debtors and Prepayments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395"/>
        <w:gridCol w:w="1879"/>
        <w:gridCol w:w="1879"/>
      </w:tblGrid>
      <w:tr w:rsidR="00B87444" w:rsidRPr="0058102A" w:rsidTr="009F7884">
        <w:trPr>
          <w:tblHeader/>
        </w:trPr>
        <w:tc>
          <w:tcPr>
            <w:tcW w:w="4788" w:type="dxa"/>
            <w:shd w:val="clear" w:color="auto" w:fill="auto"/>
          </w:tcPr>
          <w:p w:rsidR="00B87444" w:rsidRPr="0058102A" w:rsidRDefault="00B87444" w:rsidP="00B87444">
            <w:pPr>
              <w:pStyle w:val="TableHead"/>
              <w:jc w:val="right"/>
            </w:pPr>
          </w:p>
        </w:tc>
        <w:tc>
          <w:tcPr>
            <w:tcW w:w="2034" w:type="dxa"/>
            <w:shd w:val="clear" w:color="auto" w:fill="auto"/>
            <w:vAlign w:val="bottom"/>
          </w:tcPr>
          <w:p w:rsidR="00B87444" w:rsidRPr="000626A3" w:rsidRDefault="00B87444" w:rsidP="00B87444">
            <w:pPr>
              <w:pStyle w:val="TableHead"/>
              <w:jc w:val="right"/>
              <w:rPr>
                <w:lang w:val="en-GB" w:eastAsia="en-GB"/>
              </w:rPr>
            </w:pPr>
            <w:r w:rsidRPr="000626A3">
              <w:rPr>
                <w:lang w:val="en-GB" w:eastAsia="en-GB"/>
              </w:rPr>
              <w:t>201</w:t>
            </w:r>
            <w:r>
              <w:rPr>
                <w:lang w:val="en-GB" w:eastAsia="en-GB"/>
              </w:rPr>
              <w:t>2</w:t>
            </w:r>
          </w:p>
        </w:tc>
        <w:tc>
          <w:tcPr>
            <w:tcW w:w="2034" w:type="dxa"/>
            <w:shd w:val="clear" w:color="auto" w:fill="auto"/>
            <w:vAlign w:val="bottom"/>
          </w:tcPr>
          <w:p w:rsidR="00B87444" w:rsidRPr="000626A3" w:rsidRDefault="00B87444" w:rsidP="00B87444">
            <w:pPr>
              <w:pStyle w:val="TableHead"/>
              <w:jc w:val="right"/>
              <w:rPr>
                <w:lang w:val="en-GB" w:eastAsia="en-GB"/>
              </w:rPr>
            </w:pPr>
            <w:r w:rsidRPr="000626A3">
              <w:rPr>
                <w:lang w:val="en-GB" w:eastAsia="en-GB"/>
              </w:rPr>
              <w:t>201</w:t>
            </w:r>
            <w:r>
              <w:rPr>
                <w:lang w:val="en-GB" w:eastAsia="en-GB"/>
              </w:rPr>
              <w:t>1</w:t>
            </w:r>
          </w:p>
        </w:tc>
      </w:tr>
      <w:tr w:rsidR="00B87444" w:rsidRPr="0058102A" w:rsidTr="009F7884">
        <w:trPr>
          <w:tblHeader/>
        </w:trPr>
        <w:tc>
          <w:tcPr>
            <w:tcW w:w="4788" w:type="dxa"/>
            <w:shd w:val="clear" w:color="auto" w:fill="auto"/>
          </w:tcPr>
          <w:p w:rsidR="00B87444" w:rsidRPr="0058102A" w:rsidRDefault="00B87444" w:rsidP="00B87444">
            <w:pPr>
              <w:pStyle w:val="TableHead"/>
              <w:jc w:val="right"/>
            </w:pPr>
          </w:p>
        </w:tc>
        <w:tc>
          <w:tcPr>
            <w:tcW w:w="2034" w:type="dxa"/>
            <w:shd w:val="clear" w:color="auto" w:fill="auto"/>
            <w:vAlign w:val="bottom"/>
          </w:tcPr>
          <w:p w:rsidR="00B87444" w:rsidRPr="009F7884" w:rsidRDefault="00B87444" w:rsidP="0053638B">
            <w:pPr>
              <w:pStyle w:val="TableCell"/>
              <w:rPr>
                <w:szCs w:val="22"/>
              </w:rPr>
            </w:pPr>
            <w:r w:rsidRPr="009F7884">
              <w:rPr>
                <w:szCs w:val="22"/>
              </w:rPr>
              <w:t>€</w:t>
            </w:r>
          </w:p>
        </w:tc>
        <w:tc>
          <w:tcPr>
            <w:tcW w:w="2034" w:type="dxa"/>
            <w:shd w:val="clear" w:color="auto" w:fill="auto"/>
            <w:vAlign w:val="bottom"/>
          </w:tcPr>
          <w:p w:rsidR="00B87444" w:rsidRPr="009F7884" w:rsidRDefault="00B87444" w:rsidP="0053638B">
            <w:pPr>
              <w:pStyle w:val="TableCell"/>
              <w:rPr>
                <w:szCs w:val="22"/>
              </w:rPr>
            </w:pPr>
            <w:r w:rsidRPr="009F7884">
              <w:rPr>
                <w:szCs w:val="22"/>
              </w:rPr>
              <w:t>€</w:t>
            </w:r>
          </w:p>
        </w:tc>
      </w:tr>
      <w:tr w:rsidR="00B87444" w:rsidRPr="0058102A" w:rsidTr="009F7884">
        <w:tc>
          <w:tcPr>
            <w:tcW w:w="4788" w:type="dxa"/>
            <w:shd w:val="clear" w:color="auto" w:fill="auto"/>
            <w:vAlign w:val="bottom"/>
          </w:tcPr>
          <w:p w:rsidR="00B87444" w:rsidRPr="000626A3" w:rsidRDefault="00B87444" w:rsidP="00B87444">
            <w:pPr>
              <w:pStyle w:val="TableRowHead"/>
              <w:rPr>
                <w:rFonts w:ascii="Gill Sans" w:hAnsi="Gill Sans"/>
                <w:sz w:val="24"/>
                <w:lang w:val="en-GB" w:eastAsia="en-GB"/>
              </w:rPr>
            </w:pPr>
            <w:r w:rsidRPr="000626A3">
              <w:rPr>
                <w:rFonts w:ascii="Gill Sans" w:hAnsi="Gill Sans"/>
                <w:sz w:val="24"/>
                <w:lang w:val="en-GB" w:eastAsia="en-GB"/>
              </w:rPr>
              <w:t xml:space="preserve">Sundry Debtors </w:t>
            </w:r>
            <w:r w:rsidR="00B47D87" w:rsidRPr="00B47D87">
              <w:rPr>
                <w:rFonts w:ascii="Gill Sans" w:hAnsi="Gill Sans"/>
                <w:sz w:val="24"/>
                <w:lang w:val="en-GB" w:eastAsia="en-GB"/>
              </w:rPr>
              <w:t>National Disability Authority</w:t>
            </w:r>
            <w:r w:rsidRPr="000626A3">
              <w:rPr>
                <w:rFonts w:ascii="Gill Sans" w:hAnsi="Gill Sans"/>
                <w:sz w:val="24"/>
                <w:lang w:val="en-GB" w:eastAsia="en-GB"/>
              </w:rPr>
              <w:t xml:space="preserve"> </w:t>
            </w:r>
          </w:p>
        </w:tc>
        <w:tc>
          <w:tcPr>
            <w:tcW w:w="2034" w:type="dxa"/>
            <w:shd w:val="clear" w:color="auto" w:fill="auto"/>
            <w:vAlign w:val="bottom"/>
          </w:tcPr>
          <w:p w:rsidR="00B87444" w:rsidRPr="000626A3" w:rsidRDefault="00B87444" w:rsidP="00B87444">
            <w:pPr>
              <w:pStyle w:val="TableCell"/>
              <w:rPr>
                <w:sz w:val="24"/>
                <w:lang w:val="en-GB" w:eastAsia="en-GB"/>
              </w:rPr>
            </w:pPr>
            <w:r w:rsidRPr="000626A3">
              <w:rPr>
                <w:rFonts w:cs="Gill Sans"/>
                <w:sz w:val="24"/>
                <w:lang w:val="en-GB" w:eastAsia="en-GB"/>
              </w:rPr>
              <w:t>1</w:t>
            </w:r>
            <w:r>
              <w:rPr>
                <w:rFonts w:cs="Gill Sans"/>
                <w:sz w:val="24"/>
                <w:lang w:val="en-GB" w:eastAsia="en-GB"/>
              </w:rPr>
              <w:t>73</w:t>
            </w:r>
            <w:r w:rsidRPr="000626A3">
              <w:rPr>
                <w:rFonts w:cs="Gill Sans"/>
                <w:sz w:val="24"/>
                <w:lang w:val="en-GB" w:eastAsia="en-GB"/>
              </w:rPr>
              <w:t>,</w:t>
            </w:r>
            <w:r>
              <w:rPr>
                <w:rFonts w:cs="Gill Sans"/>
                <w:sz w:val="24"/>
                <w:lang w:val="en-GB" w:eastAsia="en-GB"/>
              </w:rPr>
              <w:t>806</w:t>
            </w:r>
          </w:p>
        </w:tc>
        <w:tc>
          <w:tcPr>
            <w:tcW w:w="2034" w:type="dxa"/>
            <w:shd w:val="clear" w:color="auto" w:fill="auto"/>
            <w:vAlign w:val="bottom"/>
          </w:tcPr>
          <w:p w:rsidR="00B87444" w:rsidRPr="000626A3" w:rsidRDefault="00B87444" w:rsidP="00B87444">
            <w:pPr>
              <w:pStyle w:val="TableCell"/>
              <w:rPr>
                <w:sz w:val="24"/>
                <w:lang w:val="en-GB" w:eastAsia="en-GB"/>
              </w:rPr>
            </w:pPr>
            <w:r w:rsidRPr="000626A3">
              <w:rPr>
                <w:rFonts w:cs="Gill Sans"/>
                <w:sz w:val="24"/>
                <w:lang w:val="en-GB" w:eastAsia="en-GB"/>
              </w:rPr>
              <w:t>100,128</w:t>
            </w:r>
          </w:p>
        </w:tc>
      </w:tr>
      <w:tr w:rsidR="00B87444" w:rsidRPr="0058102A" w:rsidTr="009F7884">
        <w:tc>
          <w:tcPr>
            <w:tcW w:w="4788" w:type="dxa"/>
            <w:shd w:val="clear" w:color="auto" w:fill="auto"/>
            <w:vAlign w:val="bottom"/>
          </w:tcPr>
          <w:p w:rsidR="00B87444" w:rsidRPr="000626A3" w:rsidRDefault="00B87444" w:rsidP="00B87444">
            <w:pPr>
              <w:pStyle w:val="TableRowHead"/>
              <w:rPr>
                <w:rFonts w:ascii="Gill Sans" w:hAnsi="Gill Sans"/>
                <w:sz w:val="24"/>
                <w:lang w:val="en-GB" w:eastAsia="en-GB"/>
              </w:rPr>
            </w:pPr>
            <w:r w:rsidRPr="000626A3">
              <w:rPr>
                <w:rFonts w:ascii="Gill Sans" w:hAnsi="Gill Sans"/>
                <w:sz w:val="24"/>
                <w:lang w:val="en-GB" w:eastAsia="en-GB"/>
              </w:rPr>
              <w:t xml:space="preserve">Prepayments </w:t>
            </w:r>
          </w:p>
        </w:tc>
        <w:tc>
          <w:tcPr>
            <w:tcW w:w="2034" w:type="dxa"/>
            <w:shd w:val="clear" w:color="auto" w:fill="auto"/>
            <w:vAlign w:val="bottom"/>
          </w:tcPr>
          <w:p w:rsidR="00B87444" w:rsidRPr="000626A3" w:rsidRDefault="00B87444" w:rsidP="00B87444">
            <w:pPr>
              <w:pStyle w:val="TableCell"/>
              <w:rPr>
                <w:sz w:val="24"/>
                <w:lang w:val="en-GB" w:eastAsia="en-GB"/>
              </w:rPr>
            </w:pPr>
            <w:r>
              <w:rPr>
                <w:rFonts w:cs="Gill Sans"/>
                <w:sz w:val="24"/>
                <w:lang w:val="en-GB" w:eastAsia="en-GB"/>
              </w:rPr>
              <w:t>30</w:t>
            </w:r>
            <w:r w:rsidRPr="000626A3">
              <w:rPr>
                <w:rFonts w:cs="Gill Sans"/>
                <w:sz w:val="24"/>
                <w:lang w:val="en-GB" w:eastAsia="en-GB"/>
              </w:rPr>
              <w:t>,</w:t>
            </w:r>
            <w:r>
              <w:rPr>
                <w:rFonts w:cs="Gill Sans"/>
                <w:sz w:val="24"/>
                <w:lang w:val="en-GB" w:eastAsia="en-GB"/>
              </w:rPr>
              <w:t>564</w:t>
            </w:r>
          </w:p>
        </w:tc>
        <w:tc>
          <w:tcPr>
            <w:tcW w:w="2034" w:type="dxa"/>
            <w:shd w:val="clear" w:color="auto" w:fill="auto"/>
            <w:vAlign w:val="bottom"/>
          </w:tcPr>
          <w:p w:rsidR="00B87444" w:rsidRPr="000626A3" w:rsidRDefault="00B87444" w:rsidP="00B87444">
            <w:pPr>
              <w:pStyle w:val="TableCell"/>
              <w:rPr>
                <w:sz w:val="24"/>
                <w:lang w:val="en-GB" w:eastAsia="en-GB"/>
              </w:rPr>
            </w:pPr>
            <w:r w:rsidRPr="000626A3">
              <w:rPr>
                <w:rFonts w:cs="Gill Sans"/>
                <w:sz w:val="24"/>
                <w:lang w:val="en-GB" w:eastAsia="en-GB"/>
              </w:rPr>
              <w:t>51,480</w:t>
            </w:r>
          </w:p>
        </w:tc>
      </w:tr>
      <w:tr w:rsidR="00B87444" w:rsidRPr="0058102A" w:rsidTr="009F7884">
        <w:tc>
          <w:tcPr>
            <w:tcW w:w="4788" w:type="dxa"/>
            <w:shd w:val="clear" w:color="auto" w:fill="auto"/>
            <w:vAlign w:val="bottom"/>
          </w:tcPr>
          <w:p w:rsidR="00B87444" w:rsidRPr="000626A3" w:rsidRDefault="00B87444" w:rsidP="00B87444">
            <w:pPr>
              <w:pStyle w:val="TableRowHead"/>
              <w:rPr>
                <w:rFonts w:ascii="Gill Sans" w:hAnsi="Gill Sans"/>
                <w:sz w:val="24"/>
                <w:lang w:val="en-GB" w:eastAsia="en-GB"/>
              </w:rPr>
            </w:pPr>
            <w:r w:rsidRPr="000626A3">
              <w:rPr>
                <w:rFonts w:ascii="Gill Sans" w:hAnsi="Gill Sans"/>
                <w:sz w:val="24"/>
                <w:lang w:val="en-GB" w:eastAsia="en-GB"/>
              </w:rPr>
              <w:t>Total Debtors</w:t>
            </w:r>
          </w:p>
        </w:tc>
        <w:tc>
          <w:tcPr>
            <w:tcW w:w="2034" w:type="dxa"/>
            <w:shd w:val="clear" w:color="auto" w:fill="auto"/>
            <w:vAlign w:val="bottom"/>
          </w:tcPr>
          <w:p w:rsidR="00B87444" w:rsidRPr="000626A3" w:rsidRDefault="00B87444" w:rsidP="00B87444">
            <w:pPr>
              <w:pStyle w:val="TableCell"/>
              <w:rPr>
                <w:sz w:val="24"/>
                <w:lang w:val="en-GB" w:eastAsia="en-GB"/>
              </w:rPr>
            </w:pPr>
            <w:r>
              <w:rPr>
                <w:rFonts w:cs="Gill Sans"/>
                <w:sz w:val="24"/>
                <w:lang w:val="en-GB" w:eastAsia="en-GB"/>
              </w:rPr>
              <w:t>204</w:t>
            </w:r>
            <w:r w:rsidRPr="000626A3">
              <w:rPr>
                <w:rFonts w:cs="Gill Sans"/>
                <w:sz w:val="24"/>
                <w:lang w:val="en-GB" w:eastAsia="en-GB"/>
              </w:rPr>
              <w:t>,</w:t>
            </w:r>
            <w:r>
              <w:rPr>
                <w:rFonts w:cs="Gill Sans"/>
                <w:sz w:val="24"/>
                <w:lang w:val="en-GB" w:eastAsia="en-GB"/>
              </w:rPr>
              <w:t>370</w:t>
            </w:r>
          </w:p>
        </w:tc>
        <w:tc>
          <w:tcPr>
            <w:tcW w:w="2034" w:type="dxa"/>
            <w:shd w:val="clear" w:color="auto" w:fill="auto"/>
            <w:vAlign w:val="bottom"/>
          </w:tcPr>
          <w:p w:rsidR="00B87444" w:rsidRPr="000626A3" w:rsidRDefault="00B87444" w:rsidP="00B87444">
            <w:pPr>
              <w:pStyle w:val="TableCell"/>
              <w:rPr>
                <w:sz w:val="24"/>
                <w:lang w:val="en-GB" w:eastAsia="en-GB"/>
              </w:rPr>
            </w:pPr>
            <w:r w:rsidRPr="000626A3">
              <w:rPr>
                <w:rFonts w:cs="Gill Sans"/>
                <w:sz w:val="24"/>
                <w:lang w:val="en-GB" w:eastAsia="en-GB"/>
              </w:rPr>
              <w:t>151,608</w:t>
            </w:r>
          </w:p>
        </w:tc>
      </w:tr>
    </w:tbl>
    <w:p w:rsidR="00B87444" w:rsidRPr="009079DB" w:rsidRDefault="00B87444" w:rsidP="00E41BEB">
      <w:pPr>
        <w:pStyle w:val="Heading3"/>
        <w:rPr>
          <w:lang w:val="en-GB" w:eastAsia="en-GB"/>
        </w:rPr>
      </w:pPr>
      <w:r>
        <w:rPr>
          <w:lang w:val="en-GB" w:eastAsia="en-GB"/>
        </w:rPr>
        <w:br/>
      </w:r>
      <w:bookmarkStart w:id="63" w:name="_Toc335836408"/>
      <w:r w:rsidRPr="009079DB">
        <w:rPr>
          <w:lang w:val="en-GB" w:eastAsia="en-GB"/>
        </w:rPr>
        <w:t>13</w:t>
      </w:r>
      <w:r>
        <w:rPr>
          <w:lang w:val="en-GB" w:eastAsia="en-GB"/>
        </w:rPr>
        <w:t>.</w:t>
      </w:r>
      <w:r w:rsidRPr="009079DB">
        <w:rPr>
          <w:lang w:val="en-GB" w:eastAsia="en-GB"/>
        </w:rPr>
        <w:t xml:space="preserve"> Contingent Liabilities</w:t>
      </w:r>
      <w:bookmarkEnd w:id="63"/>
    </w:p>
    <w:p w:rsidR="00B87444" w:rsidRPr="00D066D3" w:rsidRDefault="00B87444" w:rsidP="00B87444">
      <w:r w:rsidRPr="009079DB">
        <w:rPr>
          <w:lang w:val="en-GB" w:eastAsia="en-GB"/>
        </w:rPr>
        <w:t>There are no contingent</w:t>
      </w:r>
      <w:r>
        <w:rPr>
          <w:lang w:val="en-GB" w:eastAsia="en-GB"/>
        </w:rPr>
        <w:t xml:space="preserve"> liabilities at 31 December 2012</w:t>
      </w:r>
      <w:r w:rsidRPr="009079DB">
        <w:rPr>
          <w:lang w:val="en-GB" w:eastAsia="en-GB"/>
        </w:rPr>
        <w:t>.</w:t>
      </w:r>
    </w:p>
    <w:p w:rsidR="00B87444" w:rsidRPr="00401049" w:rsidRDefault="00B87444" w:rsidP="00E41BEB">
      <w:pPr>
        <w:pStyle w:val="Heading3"/>
      </w:pPr>
      <w:bookmarkStart w:id="64" w:name="_Toc335836409"/>
      <w:r w:rsidRPr="009079DB">
        <w:rPr>
          <w:lang w:val="en-GB" w:eastAsia="en-GB"/>
        </w:rPr>
        <w:t>14. Capital Commitments</w:t>
      </w:r>
      <w:bookmarkEnd w:id="64"/>
    </w:p>
    <w:p w:rsidR="00B87444" w:rsidRPr="009079DB" w:rsidRDefault="00B87444" w:rsidP="00B87444">
      <w:pPr>
        <w:rPr>
          <w:lang w:val="en-GB" w:eastAsia="en-GB"/>
        </w:rPr>
      </w:pPr>
      <w:r w:rsidRPr="009079DB">
        <w:rPr>
          <w:lang w:val="en-GB" w:eastAsia="en-GB"/>
        </w:rPr>
        <w:t>The Authority had no outstanding capital co</w:t>
      </w:r>
      <w:r>
        <w:rPr>
          <w:lang w:val="en-GB" w:eastAsia="en-GB"/>
        </w:rPr>
        <w:t>mmitments as at 31 December 2012</w:t>
      </w:r>
      <w:r w:rsidRPr="009079DB">
        <w:rPr>
          <w:lang w:val="en-GB" w:eastAsia="en-GB"/>
        </w:rPr>
        <w:t>.</w:t>
      </w:r>
    </w:p>
    <w:p w:rsidR="00B87444" w:rsidRPr="009079DB" w:rsidRDefault="00B87444" w:rsidP="00E41BEB">
      <w:pPr>
        <w:pStyle w:val="Heading3"/>
        <w:rPr>
          <w:lang w:val="en-GB" w:eastAsia="en-GB"/>
        </w:rPr>
      </w:pPr>
      <w:bookmarkStart w:id="65" w:name="_Toc335836411"/>
      <w:r>
        <w:rPr>
          <w:lang w:val="en-GB" w:eastAsia="en-GB"/>
        </w:rPr>
        <w:t>15. Approval o</w:t>
      </w:r>
      <w:r w:rsidRPr="009079DB">
        <w:rPr>
          <w:lang w:val="en-GB" w:eastAsia="en-GB"/>
        </w:rPr>
        <w:t>f Financial Statements</w:t>
      </w:r>
      <w:bookmarkEnd w:id="65"/>
    </w:p>
    <w:p w:rsidR="00B87444" w:rsidRPr="007064BD" w:rsidRDefault="00B87444" w:rsidP="00804BF1">
      <w:r w:rsidRPr="009079DB">
        <w:rPr>
          <w:lang w:val="en-GB" w:eastAsia="en-GB"/>
        </w:rPr>
        <w:t>The Financial Statements wer</w:t>
      </w:r>
      <w:r>
        <w:rPr>
          <w:lang w:val="en-GB" w:eastAsia="en-GB"/>
        </w:rPr>
        <w:t>e approved by the Authority on 14 August 2013.</w:t>
      </w:r>
    </w:p>
    <w:p w:rsidR="00B20CE8" w:rsidRDefault="00B20CE8" w:rsidP="00804BF1">
      <w:pPr>
        <w:pStyle w:val="Heading1"/>
      </w:pPr>
      <w:bookmarkStart w:id="66" w:name="_Toc368058752"/>
      <w:r w:rsidRPr="00B20CE8">
        <w:t xml:space="preserve">Appendix 1: Authority and other </w:t>
      </w:r>
      <w:r>
        <w:t>c</w:t>
      </w:r>
      <w:r w:rsidRPr="00B20CE8">
        <w:t>ommittees in 201</w:t>
      </w:r>
      <w:r>
        <w:t>2</w:t>
      </w:r>
      <w:bookmarkEnd w:id="66"/>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730"/>
        <w:gridCol w:w="4297"/>
      </w:tblGrid>
      <w:tr w:rsidR="00AC3331" w:rsidRPr="005F59B0" w:rsidTr="009F7884">
        <w:trPr>
          <w:tblHeader/>
          <w:tblCellSpacing w:w="15" w:type="dxa"/>
        </w:trPr>
        <w:tc>
          <w:tcPr>
            <w:tcW w:w="0" w:type="auto"/>
            <w:gridSpan w:val="2"/>
            <w:tcBorders>
              <w:top w:val="nil"/>
              <w:left w:val="nil"/>
              <w:bottom w:val="nil"/>
              <w:right w:val="nil"/>
            </w:tcBorders>
            <w:vAlign w:val="center"/>
          </w:tcPr>
          <w:p w:rsidR="00AC3331" w:rsidRPr="005F59B0" w:rsidRDefault="00AC3331" w:rsidP="00AA0249">
            <w:pPr>
              <w:rPr>
                <w:b/>
                <w:bCs/>
                <w:lang w:val="en-GB"/>
              </w:rPr>
            </w:pPr>
            <w:r w:rsidRPr="005F59B0">
              <w:rPr>
                <w:b/>
                <w:bCs/>
                <w:lang w:val="en-GB"/>
              </w:rPr>
              <w:t>National Disability Authority members in 201</w:t>
            </w:r>
            <w:r>
              <w:rPr>
                <w:b/>
                <w:bCs/>
                <w:lang w:val="en-GB"/>
              </w:rPr>
              <w:t>2</w:t>
            </w:r>
          </w:p>
        </w:tc>
      </w:tr>
      <w:tr w:rsidR="00AC3331" w:rsidRPr="005F59B0" w:rsidTr="009F7884">
        <w:trPr>
          <w:tblHeade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C3331">
            <w:pPr>
              <w:pStyle w:val="TableHead"/>
              <w:rPr>
                <w:lang w:val="en-GB"/>
              </w:rPr>
            </w:pPr>
            <w:r w:rsidRPr="005F59B0">
              <w:rPr>
                <w:lang w:val="en-GB"/>
              </w:rPr>
              <w:t> </w:t>
            </w:r>
            <w:r>
              <w:rPr>
                <w:lang w:val="en-GB"/>
              </w:rPr>
              <w:t>Member</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C3331">
            <w:pPr>
              <w:pStyle w:val="TableHead"/>
              <w:rPr>
                <w:bCs/>
                <w:lang w:val="en-GB"/>
              </w:rPr>
            </w:pPr>
            <w:r w:rsidRPr="005F59B0">
              <w:rPr>
                <w:bCs/>
                <w:lang w:val="en-GB"/>
              </w:rPr>
              <w:t>Number of meetings attende</w:t>
            </w:r>
            <w:r>
              <w:rPr>
                <w:bCs/>
                <w:lang w:val="en-GB"/>
              </w:rPr>
              <w:t>d (</w:t>
            </w:r>
            <w:r w:rsidRPr="005F59B0">
              <w:rPr>
                <w:bCs/>
                <w:lang w:val="en-GB"/>
              </w:rPr>
              <w:t>10 meetings held</w:t>
            </w:r>
            <w:r>
              <w:rPr>
                <w:bCs/>
                <w:lang w:val="en-GB"/>
              </w:rPr>
              <w:t>)</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Peter Mc Kevitt (Chair)</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10</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Tony Bates</w:t>
            </w:r>
            <w:r>
              <w:rPr>
                <w:lang w:val="en-GB"/>
              </w:rPr>
              <w:t xml:space="preserve"> (resigned from September 2012)</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4</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Caroline Burrell</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9</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Frank Cunneen</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9</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Tara Cunningham</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8</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James O'Grady</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8</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Fiona Duignan</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7</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Linda Grealy</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6</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Shane Hogan</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10</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David Joyce</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7</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Des Kenny</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8</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Mary Lavelle</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8</w:t>
            </w:r>
          </w:p>
        </w:tc>
      </w:tr>
      <w:tr w:rsidR="00AC3331" w:rsidRPr="005F59B0" w:rsidTr="009F7884">
        <w:trPr>
          <w:tblCellSpacing w:w="15" w:type="dxa"/>
        </w:trPr>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sidRPr="005F59B0">
              <w:rPr>
                <w:lang w:val="en-GB"/>
              </w:rPr>
              <w:t>Joanne Mc Carthy</w:t>
            </w:r>
          </w:p>
        </w:tc>
        <w:tc>
          <w:tcPr>
            <w:tcW w:w="0" w:type="auto"/>
            <w:tcBorders>
              <w:top w:val="outset" w:sz="6" w:space="0" w:color="auto"/>
              <w:left w:val="outset" w:sz="6" w:space="0" w:color="auto"/>
              <w:bottom w:val="outset" w:sz="6" w:space="0" w:color="auto"/>
              <w:right w:val="outset" w:sz="6" w:space="0" w:color="auto"/>
            </w:tcBorders>
          </w:tcPr>
          <w:p w:rsidR="00AC3331" w:rsidRPr="005F59B0" w:rsidRDefault="00AC3331" w:rsidP="00AA0249">
            <w:pPr>
              <w:rPr>
                <w:lang w:val="en-GB"/>
              </w:rPr>
            </w:pPr>
            <w:r>
              <w:rPr>
                <w:lang w:val="en-GB"/>
              </w:rPr>
              <w:t>9</w:t>
            </w:r>
          </w:p>
        </w:tc>
      </w:tr>
    </w:tbl>
    <w:p w:rsidR="00AC3331" w:rsidRPr="005F59B0" w:rsidRDefault="00AC3331" w:rsidP="00AC3331">
      <w:pPr>
        <w:pStyle w:val="Heading2"/>
        <w:rPr>
          <w:lang w:val="ga-IE"/>
        </w:rPr>
      </w:pPr>
      <w:r w:rsidRPr="005F59B0">
        <w:rPr>
          <w:lang w:val="ga-IE"/>
        </w:rPr>
        <w:t>Audit Committee</w:t>
      </w:r>
    </w:p>
    <w:p w:rsidR="00AC3331" w:rsidRPr="005F59B0" w:rsidRDefault="00AC3331" w:rsidP="00AC3331">
      <w:pPr>
        <w:pStyle w:val="ListBullet"/>
        <w:rPr>
          <w:lang w:val="ga-IE"/>
        </w:rPr>
      </w:pPr>
      <w:r w:rsidRPr="005F59B0">
        <w:rPr>
          <w:lang w:val="ga-IE"/>
        </w:rPr>
        <w:t xml:space="preserve">Donal Lawlor (Chair) </w:t>
      </w:r>
    </w:p>
    <w:p w:rsidR="00AC3331" w:rsidRPr="005F59B0" w:rsidRDefault="00AC3331" w:rsidP="00AC3331">
      <w:pPr>
        <w:pStyle w:val="ListBullet"/>
        <w:rPr>
          <w:lang w:val="ga-IE"/>
        </w:rPr>
      </w:pPr>
      <w:r w:rsidRPr="005F59B0">
        <w:rPr>
          <w:lang w:val="ga-IE"/>
        </w:rPr>
        <w:t>Robert Cashell</w:t>
      </w:r>
    </w:p>
    <w:p w:rsidR="00AC3331" w:rsidRPr="005F59B0" w:rsidRDefault="00AC3331" w:rsidP="00AC3331">
      <w:pPr>
        <w:pStyle w:val="ListBullet"/>
        <w:rPr>
          <w:lang w:val="ga-IE"/>
        </w:rPr>
      </w:pPr>
      <w:r w:rsidRPr="005F59B0">
        <w:rPr>
          <w:lang w:val="ga-IE"/>
        </w:rPr>
        <w:t>Frank Cunneen</w:t>
      </w:r>
    </w:p>
    <w:p w:rsidR="00AC3331" w:rsidRPr="005F59B0" w:rsidRDefault="00AC3331" w:rsidP="00AC3331">
      <w:pPr>
        <w:pStyle w:val="ListBullet"/>
        <w:rPr>
          <w:lang w:val="ga-IE"/>
        </w:rPr>
      </w:pPr>
      <w:r w:rsidRPr="005F59B0">
        <w:rPr>
          <w:lang w:val="ga-IE"/>
        </w:rPr>
        <w:t>Des Kenny</w:t>
      </w:r>
    </w:p>
    <w:p w:rsidR="00AC3331" w:rsidRPr="005F59B0" w:rsidRDefault="00AC3331" w:rsidP="00AC3331">
      <w:pPr>
        <w:pStyle w:val="Heading2"/>
        <w:rPr>
          <w:lang w:val="ga-IE"/>
        </w:rPr>
      </w:pPr>
      <w:r w:rsidRPr="005F59B0">
        <w:rPr>
          <w:lang w:val="ga-IE"/>
        </w:rPr>
        <w:t>Finance Committee</w:t>
      </w:r>
    </w:p>
    <w:p w:rsidR="00AC3331" w:rsidRPr="005F59B0" w:rsidRDefault="00AC3331" w:rsidP="00AC3331">
      <w:pPr>
        <w:pStyle w:val="ListBullet"/>
        <w:rPr>
          <w:lang w:val="ga-IE"/>
        </w:rPr>
      </w:pPr>
      <w:r w:rsidRPr="005F59B0">
        <w:rPr>
          <w:lang w:val="ga-IE"/>
        </w:rPr>
        <w:t>Frank Cunneen (Chair)</w:t>
      </w:r>
    </w:p>
    <w:p w:rsidR="00AC3331" w:rsidRPr="005F59B0" w:rsidRDefault="00AC3331" w:rsidP="00AC3331">
      <w:pPr>
        <w:pStyle w:val="ListBullet"/>
        <w:rPr>
          <w:lang w:val="ga-IE"/>
        </w:rPr>
      </w:pPr>
      <w:r w:rsidRPr="005F59B0">
        <w:rPr>
          <w:lang w:val="ga-IE"/>
        </w:rPr>
        <w:t>Caroline Burrell</w:t>
      </w:r>
    </w:p>
    <w:p w:rsidR="00AC3331" w:rsidRPr="005F59B0" w:rsidRDefault="00AC3331" w:rsidP="00AC3331">
      <w:pPr>
        <w:pStyle w:val="ListBullet"/>
        <w:rPr>
          <w:lang w:val="ga-IE"/>
        </w:rPr>
      </w:pPr>
      <w:r w:rsidRPr="005F59B0">
        <w:rPr>
          <w:lang w:val="ga-IE"/>
        </w:rPr>
        <w:t>David Joyce</w:t>
      </w:r>
    </w:p>
    <w:p w:rsidR="00AC3331" w:rsidRPr="005F59B0" w:rsidRDefault="00AC3331" w:rsidP="00AC3331">
      <w:pPr>
        <w:pStyle w:val="ListBullet"/>
        <w:rPr>
          <w:lang w:val="ga-IE"/>
        </w:rPr>
      </w:pPr>
      <w:r w:rsidRPr="005F59B0">
        <w:rPr>
          <w:lang w:val="ga-IE"/>
        </w:rPr>
        <w:t>Des Kenny</w:t>
      </w:r>
    </w:p>
    <w:p w:rsidR="00AC3331" w:rsidRDefault="00AC3331" w:rsidP="00AC3331">
      <w:pPr>
        <w:pStyle w:val="ListBullet"/>
        <w:rPr>
          <w:lang w:val="ga-IE"/>
        </w:rPr>
      </w:pPr>
      <w:r w:rsidRPr="005F59B0">
        <w:rPr>
          <w:lang w:val="ga-IE"/>
        </w:rPr>
        <w:t>David Scott</w:t>
      </w:r>
    </w:p>
    <w:p w:rsidR="00AC3331" w:rsidRPr="005F59B0" w:rsidRDefault="00AC3331" w:rsidP="00AC3331">
      <w:pPr>
        <w:pStyle w:val="ListBullet"/>
        <w:rPr>
          <w:lang w:val="ga-IE"/>
        </w:rPr>
      </w:pPr>
      <w:r>
        <w:rPr>
          <w:lang w:val="ga-IE"/>
        </w:rPr>
        <w:t>Pat Fitzsimons (appointed March 2012)</w:t>
      </w:r>
    </w:p>
    <w:p w:rsidR="00F2467C" w:rsidRPr="005F59B0" w:rsidRDefault="00F2467C" w:rsidP="00F2467C">
      <w:pPr>
        <w:pStyle w:val="Heading2"/>
        <w:rPr>
          <w:lang w:val="ga-IE"/>
        </w:rPr>
      </w:pPr>
      <w:r w:rsidRPr="005F59B0">
        <w:rPr>
          <w:lang w:val="ga-IE"/>
        </w:rPr>
        <w:t>National Disability Strategy Sub-committee</w:t>
      </w:r>
    </w:p>
    <w:p w:rsidR="00F2467C" w:rsidRPr="005F59B0" w:rsidRDefault="00F2467C" w:rsidP="00F2467C">
      <w:pPr>
        <w:pStyle w:val="ListBullet"/>
        <w:rPr>
          <w:lang w:val="ga-IE"/>
        </w:rPr>
      </w:pPr>
      <w:r w:rsidRPr="005F59B0">
        <w:rPr>
          <w:lang w:val="ga-IE"/>
        </w:rPr>
        <w:t>Shane Hogan (Chair)</w:t>
      </w:r>
    </w:p>
    <w:p w:rsidR="00F2467C" w:rsidRPr="005F59B0" w:rsidRDefault="00F2467C" w:rsidP="00F2467C">
      <w:pPr>
        <w:pStyle w:val="ListBullet"/>
        <w:rPr>
          <w:lang w:val="ga-IE"/>
        </w:rPr>
      </w:pPr>
      <w:r w:rsidRPr="005F59B0">
        <w:rPr>
          <w:lang w:val="ga-IE"/>
        </w:rPr>
        <w:t xml:space="preserve">Tara Cunningham </w:t>
      </w:r>
    </w:p>
    <w:p w:rsidR="00F2467C" w:rsidRDefault="00F2467C" w:rsidP="00F2467C">
      <w:pPr>
        <w:pStyle w:val="ListBullet"/>
        <w:rPr>
          <w:lang w:val="ga-IE"/>
        </w:rPr>
      </w:pPr>
      <w:r w:rsidRPr="005F59B0">
        <w:rPr>
          <w:lang w:val="ga-IE"/>
        </w:rPr>
        <w:t>James O'Grady</w:t>
      </w:r>
    </w:p>
    <w:p w:rsidR="00F2467C" w:rsidRPr="005F59B0" w:rsidRDefault="00F2467C" w:rsidP="00F2467C">
      <w:pPr>
        <w:pStyle w:val="ListBullet"/>
        <w:rPr>
          <w:lang w:val="ga-IE"/>
        </w:rPr>
      </w:pPr>
      <w:r w:rsidRPr="005F59B0">
        <w:rPr>
          <w:lang w:val="ga-IE"/>
        </w:rPr>
        <w:t xml:space="preserve">David Joyce </w:t>
      </w:r>
    </w:p>
    <w:p w:rsidR="00F2467C" w:rsidRPr="00F2467C" w:rsidRDefault="00F2467C" w:rsidP="00F2467C">
      <w:pPr>
        <w:pStyle w:val="ListBullet"/>
      </w:pPr>
      <w:r w:rsidRPr="005F59B0">
        <w:rPr>
          <w:lang w:val="ga-IE"/>
        </w:rPr>
        <w:t>Mary Lavelle</w:t>
      </w:r>
    </w:p>
    <w:p w:rsidR="007064BD" w:rsidRPr="007064BD" w:rsidRDefault="00F2467C" w:rsidP="00F2467C">
      <w:pPr>
        <w:pStyle w:val="ListBullet"/>
      </w:pPr>
      <w:r w:rsidRPr="005F59B0">
        <w:rPr>
          <w:lang w:val="ga-IE"/>
        </w:rPr>
        <w:t>Joanne McCarthy</w:t>
      </w:r>
    </w:p>
    <w:p w:rsidR="00B20CE8" w:rsidRDefault="00B20CE8" w:rsidP="00804BF1">
      <w:pPr>
        <w:pStyle w:val="Heading1"/>
      </w:pPr>
      <w:bookmarkStart w:id="67" w:name="_Toc368058753"/>
      <w:r w:rsidRPr="00B20CE8">
        <w:t>Appendix 2: Representation on external bodies in</w:t>
      </w:r>
      <w:r w:rsidR="00A61BBF">
        <w:t> </w:t>
      </w:r>
      <w:r w:rsidRPr="00B20CE8">
        <w:t>201</w:t>
      </w:r>
      <w:r>
        <w:t>2</w:t>
      </w:r>
      <w:bookmarkEnd w:id="67"/>
    </w:p>
    <w:p w:rsidR="00703062" w:rsidRDefault="00703062" w:rsidP="007A3C93">
      <w:pPr>
        <w:pStyle w:val="Heading2"/>
      </w:pPr>
      <w:r>
        <w:t>Public sector:</w:t>
      </w:r>
    </w:p>
    <w:p w:rsidR="00AB37BB" w:rsidRDefault="00AB37BB" w:rsidP="007A3C93">
      <w:pPr>
        <w:pStyle w:val="Heading2"/>
      </w:pPr>
      <w:r w:rsidRPr="00AB37BB">
        <w:t>Department of Children and Youth Affairs</w:t>
      </w:r>
    </w:p>
    <w:p w:rsidR="007A3C93" w:rsidRDefault="00AB37BB" w:rsidP="007A3C93">
      <w:pPr>
        <w:pStyle w:val="ListBullet"/>
        <w:spacing w:after="240"/>
      </w:pPr>
      <w:r w:rsidRPr="00AB37BB">
        <w:t xml:space="preserve">National </w:t>
      </w:r>
      <w:r>
        <w:t>C</w:t>
      </w:r>
      <w:r w:rsidRPr="00AB37BB">
        <w:t>hildren</w:t>
      </w:r>
      <w:r w:rsidR="00E10B6D">
        <w:t>’</w:t>
      </w:r>
      <w:r w:rsidRPr="00AB37BB">
        <w:t xml:space="preserve">s </w:t>
      </w:r>
      <w:r>
        <w:t>A</w:t>
      </w:r>
      <w:r w:rsidRPr="00AB37BB">
        <w:t xml:space="preserve">dvisory </w:t>
      </w:r>
      <w:r>
        <w:t>C</w:t>
      </w:r>
      <w:r w:rsidRPr="00AB37BB">
        <w:t>ommittee</w:t>
      </w:r>
      <w:bookmarkStart w:id="68" w:name="_Toc335836421"/>
    </w:p>
    <w:p w:rsidR="008C451D" w:rsidRPr="00BB36D6" w:rsidRDefault="008C451D" w:rsidP="007A3C93">
      <w:pPr>
        <w:pStyle w:val="Heading2"/>
      </w:pPr>
      <w:r w:rsidRPr="00BB36D6">
        <w:t>Department of Communications, Energy and Natural Resources</w:t>
      </w:r>
      <w:bookmarkEnd w:id="68"/>
    </w:p>
    <w:p w:rsidR="007A3C93" w:rsidRDefault="008C451D" w:rsidP="007A3C93">
      <w:pPr>
        <w:pStyle w:val="ListBullet"/>
      </w:pPr>
      <w:r w:rsidRPr="00BB36D6">
        <w:t>Sectoral Plan and Part 5 Monitoring Committee</w:t>
      </w:r>
    </w:p>
    <w:p w:rsidR="007A3C93" w:rsidRPr="00BB36D6" w:rsidRDefault="007A3C93" w:rsidP="007A3C93">
      <w:pPr>
        <w:pStyle w:val="Heading3"/>
      </w:pPr>
      <w:bookmarkStart w:id="69" w:name="_Toc335836419"/>
      <w:r w:rsidRPr="00BB36D6">
        <w:t>Commission for Communications</w:t>
      </w:r>
      <w:r>
        <w:t xml:space="preserve"> </w:t>
      </w:r>
      <w:r w:rsidRPr="00BB36D6">
        <w:t>Regulation</w:t>
      </w:r>
      <w:bookmarkEnd w:id="69"/>
      <w:r w:rsidRPr="00BB36D6">
        <w:t xml:space="preserve"> </w:t>
      </w:r>
    </w:p>
    <w:p w:rsidR="007A3C93" w:rsidRPr="00BB36D6" w:rsidRDefault="007A3C93" w:rsidP="007A3C93">
      <w:pPr>
        <w:pStyle w:val="ListBullet"/>
      </w:pPr>
      <w:r w:rsidRPr="00BB36D6">
        <w:t>Consumer Advisory Panel</w:t>
      </w:r>
    </w:p>
    <w:p w:rsidR="007A3C93" w:rsidRDefault="007A3C93" w:rsidP="007A3C93">
      <w:pPr>
        <w:pStyle w:val="ListBullet"/>
        <w:spacing w:after="240"/>
      </w:pPr>
      <w:r w:rsidRPr="00BB36D6">
        <w:t>Industry Forum on Services for People with Disabilities</w:t>
      </w:r>
    </w:p>
    <w:p w:rsidR="00703062" w:rsidRDefault="00703062" w:rsidP="00277432">
      <w:pPr>
        <w:pStyle w:val="Heading2"/>
      </w:pPr>
      <w:r>
        <w:t>Department of Education and Skills</w:t>
      </w:r>
    </w:p>
    <w:p w:rsidR="00F21D92" w:rsidRDefault="00F21D92" w:rsidP="00F21D92">
      <w:pPr>
        <w:pStyle w:val="Heading3"/>
      </w:pPr>
      <w:r>
        <w:t>National Council for Special Education</w:t>
      </w:r>
    </w:p>
    <w:p w:rsidR="00F21D92" w:rsidRDefault="00F21D92" w:rsidP="00E00EE7">
      <w:pPr>
        <w:pStyle w:val="ListBullet"/>
      </w:pPr>
      <w:r>
        <w:t>The National Disability Authority Director was a member of the Council and of its Audit Committee</w:t>
      </w:r>
    </w:p>
    <w:p w:rsidR="00F21D92" w:rsidRDefault="00F21D92" w:rsidP="00E00EE7">
      <w:pPr>
        <w:pStyle w:val="ListBullet"/>
      </w:pPr>
      <w:r w:rsidRPr="00AB37BB">
        <w:t xml:space="preserve">Research Report Advisory Group </w:t>
      </w:r>
      <w:r>
        <w:t>—</w:t>
      </w:r>
      <w:r w:rsidRPr="00AB37BB">
        <w:t xml:space="preserve"> Continuum of Education Provision for Children with Special Educational Needs: Review of International Policies and Practices</w:t>
      </w:r>
    </w:p>
    <w:p w:rsidR="00F21D92" w:rsidRDefault="00F21D92" w:rsidP="00E00EE7">
      <w:pPr>
        <w:pStyle w:val="ListBullet"/>
      </w:pPr>
      <w:r>
        <w:t>Consultative Forum</w:t>
      </w:r>
    </w:p>
    <w:p w:rsidR="00F21D92" w:rsidRDefault="00F21D92" w:rsidP="00E00EE7">
      <w:pPr>
        <w:pStyle w:val="ListBullet"/>
        <w:spacing w:after="240"/>
      </w:pPr>
      <w:r>
        <w:t>Advisory committees on specific pieces of research</w:t>
      </w:r>
    </w:p>
    <w:p w:rsidR="00277432" w:rsidRPr="003716E2" w:rsidRDefault="00277432" w:rsidP="00277432">
      <w:pPr>
        <w:pStyle w:val="Heading2"/>
      </w:pPr>
      <w:r>
        <w:t>D</w:t>
      </w:r>
      <w:r w:rsidRPr="003716E2">
        <w:t>epartment of the Environment, Community and Local</w:t>
      </w:r>
      <w:r>
        <w:t> </w:t>
      </w:r>
      <w:r w:rsidRPr="003716E2">
        <w:t>Government</w:t>
      </w:r>
    </w:p>
    <w:p w:rsidR="00277432" w:rsidRDefault="00277432" w:rsidP="00277432">
      <w:pPr>
        <w:pStyle w:val="ListBullet"/>
      </w:pPr>
      <w:r w:rsidRPr="003716E2">
        <w:t xml:space="preserve">National Housing Strategy for People with a Disability </w:t>
      </w:r>
      <w:r w:rsidR="0050485E">
        <w:t>—</w:t>
      </w:r>
      <w:r w:rsidRPr="003716E2">
        <w:t xml:space="preserve"> Implementation Monitoring Group and Housing Sub-Group</w:t>
      </w:r>
    </w:p>
    <w:p w:rsidR="00277432" w:rsidRDefault="00277432" w:rsidP="00277432">
      <w:pPr>
        <w:pStyle w:val="ListBullet"/>
      </w:pPr>
      <w:r w:rsidRPr="003716E2">
        <w:t xml:space="preserve">Disability Act Sectoral Plan Advisory Committee </w:t>
      </w:r>
    </w:p>
    <w:p w:rsidR="00277432" w:rsidRPr="00D71A67" w:rsidRDefault="00D71A67" w:rsidP="00277432">
      <w:pPr>
        <w:pStyle w:val="Heading3"/>
      </w:pPr>
      <w:r w:rsidRPr="00D71A67">
        <w:t>Local Government Management Agency</w:t>
      </w:r>
    </w:p>
    <w:p w:rsidR="00277432" w:rsidRDefault="00277432" w:rsidP="00277432">
      <w:pPr>
        <w:pStyle w:val="ListBullet"/>
      </w:pPr>
      <w:r w:rsidRPr="003716E2">
        <w:t>Disability Act Steering Group</w:t>
      </w:r>
    </w:p>
    <w:p w:rsidR="00277432" w:rsidRDefault="00277432" w:rsidP="00277432">
      <w:pPr>
        <w:pStyle w:val="ListBullet"/>
      </w:pPr>
      <w:r w:rsidRPr="0060245A">
        <w:t>Disability Access Certificate Sub Committee</w:t>
      </w:r>
    </w:p>
    <w:p w:rsidR="00277432" w:rsidRDefault="00277432" w:rsidP="007A3C93">
      <w:pPr>
        <w:pStyle w:val="Heading2"/>
      </w:pPr>
      <w:r>
        <w:t>Department of Health</w:t>
      </w:r>
    </w:p>
    <w:p w:rsidR="00277432" w:rsidRDefault="00277432" w:rsidP="00277432">
      <w:pPr>
        <w:pStyle w:val="ListBullet"/>
      </w:pPr>
      <w:r>
        <w:t>National Physical and Sensory Disability Database advisory group</w:t>
      </w:r>
    </w:p>
    <w:p w:rsidR="00277432" w:rsidRDefault="00490730" w:rsidP="00277432">
      <w:pPr>
        <w:pStyle w:val="ListBullet"/>
      </w:pPr>
      <w:r w:rsidRPr="00490730">
        <w:t>Independent Monitoring Group — Vision for Change</w:t>
      </w:r>
    </w:p>
    <w:p w:rsidR="00277432" w:rsidRDefault="00277432" w:rsidP="00277432">
      <w:pPr>
        <w:pStyle w:val="Heading3"/>
      </w:pPr>
      <w:r>
        <w:t>Health Service Executive</w:t>
      </w:r>
      <w:r w:rsidRPr="00EC1FC5">
        <w:t xml:space="preserve"> </w:t>
      </w:r>
    </w:p>
    <w:p w:rsidR="00277432" w:rsidRDefault="00277432" w:rsidP="00277432">
      <w:pPr>
        <w:pStyle w:val="ListBullet"/>
      </w:pPr>
      <w:r w:rsidRPr="00EC1FC5">
        <w:t xml:space="preserve">National </w:t>
      </w:r>
      <w:r>
        <w:t>I</w:t>
      </w:r>
      <w:r w:rsidRPr="00EC1FC5">
        <w:t xml:space="preserve">mplementation </w:t>
      </w:r>
      <w:r>
        <w:t>G</w:t>
      </w:r>
      <w:r w:rsidRPr="00EC1FC5">
        <w:t>roup</w:t>
      </w:r>
      <w:r>
        <w:t xml:space="preserve"> for Time to Move on from Congregated Settings</w:t>
      </w:r>
    </w:p>
    <w:p w:rsidR="00277432" w:rsidRPr="00EC1FC5" w:rsidRDefault="00277432" w:rsidP="00277432">
      <w:pPr>
        <w:pStyle w:val="ListBullet"/>
      </w:pPr>
      <w:r w:rsidRPr="00EC1FC5">
        <w:t xml:space="preserve">National </w:t>
      </w:r>
      <w:r>
        <w:t>I</w:t>
      </w:r>
      <w:r w:rsidRPr="00EC1FC5">
        <w:t xml:space="preserve">mplementation </w:t>
      </w:r>
      <w:r>
        <w:t>G</w:t>
      </w:r>
      <w:r w:rsidRPr="00EC1FC5">
        <w:t>roup for New Directions</w:t>
      </w:r>
      <w:r>
        <w:t>, and its Standards Sub-group</w:t>
      </w:r>
    </w:p>
    <w:p w:rsidR="00277432" w:rsidRDefault="00277432" w:rsidP="00277432">
      <w:pPr>
        <w:pStyle w:val="ListBullet"/>
      </w:pPr>
      <w:r w:rsidRPr="00AB37BB">
        <w:t>National Consultative Forum</w:t>
      </w:r>
    </w:p>
    <w:p w:rsidR="00D71A67" w:rsidRDefault="00D71A67" w:rsidP="00277432">
      <w:pPr>
        <w:pStyle w:val="ListBullet"/>
      </w:pPr>
      <w:r w:rsidRPr="00D71A67">
        <w:t>Universal Access Steering Committee</w:t>
      </w:r>
    </w:p>
    <w:p w:rsidR="00277432" w:rsidRDefault="00277432" w:rsidP="00277432">
      <w:pPr>
        <w:pStyle w:val="Heading3"/>
      </w:pPr>
      <w:r w:rsidRPr="006F1289">
        <w:t>Health Information and Quality</w:t>
      </w:r>
      <w:r>
        <w:t> </w:t>
      </w:r>
      <w:r w:rsidRPr="006F1289">
        <w:t>Authority</w:t>
      </w:r>
    </w:p>
    <w:p w:rsidR="00277432" w:rsidRDefault="00277432" w:rsidP="00277432">
      <w:pPr>
        <w:pStyle w:val="ListBullet"/>
        <w:spacing w:after="240"/>
      </w:pPr>
      <w:r w:rsidRPr="006F1289">
        <w:t xml:space="preserve">Standards Advisory Group </w:t>
      </w:r>
      <w:r>
        <w:t xml:space="preserve">for </w:t>
      </w:r>
      <w:r w:rsidRPr="006F1289">
        <w:t>National Standards for Residential Services for Children and Adults with Disabilities</w:t>
      </w:r>
    </w:p>
    <w:p w:rsidR="008C451D" w:rsidRPr="00BB36D6" w:rsidRDefault="008C451D" w:rsidP="007A3C93">
      <w:pPr>
        <w:pStyle w:val="Heading2"/>
      </w:pPr>
      <w:r w:rsidRPr="00BB36D6">
        <w:t>Department of Justice and</w:t>
      </w:r>
      <w:r w:rsidR="002E4795">
        <w:t> </w:t>
      </w:r>
      <w:r w:rsidRPr="00BB36D6">
        <w:t>Equality</w:t>
      </w:r>
    </w:p>
    <w:p w:rsidR="00EA7ECD" w:rsidRDefault="00EA7ECD" w:rsidP="00804BF1">
      <w:pPr>
        <w:pStyle w:val="ListBullet"/>
      </w:pPr>
      <w:r w:rsidRPr="00EA7ECD">
        <w:rPr>
          <w:rFonts w:cs="Gill Sans"/>
          <w:bCs/>
          <w:color w:val="000000"/>
          <w:szCs w:val="26"/>
          <w:lang w:val="en-GB" w:eastAsia="en-GB"/>
        </w:rPr>
        <w:t>National Disability Strategy Implementation Group</w:t>
      </w:r>
    </w:p>
    <w:p w:rsidR="008C451D" w:rsidRDefault="008C451D" w:rsidP="00804BF1">
      <w:pPr>
        <w:pStyle w:val="ListBullet"/>
      </w:pPr>
      <w:r w:rsidRPr="00BB36D6">
        <w:t>Part 5 Monitoring Committee</w:t>
      </w:r>
    </w:p>
    <w:p w:rsidR="00EA7ECD" w:rsidRDefault="009F30B2" w:rsidP="009D28FE">
      <w:pPr>
        <w:pStyle w:val="ListBullet"/>
        <w:spacing w:after="240"/>
      </w:pPr>
      <w:r w:rsidRPr="009F30B2">
        <w:t>The National Steering Committee on Violence against Women</w:t>
      </w:r>
      <w:bookmarkStart w:id="70" w:name="_Toc335836422"/>
    </w:p>
    <w:p w:rsidR="00277432" w:rsidRPr="003716E2" w:rsidRDefault="00277432" w:rsidP="00EA7ECD">
      <w:pPr>
        <w:pStyle w:val="Heading3"/>
      </w:pPr>
      <w:r w:rsidRPr="003716E2">
        <w:t>Equality Authority</w:t>
      </w:r>
    </w:p>
    <w:p w:rsidR="00277432" w:rsidRPr="003716E2" w:rsidRDefault="00277432" w:rsidP="00703062">
      <w:pPr>
        <w:pStyle w:val="ListBullet"/>
        <w:spacing w:after="240"/>
      </w:pPr>
      <w:r w:rsidRPr="003716E2">
        <w:t>Public Sector Equality Learning Network</w:t>
      </w:r>
    </w:p>
    <w:bookmarkEnd w:id="70"/>
    <w:p w:rsidR="00572766" w:rsidRDefault="00572766" w:rsidP="00572766">
      <w:pPr>
        <w:pStyle w:val="Heading2"/>
      </w:pPr>
      <w:r w:rsidRPr="00BB36D6">
        <w:t xml:space="preserve">Department of </w:t>
      </w:r>
      <w:r w:rsidRPr="00572766">
        <w:t>Social Protection</w:t>
      </w:r>
    </w:p>
    <w:p w:rsidR="00F91C60" w:rsidRDefault="00F91C60" w:rsidP="00F91C60">
      <w:pPr>
        <w:pStyle w:val="ListBullet"/>
      </w:pPr>
      <w:r w:rsidRPr="00490730">
        <w:t>Domiciliary Care Allowance Review Group</w:t>
      </w:r>
    </w:p>
    <w:p w:rsidR="00572766" w:rsidRDefault="00572766" w:rsidP="00572766">
      <w:pPr>
        <w:pStyle w:val="ListBullet"/>
      </w:pPr>
      <w:r w:rsidRPr="00572766">
        <w:t>Disability Consultative Forum</w:t>
      </w:r>
    </w:p>
    <w:p w:rsidR="009135B0" w:rsidRDefault="009135B0" w:rsidP="009135B0">
      <w:pPr>
        <w:pStyle w:val="Heading3"/>
      </w:pPr>
      <w:r w:rsidRPr="009135B0">
        <w:t>Citizens Information Board</w:t>
      </w:r>
    </w:p>
    <w:p w:rsidR="009135B0" w:rsidRPr="009135B0" w:rsidRDefault="009135B0" w:rsidP="009135B0">
      <w:pPr>
        <w:pStyle w:val="ListBullet"/>
      </w:pPr>
      <w:r w:rsidRPr="00490730">
        <w:t>National Advocacy Service — National Advisory Group</w:t>
      </w:r>
    </w:p>
    <w:p w:rsidR="00572766" w:rsidRPr="00BB36D6" w:rsidRDefault="00572766" w:rsidP="00572766">
      <w:pPr>
        <w:pStyle w:val="Heading2"/>
      </w:pPr>
      <w:r w:rsidRPr="00BB36D6">
        <w:t>Department of Transport, Tourism and Sport</w:t>
      </w:r>
    </w:p>
    <w:p w:rsidR="008C451D" w:rsidRPr="00BB36D6" w:rsidRDefault="008C451D" w:rsidP="00804BF1">
      <w:pPr>
        <w:pStyle w:val="ListBullet"/>
      </w:pPr>
      <w:r w:rsidRPr="00BB36D6">
        <w:t xml:space="preserve">Public Transport Accessibility Committee </w:t>
      </w:r>
    </w:p>
    <w:p w:rsidR="008C451D" w:rsidRPr="00BB36D6" w:rsidRDefault="008C451D" w:rsidP="00804BF1">
      <w:pPr>
        <w:pStyle w:val="Heading3"/>
      </w:pPr>
      <w:bookmarkStart w:id="71" w:name="_Toc335836428"/>
      <w:r w:rsidRPr="00BB36D6">
        <w:t>National Transport Authority</w:t>
      </w:r>
      <w:bookmarkEnd w:id="71"/>
      <w:r w:rsidRPr="00BB36D6">
        <w:t xml:space="preserve"> </w:t>
      </w:r>
    </w:p>
    <w:p w:rsidR="007A3C93" w:rsidRDefault="008C451D" w:rsidP="007A3C93">
      <w:pPr>
        <w:pStyle w:val="ListBullet"/>
        <w:spacing w:after="240"/>
      </w:pPr>
      <w:r w:rsidRPr="00CB7197">
        <w:t xml:space="preserve">Taxi Advisory </w:t>
      </w:r>
      <w:r w:rsidR="00565BC2" w:rsidRPr="00565BC2">
        <w:t>Committee</w:t>
      </w:r>
    </w:p>
    <w:p w:rsidR="00277432" w:rsidRDefault="00277432" w:rsidP="00277432">
      <w:pPr>
        <w:pStyle w:val="Heading2"/>
      </w:pPr>
      <w:r>
        <w:t>Other</w:t>
      </w:r>
    </w:p>
    <w:p w:rsidR="002E4795" w:rsidRDefault="00EA7ECD" w:rsidP="00EA7ECD">
      <w:pPr>
        <w:pStyle w:val="ListBullet"/>
      </w:pPr>
      <w:r>
        <w:t xml:space="preserve">Advisory Committee to </w:t>
      </w:r>
      <w:r w:rsidR="002E4795" w:rsidRPr="00360012">
        <w:t>Intellectual Disability Supplement to the Irish Longitudinal Study on Ageing</w:t>
      </w:r>
      <w:r w:rsidR="002E4795">
        <w:t xml:space="preserve"> </w:t>
      </w:r>
    </w:p>
    <w:p w:rsidR="00C664AF" w:rsidRDefault="000018B8" w:rsidP="00EA7ECD">
      <w:pPr>
        <w:pStyle w:val="ListBullet"/>
      </w:pPr>
      <w:r w:rsidRPr="000018B8">
        <w:t>National Advisory committee on Age Well network</w:t>
      </w:r>
    </w:p>
    <w:p w:rsidR="007064BD" w:rsidRDefault="00866EA8" w:rsidP="00804BF1">
      <w:pPr>
        <w:pStyle w:val="ListBullet"/>
      </w:pPr>
      <w:r>
        <w:t>European Committee for Standar</w:t>
      </w:r>
      <w:r w:rsidR="00703062">
        <w:t>d</w:t>
      </w:r>
      <w:r>
        <w:t>is</w:t>
      </w:r>
      <w:r w:rsidR="00B66067">
        <w:t>ation (</w:t>
      </w:r>
      <w:r w:rsidR="00B66067" w:rsidRPr="00B66067">
        <w:t>CEN</w:t>
      </w:r>
      <w:r w:rsidR="00B66067">
        <w:t>)</w:t>
      </w:r>
      <w:r w:rsidR="00EA7ECD">
        <w:t xml:space="preserve"> </w:t>
      </w:r>
      <w:r w:rsidR="0050485E">
        <w:t>—</w:t>
      </w:r>
      <w:r w:rsidR="00EA7ECD">
        <w:t xml:space="preserve"> </w:t>
      </w:r>
      <w:r w:rsidR="00B66067" w:rsidRPr="00B66067">
        <w:t xml:space="preserve">Project Team for </w:t>
      </w:r>
      <w:r w:rsidR="00B66067">
        <w:t>M</w:t>
      </w:r>
      <w:r w:rsidR="00B66067" w:rsidRPr="00B66067">
        <w:t>andate 376</w:t>
      </w:r>
    </w:p>
    <w:p w:rsidR="00B20CE8" w:rsidRDefault="00B20CE8" w:rsidP="00804BF1">
      <w:pPr>
        <w:pStyle w:val="Heading1"/>
      </w:pPr>
      <w:bookmarkStart w:id="72" w:name="_Toc368058754"/>
      <w:r w:rsidRPr="00B20CE8">
        <w:t>Appendix 3: Publications in</w:t>
      </w:r>
      <w:r w:rsidR="00A61BBF">
        <w:t> </w:t>
      </w:r>
      <w:r w:rsidRPr="00B20CE8">
        <w:t>201</w:t>
      </w:r>
      <w:r>
        <w:t>2</w:t>
      </w:r>
      <w:bookmarkEnd w:id="72"/>
    </w:p>
    <w:p w:rsidR="00EC2EAE" w:rsidRDefault="00EC2EAE" w:rsidP="00EC2EAE">
      <w:pPr>
        <w:pStyle w:val="ListBullet"/>
      </w:pPr>
      <w:r w:rsidRPr="00E10B6D">
        <w:t>Building for Everyone: A Universal Design Approach</w:t>
      </w:r>
    </w:p>
    <w:p w:rsidR="00EC2EAE" w:rsidRDefault="00EC2EAE" w:rsidP="00EC2EAE">
      <w:pPr>
        <w:pStyle w:val="ListBullet"/>
      </w:pPr>
      <w:r>
        <w:t>Accessibility Toolkit for public sector staff</w:t>
      </w:r>
    </w:p>
    <w:p w:rsidR="00EC2EAE" w:rsidRDefault="00EC2EAE" w:rsidP="00EC2EAE">
      <w:pPr>
        <w:pStyle w:val="ListBullet"/>
      </w:pPr>
      <w:r w:rsidRPr="00E10B6D">
        <w:t xml:space="preserve">Shared Space, Shared Surfaces and Home Zones from a Universal Design Approach for the Urban Environment in </w:t>
      </w:r>
      <w:smartTag w:uri="urn:schemas-microsoft-com:office:smarttags" w:element="country-region">
        <w:smartTag w:uri="urn:schemas-microsoft-com:office:smarttags" w:element="place">
          <w:r w:rsidRPr="00E10B6D">
            <w:t>Ireland</w:t>
          </w:r>
        </w:smartTag>
      </w:smartTag>
    </w:p>
    <w:p w:rsidR="00FE57CD" w:rsidRDefault="00FE57CD" w:rsidP="00804BF1">
      <w:pPr>
        <w:pStyle w:val="ListBullet"/>
      </w:pPr>
      <w:r>
        <w:t>Access to Justice for People with Disabilities as Victims of Crime in </w:t>
      </w:r>
      <w:smartTag w:uri="urn:schemas-microsoft-com:office:smarttags" w:element="country-region">
        <w:smartTag w:uri="urn:schemas-microsoft-com:office:smarttags" w:element="place">
          <w:r>
            <w:t>Ireland</w:t>
          </w:r>
        </w:smartTag>
      </w:smartTag>
    </w:p>
    <w:p w:rsidR="00FE57CD" w:rsidRDefault="00FE57CD" w:rsidP="00804BF1">
      <w:pPr>
        <w:pStyle w:val="ListBullet"/>
      </w:pPr>
      <w:r>
        <w:t xml:space="preserve">Research on the provision of Assistive Technology in </w:t>
      </w:r>
      <w:smartTag w:uri="urn:schemas-microsoft-com:office:smarttags" w:element="country-region">
        <w:smartTag w:uri="urn:schemas-microsoft-com:office:smarttags" w:element="place">
          <w:r>
            <w:t>Ireland</w:t>
          </w:r>
        </w:smartTag>
      </w:smartTag>
    </w:p>
    <w:p w:rsidR="00FE57CD" w:rsidRDefault="00FE57CD" w:rsidP="00804BF1">
      <w:pPr>
        <w:pStyle w:val="ListBullet"/>
      </w:pPr>
      <w:r>
        <w:t>Universal Health Insurance</w:t>
      </w:r>
      <w:r w:rsidR="00EC2EAE">
        <w:t xml:space="preserve"> </w:t>
      </w:r>
      <w:r w:rsidR="00EC2EAE" w:rsidRPr="00EC2EAE">
        <w:t>systems and the provision of health services for people with disabilities</w:t>
      </w:r>
    </w:p>
    <w:p w:rsidR="00FE57CD" w:rsidRDefault="00FE57CD" w:rsidP="00804BF1">
      <w:pPr>
        <w:pStyle w:val="ListBullet"/>
      </w:pPr>
      <w:r>
        <w:t>Living in your own home with a disability</w:t>
      </w:r>
    </w:p>
    <w:p w:rsidR="00FE57CD" w:rsidRDefault="00FE57CD" w:rsidP="00804BF1">
      <w:pPr>
        <w:pStyle w:val="ListBullet"/>
      </w:pPr>
      <w:r>
        <w:t>Procurement and Accessibility</w:t>
      </w:r>
    </w:p>
    <w:p w:rsidR="00FE57CD" w:rsidRDefault="00FE57CD" w:rsidP="00804BF1">
      <w:pPr>
        <w:pStyle w:val="ListBullet"/>
      </w:pPr>
      <w:r>
        <w:t>Your Voice Your Choice 2012</w:t>
      </w:r>
      <w:r w:rsidR="00E10B6D">
        <w:t xml:space="preserve"> report</w:t>
      </w:r>
    </w:p>
    <w:p w:rsidR="00E10B6D" w:rsidRDefault="00DD51CC" w:rsidP="00804BF1">
      <w:pPr>
        <w:pStyle w:val="ListBullet"/>
      </w:pPr>
      <w:hyperlink r:id="rId13" w:history="1">
        <w:r w:rsidR="00E10B6D" w:rsidRPr="00E10B6D">
          <w:t>2011 Report on Compliance with Part 5 of the Disability Act on the Employment of People with Disabilities in the Public Sector</w:t>
        </w:r>
      </w:hyperlink>
    </w:p>
    <w:p w:rsidR="00EC2EAE" w:rsidRDefault="00EC2EAE" w:rsidP="00EC2EAE">
      <w:pPr>
        <w:pStyle w:val="ListBullet"/>
      </w:pPr>
      <w:r>
        <w:t>National Disability Authority Newsletters</w:t>
      </w:r>
    </w:p>
    <w:p w:rsidR="00EC2EAE" w:rsidRDefault="00EC2EAE" w:rsidP="00EC2EAE">
      <w:pPr>
        <w:pStyle w:val="ListBullet"/>
      </w:pPr>
      <w:r>
        <w:t>Annual Report 2011</w:t>
      </w:r>
    </w:p>
    <w:p w:rsidR="00D71A67" w:rsidRDefault="00D71A67" w:rsidP="00EC2EAE">
      <w:pPr>
        <w:pStyle w:val="ListBullet"/>
      </w:pPr>
      <w:r w:rsidRPr="00D71A67">
        <w:t>Universal Design guidelines for digital television</w:t>
      </w:r>
    </w:p>
    <w:p w:rsidR="005B6AFF" w:rsidRDefault="005B6AFF" w:rsidP="00EC2EAE">
      <w:pPr>
        <w:pStyle w:val="ListBullet"/>
      </w:pPr>
      <w:r w:rsidRPr="005B6AFF">
        <w:t>Sexual violence against people with disabilities</w:t>
      </w:r>
    </w:p>
    <w:p w:rsidR="005B6AFF" w:rsidRDefault="005B6AFF" w:rsidP="00EC2EAE">
      <w:pPr>
        <w:pStyle w:val="ListBullet"/>
      </w:pPr>
      <w:r w:rsidRPr="005B6AFF">
        <w:t>Preventing bullying of people with intellectual disabilities (Anti-Bullying Research Project)</w:t>
      </w:r>
    </w:p>
    <w:p w:rsidR="005B6AFF" w:rsidRDefault="005B6AFF" w:rsidP="00EC2EAE">
      <w:pPr>
        <w:pStyle w:val="ListBullet"/>
      </w:pPr>
      <w:r w:rsidRPr="005B6AFF">
        <w:t>Bullying Information Guide aimed at People with an Intellectual Disability (Anti-Bullying Research Project)</w:t>
      </w:r>
    </w:p>
    <w:p w:rsidR="005B6AFF" w:rsidRDefault="005B6AFF" w:rsidP="00EC2EAE">
      <w:pPr>
        <w:pStyle w:val="ListBullet"/>
      </w:pPr>
      <w:r w:rsidRPr="005B6AFF">
        <w:t xml:space="preserve">Resource Allocation Feasibility Study Phase </w:t>
      </w:r>
      <w:r>
        <w:t>1</w:t>
      </w:r>
      <w:r w:rsidRPr="005B6AFF">
        <w:t xml:space="preserve"> report</w:t>
      </w:r>
    </w:p>
    <w:p w:rsidR="00EC2EAE" w:rsidRDefault="00EC2EAE" w:rsidP="00EC2EAE">
      <w:pPr>
        <w:pStyle w:val="ListBullet"/>
        <w:numPr>
          <w:ilvl w:val="0"/>
          <w:numId w:val="0"/>
        </w:numPr>
      </w:pPr>
    </w:p>
    <w:p w:rsidR="00E10B6D" w:rsidRPr="00FE57CD" w:rsidRDefault="00E10B6D" w:rsidP="00804BF1">
      <w:pPr>
        <w:pStyle w:val="ListBullet"/>
        <w:numPr>
          <w:ilvl w:val="0"/>
          <w:numId w:val="0"/>
        </w:numPr>
      </w:pPr>
    </w:p>
    <w:p w:rsidR="00B20CE8" w:rsidRPr="00B20CE8" w:rsidRDefault="00B20CE8" w:rsidP="00804BF1">
      <w:pPr>
        <w:pStyle w:val="Heading1"/>
        <w:rPr>
          <w:lang w:val="ga-IE"/>
        </w:rPr>
      </w:pPr>
      <w:bookmarkStart w:id="73" w:name="_Toc368058755"/>
      <w:r w:rsidRPr="00B20CE8">
        <w:t>Appendix 4: Policy advice papers in</w:t>
      </w:r>
      <w:r w:rsidR="00A61BBF">
        <w:t> </w:t>
      </w:r>
      <w:r w:rsidRPr="00B20CE8">
        <w:t>201</w:t>
      </w:r>
      <w:r>
        <w:t>2</w:t>
      </w:r>
      <w:bookmarkEnd w:id="73"/>
    </w:p>
    <w:p w:rsidR="00E00EE7" w:rsidRPr="00EC1FC5" w:rsidRDefault="00E00EE7" w:rsidP="00E00EE7">
      <w:pPr>
        <w:pStyle w:val="NormalBeforeList"/>
        <w:spacing w:after="120"/>
      </w:pPr>
      <w:r w:rsidRPr="00EC1FC5">
        <w:t>Policy advice papers submitted:</w:t>
      </w:r>
    </w:p>
    <w:p w:rsidR="00E00EE7" w:rsidRDefault="00E00EE7" w:rsidP="00E00EE7">
      <w:pPr>
        <w:pStyle w:val="ListBullet"/>
      </w:pPr>
      <w:r w:rsidRPr="00EC1FC5">
        <w:t xml:space="preserve">National Strategy on Dementia </w:t>
      </w:r>
    </w:p>
    <w:p w:rsidR="00E00EE7" w:rsidRPr="00EC1FC5" w:rsidRDefault="00E00EE7" w:rsidP="00E00EE7">
      <w:pPr>
        <w:pStyle w:val="ListBullet"/>
      </w:pPr>
      <w:r>
        <w:t>Universal Health Insurance</w:t>
      </w:r>
    </w:p>
    <w:p w:rsidR="00E00EE7" w:rsidRPr="00EC1FC5" w:rsidRDefault="00E00EE7" w:rsidP="00E00EE7">
      <w:pPr>
        <w:pStyle w:val="ListBullet"/>
      </w:pPr>
      <w:r w:rsidRPr="00EC1FC5">
        <w:t xml:space="preserve">Annual review of </w:t>
      </w:r>
      <w:r w:rsidR="00D362B5">
        <w:t xml:space="preserve">implementation of </w:t>
      </w:r>
      <w:r w:rsidRPr="00EC1FC5">
        <w:t>Vision for Change</w:t>
      </w:r>
      <w:r w:rsidR="00D362B5">
        <w:t xml:space="preserve"> mental health strategy</w:t>
      </w:r>
    </w:p>
    <w:p w:rsidR="00E00EE7" w:rsidRPr="000E3EC9" w:rsidRDefault="00E00EE7" w:rsidP="00E00EE7">
      <w:pPr>
        <w:pStyle w:val="ListBullet"/>
      </w:pPr>
      <w:r w:rsidRPr="000E3EC9">
        <w:t>Criminal Justice and Mental Health</w:t>
      </w:r>
    </w:p>
    <w:p w:rsidR="00E00EE7" w:rsidRDefault="00E00EE7" w:rsidP="00E00EE7">
      <w:pPr>
        <w:pStyle w:val="ListBullet"/>
      </w:pPr>
      <w:r>
        <w:t>Domiciliary Care Allowance</w:t>
      </w:r>
    </w:p>
    <w:p w:rsidR="00E00EE7" w:rsidRDefault="00E00EE7" w:rsidP="00E00EE7">
      <w:pPr>
        <w:pStyle w:val="ListBullet"/>
      </w:pPr>
      <w:r>
        <w:t>Mobility Allowance</w:t>
      </w:r>
    </w:p>
    <w:p w:rsidR="00E00EE7" w:rsidRDefault="00E00EE7" w:rsidP="00E00EE7">
      <w:pPr>
        <w:pStyle w:val="ListBullet"/>
      </w:pPr>
      <w:r w:rsidRPr="00B2744D">
        <w:t xml:space="preserve">Broadcasting Authority of </w:t>
      </w:r>
      <w:smartTag w:uri="urn:schemas-microsoft-com:office:smarttags" w:element="country-region">
        <w:smartTag w:uri="urn:schemas-microsoft-com:office:smarttags" w:element="place">
          <w:r w:rsidRPr="00B2744D">
            <w:t>Ireland</w:t>
          </w:r>
        </w:smartTag>
      </w:smartTag>
      <w:r>
        <w:t xml:space="preserve"> </w:t>
      </w:r>
      <w:r w:rsidRPr="00B2744D">
        <w:t xml:space="preserve">Access Rules </w:t>
      </w:r>
    </w:p>
    <w:p w:rsidR="00E00EE7" w:rsidRDefault="00E00EE7" w:rsidP="00E00EE7">
      <w:pPr>
        <w:pStyle w:val="ListBullet"/>
      </w:pPr>
      <w:r w:rsidRPr="003716E2">
        <w:t>Draft National Standards for Residential Services for People with Disabilities</w:t>
      </w:r>
    </w:p>
    <w:p w:rsidR="00E00EE7" w:rsidRDefault="00E00EE7" w:rsidP="00E00EE7">
      <w:pPr>
        <w:pStyle w:val="ListBullet"/>
      </w:pPr>
      <w:r w:rsidRPr="003716E2">
        <w:t>Draft National Standards for the Protec</w:t>
      </w:r>
      <w:r>
        <w:t>tion and Welfare of Children</w:t>
      </w:r>
    </w:p>
    <w:p w:rsidR="00AD4605" w:rsidRPr="00C37FF7" w:rsidRDefault="00156F78" w:rsidP="00804BF1">
      <w:r>
        <w:br w:type="column"/>
      </w:r>
      <w:r w:rsidR="00DD7803">
        <w:br w:type="page"/>
      </w:r>
      <w:r w:rsidR="00AD4605" w:rsidRPr="00AD4605">
        <w:rPr>
          <w:rFonts w:ascii="Arial" w:hAnsi="Arial" w:cs="Arial"/>
          <w:b/>
        </w:rPr>
        <w:t>National Disability Authority</w:t>
      </w:r>
      <w:r w:rsidR="00AD4605" w:rsidRPr="00AD4605">
        <w:rPr>
          <w:rFonts w:ascii="Arial" w:hAnsi="Arial" w:cs="Arial"/>
        </w:rPr>
        <w:br/>
      </w:r>
      <w:smartTag w:uri="urn:schemas-microsoft-com:office:smarttags" w:element="address">
        <w:smartTag w:uri="urn:schemas-microsoft-com:office:smarttags" w:element="Street">
          <w:r w:rsidR="00AD4605" w:rsidRPr="00AD4605">
            <w:rPr>
              <w:rFonts w:ascii="Arial" w:hAnsi="Arial" w:cs="Arial"/>
            </w:rPr>
            <w:t>25 Clyde Road</w:t>
          </w:r>
        </w:smartTag>
        <w:r w:rsidR="00AD4605" w:rsidRPr="00AD4605">
          <w:rPr>
            <w:rFonts w:ascii="Arial" w:hAnsi="Arial" w:cs="Arial"/>
          </w:rPr>
          <w:t xml:space="preserve">, </w:t>
        </w:r>
        <w:smartTag w:uri="urn:schemas-microsoft-com:office:smarttags" w:element="City">
          <w:r w:rsidR="00AD4605" w:rsidRPr="00AD4605">
            <w:rPr>
              <w:rFonts w:ascii="Arial" w:hAnsi="Arial" w:cs="Arial"/>
            </w:rPr>
            <w:t>Dublin</w:t>
          </w:r>
        </w:smartTag>
      </w:smartTag>
      <w:r w:rsidR="00AD4605" w:rsidRPr="00AD4605">
        <w:rPr>
          <w:rFonts w:ascii="Arial" w:hAnsi="Arial" w:cs="Arial"/>
        </w:rPr>
        <w:t xml:space="preserve"> 4</w:t>
      </w:r>
      <w:r w:rsidR="00AD4605" w:rsidRPr="00AD4605">
        <w:rPr>
          <w:rFonts w:ascii="Arial" w:hAnsi="Arial" w:cs="Arial"/>
        </w:rPr>
        <w:br/>
      </w:r>
      <w:r w:rsidR="00AD4605" w:rsidRPr="00AD4605">
        <w:rPr>
          <w:rFonts w:ascii="Arial" w:hAnsi="Arial" w:cs="Arial"/>
          <w:b/>
        </w:rPr>
        <w:t>Telephone</w:t>
      </w:r>
      <w:r w:rsidR="00AD4605" w:rsidRPr="00AD4605">
        <w:rPr>
          <w:rFonts w:ascii="Arial" w:hAnsi="Arial" w:cs="Arial"/>
        </w:rPr>
        <w:t xml:space="preserve"> (01) 608 0400</w:t>
      </w:r>
      <w:r w:rsidR="00AD4605" w:rsidRPr="00AD4605">
        <w:rPr>
          <w:rFonts w:ascii="Arial" w:hAnsi="Arial" w:cs="Arial"/>
        </w:rPr>
        <w:br/>
      </w:r>
      <w:r w:rsidR="00AD4605" w:rsidRPr="00AD4605">
        <w:rPr>
          <w:rFonts w:ascii="Arial" w:hAnsi="Arial" w:cs="Arial"/>
          <w:b/>
        </w:rPr>
        <w:t>Fax</w:t>
      </w:r>
      <w:r w:rsidR="00AD4605" w:rsidRPr="00AD4605">
        <w:rPr>
          <w:rFonts w:ascii="Arial" w:hAnsi="Arial" w:cs="Arial"/>
        </w:rPr>
        <w:t xml:space="preserve"> (01) 660 9935</w:t>
      </w:r>
      <w:r w:rsidR="00AD4605" w:rsidRPr="00AD4605">
        <w:rPr>
          <w:rFonts w:ascii="Arial" w:hAnsi="Arial" w:cs="Arial"/>
        </w:rPr>
        <w:br/>
      </w:r>
      <w:r w:rsidR="00AD4605" w:rsidRPr="00AD4605">
        <w:rPr>
          <w:rFonts w:ascii="Arial" w:hAnsi="Arial" w:cs="Arial"/>
          <w:b/>
        </w:rPr>
        <w:t>www.nda.ie</w:t>
      </w:r>
    </w:p>
    <w:p w:rsidR="009B7368" w:rsidRDefault="00DD51CC" w:rsidP="00804BF1">
      <w:pPr>
        <w:pStyle w:val="Blurb"/>
      </w:pPr>
      <w:r>
        <w:rPr>
          <w:rFonts w:ascii="Arial" w:hAnsi="Arial" w:cs="Arial"/>
          <w:noProof/>
          <w:lang w:eastAsia="en-IE"/>
        </w:rPr>
        <w:drawing>
          <wp:anchor distT="0" distB="0" distL="114300" distR="114300" simplePos="0" relativeHeight="251657728" behindDoc="0" locked="0" layoutInCell="1" allowOverlap="1">
            <wp:simplePos x="0" y="0"/>
            <wp:positionH relativeFrom="column">
              <wp:posOffset>-1074420</wp:posOffset>
            </wp:positionH>
            <wp:positionV relativeFrom="paragraph">
              <wp:posOffset>-1871980</wp:posOffset>
            </wp:positionV>
            <wp:extent cx="845820" cy="356235"/>
            <wp:effectExtent l="0" t="0" r="0" b="0"/>
            <wp:wrapNone/>
            <wp:docPr id="12" name="Picture 4"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356235"/>
                    </a:xfrm>
                    <a:prstGeom prst="rect">
                      <a:avLst/>
                    </a:prstGeom>
                    <a:noFill/>
                  </pic:spPr>
                </pic:pic>
              </a:graphicData>
            </a:graphic>
            <wp14:sizeRelH relativeFrom="page">
              <wp14:pctWidth>0</wp14:pctWidth>
            </wp14:sizeRelH>
            <wp14:sizeRelV relativeFrom="page">
              <wp14:pctHeight>0</wp14:pctHeight>
            </wp14:sizeRelV>
          </wp:anchor>
        </w:drawing>
      </w:r>
      <w:r w:rsidR="007C09D2">
        <w:t>National Disability Authority</w:t>
      </w:r>
      <w:r w:rsidR="00AD4605">
        <w:t xml:space="preserve"> is the independent state body providing expert advice on disability policy and practice to the Minister, and promoting Universal Design in </w:t>
      </w:r>
      <w:smartTag w:uri="urn:schemas-microsoft-com:office:smarttags" w:element="place">
        <w:smartTag w:uri="urn:schemas-microsoft-com:office:smarttags" w:element="country-region">
          <w:r w:rsidR="00AD4605">
            <w:t>Ireland</w:t>
          </w:r>
        </w:smartTag>
      </w:smartTag>
      <w:r w:rsidR="00B861FA">
        <w:t>.</w:t>
      </w:r>
    </w:p>
    <w:p w:rsidR="009B7368" w:rsidRDefault="009B7368" w:rsidP="009B7368"/>
    <w:p w:rsidR="009B7368" w:rsidRPr="004918E0" w:rsidRDefault="009B7368" w:rsidP="009B7368">
      <w:pPr>
        <w:pStyle w:val="Title"/>
        <w:spacing w:line="240" w:lineRule="auto"/>
        <w:rPr>
          <w:lang w:val="ga-IE"/>
        </w:rPr>
      </w:pPr>
      <w:r>
        <w:br w:type="page"/>
      </w:r>
      <w:bookmarkStart w:id="74" w:name="_Toc368587364"/>
      <w:bookmarkStart w:id="75" w:name="_Toc368646732"/>
      <w:r w:rsidRPr="004918E0">
        <w:rPr>
          <w:lang w:val="ga-IE"/>
        </w:rPr>
        <w:t xml:space="preserve">Tuarascáil Bhliantúil </w:t>
      </w:r>
      <w:r w:rsidRPr="004918E0">
        <w:rPr>
          <w:lang w:val="ga-IE"/>
        </w:rPr>
        <w:br/>
        <w:t>2012</w:t>
      </w:r>
      <w:bookmarkEnd w:id="74"/>
      <w:bookmarkEnd w:id="75"/>
    </w:p>
    <w:p w:rsidR="009B7368" w:rsidRPr="004918E0" w:rsidRDefault="00DD51CC" w:rsidP="009B7368">
      <w:pPr>
        <w:pStyle w:val="Title"/>
        <w:spacing w:before="5000" w:line="240" w:lineRule="auto"/>
        <w:rPr>
          <w:lang w:val="ga-IE"/>
        </w:rPr>
      </w:pPr>
      <w:bookmarkStart w:id="76" w:name="_Toc368587365"/>
      <w:bookmarkStart w:id="77" w:name="_Toc368646733"/>
      <w:r>
        <w:rPr>
          <w:noProof/>
          <w:lang w:eastAsia="en-IE"/>
        </w:rPr>
        <w:drawing>
          <wp:inline distT="0" distB="0" distL="0" distR="0">
            <wp:extent cx="2343150" cy="1657350"/>
            <wp:effectExtent l="0" t="0" r="0" b="0"/>
            <wp:docPr id="4" name="Picture 4"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Disability Authority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43150" cy="1657350"/>
                    </a:xfrm>
                    <a:prstGeom prst="rect">
                      <a:avLst/>
                    </a:prstGeom>
                    <a:noFill/>
                    <a:ln>
                      <a:noFill/>
                    </a:ln>
                  </pic:spPr>
                </pic:pic>
              </a:graphicData>
            </a:graphic>
          </wp:inline>
        </w:drawing>
      </w:r>
      <w:bookmarkEnd w:id="76"/>
      <w:bookmarkEnd w:id="77"/>
      <w:r w:rsidR="009B7368" w:rsidRPr="004918E0">
        <w:rPr>
          <w:lang w:val="ga-IE"/>
        </w:rPr>
        <w:fldChar w:fldCharType="begin"/>
      </w:r>
      <w:r w:rsidR="009B7368" w:rsidRPr="004918E0">
        <w:rPr>
          <w:lang w:val="ga-IE"/>
        </w:rPr>
        <w:instrText xml:space="preserve"> TOC \o "1-1" \h \z \u </w:instrText>
      </w:r>
      <w:r w:rsidR="009B7368" w:rsidRPr="004918E0">
        <w:rPr>
          <w:lang w:val="ga-IE"/>
        </w:rPr>
        <w:fldChar w:fldCharType="separate"/>
      </w:r>
    </w:p>
    <w:p w:rsidR="009B7368" w:rsidRPr="004918E0" w:rsidRDefault="00DD51CC" w:rsidP="009B7368">
      <w:pPr>
        <w:pStyle w:val="TOC1"/>
        <w:rPr>
          <w:rFonts w:ascii="Times New Roman" w:hAnsi="Times New Roman"/>
          <w:b w:val="0"/>
          <w:sz w:val="24"/>
          <w:lang w:val="ga-IE" w:eastAsia="en-GB"/>
        </w:rPr>
      </w:pPr>
      <w:hyperlink w:anchor="_Toc368646734" w:history="1">
        <w:r w:rsidR="009B7368" w:rsidRPr="004918E0">
          <w:rPr>
            <w:rStyle w:val="Hyperlink"/>
            <w:lang w:val="ga-IE"/>
          </w:rPr>
          <w:t>Ráiteas an Chathaoirligh</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_Toc368646734 \h </w:instrText>
        </w:r>
        <w:r w:rsidR="009B7368" w:rsidRPr="004918E0">
          <w:rPr>
            <w:webHidden/>
            <w:lang w:val="ga-IE"/>
          </w:rPr>
        </w:r>
        <w:r w:rsidR="009B7368" w:rsidRPr="004918E0">
          <w:rPr>
            <w:webHidden/>
            <w:lang w:val="ga-IE"/>
          </w:rPr>
          <w:fldChar w:fldCharType="separate"/>
        </w:r>
        <w:r w:rsidR="004918E0">
          <w:rPr>
            <w:noProof/>
            <w:webHidden/>
            <w:lang w:val="ga-IE"/>
          </w:rPr>
          <w:t>73</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35" w:history="1">
        <w:r w:rsidR="009B7368" w:rsidRPr="004918E0">
          <w:rPr>
            <w:rStyle w:val="Hyperlink"/>
            <w:lang w:val="ga-IE"/>
          </w:rPr>
          <w:t>Ráiteas an Stiúrthóra</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_Toc368646735 \h </w:instrText>
        </w:r>
        <w:r w:rsidR="009B7368" w:rsidRPr="004918E0">
          <w:rPr>
            <w:webHidden/>
            <w:lang w:val="ga-IE"/>
          </w:rPr>
        </w:r>
        <w:r w:rsidR="009B7368" w:rsidRPr="004918E0">
          <w:rPr>
            <w:webHidden/>
            <w:lang w:val="ga-IE"/>
          </w:rPr>
          <w:fldChar w:fldCharType="separate"/>
        </w:r>
        <w:r w:rsidR="004918E0">
          <w:rPr>
            <w:noProof/>
            <w:webHidden/>
            <w:lang w:val="ga-IE"/>
          </w:rPr>
          <w:t>75</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36" w:history="1">
        <w:r w:rsidR="009B7368" w:rsidRPr="004918E0">
          <w:rPr>
            <w:rStyle w:val="Hyperlink"/>
            <w:lang w:val="ga-IE"/>
          </w:rPr>
          <w:t>Forbhreathnú agus comhthéacs beartais</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_Toc368646736 \h </w:instrText>
        </w:r>
        <w:r w:rsidR="009B7368" w:rsidRPr="004918E0">
          <w:rPr>
            <w:webHidden/>
            <w:lang w:val="ga-IE"/>
          </w:rPr>
        </w:r>
        <w:r w:rsidR="009B7368" w:rsidRPr="004918E0">
          <w:rPr>
            <w:webHidden/>
            <w:lang w:val="ga-IE"/>
          </w:rPr>
          <w:fldChar w:fldCharType="separate"/>
        </w:r>
        <w:r w:rsidR="004918E0">
          <w:rPr>
            <w:noProof/>
            <w:webHidden/>
            <w:lang w:val="ga-IE"/>
          </w:rPr>
          <w:t>77</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37" w:history="1">
        <w:r w:rsidR="009B7368" w:rsidRPr="004918E0">
          <w:rPr>
            <w:rStyle w:val="Hyperlink"/>
            <w:lang w:val="ga-IE"/>
          </w:rPr>
          <w:t>Tosaíocht Straitéiseach 1</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_Toc368646737 \h </w:instrText>
        </w:r>
        <w:r w:rsidR="009B7368" w:rsidRPr="004918E0">
          <w:rPr>
            <w:webHidden/>
            <w:lang w:val="ga-IE"/>
          </w:rPr>
        </w:r>
        <w:r w:rsidR="009B7368" w:rsidRPr="004918E0">
          <w:rPr>
            <w:webHidden/>
            <w:lang w:val="ga-IE"/>
          </w:rPr>
          <w:fldChar w:fldCharType="separate"/>
        </w:r>
        <w:r w:rsidR="004918E0">
          <w:rPr>
            <w:noProof/>
            <w:webHidden/>
            <w:lang w:val="ga-IE"/>
          </w:rPr>
          <w:t>81</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38" w:history="1">
        <w:r w:rsidR="009B7368" w:rsidRPr="004918E0">
          <w:rPr>
            <w:rStyle w:val="Hyperlink"/>
            <w:lang w:val="ga-IE"/>
          </w:rPr>
          <w:t>Tosaíocht Straitéiseach 2</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_Toc368646738 \h </w:instrText>
        </w:r>
        <w:r w:rsidR="009B7368" w:rsidRPr="004918E0">
          <w:rPr>
            <w:webHidden/>
            <w:lang w:val="ga-IE"/>
          </w:rPr>
        </w:r>
        <w:r w:rsidR="009B7368" w:rsidRPr="004918E0">
          <w:rPr>
            <w:webHidden/>
            <w:lang w:val="ga-IE"/>
          </w:rPr>
          <w:fldChar w:fldCharType="separate"/>
        </w:r>
        <w:r w:rsidR="004918E0">
          <w:rPr>
            <w:noProof/>
            <w:webHidden/>
            <w:lang w:val="ga-IE"/>
          </w:rPr>
          <w:t>90</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39" w:history="1">
        <w:r w:rsidR="009B7368" w:rsidRPr="004918E0">
          <w:rPr>
            <w:rStyle w:val="Hyperlink"/>
            <w:lang w:val="ga-IE"/>
          </w:rPr>
          <w:t>Tosaíocht Straitéiseach 3</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_Toc368646739 \h </w:instrText>
        </w:r>
        <w:r w:rsidR="009B7368" w:rsidRPr="004918E0">
          <w:rPr>
            <w:webHidden/>
            <w:lang w:val="ga-IE"/>
          </w:rPr>
        </w:r>
        <w:r w:rsidR="009B7368" w:rsidRPr="004918E0">
          <w:rPr>
            <w:webHidden/>
            <w:lang w:val="ga-IE"/>
          </w:rPr>
          <w:fldChar w:fldCharType="separate"/>
        </w:r>
        <w:r w:rsidR="004918E0">
          <w:rPr>
            <w:noProof/>
            <w:webHidden/>
            <w:lang w:val="ga-IE"/>
          </w:rPr>
          <w:t>95</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40" w:history="1">
        <w:r w:rsidR="009B7368" w:rsidRPr="004918E0">
          <w:rPr>
            <w:rStyle w:val="Hyperlink"/>
            <w:lang w:val="ga-IE"/>
          </w:rPr>
          <w:t>Tosaíocht straitéiseach 4</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_Toc368646740 \h </w:instrText>
        </w:r>
        <w:r w:rsidR="009B7368" w:rsidRPr="004918E0">
          <w:rPr>
            <w:webHidden/>
            <w:lang w:val="ga-IE"/>
          </w:rPr>
        </w:r>
        <w:r w:rsidR="009B7368" w:rsidRPr="004918E0">
          <w:rPr>
            <w:webHidden/>
            <w:lang w:val="ga-IE"/>
          </w:rPr>
          <w:fldChar w:fldCharType="separate"/>
        </w:r>
        <w:r w:rsidR="004918E0">
          <w:rPr>
            <w:noProof/>
            <w:webHidden/>
            <w:lang w:val="ga-IE"/>
          </w:rPr>
          <w:t>106</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41" w:history="1">
        <w:r w:rsidR="009B7368" w:rsidRPr="004918E0">
          <w:rPr>
            <w:rStyle w:val="Hyperlink"/>
            <w:lang w:val="ga-IE"/>
          </w:rPr>
          <w:t>An tÚdarás Náisiúnta Míchumais</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_Toc368646741 \h </w:instrText>
        </w:r>
        <w:r w:rsidR="009B7368" w:rsidRPr="004918E0">
          <w:rPr>
            <w:webHidden/>
            <w:lang w:val="ga-IE"/>
          </w:rPr>
        </w:r>
        <w:r w:rsidR="009B7368" w:rsidRPr="004918E0">
          <w:rPr>
            <w:webHidden/>
            <w:lang w:val="ga-IE"/>
          </w:rPr>
          <w:fldChar w:fldCharType="separate"/>
        </w:r>
        <w:r w:rsidR="004918E0">
          <w:rPr>
            <w:noProof/>
            <w:webHidden/>
            <w:lang w:val="ga-IE"/>
          </w:rPr>
          <w:t>112</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42" w:history="1">
        <w:r w:rsidR="009B7368" w:rsidRPr="004918E0">
          <w:rPr>
            <w:rStyle w:val="Hyperlink"/>
            <w:lang w:val="ga-IE"/>
          </w:rPr>
          <w:t>Ráiteas faoi fhreagrachtaí chomhaltaí an Údaráis</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_Toc368646742 \h </w:instrText>
        </w:r>
        <w:r w:rsidR="009B7368" w:rsidRPr="004918E0">
          <w:rPr>
            <w:webHidden/>
            <w:lang w:val="ga-IE"/>
          </w:rPr>
        </w:r>
        <w:r w:rsidR="009B7368" w:rsidRPr="004918E0">
          <w:rPr>
            <w:webHidden/>
            <w:lang w:val="ga-IE"/>
          </w:rPr>
          <w:fldChar w:fldCharType="separate"/>
        </w:r>
        <w:r w:rsidR="004918E0">
          <w:rPr>
            <w:noProof/>
            <w:webHidden/>
            <w:lang w:val="ga-IE"/>
          </w:rPr>
          <w:t>115</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43" w:history="1">
        <w:r w:rsidR="009B7368" w:rsidRPr="004918E0">
          <w:rPr>
            <w:rStyle w:val="Hyperlink"/>
            <w:lang w:val="ga-IE"/>
          </w:rPr>
          <w:t>Ráitis Airgeadais 2012</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_Toc368646743 \h </w:instrText>
        </w:r>
        <w:r w:rsidR="009B7368" w:rsidRPr="004918E0">
          <w:rPr>
            <w:webHidden/>
            <w:lang w:val="ga-IE"/>
          </w:rPr>
        </w:r>
        <w:r w:rsidR="009B7368" w:rsidRPr="004918E0">
          <w:rPr>
            <w:webHidden/>
            <w:lang w:val="ga-IE"/>
          </w:rPr>
          <w:fldChar w:fldCharType="separate"/>
        </w:r>
        <w:r w:rsidR="004918E0">
          <w:rPr>
            <w:noProof/>
            <w:webHidden/>
            <w:lang w:val="ga-IE"/>
          </w:rPr>
          <w:t>117</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44" w:history="1">
        <w:r w:rsidR="009B7368" w:rsidRPr="004918E0">
          <w:rPr>
            <w:rStyle w:val="Hyperlink"/>
            <w:lang w:val="ga-IE"/>
          </w:rPr>
          <w:t>Aguisín 1: Coistí an Údaráis agus coistí eile i 2012</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_Toc368646744 \h </w:instrText>
        </w:r>
        <w:r w:rsidR="009B7368" w:rsidRPr="004918E0">
          <w:rPr>
            <w:webHidden/>
            <w:lang w:val="ga-IE"/>
          </w:rPr>
        </w:r>
        <w:r w:rsidR="009B7368" w:rsidRPr="004918E0">
          <w:rPr>
            <w:webHidden/>
            <w:lang w:val="ga-IE"/>
          </w:rPr>
          <w:fldChar w:fldCharType="separate"/>
        </w:r>
        <w:r w:rsidR="004918E0">
          <w:rPr>
            <w:noProof/>
            <w:webHidden/>
            <w:lang w:val="ga-IE"/>
          </w:rPr>
          <w:t>148</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45" w:history="1">
        <w:r w:rsidR="009B7368" w:rsidRPr="004918E0">
          <w:rPr>
            <w:rStyle w:val="Hyperlink"/>
            <w:lang w:val="ga-IE"/>
          </w:rPr>
          <w:t>Aguisín 2: Ionadaíocht ar chomhlachtaí seachtracha i 2012</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_Toc368646745 \h </w:instrText>
        </w:r>
        <w:r w:rsidR="009B7368" w:rsidRPr="004918E0">
          <w:rPr>
            <w:webHidden/>
            <w:lang w:val="ga-IE"/>
          </w:rPr>
        </w:r>
        <w:r w:rsidR="009B7368" w:rsidRPr="004918E0">
          <w:rPr>
            <w:webHidden/>
            <w:lang w:val="ga-IE"/>
          </w:rPr>
          <w:fldChar w:fldCharType="separate"/>
        </w:r>
        <w:r w:rsidR="004918E0">
          <w:rPr>
            <w:noProof/>
            <w:webHidden/>
            <w:lang w:val="ga-IE"/>
          </w:rPr>
          <w:t>150</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46" w:history="1">
        <w:r w:rsidR="009B7368" w:rsidRPr="004918E0">
          <w:rPr>
            <w:rStyle w:val="Hyperlink"/>
            <w:lang w:val="ga-IE"/>
          </w:rPr>
          <w:t>Aguisín 3: Foilseacháin i 2012</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_Toc368646746 \h </w:instrText>
        </w:r>
        <w:r w:rsidR="009B7368" w:rsidRPr="004918E0">
          <w:rPr>
            <w:webHidden/>
            <w:lang w:val="ga-IE"/>
          </w:rPr>
        </w:r>
        <w:r w:rsidR="009B7368" w:rsidRPr="004918E0">
          <w:rPr>
            <w:webHidden/>
            <w:lang w:val="ga-IE"/>
          </w:rPr>
          <w:fldChar w:fldCharType="separate"/>
        </w:r>
        <w:r w:rsidR="004918E0">
          <w:rPr>
            <w:noProof/>
            <w:webHidden/>
            <w:lang w:val="ga-IE"/>
          </w:rPr>
          <w:t>153</w:t>
        </w:r>
        <w:r w:rsidR="009B7368" w:rsidRPr="004918E0">
          <w:rPr>
            <w:webHidden/>
            <w:lang w:val="ga-IE"/>
          </w:rPr>
          <w:fldChar w:fldCharType="end"/>
        </w:r>
      </w:hyperlink>
    </w:p>
    <w:p w:rsidR="009B7368" w:rsidRPr="004918E0" w:rsidRDefault="00DD51CC" w:rsidP="009B7368">
      <w:pPr>
        <w:pStyle w:val="TOC1"/>
        <w:rPr>
          <w:rFonts w:ascii="Times New Roman" w:hAnsi="Times New Roman"/>
          <w:b w:val="0"/>
          <w:sz w:val="24"/>
          <w:lang w:val="ga-IE" w:eastAsia="en-GB"/>
        </w:rPr>
      </w:pPr>
      <w:hyperlink w:anchor="_Toc368646747" w:history="1">
        <w:r w:rsidR="009B7368" w:rsidRPr="004918E0">
          <w:rPr>
            <w:rStyle w:val="Hyperlink"/>
            <w:lang w:val="ga-IE"/>
          </w:rPr>
          <w:t>Aguisín 4: Páipéir comhairle beartais i 2012</w:t>
        </w:r>
        <w:r w:rsidR="009B7368" w:rsidRPr="004918E0">
          <w:rPr>
            <w:webHidden/>
            <w:lang w:val="ga-IE"/>
          </w:rPr>
          <w:tab/>
        </w:r>
        <w:r w:rsidR="009B7368" w:rsidRPr="004918E0">
          <w:rPr>
            <w:webHidden/>
            <w:lang w:val="ga-IE"/>
          </w:rPr>
          <w:fldChar w:fldCharType="begin"/>
        </w:r>
        <w:r w:rsidR="009B7368" w:rsidRPr="004918E0">
          <w:rPr>
            <w:webHidden/>
            <w:lang w:val="ga-IE"/>
          </w:rPr>
          <w:instrText xml:space="preserve"> PAGEREF _Toc368646747 \h </w:instrText>
        </w:r>
        <w:r w:rsidR="009B7368" w:rsidRPr="004918E0">
          <w:rPr>
            <w:webHidden/>
            <w:lang w:val="ga-IE"/>
          </w:rPr>
        </w:r>
        <w:r w:rsidR="009B7368" w:rsidRPr="004918E0">
          <w:rPr>
            <w:webHidden/>
            <w:lang w:val="ga-IE"/>
          </w:rPr>
          <w:fldChar w:fldCharType="separate"/>
        </w:r>
        <w:r w:rsidR="004918E0">
          <w:rPr>
            <w:noProof/>
            <w:webHidden/>
            <w:lang w:val="ga-IE"/>
          </w:rPr>
          <w:t>154</w:t>
        </w:r>
        <w:r w:rsidR="009B7368" w:rsidRPr="004918E0">
          <w:rPr>
            <w:webHidden/>
            <w:lang w:val="ga-IE"/>
          </w:rPr>
          <w:fldChar w:fldCharType="end"/>
        </w:r>
      </w:hyperlink>
    </w:p>
    <w:p w:rsidR="009B7368" w:rsidRPr="004918E0" w:rsidRDefault="009B7368" w:rsidP="009B7368">
      <w:pPr>
        <w:rPr>
          <w:lang w:val="ga-IE"/>
        </w:rPr>
      </w:pPr>
      <w:r w:rsidRPr="004918E0">
        <w:rPr>
          <w:lang w:val="ga-IE"/>
        </w:rPr>
        <w:fldChar w:fldCharType="end"/>
      </w:r>
    </w:p>
    <w:p w:rsidR="009B7368" w:rsidRPr="004918E0" w:rsidRDefault="009B7368" w:rsidP="009B7368">
      <w:pPr>
        <w:pStyle w:val="Heading1"/>
        <w:rPr>
          <w:lang w:val="ga-IE"/>
        </w:rPr>
      </w:pPr>
      <w:bookmarkStart w:id="78" w:name="_Toc368646734"/>
      <w:r w:rsidRPr="004918E0">
        <w:rPr>
          <w:lang w:val="ga-IE"/>
        </w:rPr>
        <w:t>Ráiteas an Chathaoirligh</w:t>
      </w:r>
      <w:bookmarkEnd w:id="78"/>
      <w:r w:rsidRPr="004918E0">
        <w:rPr>
          <w:lang w:val="ga-IE"/>
        </w:rPr>
        <w:t xml:space="preserve"> </w:t>
      </w:r>
    </w:p>
    <w:p w:rsidR="009B7368" w:rsidRPr="004918E0" w:rsidRDefault="009B7368" w:rsidP="009B7368">
      <w:pPr>
        <w:rPr>
          <w:lang w:val="ga-IE" w:eastAsia="en-GB"/>
        </w:rPr>
      </w:pPr>
      <w:r w:rsidRPr="004918E0">
        <w:rPr>
          <w:lang w:val="ga-IE" w:eastAsia="en-GB"/>
        </w:rPr>
        <w:t>Tá  áthas orm Tuarascáil Bhliantúil an Údarás Náisiúnta Míchumais le haghaidh 2012 a chur bhráid an Aire Dlí agus Cirt agus Comhionannais. Sa tuarascáil seo tugtar cuntas ar ghníomhaíochtaí agus aschuir an Údarás Náisiúnta Míchumais, an comhlacht stáit neamhspleách a thugann sainchomhairle faoin mbeartas agus faoin gcleachtas i leith míchumais don Aire, agus dhéanann Dearadh Uilíoch a chur chun cinn in Éirinn.</w:t>
      </w:r>
    </w:p>
    <w:p w:rsidR="009B7368" w:rsidRPr="004918E0" w:rsidRDefault="009B7368" w:rsidP="009B7368">
      <w:pPr>
        <w:pStyle w:val="NormalBeforeandafterlist"/>
        <w:rPr>
          <w:lang w:val="ga-IE"/>
        </w:rPr>
      </w:pPr>
      <w:r w:rsidRPr="004918E0">
        <w:rPr>
          <w:lang w:val="ga-IE"/>
        </w:rPr>
        <w:t>Thug an NDA faoi chuid mhór oibre i 2012 ó thaobh taighde, sainchomhairle, forbairt caighdeán, agus tacaíochta. Baineadh amach leibhéal ard d’aschur a chuimsigh na nithe seo a leanas:</w:t>
      </w:r>
    </w:p>
    <w:p w:rsidR="009B7368" w:rsidRPr="004918E0" w:rsidRDefault="009B7368" w:rsidP="009B7368">
      <w:pPr>
        <w:pStyle w:val="ListBullet"/>
        <w:rPr>
          <w:lang w:val="ga-IE"/>
        </w:rPr>
      </w:pPr>
      <w:r w:rsidRPr="004918E0">
        <w:rPr>
          <w:lang w:val="ga-IE"/>
        </w:rPr>
        <w:t xml:space="preserve">Tógáil do chách: Cur chuige dearaidh uilíoch a thugann treoir shonrach do ghairmithe tógála </w:t>
      </w:r>
    </w:p>
    <w:p w:rsidR="009B7368" w:rsidRPr="004918E0" w:rsidRDefault="009B7368" w:rsidP="009B7368">
      <w:pPr>
        <w:pStyle w:val="ListBullet"/>
        <w:rPr>
          <w:lang w:val="ga-IE"/>
        </w:rPr>
      </w:pPr>
      <w:r w:rsidRPr="004918E0">
        <w:rPr>
          <w:lang w:val="ga-IE"/>
        </w:rPr>
        <w:t xml:space="preserve">Foilsíodh taighde ar dhearcadh an phobail i dtreo daoine faoi mhíchumas </w:t>
      </w:r>
    </w:p>
    <w:p w:rsidR="009B7368" w:rsidRPr="004918E0" w:rsidRDefault="009B7368" w:rsidP="009B7368">
      <w:pPr>
        <w:pStyle w:val="ListBullet"/>
        <w:rPr>
          <w:lang w:val="ga-IE"/>
        </w:rPr>
      </w:pPr>
      <w:r w:rsidRPr="004918E0">
        <w:rPr>
          <w:lang w:val="ga-IE"/>
        </w:rPr>
        <w:t xml:space="preserve">Taighde ar an Measúnú reachtúil Riachtanas le haghaidh seirbhísí míchumais </w:t>
      </w:r>
    </w:p>
    <w:p w:rsidR="009B7368" w:rsidRPr="004918E0" w:rsidRDefault="009B7368" w:rsidP="009B7368">
      <w:pPr>
        <w:pStyle w:val="ListBullet"/>
        <w:rPr>
          <w:lang w:val="ga-IE"/>
        </w:rPr>
      </w:pPr>
      <w:r w:rsidRPr="004918E0">
        <w:rPr>
          <w:lang w:val="ga-IE"/>
        </w:rPr>
        <w:t xml:space="preserve">Taighde, comhairliúchán agus comhairle beartais chun an t-athbhreithniú ar an Liúntas Cúram Baile a threorú </w:t>
      </w:r>
    </w:p>
    <w:p w:rsidR="009B7368" w:rsidRPr="004918E0" w:rsidRDefault="009B7368" w:rsidP="009B7368">
      <w:pPr>
        <w:pStyle w:val="ListBullet"/>
        <w:rPr>
          <w:lang w:val="ga-IE"/>
        </w:rPr>
      </w:pPr>
      <w:r w:rsidRPr="004918E0">
        <w:rPr>
          <w:lang w:val="ga-IE"/>
        </w:rPr>
        <w:t xml:space="preserve">Taighde ar bhuiséid phearsanta agus ar shamhlacha um leithdháileadh acmhainní chun tacú lena dtabhairt isteach, atá beartaithe </w:t>
      </w:r>
    </w:p>
    <w:p w:rsidR="009B7368" w:rsidRPr="004918E0" w:rsidRDefault="009B7368" w:rsidP="009B7368">
      <w:pPr>
        <w:pStyle w:val="ListBullet"/>
        <w:rPr>
          <w:lang w:val="ga-IE"/>
        </w:rPr>
      </w:pPr>
      <w:r w:rsidRPr="004918E0">
        <w:rPr>
          <w:lang w:val="ga-IE"/>
        </w:rPr>
        <w:t xml:space="preserve">Treoir ar sheirbhísí sláinte príomhshrutha inrochtana </w:t>
      </w:r>
    </w:p>
    <w:p w:rsidR="009B7368" w:rsidRPr="004918E0" w:rsidRDefault="009B7368" w:rsidP="009B7368">
      <w:pPr>
        <w:pStyle w:val="ListBullet"/>
        <w:rPr>
          <w:lang w:val="ga-IE"/>
        </w:rPr>
      </w:pPr>
      <w:r w:rsidRPr="004918E0">
        <w:rPr>
          <w:lang w:val="ga-IE"/>
        </w:rPr>
        <w:t xml:space="preserve">An chéad chaighdeán náisiúnta ar Dhearadh Uilíoch </w:t>
      </w:r>
    </w:p>
    <w:p w:rsidR="009B7368" w:rsidRPr="004918E0" w:rsidRDefault="009B7368" w:rsidP="009B7368">
      <w:pPr>
        <w:pStyle w:val="ListBullet"/>
        <w:rPr>
          <w:lang w:val="ga-IE"/>
        </w:rPr>
      </w:pPr>
      <w:r w:rsidRPr="004918E0">
        <w:rPr>
          <w:lang w:val="ga-IE"/>
        </w:rPr>
        <w:t xml:space="preserve">Foireann Uirlisí Inrochtaineachta do bhaill foirne san earnáil phoiblí, agus doiciméad treorach ar earraí agus seirbhísí inrochtana a sholáthar go poiblí </w:t>
      </w:r>
    </w:p>
    <w:p w:rsidR="009B7368" w:rsidRPr="004918E0" w:rsidRDefault="009B7368" w:rsidP="009B7368">
      <w:pPr>
        <w:pStyle w:val="ListBullet"/>
        <w:spacing w:after="240"/>
        <w:rPr>
          <w:lang w:val="ga-IE"/>
        </w:rPr>
      </w:pPr>
      <w:r w:rsidRPr="004918E0">
        <w:rPr>
          <w:lang w:val="ga-IE"/>
        </w:rPr>
        <w:t xml:space="preserve">Taighde ar chórais um sholáthar Teicneolaíocht Chúnta in Éirinn agus i dtíortha eile </w:t>
      </w:r>
    </w:p>
    <w:p w:rsidR="009B7368" w:rsidRPr="004918E0" w:rsidRDefault="009B7368" w:rsidP="009B7368">
      <w:pPr>
        <w:pStyle w:val="ListBullet"/>
        <w:numPr>
          <w:ilvl w:val="0"/>
          <w:numId w:val="0"/>
        </w:numPr>
        <w:spacing w:after="240"/>
        <w:rPr>
          <w:lang w:val="ga-IE"/>
        </w:rPr>
      </w:pPr>
      <w:r w:rsidRPr="004918E0">
        <w:rPr>
          <w:lang w:val="ga-IE"/>
        </w:rPr>
        <w:t>Bhíothas fós ag tabhairt aghaidhe ar dhúshlán mar a bhí laghduithe ar líon na mball foirne i 2012; mar sin féin, bhíothas in ann an méid thuas a bhaint amach tri hiarrachtaí ball foirne solúbtha agus tiomanta a rinne iarracht luach ar airgead a bhaint amach.</w:t>
      </w:r>
    </w:p>
    <w:p w:rsidR="009B7368" w:rsidRPr="004918E0" w:rsidRDefault="009B7368" w:rsidP="009B7368">
      <w:pPr>
        <w:rPr>
          <w:lang w:val="ga-IE"/>
        </w:rPr>
      </w:pPr>
      <w:r w:rsidRPr="004918E0">
        <w:rPr>
          <w:lang w:val="ga-IE"/>
        </w:rPr>
        <w:t>Ba mhaith liom buíochas a ghabháil le baill foirne na rannóige ar Bheartas Míchumas sa Roinn Dlí agus Cirt agus Comhionannais, chomh maith le baill foirne aonad na Seirbhísí Comhroinnte Airgeadais agus na seirbhísí comhroinnte TF, as a dtacaíocht leanúnach don Údarás Náisiúnta Míchumais.</w:t>
      </w:r>
    </w:p>
    <w:p w:rsidR="009B7368" w:rsidRPr="004918E0" w:rsidRDefault="009B7368" w:rsidP="009B7368">
      <w:pPr>
        <w:rPr>
          <w:lang w:val="ga-IE"/>
        </w:rPr>
      </w:pPr>
      <w:r w:rsidRPr="004918E0">
        <w:rPr>
          <w:lang w:val="ga-IE"/>
        </w:rPr>
        <w:t>Gabhaim buíochas le baill foirne an Údaráis as a gcuid oibre le linn 2012, agus le comhaltaí na gcoistí Airgeadais agus Iniúchóireachta chomh maith. Leis an leibhéal comhsheasmhach freastail agus an caighdeán ard oibre tríd an eagraíocht go léir cruthaíodh go bhfuiltear tiomanta chun fíordhifear a dhéanamh.</w:t>
      </w:r>
    </w:p>
    <w:p w:rsidR="009B7368" w:rsidRPr="004918E0" w:rsidRDefault="009B7368" w:rsidP="009B7368">
      <w:pPr>
        <w:rPr>
          <w:lang w:val="ga-IE" w:eastAsia="en-GB"/>
        </w:rPr>
      </w:pPr>
      <w:r w:rsidRPr="004918E0">
        <w:rPr>
          <w:lang w:val="ga-IE"/>
        </w:rPr>
        <w:t>Sa deireadh, ba mhaith liom aitheantas a thabhairt do thiomantas, dhíograis agus shaineolas bhaill foirne an Údarás Náisiúnta Comhionannais agus do stiúrthóireacht den scoth an Stiúrthóra agus an Fhoireann Bainistíochta Feidhmiúcháin. Is eol dom go gcuirfear an-fheabhas ar shaol daoine faoi mhíchumas in Éirinn mar gheall ar a ndíograis agus a dtiomantas.</w:t>
      </w:r>
      <w:r w:rsidRPr="004918E0">
        <w:rPr>
          <w:lang w:val="ga-IE" w:eastAsia="en-GB"/>
        </w:rPr>
        <w:t xml:space="preserve"> </w:t>
      </w:r>
    </w:p>
    <w:p w:rsidR="009B7368" w:rsidRPr="004918E0" w:rsidRDefault="009B7368" w:rsidP="009B7368">
      <w:pPr>
        <w:rPr>
          <w:lang w:val="ga-IE" w:eastAsia="en-GB"/>
        </w:rPr>
      </w:pPr>
      <w:r w:rsidRPr="004918E0">
        <w:rPr>
          <w:lang w:val="ga-IE" w:eastAsia="en-GB"/>
        </w:rPr>
        <w:t>Peter McKevitt</w:t>
      </w:r>
      <w:r w:rsidRPr="004918E0">
        <w:rPr>
          <w:lang w:val="ga-IE"/>
        </w:rPr>
        <w:br/>
      </w:r>
      <w:r w:rsidRPr="004918E0">
        <w:rPr>
          <w:lang w:val="ga-IE" w:eastAsia="en-GB"/>
        </w:rPr>
        <w:t>Cathaoirleach</w:t>
      </w:r>
    </w:p>
    <w:p w:rsidR="009B7368" w:rsidRPr="004918E0" w:rsidRDefault="009B7368" w:rsidP="009B7368">
      <w:pPr>
        <w:rPr>
          <w:lang w:val="ga-IE"/>
        </w:rPr>
      </w:pPr>
    </w:p>
    <w:p w:rsidR="009B7368" w:rsidRPr="004918E0" w:rsidRDefault="009B7368" w:rsidP="009B7368">
      <w:pPr>
        <w:pStyle w:val="Heading1"/>
        <w:rPr>
          <w:lang w:val="ga-IE"/>
        </w:rPr>
      </w:pPr>
      <w:bookmarkStart w:id="79" w:name="_Toc368646735"/>
      <w:r w:rsidRPr="004918E0">
        <w:rPr>
          <w:lang w:val="ga-IE"/>
        </w:rPr>
        <w:t>Ráiteas an Stiúrthóra</w:t>
      </w:r>
      <w:bookmarkEnd w:id="79"/>
      <w:r w:rsidRPr="004918E0">
        <w:rPr>
          <w:lang w:val="ga-IE"/>
        </w:rPr>
        <w:t xml:space="preserve"> </w:t>
      </w:r>
    </w:p>
    <w:p w:rsidR="009B7368" w:rsidRPr="004918E0" w:rsidRDefault="009B7368" w:rsidP="009B7368">
      <w:pPr>
        <w:rPr>
          <w:lang w:val="ga-IE"/>
        </w:rPr>
      </w:pPr>
      <w:r w:rsidRPr="004918E0">
        <w:rPr>
          <w:lang w:val="ga-IE"/>
        </w:rPr>
        <w:t xml:space="preserve">Tá dualgas reachtúil ar an Údarás Náisiúnta Míchumais chun eolas agus comhairle atá treoraithe ag faisnéis a chur ar fáil don Aire faoi bheartas agus chleachtas atá ábhartha do dhaoine faoi mhíchumas agus chun cabhrú le beartais den sórt sin a chomhordú. Tá feidhm reachtúil aige chun an Lárionad Sármhaitheasa i nDearadh Uilíoch a oibriú, ionad a dhéanann cur chun cinn ar dhearadh uilíoch na timpeallachta tógtha, earraí, seirbhísí, teicneolaíochtaí na faisnéise agus na cumarsáide, ionas go mbeidh siad inrochtana, éasca le húsáid agus le tuiscint do gach duine is cuma faoi aois, méid, cumas ná míchumas. </w:t>
      </w:r>
    </w:p>
    <w:p w:rsidR="009B7368" w:rsidRPr="004918E0" w:rsidRDefault="009B7368" w:rsidP="009B7368">
      <w:pPr>
        <w:rPr>
          <w:lang w:val="ga-IE"/>
        </w:rPr>
      </w:pPr>
      <w:r w:rsidRPr="004918E0">
        <w:rPr>
          <w:lang w:val="ga-IE"/>
        </w:rPr>
        <w:t xml:space="preserve">Mar sin clúdaíonn ról an NDA go leor réimsí beartais lena n-áirítear taighde agus comhairle ar leasú seirbhísí míchumais, ar thithíocht, iompar, fostaíocht, leas sóisialach, agus craoltóireacht, i measc réimsí eile. Déanann ár Lárionad Sármhaitheasa i nDearadh Uilíoch, atá mar chuid lárnach den Údarás Náisiúnta Míchumais, Dearadh Uilíoch a chur chun cinn trí mheán caighdeán agus treoirlínte, trí churaclaim a fhorbairt um oideachas agus oiliúint gairmithe ábhartha, agus trí feasacht a mhúscailt. </w:t>
      </w:r>
    </w:p>
    <w:p w:rsidR="009B7368" w:rsidRPr="004918E0" w:rsidRDefault="009B7368" w:rsidP="009B7368">
      <w:pPr>
        <w:rPr>
          <w:lang w:val="ga-IE"/>
        </w:rPr>
      </w:pPr>
      <w:r w:rsidRPr="004918E0">
        <w:rPr>
          <w:lang w:val="ga-IE"/>
        </w:rPr>
        <w:t>Rinne an tÚdarás Náisiúnta Míchumais clár oibre iomlán a sheachadadh i 2012 le linn na bliana deireanaí dár bPlean Straitéiseach 2010–2012. Díríodh ár gcuid oibre ar tacaíocht a thabhairt do chur i bhfeidhm an Straitéis Náisiúnta Míchumais; beartas a threorú chun cinntiú go mbeidh dóthain tacaí éifeachtacha ann um maireachtáil neamhspleách sa phobal; agus ar dhearadh uilíoch agus inrochtaineacht earraí, seirbhísí, agus áiteanna a chur chun cinn.</w:t>
      </w:r>
    </w:p>
    <w:p w:rsidR="009B7368" w:rsidRPr="004918E0" w:rsidRDefault="009B7368" w:rsidP="009B7368">
      <w:pPr>
        <w:pStyle w:val="NormalBeforeList"/>
        <w:spacing w:after="120"/>
        <w:rPr>
          <w:lang w:val="ga-IE"/>
        </w:rPr>
      </w:pPr>
      <w:r w:rsidRPr="004918E0">
        <w:rPr>
          <w:lang w:val="ga-IE"/>
        </w:rPr>
        <w:t>Tar éis imeacht an Cheann Taighde agus Forbairt Caighdeán ar iasacht, atheagraíodh ár gcuid ranna mar seo a leanas:</w:t>
      </w:r>
    </w:p>
    <w:p w:rsidR="009B7368" w:rsidRPr="004918E0" w:rsidRDefault="009B7368" w:rsidP="009B7368">
      <w:pPr>
        <w:pStyle w:val="ListBullet"/>
        <w:rPr>
          <w:lang w:val="ga-IE"/>
        </w:rPr>
      </w:pPr>
      <w:r w:rsidRPr="004918E0">
        <w:rPr>
          <w:lang w:val="ga-IE"/>
        </w:rPr>
        <w:t xml:space="preserve">Taighde, Beartas agus Gnóthaí Poiblí </w:t>
      </w:r>
    </w:p>
    <w:p w:rsidR="009B7368" w:rsidRPr="004918E0" w:rsidRDefault="009B7368" w:rsidP="009B7368">
      <w:pPr>
        <w:pStyle w:val="ListBullet"/>
        <w:rPr>
          <w:lang w:val="ga-IE"/>
        </w:rPr>
      </w:pPr>
      <w:r w:rsidRPr="004918E0">
        <w:rPr>
          <w:lang w:val="ga-IE"/>
        </w:rPr>
        <w:t xml:space="preserve">An Lárionad Sármhaitheasa i nDearadh Uilíoch agus an an tAonad Caighdeán agus Monatóireachta </w:t>
      </w:r>
    </w:p>
    <w:p w:rsidR="009B7368" w:rsidRPr="004918E0" w:rsidRDefault="009B7368" w:rsidP="009B7368">
      <w:pPr>
        <w:pStyle w:val="ListBullet"/>
        <w:spacing w:after="240"/>
        <w:rPr>
          <w:lang w:val="ga-IE"/>
        </w:rPr>
      </w:pPr>
      <w:r w:rsidRPr="004918E0">
        <w:rPr>
          <w:lang w:val="ga-IE"/>
        </w:rPr>
        <w:t xml:space="preserve">An Roinn Seirbhísí Corparáideacha </w:t>
      </w:r>
    </w:p>
    <w:p w:rsidR="009B7368" w:rsidRPr="004918E0" w:rsidRDefault="009B7368" w:rsidP="009B7368">
      <w:pPr>
        <w:pStyle w:val="ListBullet"/>
        <w:numPr>
          <w:ilvl w:val="0"/>
          <w:numId w:val="0"/>
        </w:numPr>
        <w:spacing w:after="240"/>
        <w:ind w:left="567"/>
        <w:rPr>
          <w:lang w:val="ga-IE"/>
        </w:rPr>
      </w:pPr>
      <w:r w:rsidRPr="004918E0">
        <w:rPr>
          <w:lang w:val="ga-IE"/>
        </w:rPr>
        <w:t>Ina theannta sin chuamar i gcomhairle le páirtithe leasmhara faoi fhorbairt ár bplean straitéiseach le haghaidh na 3 bliana romhainn. D’fhaomh an tAire Dlí agus Cirt agus Comhionannais Plean Straitéiseach an Údarás Náisiúnta Míchumais le haghaidh 2013–2015, ina leagtar amach ár gcuid tosaíochtaí mar seo a leanas:</w:t>
      </w:r>
    </w:p>
    <w:p w:rsidR="009B7368" w:rsidRPr="004918E0" w:rsidRDefault="009B7368" w:rsidP="009B7368">
      <w:pPr>
        <w:pStyle w:val="ListBullet"/>
        <w:rPr>
          <w:lang w:val="ga-IE"/>
        </w:rPr>
      </w:pPr>
      <w:r w:rsidRPr="004918E0">
        <w:rPr>
          <w:lang w:val="ga-IE"/>
        </w:rPr>
        <w:t xml:space="preserve">tacaíocht a thabhairt do chur i bhfeidhm an Straitéis Náisiúnta Míchumais agus monatóireacht a dhéanamh uirthi </w:t>
      </w:r>
    </w:p>
    <w:p w:rsidR="009B7368" w:rsidRPr="004918E0" w:rsidRDefault="009B7368" w:rsidP="009B7368">
      <w:pPr>
        <w:pStyle w:val="ListBullet"/>
        <w:rPr>
          <w:lang w:val="ga-IE"/>
        </w:rPr>
      </w:pPr>
      <w:r w:rsidRPr="004918E0">
        <w:rPr>
          <w:lang w:val="ga-IE"/>
        </w:rPr>
        <w:t xml:space="preserve">taighde, comhairle agus treoir i dtreo cur ar chumas daoine faoi mhíchumas maireachtáil go neamhspleách sa phobal </w:t>
      </w:r>
    </w:p>
    <w:p w:rsidR="009B7368" w:rsidRPr="004918E0" w:rsidRDefault="009B7368" w:rsidP="009B7368">
      <w:pPr>
        <w:pStyle w:val="ListBullet"/>
        <w:rPr>
          <w:lang w:val="ga-IE"/>
        </w:rPr>
      </w:pPr>
      <w:r w:rsidRPr="004918E0">
        <w:rPr>
          <w:lang w:val="ga-IE"/>
        </w:rPr>
        <w:t xml:space="preserve">sármhaitheas i nDearadh Uilíoch a chur chun cinn </w:t>
      </w:r>
    </w:p>
    <w:p w:rsidR="009B7368" w:rsidRPr="004918E0" w:rsidRDefault="009B7368" w:rsidP="009B7368">
      <w:pPr>
        <w:pStyle w:val="ListBullet"/>
        <w:spacing w:after="240"/>
        <w:rPr>
          <w:lang w:val="ga-IE"/>
        </w:rPr>
      </w:pPr>
      <w:r w:rsidRPr="004918E0">
        <w:rPr>
          <w:lang w:val="ga-IE"/>
        </w:rPr>
        <w:t xml:space="preserve">bheith níos éifeachtaí agus éifeachtúla mar eagraíocht </w:t>
      </w:r>
    </w:p>
    <w:p w:rsidR="009B7368" w:rsidRPr="004918E0" w:rsidRDefault="009B7368" w:rsidP="009B7368">
      <w:pPr>
        <w:pStyle w:val="ListBullet"/>
        <w:numPr>
          <w:ilvl w:val="0"/>
          <w:numId w:val="0"/>
        </w:numPr>
        <w:spacing w:after="240"/>
        <w:ind w:left="567"/>
        <w:rPr>
          <w:lang w:val="ga-IE"/>
        </w:rPr>
      </w:pPr>
      <w:r w:rsidRPr="004918E0">
        <w:rPr>
          <w:lang w:val="ga-IE"/>
        </w:rPr>
        <w:t>I gcaitheamh na bliana, leanamar ar aghaidh ag baint amach éifeachtúlachtaí níos mó chomh maith le hobair éifeachtach, de réir mar a éilítear ag an gComhaontú Seirbhíse Poiblí 2010-2014. D‘oibrigh baill foirne chun feabhas a chur ar nósanna imeachta inmheánacha i réimsí mar bhainistíocht tionscadal agus foilsiú. Tugadh isteach beartas um Thuairisciú de Mheon Macánta agus Scéim Moltaí Foirne chomh maith.</w:t>
      </w:r>
    </w:p>
    <w:p w:rsidR="009B7368" w:rsidRPr="004918E0" w:rsidRDefault="009B7368" w:rsidP="009B7368">
      <w:pPr>
        <w:pStyle w:val="NormalAfterList"/>
        <w:rPr>
          <w:lang w:val="ga-IE"/>
        </w:rPr>
      </w:pPr>
      <w:r w:rsidRPr="004918E0">
        <w:rPr>
          <w:lang w:val="ga-IE"/>
        </w:rPr>
        <w:t xml:space="preserve">Ba mhaith liom freisin buíochas a ghabháil leis an gCathaoirleach agus le comhaItaí an Údaráis as a dtreoir straitéiseach, a bhfís agus tacaíocht don fheidhmeannacht maidir leis an gclár seo a chomhlíonadh de réir chuspóirí straitéiseacha an Údarás Náisiúnta Míchumais. </w:t>
      </w:r>
    </w:p>
    <w:p w:rsidR="009B7368" w:rsidRPr="004918E0" w:rsidRDefault="009B7368" w:rsidP="009B7368">
      <w:pPr>
        <w:rPr>
          <w:lang w:val="ga-IE"/>
        </w:rPr>
      </w:pPr>
      <w:r w:rsidRPr="004918E0">
        <w:rPr>
          <w:lang w:val="ga-IE"/>
        </w:rPr>
        <w:t>Siobhan Barron</w:t>
      </w:r>
      <w:r w:rsidRPr="004918E0">
        <w:rPr>
          <w:lang w:val="ga-IE"/>
        </w:rPr>
        <w:br/>
        <w:t>Stiúrthóir</w:t>
      </w:r>
    </w:p>
    <w:p w:rsidR="009B7368" w:rsidRPr="004918E0" w:rsidRDefault="009B7368" w:rsidP="009B7368">
      <w:pPr>
        <w:rPr>
          <w:lang w:val="ga-IE"/>
        </w:rPr>
      </w:pPr>
    </w:p>
    <w:p w:rsidR="009B7368" w:rsidRPr="004918E0" w:rsidRDefault="009B7368" w:rsidP="009B7368">
      <w:pPr>
        <w:pStyle w:val="Heading1"/>
        <w:rPr>
          <w:lang w:val="ga-IE"/>
        </w:rPr>
      </w:pPr>
      <w:bookmarkStart w:id="80" w:name="_Toc368646736"/>
      <w:r w:rsidRPr="004918E0">
        <w:rPr>
          <w:lang w:val="ga-IE"/>
        </w:rPr>
        <w:t>Forbhreathnú agus comhthéacs beartais</w:t>
      </w:r>
      <w:bookmarkEnd w:id="80"/>
      <w:r w:rsidRPr="004918E0">
        <w:rPr>
          <w:lang w:val="ga-IE"/>
        </w:rPr>
        <w:t xml:space="preserve"> </w:t>
      </w:r>
    </w:p>
    <w:p w:rsidR="009B7368" w:rsidRPr="004918E0" w:rsidRDefault="009B7368" w:rsidP="009B7368">
      <w:pPr>
        <w:rPr>
          <w:lang w:val="ga-IE"/>
        </w:rPr>
      </w:pPr>
      <w:r w:rsidRPr="004918E0">
        <w:rPr>
          <w:lang w:val="ga-IE"/>
        </w:rPr>
        <w:t xml:space="preserve">Treoraítear clár oibre an NDA gach bliain ag na tosaíochtaí straitéiseacha agus na príomhtháscairí feidhmíochta ina bPlean Straitéiseach chomh maith le deiseanna chun dul i bhfeidhm ar fhorbairtí beartais. I 2012, mar gheall ar an ngá le cinntiú go bhfuil an luach is fearr á bhaint amach le haghaidh acmhainní teoranta, leanadh ar aghaidh ag díriú airde ar an gcaoi ar féidir torthaí níos éifeachtaí a bhaint amach leis na hacmhainní reatha a dhéantar a infheistiú i dtacaí míchumais. </w:t>
      </w:r>
    </w:p>
    <w:p w:rsidR="009B7368" w:rsidRPr="004918E0" w:rsidRDefault="009B7368" w:rsidP="009B7368">
      <w:pPr>
        <w:pStyle w:val="Heading2"/>
        <w:rPr>
          <w:lang w:val="ga-IE"/>
        </w:rPr>
      </w:pPr>
      <w:r w:rsidRPr="004918E0">
        <w:rPr>
          <w:lang w:val="ga-IE"/>
        </w:rPr>
        <w:t xml:space="preserve">An tseirbhís mhíchumais a bhunathrú chun feabhais </w:t>
      </w:r>
    </w:p>
    <w:p w:rsidR="009B7368" w:rsidRPr="004918E0" w:rsidRDefault="009B7368" w:rsidP="009B7368">
      <w:pPr>
        <w:rPr>
          <w:lang w:val="ga-IE"/>
        </w:rPr>
      </w:pPr>
      <w:r w:rsidRPr="004918E0">
        <w:rPr>
          <w:lang w:val="ga-IE"/>
        </w:rPr>
        <w:t xml:space="preserve">Ar cheann de na forbairtí lárnacha a threoraigh obair an NDA i 2012 bhí foilsiú na Tuarascála ar Luach ar Airgead agus an t-Athbhreithniú ar Bheartas Míchumais ag an Aire Sláinte. Sa doiciméad sin leagadh amach clár oibre um bunathrú chun feabhais na seirbhísí míchumais chun ról lárnach a thabhairt don duine faoi mhíchumas, le níos mó roghanna agus smachta, agus bearta chun cinntiú go mbainfear leas níos éifeachtaí as acmhainní. Ag croílár an méid sin tá an fhís go dtabharfaí tacaíocht do dhaoine faoi mhíchumas go mbeidís cuimsithe go hiomlán sa phobal. I measc na moltaí tá samhail nua de leithdháileadh acmhainní chun nasc níos fearr a chruthú idir acmhainní agus riachtanais mheasúnaithe, institiúidí cónaitheacha a dhúnadh diaidh ar ndiaidh, modh measúnaithe coitianta, meascán scileanna athraithe, creat cáilíochta, athchumrú ar rialachas agus chuntasacht, córais sonraí níos fearr agus tomhais ar thorthaí.  Beidh ról lárnach ag cur i bhfeidhm mholtaí an Athbhreithnithe sin maidir le samhlacha tacaíochta a sheachadadh a chuireann ar chumas daoine faoi mhíchumas gnáthshaol a chaitheamh sa phobal. Leis na hathruithe sin bogfar ar aghaidh ó chónaí i dtithe cónaitheacha móra go maireachtáil neamhspleách sa phobal, agus ó shamhlacha traidisiúnta seirbhísí lae do dhaoine fásta go deiseanna chun páirt a ghlacadh i saol príomhshrutha an phobail, fostaíocht san áireamh. </w:t>
      </w:r>
    </w:p>
    <w:p w:rsidR="009B7368" w:rsidRPr="004918E0" w:rsidRDefault="009B7368" w:rsidP="009B7368">
      <w:pPr>
        <w:rPr>
          <w:lang w:val="ga-IE"/>
        </w:rPr>
      </w:pPr>
      <w:r w:rsidRPr="004918E0">
        <w:rPr>
          <w:lang w:val="ga-IE"/>
        </w:rPr>
        <w:t xml:space="preserve">Tá obair an NDA ceaptha chun tacú leis an gclár mór athraithe sin, ag tabhairt taighde agus treorach faoi na beartais agus na córais a theastaíonn chun seirbhísí míchumais a bhunathrú chun feabhais. Admhaíodh go bhfuil taighde an Údarás Náisiúnta Míchumais ar mhodheolaíochtaí um leithdháileadh acmhainní do sheirbhísí míchumais tábhachtach chun an clár mór athraithe a eascraíonn ón Athbhreithniú seo a chomhlíonadh. Réimsí eile ina bhfuil tacaíocht á tabhairt againn don chlár oibre athraithe sin iad ár dtaighde ar mheasúnú riachtanas, agus comhairle agus treoir ar chaighdeáin cháilíochta do sheirbhísí míchumais. </w:t>
      </w:r>
    </w:p>
    <w:p w:rsidR="009B7368" w:rsidRPr="004918E0" w:rsidRDefault="009B7368" w:rsidP="009B7368">
      <w:pPr>
        <w:rPr>
          <w:lang w:val="ga-IE"/>
        </w:rPr>
      </w:pPr>
      <w:r w:rsidRPr="004918E0">
        <w:rPr>
          <w:lang w:val="ga-IE"/>
        </w:rPr>
        <w:t xml:space="preserve">Ghlac an NDA páirt i bhFóram Comhairliúcháin Náisiúnta an FSS ar mhíchumas agus i ngrúpaí feidhmithe ar roghanna um maireachtáil sa phobal a chur in ionad institiúidí agus suíomhanna cruinnithe eile agus ar shamhlacha nua seirbhísí lae agus tacaí. </w:t>
      </w:r>
    </w:p>
    <w:p w:rsidR="009B7368" w:rsidRPr="004918E0" w:rsidRDefault="009B7368" w:rsidP="009B7368">
      <w:pPr>
        <w:pStyle w:val="Heading2"/>
        <w:rPr>
          <w:lang w:val="ga-IE"/>
        </w:rPr>
      </w:pPr>
      <w:r w:rsidRPr="004918E0">
        <w:rPr>
          <w:lang w:val="ga-IE"/>
        </w:rPr>
        <w:t xml:space="preserve">Straitéis Tithíochta do Dhaoine faoi Mhíchumas </w:t>
      </w:r>
    </w:p>
    <w:p w:rsidR="009B7368" w:rsidRPr="004918E0" w:rsidRDefault="009B7368" w:rsidP="009B7368">
      <w:pPr>
        <w:rPr>
          <w:lang w:val="ga-IE"/>
        </w:rPr>
      </w:pPr>
      <w:r w:rsidRPr="004918E0">
        <w:rPr>
          <w:lang w:val="ga-IE"/>
        </w:rPr>
        <w:t xml:space="preserve">Foilsíodh an plean feidhmithe don Straitéis Tithíochta do Dhaoine faoi Mhíchumas i 2012. Leagann an straitéis seo freagracht as tithíocht a thabhairt dc dhaoine faoi mhíchumas ar údaráis tithíochta seachas an FSS, agus déantar foráil ann do sheachadadh comhordaithe tacaí sláinte agus tacaíochta do dhaoine faoi mhíchumas. Déantar foráil ann freisin do thithe a sholáthar sa phobal dóibh siúd atá ag bogadh ó institiúidí cónaitheacha, a bhfuil deireadh á chur leo, diaidh ar ndiaidh. Ceapadh an NDA chun an ghrúpa chun monatóireacht a dhéanamh ar chur i bhfeidhm na straitéise. I measc obair an NDA i 2012 chun tacú leis an straitéis tithíochta sin bhí forbairt treoirlínte do bhaill foirne tithíochta maidir le tithíocht a thabhairt do dhaoine a bhfuil fadhbanna meabhairshláinte acu, obair ar thithíocht arna dearadh go huilíoch a d’fhéadfaí a athrú go héasca de réir mar a thiocfadh athrú ar chúinsí daoine, agus taighde ar chaighdeáin tithíochta do dhaoine a bhfuil néaltrú orthu, chun cur ar a gcumas maireachtáil sa bhaile chomh fada is féidir. </w:t>
      </w:r>
    </w:p>
    <w:p w:rsidR="009B7368" w:rsidRPr="004918E0" w:rsidRDefault="009B7368" w:rsidP="009B7368">
      <w:pPr>
        <w:pStyle w:val="Heading2"/>
        <w:rPr>
          <w:lang w:val="ga-IE"/>
        </w:rPr>
      </w:pPr>
      <w:r w:rsidRPr="004918E0">
        <w:rPr>
          <w:lang w:val="ga-IE"/>
        </w:rPr>
        <w:t xml:space="preserve">Athbhreithniú ar an Liúntas Cúram Baile </w:t>
      </w:r>
    </w:p>
    <w:p w:rsidR="009B7368" w:rsidRPr="004918E0" w:rsidRDefault="009B7368" w:rsidP="009B7368">
      <w:pPr>
        <w:rPr>
          <w:lang w:val="ga-IE"/>
        </w:rPr>
      </w:pPr>
      <w:r w:rsidRPr="004918E0">
        <w:rPr>
          <w:lang w:val="ga-IE"/>
        </w:rPr>
        <w:t>Thug coiste arna cheapadh ag an Aire Coimirce Sóisialaí faoi Athbhreithniú ar an Liúntas Cúram Baile, agus scrúdaigh an grúpa sin na cuspóirí beartais agus roghanna don todhchaí chun an tacaíocht thábhachtach sin do theaghlaigh a riar agus a spriocdhíriú go héifeachtach. Bhí an NDA ina bhall den Ghrúpa Athbhreithnithe sin. Ina theannta sin thug an NDA faoi roinnt taighde chun plé an Ghrúpa a threorú. Freisin d’éascaigh an NDA comhairliúchán le tuismitheoirí agus páirtithe leasmhara eile.</w:t>
      </w:r>
    </w:p>
    <w:p w:rsidR="009B7368" w:rsidRPr="004918E0" w:rsidRDefault="009B7368" w:rsidP="009B7368">
      <w:pPr>
        <w:pStyle w:val="Heading2"/>
        <w:rPr>
          <w:lang w:val="ga-IE"/>
        </w:rPr>
      </w:pPr>
      <w:r w:rsidRPr="004918E0">
        <w:rPr>
          <w:lang w:val="ga-IE"/>
        </w:rPr>
        <w:t xml:space="preserve">Plean Feidhmithe an Straitéis Náisiúnta Míchumais </w:t>
      </w:r>
    </w:p>
    <w:p w:rsidR="009B7368" w:rsidRPr="004918E0" w:rsidRDefault="009B7368" w:rsidP="009B7368">
      <w:pPr>
        <w:rPr>
          <w:lang w:val="ga-IE"/>
        </w:rPr>
      </w:pPr>
      <w:r w:rsidRPr="004918E0">
        <w:rPr>
          <w:lang w:val="ga-IE"/>
        </w:rPr>
        <w:t xml:space="preserve">Cheap an tAire Stáit um Míchumas, Comhionannas, Meabhairshláinte agus Daoine Scothaosta grúpa ag deireadh 2011 chun Plean Feidhmithe a ullmhú don Straitéis Náisiúnta Míchumais, ar ceapadh an NDA chuige. </w:t>
      </w:r>
    </w:p>
    <w:p w:rsidR="009B7368" w:rsidRPr="004918E0" w:rsidRDefault="009B7368" w:rsidP="009B7368">
      <w:pPr>
        <w:rPr>
          <w:lang w:val="ga-IE"/>
        </w:rPr>
      </w:pPr>
      <w:r w:rsidRPr="004918E0">
        <w:rPr>
          <w:lang w:val="ga-IE"/>
        </w:rPr>
        <w:t xml:space="preserve">Chuir an tÚdarás Náisiúnta Míchumais comhairle ar na tosaíochtaí straitéiseacha do Phlean Feidhmithe an Straitéis Náisiúnta Míchumais, agus ar ghníomhaíochtaí aonair a d’fhéadfaí a sheachadadh. Tar éis cuireadh a fháil ón Aire, d’óstáil an NDA “Your Voice Your Choice”, imeacht chomhairliúcháin chun fóram náisiúnta a éascú do dhaoine faoi mhíchumas agus dá dteaghlaigh chun a gcuid tuairimí agus taithí a chur in iúl chun Plean Feidhmithe an Straitéis Náisiúnta Míchumais a threorú. Ina theannta sin sholáthair an NDA an Cathaoirleach neamhspleách agus an rúnaíocht do Ghrúpa Páirtithe Leasmhara Míchumais. </w:t>
      </w:r>
    </w:p>
    <w:p w:rsidR="009B7368" w:rsidRPr="004918E0" w:rsidRDefault="009B7368" w:rsidP="009B7368">
      <w:pPr>
        <w:rPr>
          <w:lang w:val="ga-IE"/>
        </w:rPr>
      </w:pPr>
      <w:r w:rsidRPr="004918E0">
        <w:rPr>
          <w:lang w:val="ga-IE"/>
        </w:rPr>
        <w:t xml:space="preserve">Leanann an tÚdarás Náisiúnta Míchumais air ag tabhairt comhairle do Ranna ar a gcuid clár aonair a bhfuil an Straitéis Náisiúnta Míchumais déanta suas díobh. </w:t>
      </w:r>
    </w:p>
    <w:p w:rsidR="009B7368" w:rsidRPr="004918E0" w:rsidRDefault="009B7368" w:rsidP="009B7368">
      <w:pPr>
        <w:pStyle w:val="Heading2"/>
        <w:rPr>
          <w:lang w:val="ga-IE"/>
        </w:rPr>
      </w:pPr>
      <w:r w:rsidRPr="004918E0">
        <w:rPr>
          <w:lang w:val="ga-IE"/>
        </w:rPr>
        <w:t>Dearcaí</w:t>
      </w:r>
    </w:p>
    <w:p w:rsidR="009B7368" w:rsidRPr="004918E0" w:rsidRDefault="009B7368" w:rsidP="009B7368">
      <w:pPr>
        <w:rPr>
          <w:lang w:val="ga-IE"/>
        </w:rPr>
      </w:pPr>
      <w:r w:rsidRPr="004918E0">
        <w:rPr>
          <w:lang w:val="ga-IE"/>
        </w:rPr>
        <w:t xml:space="preserve">I 2012, faraor géar, nochtadh inár dtaighde nach bhfuil dearcaí i dtreo daoine faoi mhíchumas chomh bách agus a bhí an uair dheireanach a rinneamar suirbhé roimhe. Leanaimid orainn ag obair chun feabhas a chur ar dhearcaí trí thionscnaimh mar ríomhfhoghlaim saor in aisce ar chomhionannas míchumais do bhaill foirne san earnáil phoiblí D’oibríomar le hÚdarás Craolacháin na hÉireann chun obair a thionscain ar ionadaíocht ar dhaoine faoi mhíchumas sna meáin chraolta. Leanamar orainn ag obair le comhlachtaí fostóra agus le ceardchumainn maidir le saincheisteanna do dhaoine faoi mhíchumas san ionad oibre. </w:t>
      </w:r>
    </w:p>
    <w:p w:rsidR="009B7368" w:rsidRPr="004918E0" w:rsidRDefault="009B7368" w:rsidP="009B7368">
      <w:pPr>
        <w:pStyle w:val="Heading2"/>
        <w:rPr>
          <w:lang w:val="ga-IE"/>
        </w:rPr>
      </w:pPr>
      <w:r w:rsidRPr="004918E0">
        <w:rPr>
          <w:lang w:val="ga-IE"/>
        </w:rPr>
        <w:t xml:space="preserve">Daoine faoi mhíchumas a fhostú san earnáil phoiblí </w:t>
      </w:r>
    </w:p>
    <w:p w:rsidR="009B7368" w:rsidRPr="004918E0" w:rsidRDefault="009B7368" w:rsidP="009B7368">
      <w:pPr>
        <w:pStyle w:val="NormalAfterList"/>
        <w:rPr>
          <w:lang w:val="ga-IE"/>
        </w:rPr>
      </w:pPr>
      <w:r w:rsidRPr="004918E0">
        <w:rPr>
          <w:lang w:val="ga-IE"/>
        </w:rPr>
        <w:t>Is é an dea-scéal ná gur baineadh amach an sprioc de 3% d’fhostú daoine faoi mhíchumas san earnáil phoiblí den chéad uair, agus cabhróidh treoir an Údarás Náisiúnta Míchumais ar daoine faoi mhíchumas a choimeád leis an bhfuinneamh sin a chothabháil.</w:t>
      </w:r>
    </w:p>
    <w:p w:rsidR="009B7368" w:rsidRPr="004918E0" w:rsidRDefault="009B7368" w:rsidP="009B7368">
      <w:pPr>
        <w:pStyle w:val="Heading2"/>
        <w:rPr>
          <w:lang w:val="ga-IE"/>
        </w:rPr>
      </w:pPr>
      <w:r w:rsidRPr="004918E0">
        <w:rPr>
          <w:lang w:val="ga-IE"/>
        </w:rPr>
        <w:t>Inrochtaineacht</w:t>
      </w:r>
    </w:p>
    <w:p w:rsidR="009B7368" w:rsidRPr="004918E0" w:rsidRDefault="009B7368" w:rsidP="009B7368">
      <w:pPr>
        <w:pStyle w:val="Heading3"/>
        <w:rPr>
          <w:lang w:val="ga-IE"/>
        </w:rPr>
      </w:pPr>
      <w:r w:rsidRPr="004918E0">
        <w:rPr>
          <w:lang w:val="ga-IE"/>
        </w:rPr>
        <w:t>Foireann Uirlisí</w:t>
      </w:r>
    </w:p>
    <w:p w:rsidR="009B7368" w:rsidRPr="004918E0" w:rsidRDefault="009B7368" w:rsidP="009B7368">
      <w:pPr>
        <w:rPr>
          <w:lang w:val="ga-IE"/>
        </w:rPr>
      </w:pPr>
      <w:r w:rsidRPr="004918E0">
        <w:rPr>
          <w:lang w:val="ga-IE"/>
        </w:rPr>
        <w:t xml:space="preserve">Forbraíodh sraith straitéisí ar líne a thógann le chéile in aon ionad amháin treoir ar ghnéithe éagsúla d’inrochtaineacht, lena n-áirítear foirgnimh, seirbhísí, eolas agus láithreáin ghréasáin. Beidh an acmhainn sin luachmhar ach go háirithe d’Oifigigh Rochtana chun cinntiú go bhfuil seirbhísí poiblí inrochtana do dhaoine faoi mhíchumas. Tugadh treoir freisin faoi mbealach is fearr le hearraí agus seirbhísí inrochtana a sholáthar, ag teacht leis na hoibleagáidí in alt 27 den Acht Míchumais 2005. </w:t>
      </w:r>
    </w:p>
    <w:p w:rsidR="009B7368" w:rsidRPr="004918E0" w:rsidRDefault="009B7368" w:rsidP="009B7368">
      <w:pPr>
        <w:pStyle w:val="Heading2"/>
        <w:rPr>
          <w:lang w:val="ga-IE"/>
        </w:rPr>
      </w:pPr>
      <w:r w:rsidRPr="004918E0">
        <w:rPr>
          <w:lang w:val="ga-IE"/>
        </w:rPr>
        <w:t xml:space="preserve">Dearadh Uilíoch </w:t>
      </w:r>
    </w:p>
    <w:p w:rsidR="009B7368" w:rsidRPr="004918E0" w:rsidRDefault="009B7368" w:rsidP="009B7368">
      <w:pPr>
        <w:rPr>
          <w:lang w:val="ga-IE"/>
        </w:rPr>
      </w:pPr>
      <w:r w:rsidRPr="004918E0">
        <w:rPr>
          <w:lang w:val="ga-IE"/>
        </w:rPr>
        <w:t>Thug an Lárionad Sármhaitheasa i nDearadh Uilíoch faoi chlár iomlán chun caighdeáin agus treoirlínte a chur chun cinn, agus forbraíodh curaclaim sa dearadh uilíoch ag dara agus tríú leibhéal, agus an obair sin go léir tacaithe ag an taighde oiriúnach.</w:t>
      </w:r>
    </w:p>
    <w:p w:rsidR="009B7368" w:rsidRPr="004918E0" w:rsidRDefault="009B7368" w:rsidP="009B7368">
      <w:pPr>
        <w:pStyle w:val="Heading3"/>
        <w:rPr>
          <w:lang w:val="ga-IE"/>
        </w:rPr>
      </w:pPr>
      <w:r w:rsidRPr="004918E0">
        <w:rPr>
          <w:lang w:val="ga-IE"/>
        </w:rPr>
        <w:t xml:space="preserve">Tógáil do Chách </w:t>
      </w:r>
    </w:p>
    <w:p w:rsidR="009B7368" w:rsidRPr="004918E0" w:rsidRDefault="009B7368" w:rsidP="009B7368">
      <w:pPr>
        <w:rPr>
          <w:lang w:val="ga-IE"/>
        </w:rPr>
      </w:pPr>
      <w:r w:rsidRPr="004918E0">
        <w:rPr>
          <w:lang w:val="ga-IE"/>
        </w:rPr>
        <w:t>Sheol an tAire Comhshaoil, Pobail agus Rialtais Áitiúil, Phil Hogan TD</w:t>
      </w:r>
      <w:r w:rsidRPr="004918E0">
        <w:rPr>
          <w:b/>
          <w:lang w:val="ga-IE"/>
        </w:rPr>
        <w:t xml:space="preserve"> Tógáil do Chách – cur chuige Dearaidh Uilíoch</w:t>
      </w:r>
      <w:r w:rsidRPr="004918E0">
        <w:rPr>
          <w:lang w:val="ga-IE"/>
        </w:rPr>
        <w:t xml:space="preserve">. Beidh treoir sin, atá tugtha suas le dáta agus atá leathnaithe go mór, luachmhar dóibh siúd go léir atá freagrach as foirgnimh a dhearadh, a thógáil agus a bhainistiú, maidir leis an eolas praiticiúil a thabhairt chun cinntiú go mbeidh foirgnimh inrochtana do chách, is cuma faoi aois, méid, cumas ná míchumas. </w:t>
      </w:r>
    </w:p>
    <w:p w:rsidR="009B7368" w:rsidRPr="004918E0" w:rsidRDefault="009B7368" w:rsidP="009B7368">
      <w:pPr>
        <w:pStyle w:val="Heading3"/>
        <w:rPr>
          <w:lang w:val="ga-IE"/>
        </w:rPr>
      </w:pPr>
      <w:r w:rsidRPr="004918E0">
        <w:rPr>
          <w:lang w:val="ga-IE"/>
        </w:rPr>
        <w:t xml:space="preserve">Caighdeán ar sheirbhís chustaiméara do sholáthraithe fuinnimh </w:t>
      </w:r>
    </w:p>
    <w:p w:rsidR="009B7368" w:rsidRPr="004918E0" w:rsidRDefault="009B7368" w:rsidP="009B7368">
      <w:pPr>
        <w:rPr>
          <w:lang w:val="ga-IE"/>
        </w:rPr>
      </w:pPr>
      <w:r w:rsidRPr="004918E0">
        <w:rPr>
          <w:lang w:val="ga-IE"/>
        </w:rPr>
        <w:t>I gcomhpháirt leis an Údarás um Chaighdeáin Náisiúnta na hÉireann sheol an tÚdarás Náisiúnta Míchumais caighdeán nua ar Dhearadh Uilíoch i Seirbhísí Custaiméara Fuinnimh, arb é an chéad chaighdeán den sórt sin um Dhearadh Uilíoch, ní hamháin in Éirinn, ach ar an domhan.</w:t>
      </w:r>
    </w:p>
    <w:p w:rsidR="009B7368" w:rsidRPr="004918E0" w:rsidRDefault="009B7368" w:rsidP="009B7368">
      <w:pPr>
        <w:rPr>
          <w:lang w:val="ga-IE"/>
        </w:rPr>
      </w:pPr>
    </w:p>
    <w:p w:rsidR="009B7368" w:rsidRPr="004918E0" w:rsidRDefault="009B7368" w:rsidP="009B7368">
      <w:pPr>
        <w:pStyle w:val="Heading1"/>
        <w:rPr>
          <w:lang w:val="ga-IE"/>
        </w:rPr>
      </w:pPr>
      <w:bookmarkStart w:id="81" w:name="_Toc368646737"/>
      <w:r w:rsidRPr="004918E0">
        <w:rPr>
          <w:lang w:val="ga-IE"/>
        </w:rPr>
        <w:t>Tosaíocht Straitéiseach 1</w:t>
      </w:r>
      <w:bookmarkEnd w:id="81"/>
    </w:p>
    <w:p w:rsidR="009B7368" w:rsidRPr="004918E0" w:rsidRDefault="009B7368" w:rsidP="009B7368">
      <w:pPr>
        <w:spacing w:after="120"/>
        <w:rPr>
          <w:b/>
          <w:lang w:val="ga-IE"/>
        </w:rPr>
      </w:pPr>
      <w:r w:rsidRPr="004918E0">
        <w:rPr>
          <w:b/>
          <w:lang w:val="ga-IE"/>
        </w:rPr>
        <w:t xml:space="preserve">Tacaíocht agus comhairle fhianaise-bhunaithe a thabhairt do Ranna Rialtais agus chomhlachtaí poiblí trí </w:t>
      </w:r>
    </w:p>
    <w:p w:rsidR="009B7368" w:rsidRPr="004918E0" w:rsidRDefault="009B7368" w:rsidP="009B7368">
      <w:pPr>
        <w:pStyle w:val="ListBullet"/>
        <w:rPr>
          <w:b/>
          <w:lang w:val="ga-IE"/>
        </w:rPr>
      </w:pPr>
      <w:r w:rsidRPr="004918E0">
        <w:rPr>
          <w:b/>
          <w:lang w:val="ga-IE"/>
        </w:rPr>
        <w:t xml:space="preserve">tacaíocht a thabhairt do chur i bhfeidhm éifeachtach an Straitéis Náisiúnta Míchumais </w:t>
      </w:r>
    </w:p>
    <w:p w:rsidR="009B7368" w:rsidRPr="004918E0" w:rsidRDefault="009B7368" w:rsidP="009B7368">
      <w:pPr>
        <w:pStyle w:val="ListBullet"/>
        <w:spacing w:after="240"/>
        <w:rPr>
          <w:lang w:val="ga-IE"/>
        </w:rPr>
      </w:pPr>
      <w:r w:rsidRPr="004918E0">
        <w:rPr>
          <w:b/>
          <w:lang w:val="ga-IE"/>
        </w:rPr>
        <w:t xml:space="preserve">monatóireacht a dhéanamh ar thionchar an Straitéis Náisiúnta Míchumais </w:t>
      </w:r>
    </w:p>
    <w:p w:rsidR="009B7368" w:rsidRPr="004918E0" w:rsidRDefault="009B7368" w:rsidP="009B7368">
      <w:pPr>
        <w:pStyle w:val="Heading2"/>
        <w:rPr>
          <w:lang w:val="ga-IE"/>
        </w:rPr>
      </w:pPr>
      <w:r w:rsidRPr="004918E0">
        <w:rPr>
          <w:lang w:val="ga-IE"/>
        </w:rPr>
        <w:t xml:space="preserve">Plean Forfheidhmithe an Straitéis Náisiúnta Míchumais </w:t>
      </w:r>
    </w:p>
    <w:p w:rsidR="009B7368" w:rsidRPr="004918E0" w:rsidRDefault="009B7368" w:rsidP="009B7368">
      <w:pPr>
        <w:rPr>
          <w:lang w:val="ga-IE"/>
        </w:rPr>
      </w:pPr>
      <w:r w:rsidRPr="004918E0">
        <w:rPr>
          <w:lang w:val="ga-IE"/>
        </w:rPr>
        <w:t>Thug an tÚdarás Náisiúnta Míchumais treoir shonrach don Roinn Dlí agus Cirt agus Comhionannais chun an struchtúr, na gníomhartha, na socruithe monatóireachta agus na táscairí toraidh a threorú le haghaidh dréacht de Phlean Forfheidhmithe an Straitéis Náisiúnta Míchumais atá i mbun forbartha.</w:t>
      </w:r>
    </w:p>
    <w:p w:rsidR="009B7368" w:rsidRPr="004918E0" w:rsidRDefault="009B7368" w:rsidP="009B7368">
      <w:pPr>
        <w:rPr>
          <w:lang w:val="ga-IE"/>
        </w:rPr>
      </w:pPr>
      <w:r w:rsidRPr="004918E0">
        <w:rPr>
          <w:lang w:val="ga-IE"/>
        </w:rPr>
        <w:t>Ina theannta sin reáchtáil an tÚdarás Náisiúnta Míchumais cruinnithe déthaobhacha le gach Roinn Rialtais, chun treoir a thabhairt faoi ghníomhartha ina gcuid réimsí freagrachta. Chomh  maith leis sin tá an NDA ina bhall de Ghrúpa Feidhmithe an Straitéis Náisiúnta Míchumais, a bhfuil an tAire Stáit um Míchumas, Chomhionannas, Meabhairshláinte agus Dhaoine Scothaosta ina chathaoirleach air. I rith 2012, chuir an NDA roinnt páipéar comhairle faoi bhráid an Ghrúpa, lenar áiríodh sraith táscairí beartaithe chun tomhas a dhéanamh ar dhul chun cinn maidir leis an bPlean a chur i bhfeidhm</w:t>
      </w:r>
      <w:r w:rsidRPr="004918E0">
        <w:rPr>
          <w:rFonts w:cs="Gill Sans"/>
          <w:bCs/>
          <w:color w:val="000000"/>
          <w:szCs w:val="26"/>
          <w:lang w:val="ga-IE" w:eastAsia="en-GB"/>
        </w:rPr>
        <w:t>.</w:t>
      </w:r>
    </w:p>
    <w:p w:rsidR="009B7368" w:rsidRPr="004918E0" w:rsidRDefault="009B7368" w:rsidP="009B7368">
      <w:pPr>
        <w:pStyle w:val="Heading3"/>
        <w:rPr>
          <w:lang w:val="ga-IE"/>
        </w:rPr>
      </w:pPr>
      <w:r w:rsidRPr="004918E0">
        <w:rPr>
          <w:lang w:val="ga-IE"/>
        </w:rPr>
        <w:t xml:space="preserve">An Grúpa Páirtithe Leasmhara Míchumais </w:t>
      </w:r>
    </w:p>
    <w:p w:rsidR="009B7368" w:rsidRPr="004918E0" w:rsidRDefault="009B7368" w:rsidP="009B7368">
      <w:pPr>
        <w:rPr>
          <w:lang w:val="ga-IE"/>
        </w:rPr>
      </w:pPr>
      <w:r w:rsidRPr="004918E0">
        <w:rPr>
          <w:lang w:val="ga-IE"/>
        </w:rPr>
        <w:t xml:space="preserve">Déanann Stiúrthóir an Údarás Náisiúnta Míchumais cathaoirleacht neamhspleách ar an nGrúpa Páirtithe Leasmhara Míchumais, atá déanta suas de bhratchomhlachtaí míchumais lárnacha agus de dhaoine aonair a bhfuil taithí saoil acu ar mhíchumas, agus a cheap an tAire Stáit chun ionchur comhordaithe a chur ar fáil don obair ar Phlean Feidhmithe an Straitéis Náisiúnta Míchumais. Freisin cuireann an tÚdarás Náisiúnta Míchumais rúnaíocht ar fáil don ghrúpa. I 2012 reáchtáladh seacht ngnáthchruinniú agus dhá sheisiún faisnéisithe le Ranna Rialtais. Ghlac an Grúpa Páirtithe Leasmhara Míchumais páirt freisin i dtrí chruinniú ag Grúpa Feidhmithe an Straitéis Náisiúnta Míchumais. </w:t>
      </w:r>
    </w:p>
    <w:p w:rsidR="009B7368" w:rsidRPr="004918E0" w:rsidRDefault="009B7368" w:rsidP="009B7368">
      <w:pPr>
        <w:pStyle w:val="Heading3"/>
        <w:rPr>
          <w:lang w:val="ga-IE"/>
        </w:rPr>
      </w:pPr>
      <w:r w:rsidRPr="004918E0">
        <w:rPr>
          <w:lang w:val="ga-IE"/>
        </w:rPr>
        <w:t>Imeacht chomhairliúcháin “Your Voice Your Choice”</w:t>
      </w:r>
    </w:p>
    <w:p w:rsidR="009B7368" w:rsidRPr="004918E0" w:rsidRDefault="009B7368" w:rsidP="009B7368">
      <w:pPr>
        <w:rPr>
          <w:lang w:val="ga-IE"/>
        </w:rPr>
      </w:pPr>
      <w:r w:rsidRPr="004918E0">
        <w:rPr>
          <w:lang w:val="ga-IE"/>
        </w:rPr>
        <w:t xml:space="preserve">Ar iarratas an Aire Míchumais, Comhionannais, Meabhairshláinte agus Daoine Scothaosta, reáchtáil an tÚdarás Náisiúnta Míchumais imeacht chomhairliúcháin  — Your Voice Your Choice — le daoine faoi mhíchumas i mBaile Átha Cliath i Meitheamh 2012, chun éisteacht lena gcuid tuairimí agus cabhrú le Plean Forfheidhmithe an Straitéis Náisiúnta Míchumais a threorú, agus chun forbairt beartais agus seirbhísí a threorú chomh maith. </w:t>
      </w:r>
    </w:p>
    <w:p w:rsidR="009B7368" w:rsidRPr="004918E0" w:rsidRDefault="009B7368" w:rsidP="009B7368">
      <w:pPr>
        <w:pStyle w:val="NormalBeforeList"/>
        <w:spacing w:after="120"/>
        <w:rPr>
          <w:lang w:val="ga-IE"/>
        </w:rPr>
      </w:pPr>
      <w:r w:rsidRPr="004918E0">
        <w:rPr>
          <w:lang w:val="ga-IE"/>
        </w:rPr>
        <w:t>Leis an imeacht sin tógadh le chéile daoine faoi mhíchumas, tuismitheoirí leanaí agus daoine óga faoi mhíchumas, agus abhcóidí, chun plé cuiditheach a dhéanamh agus é treoraithe ag a dtaithí ina saol laethúil. Tugadh áit chun cloisteáil faoi na dúshláin atá i gceist agus faoi na tacaí a theastaíonn sa saol ó lá go chéile. Tugadh deis do dhaoine a gcuid tuairimí a thabhairt faoi na tosaíochtaí dar leo féin agus taifead a dhéanamh ar an eolas tábhachtach sin. Idir an imeacht agus áis ar líne a bhí ar fáil dóibh siúd arbh mian leo bheith i láthair ach nárbh fhéidir freastal uirthi, tugadh taifead ar thuairimí thart ar 250 duine agus foilsíodh iad; chlúdaigh siad na hábhair seo a leanas:</w:t>
      </w:r>
    </w:p>
    <w:p w:rsidR="009B7368" w:rsidRPr="004918E0" w:rsidRDefault="009B7368" w:rsidP="009B7368">
      <w:pPr>
        <w:pStyle w:val="ListBullet"/>
        <w:rPr>
          <w:lang w:val="ga-IE"/>
        </w:rPr>
      </w:pPr>
      <w:r w:rsidRPr="004918E0">
        <w:rPr>
          <w:lang w:val="ga-IE"/>
        </w:rPr>
        <w:t>An saol laethúil agus na rudaí atá tábhachtach dóibh</w:t>
      </w:r>
    </w:p>
    <w:p w:rsidR="009B7368" w:rsidRPr="004918E0" w:rsidRDefault="009B7368" w:rsidP="009B7368">
      <w:pPr>
        <w:pStyle w:val="ListBullet"/>
        <w:rPr>
          <w:lang w:val="ga-IE"/>
        </w:rPr>
      </w:pPr>
      <w:r w:rsidRPr="004918E0">
        <w:rPr>
          <w:lang w:val="ga-IE"/>
        </w:rPr>
        <w:t xml:space="preserve">Na gnéithe atá tábhachtach chun acmhainn duine a chomhlíonadh </w:t>
      </w:r>
    </w:p>
    <w:p w:rsidR="009B7368" w:rsidRPr="004918E0" w:rsidRDefault="009B7368" w:rsidP="009B7368">
      <w:pPr>
        <w:pStyle w:val="ListBullet"/>
        <w:rPr>
          <w:lang w:val="ga-IE"/>
        </w:rPr>
      </w:pPr>
      <w:r w:rsidRPr="004918E0">
        <w:rPr>
          <w:lang w:val="ga-IE"/>
        </w:rPr>
        <w:t>Déileáil chomhionann a fháil</w:t>
      </w:r>
    </w:p>
    <w:p w:rsidR="009B7368" w:rsidRPr="004918E0" w:rsidRDefault="009B7368" w:rsidP="009B7368">
      <w:pPr>
        <w:pStyle w:val="ListBullet"/>
        <w:rPr>
          <w:lang w:val="ga-IE"/>
        </w:rPr>
      </w:pPr>
      <w:r w:rsidRPr="004918E0">
        <w:rPr>
          <w:lang w:val="ga-IE"/>
        </w:rPr>
        <w:t xml:space="preserve">Roghanna a bheith acu agus maireachtáil neamhspleách </w:t>
      </w:r>
    </w:p>
    <w:p w:rsidR="009B7368" w:rsidRPr="004918E0" w:rsidRDefault="009B7368" w:rsidP="009B7368">
      <w:pPr>
        <w:pStyle w:val="ListBullet"/>
        <w:spacing w:after="240"/>
        <w:rPr>
          <w:lang w:val="ga-IE"/>
        </w:rPr>
      </w:pPr>
      <w:r w:rsidRPr="004918E0">
        <w:rPr>
          <w:lang w:val="ga-IE"/>
        </w:rPr>
        <w:t xml:space="preserve">Páirt a ghlacadh i saol an phobail </w:t>
      </w:r>
    </w:p>
    <w:p w:rsidR="009B7368" w:rsidRPr="004918E0" w:rsidRDefault="009B7368" w:rsidP="009B7368">
      <w:pPr>
        <w:pStyle w:val="ListBullet"/>
        <w:numPr>
          <w:ilvl w:val="0"/>
          <w:numId w:val="0"/>
        </w:numPr>
        <w:spacing w:after="240"/>
        <w:ind w:left="567"/>
        <w:rPr>
          <w:lang w:val="ga-IE"/>
        </w:rPr>
      </w:pPr>
      <w:r w:rsidRPr="004918E0">
        <w:rPr>
          <w:lang w:val="ga-IE"/>
        </w:rPr>
        <w:t xml:space="preserve">Tugadh an tuarascáil don Aire Stáit agus scaipeadh chuig na hoifigigh ábhartha í a bhfuil cúram leagtha orthu as Plean Forfheidhmithe an Straitéis Náisiúnta Míchumais, agus tá sé ar fáil ar www.nda.ie. </w:t>
      </w:r>
    </w:p>
    <w:p w:rsidR="009B7368" w:rsidRPr="004918E0" w:rsidRDefault="009B7368" w:rsidP="009B7368">
      <w:pPr>
        <w:pStyle w:val="Heading2"/>
        <w:rPr>
          <w:lang w:val="ga-IE"/>
        </w:rPr>
      </w:pPr>
      <w:r w:rsidRPr="004918E0">
        <w:rPr>
          <w:lang w:val="ga-IE"/>
        </w:rPr>
        <w:t xml:space="preserve">Gnéithe Aonair an Straitéis Náisiúnta Míchumais </w:t>
      </w:r>
    </w:p>
    <w:p w:rsidR="009B7368" w:rsidRPr="004918E0" w:rsidRDefault="009B7368" w:rsidP="009B7368">
      <w:pPr>
        <w:rPr>
          <w:lang w:val="ga-IE"/>
        </w:rPr>
      </w:pPr>
      <w:r w:rsidRPr="004918E0">
        <w:rPr>
          <w:lang w:val="ga-IE"/>
        </w:rPr>
        <w:t xml:space="preserve">Lean an tÚdarás Náisiúnta Míchumais ar aghaidh ag cur comhairle ar Ranna agus ghníomhaireachtaí aonair an Rialtais mar Fheidhmeannacht na Seirbhíse Sláinte agus ar údaráis áitiúla faoi ghnéithe den Straitéis Náisiúnta Míchumais agus faoi réimse beartais agus cleachtais i ndáil le míchumas. </w:t>
      </w:r>
    </w:p>
    <w:p w:rsidR="009B7368" w:rsidRPr="004918E0" w:rsidRDefault="009B7368" w:rsidP="009B7368">
      <w:pPr>
        <w:pStyle w:val="Heading2"/>
        <w:rPr>
          <w:lang w:val="ga-IE"/>
        </w:rPr>
      </w:pPr>
      <w:r w:rsidRPr="004918E0">
        <w:rPr>
          <w:lang w:val="ga-IE"/>
        </w:rPr>
        <w:t xml:space="preserve">Seirbhísí sláinte agus míchumais </w:t>
      </w:r>
    </w:p>
    <w:p w:rsidR="009B7368" w:rsidRPr="004918E0" w:rsidRDefault="009B7368" w:rsidP="009B7368">
      <w:pPr>
        <w:pStyle w:val="Heading3"/>
        <w:rPr>
          <w:lang w:val="ga-IE"/>
        </w:rPr>
      </w:pPr>
      <w:r w:rsidRPr="004918E0">
        <w:rPr>
          <w:lang w:val="ga-IE"/>
        </w:rPr>
        <w:t xml:space="preserve">An clár oibre leasaithe a chur chun cinn i seirbhísí míchumais </w:t>
      </w:r>
    </w:p>
    <w:p w:rsidR="009B7368" w:rsidRPr="004918E0" w:rsidRDefault="009B7368" w:rsidP="009B7368">
      <w:pPr>
        <w:rPr>
          <w:lang w:val="ga-IE"/>
        </w:rPr>
      </w:pPr>
      <w:r w:rsidRPr="004918E0">
        <w:rPr>
          <w:lang w:val="ga-IE"/>
        </w:rPr>
        <w:t>Ghlac an tSeirbhís Náisiúnta Míchumais páirt sna foirne forfheidhmithe chun moltaí thuarascálacha lárnacha an FSS a chur ar aghaidh — ar dhúnadh institiúidí cónaitheacha do dhaoine faoi mhíchumas (Time to Move on from Congregated Settings) agus ar athbhreithniú ar sheirbhísí lae do dhaoine fásta (New Directions).</w:t>
      </w:r>
    </w:p>
    <w:p w:rsidR="009B7368" w:rsidRPr="004918E0" w:rsidRDefault="009B7368" w:rsidP="009B7368">
      <w:pPr>
        <w:pStyle w:val="Heading3"/>
        <w:rPr>
          <w:lang w:val="ga-IE"/>
        </w:rPr>
      </w:pPr>
      <w:r w:rsidRPr="004918E0">
        <w:rPr>
          <w:lang w:val="ga-IE"/>
        </w:rPr>
        <w:t>Measúnú Riachtanas</w:t>
      </w:r>
    </w:p>
    <w:p w:rsidR="009B7368" w:rsidRPr="004918E0" w:rsidRDefault="009B7368" w:rsidP="009B7368">
      <w:pPr>
        <w:rPr>
          <w:lang w:val="ga-IE"/>
        </w:rPr>
      </w:pPr>
      <w:r w:rsidRPr="004918E0">
        <w:rPr>
          <w:lang w:val="ga-IE"/>
        </w:rPr>
        <w:t xml:space="preserve">D’fhoilsigh an tÚdarás Náisiúnta Míchumais tuarascáil ar staidéar a rinne sé ar oibriú an phróisis um measúnú reachtúil riachtanas faoin Acht Míchumais 2005. Rinneadh an obair sin i gcomhpháirt leis an Roinn Sláinte agus Feidhmeannacht na Seirbhíse Sláinte. </w:t>
      </w:r>
    </w:p>
    <w:p w:rsidR="009B7368" w:rsidRPr="004918E0" w:rsidRDefault="009B7368" w:rsidP="009B7368">
      <w:pPr>
        <w:rPr>
          <w:lang w:val="ga-IE"/>
        </w:rPr>
      </w:pPr>
      <w:r w:rsidRPr="004918E0">
        <w:rPr>
          <w:lang w:val="ga-IE"/>
        </w:rPr>
        <w:t>Leagtar béim sna torthaí ar réimsí dea-chleachtais agus aithnítear fadhbanna iontu nach mór dul i ngleic leo. Chruthaigh sé go bhfuil an iarracht diagnóis a aimsiú ar cheann de na fachtóirí a chuireann leis an líon mór acmhainní a thugtar don phróiseas measúnaithe. D’fhéadfadh go léiríonn sé sin an fhíric go bhfuil acmhainní san oideachas agus dul isteach i roinnt seirbhísí míchumais stiúrtha ag diagnóis go príomha seachas riachtanais a mbíonn sainiú níos leithne déanta orthu</w:t>
      </w:r>
      <w:r w:rsidRPr="004918E0">
        <w:rPr>
          <w:highlight w:val="darkGray"/>
          <w:lang w:val="ga-IE"/>
        </w:rPr>
        <w:t>.</w:t>
      </w:r>
      <w:r w:rsidRPr="004918E0">
        <w:rPr>
          <w:lang w:val="ga-IE"/>
        </w:rPr>
        <w:t xml:space="preserve"> Aithníodh roinnt céimeanna praiticiúla sa tuarascáil ar féidir a ghlacadh chun an próiseas measúnaithe a shruthlíniú do thuismitheoirí agus don FSS. Lean an NDA ar aghaidh ag dul i ngleic leis na comhpháirtithe tionscadail chun moltaí a aithníodh sa staidéar a chur ar aghaidh</w:t>
      </w:r>
      <w:r w:rsidRPr="004918E0">
        <w:rPr>
          <w:rFonts w:cs="Gill Sans"/>
          <w:bCs/>
          <w:color w:val="000000"/>
          <w:szCs w:val="26"/>
          <w:lang w:val="ga-IE" w:eastAsia="en-GB"/>
        </w:rPr>
        <w:t>.</w:t>
      </w:r>
    </w:p>
    <w:p w:rsidR="009B7368" w:rsidRPr="004918E0" w:rsidRDefault="009B7368" w:rsidP="009B7368">
      <w:pPr>
        <w:pStyle w:val="Heading3"/>
        <w:rPr>
          <w:lang w:val="ga-IE"/>
        </w:rPr>
      </w:pPr>
      <w:r w:rsidRPr="004918E0">
        <w:rPr>
          <w:lang w:val="ga-IE"/>
        </w:rPr>
        <w:t xml:space="preserve">Taighde ar Leithdháileadh Acmhainní – staidéar indéantachta céim 1 </w:t>
      </w:r>
    </w:p>
    <w:p w:rsidR="009B7368" w:rsidRPr="004918E0" w:rsidRDefault="009B7368" w:rsidP="009B7368">
      <w:pPr>
        <w:rPr>
          <w:lang w:val="ga-IE"/>
        </w:rPr>
      </w:pPr>
      <w:r w:rsidRPr="004918E0">
        <w:rPr>
          <w:rFonts w:cs="Gill Sans"/>
          <w:bCs/>
          <w:color w:val="000000"/>
          <w:szCs w:val="26"/>
          <w:lang w:val="ga-IE" w:eastAsia="en-GB"/>
        </w:rPr>
        <w:t>I bhfianaise treoracha nua beartais a d’eascair ón Athbhreithniú Luacha ar Airgead agus Beartais ar Sheirbhísí Míchumais, rinne an tÚdarás Náisiúnta Míchumais staidéar indéantachta ar shamhlacha um leithdháileadh acmhainní</w:t>
      </w:r>
      <w:r w:rsidRPr="004918E0">
        <w:rPr>
          <w:lang w:val="ga-IE"/>
        </w:rPr>
        <w:t xml:space="preserve">. Ba é a bhí i gceist leis sin na triail a bhaint as dhá chóras éagsúla um leithdháileadh acmhainní chun go ndéanfaidh acmhainní freastal níos fearr ar riachtanais aonair le haghaidh tacaí míchumais. Sa staidéar rinneadh triail indéantachta ar chóras an US Supports Intensity Scale (SIS) agus ar an In Control’s RAS 5 sa Ríocht Aontaithe. Ba é a bhí i gceist leis an taighde ná measúnú próisis ar an dá huirlis bhunaithe sin. Mar chuid den taighde, cuireadh agallamh ar 112 duine fásta faoi mhíchumas agus thar réimse leathan míchumas agus socruithe maireachtála agus úsáid á baint as na ceistneoirí SIS agus RAS 5. Rinne measúnóir seachtrach taifead ar bhuanna agus laigí gach córais. Tionóladh Coiste Comhairleach a bhí comhdhéanta d’ainmnithe ó chomhlachtaí lárnacha ionadaíocha míchumais, i dteannta le comhaltaí ón Roinn Sláinte agus ó Fheidhmeannacht na Seirbhíse Sláinte agus an staidéar ar siúl. </w:t>
      </w:r>
    </w:p>
    <w:p w:rsidR="009B7368" w:rsidRPr="004918E0" w:rsidRDefault="009B7368" w:rsidP="009B7368">
      <w:pPr>
        <w:rPr>
          <w:lang w:val="ga-IE"/>
        </w:rPr>
      </w:pPr>
      <w:r w:rsidRPr="004918E0">
        <w:rPr>
          <w:rFonts w:cs="Gill Sans"/>
          <w:bCs/>
          <w:color w:val="000000"/>
          <w:szCs w:val="26"/>
          <w:lang w:val="ga-IE" w:eastAsia="en-GB"/>
        </w:rPr>
        <w:t>Tá sé beartaithe triail a bhaint as dhá shamhail eile um leithdháileadh acmhainní i 2013 sula dtabharfar comhairle faoi chóras éifeachtach agus oiriúnach chun críche.</w:t>
      </w:r>
    </w:p>
    <w:p w:rsidR="009B7368" w:rsidRPr="004918E0" w:rsidRDefault="009B7368" w:rsidP="009B7368">
      <w:pPr>
        <w:pStyle w:val="Heading3"/>
        <w:rPr>
          <w:lang w:val="ga-IE"/>
        </w:rPr>
      </w:pPr>
      <w:r w:rsidRPr="004918E0">
        <w:rPr>
          <w:lang w:val="ga-IE"/>
        </w:rPr>
        <w:t xml:space="preserve">Taighde ar Bhuiséid Phearsanta </w:t>
      </w:r>
    </w:p>
    <w:p w:rsidR="009B7368" w:rsidRPr="004918E0" w:rsidRDefault="009B7368" w:rsidP="009B7368">
      <w:pPr>
        <w:rPr>
          <w:lang w:val="ga-IE"/>
        </w:rPr>
      </w:pPr>
      <w:r w:rsidRPr="004918E0">
        <w:rPr>
          <w:lang w:val="ga-IE"/>
        </w:rPr>
        <w:t xml:space="preserve">Choimisiúnaigh an tÚdarás Náisiúnta Míchumais athbhreithniú ar litríocht idirnáisiúnta ar chur i bhfeidhm córas um buiséid phearsanta. Sa tuarascáil scrúdaíodh cúig dhlínse – an RA, SAM, Ceanada, an Astráil agus an Ísiltír. San athbhreithniú sin ar thaithí i dtíortha comparáide aithnítear na deiseanna agus na teorannacha a thángthas trasna orthu agus buiséid phearsanta á dtabhairt isteach do dhaoine faoi mhíchumas. </w:t>
      </w:r>
    </w:p>
    <w:p w:rsidR="009B7368" w:rsidRPr="004918E0" w:rsidRDefault="009B7368" w:rsidP="009B7368">
      <w:pPr>
        <w:pStyle w:val="Heading3"/>
        <w:rPr>
          <w:lang w:val="ga-IE"/>
        </w:rPr>
      </w:pPr>
      <w:r w:rsidRPr="004918E0">
        <w:rPr>
          <w:lang w:val="ga-IE"/>
        </w:rPr>
        <w:t xml:space="preserve">Treoirlínte ar sheirbhísí sláinte príomhshrutha inrochtana </w:t>
      </w:r>
    </w:p>
    <w:p w:rsidR="009B7368" w:rsidRPr="004918E0" w:rsidRDefault="009B7368" w:rsidP="009B7368">
      <w:pPr>
        <w:rPr>
          <w:lang w:val="ga-IE"/>
        </w:rPr>
      </w:pPr>
      <w:r w:rsidRPr="004918E0">
        <w:rPr>
          <w:lang w:val="ga-IE"/>
        </w:rPr>
        <w:t xml:space="preserve">D’fhorbair an tÚdarás Náisiúnta Míchumais sraith treoirlínte faoi conas cinntiú go mbeadh seirbhísí sláinte príomhshrutha inrochtana do dhaoine faoi mhíchumas. Cuireadh iad siúd faoi bhráid Fheidhmeannacht na Seirbhíse Sláinte. Tharraing na treoirlínte ar léirmheas ar litríocht ábhartha agus threoirlínte inchomparáide i ndlínsí eile, atá foilsithe ag an Údarás Náisiúnta Míchumais anois, chomh maith le próiseas comhairliúcháin le heagraíochtaí míchumais. Cuimsíonn na treoirlínte treoir ghinearálta faoi áitribh inrochtana, seirbhísí, cumarsáid agus eolas, chomh maith le treoir shonrach do sheirbhísí cúraim phríomhúil (dochtúirí ginearálta san áireamh), do sheirbhísí máithreachais, agus do sheirbhísí ospidéil. </w:t>
      </w:r>
    </w:p>
    <w:p w:rsidR="009B7368" w:rsidRPr="004918E0" w:rsidRDefault="009B7368" w:rsidP="009B7368">
      <w:pPr>
        <w:pStyle w:val="Heading3"/>
        <w:rPr>
          <w:lang w:val="ga-IE"/>
        </w:rPr>
      </w:pPr>
      <w:r w:rsidRPr="004918E0">
        <w:rPr>
          <w:lang w:val="ga-IE"/>
        </w:rPr>
        <w:t>Árachas Sláinte Uilechoiteann</w:t>
      </w:r>
    </w:p>
    <w:p w:rsidR="009B7368" w:rsidRPr="004918E0" w:rsidRDefault="009B7368" w:rsidP="009B7368">
      <w:pPr>
        <w:rPr>
          <w:lang w:val="ga-IE"/>
        </w:rPr>
      </w:pPr>
      <w:r w:rsidRPr="004918E0">
        <w:rPr>
          <w:lang w:val="ga-IE"/>
        </w:rPr>
        <w:t>D’fhoilsigh an tÚdarás Náisiúnta Míchumais tuarascáil choimisiúnaithe ina ndearnadh achoimre ar an litríocht taighde a bhí ar fáil maidir le saincheisteanna do dhaoine faoi mhíchumas i samhail árachais sláinte uilechoiteann. Threoraigh sé sin an chomhairle beartais a cuireadh ar fáil don Aire Sláinte faoi na saincheisteanna do dhaoine faoi mhíchumas ar cheart a bhreithniú agus é ag beartú Árachas Sláinte Uilechoiteann a thabhairt isteach, lenar áiríodh rochtain chomhionann ar chumhdach árachais ar phraghas réasúnta, agus an réimse seirbhísí a bheadh clúdaithe ag an árachas.</w:t>
      </w:r>
    </w:p>
    <w:p w:rsidR="009B7368" w:rsidRPr="004918E0" w:rsidRDefault="009B7368" w:rsidP="009B7368">
      <w:pPr>
        <w:pStyle w:val="Heading3"/>
        <w:rPr>
          <w:lang w:val="ga-IE"/>
        </w:rPr>
      </w:pPr>
      <w:r w:rsidRPr="004918E0">
        <w:rPr>
          <w:lang w:val="ga-IE"/>
        </w:rPr>
        <w:t xml:space="preserve">Comhairle bheartais eile i réimse na sláinte </w:t>
      </w:r>
    </w:p>
    <w:p w:rsidR="009B7368" w:rsidRPr="004918E0" w:rsidRDefault="009B7368" w:rsidP="009B7368">
      <w:pPr>
        <w:pStyle w:val="NormalBeforeList"/>
        <w:rPr>
          <w:lang w:val="ga-IE"/>
        </w:rPr>
      </w:pPr>
      <w:r w:rsidRPr="004918E0">
        <w:rPr>
          <w:lang w:val="ga-IE"/>
        </w:rPr>
        <w:t>D’eisigh an tÚdarás Náisiúnta Míchumais páipéir chomhairle freisin sna réimsí seo a leanas:</w:t>
      </w:r>
    </w:p>
    <w:p w:rsidR="009B7368" w:rsidRPr="004918E0" w:rsidRDefault="009B7368" w:rsidP="009B7368">
      <w:pPr>
        <w:pStyle w:val="ListBullet"/>
        <w:rPr>
          <w:lang w:val="ga-IE"/>
        </w:rPr>
      </w:pPr>
      <w:r w:rsidRPr="004918E0">
        <w:rPr>
          <w:lang w:val="ga-IE"/>
        </w:rPr>
        <w:t xml:space="preserve">Chuig an nGrúpa Faireacháin Fís don Athrú, maidir leis an straitéis meabhairshláinte a chur ar aghaidh </w:t>
      </w:r>
    </w:p>
    <w:p w:rsidR="009B7368" w:rsidRPr="004918E0" w:rsidRDefault="009B7368" w:rsidP="009B7368">
      <w:pPr>
        <w:pStyle w:val="ListBullet"/>
        <w:rPr>
          <w:lang w:val="ga-IE"/>
        </w:rPr>
      </w:pPr>
      <w:r w:rsidRPr="004918E0">
        <w:rPr>
          <w:lang w:val="ga-IE"/>
        </w:rPr>
        <w:t xml:space="preserve">Comhairliúchán ar mheabhairshláinte agus ar an gcóras dlí choiriúil </w:t>
      </w:r>
    </w:p>
    <w:p w:rsidR="009B7368" w:rsidRPr="004918E0" w:rsidRDefault="009B7368" w:rsidP="009B7368">
      <w:pPr>
        <w:pStyle w:val="ListBullet"/>
        <w:rPr>
          <w:lang w:val="ga-IE"/>
        </w:rPr>
      </w:pPr>
      <w:r w:rsidRPr="004918E0">
        <w:rPr>
          <w:lang w:val="ga-IE"/>
        </w:rPr>
        <w:t xml:space="preserve">Comhairliúchán ar an Straitéis Náisiúnta Néaltraithe </w:t>
      </w:r>
    </w:p>
    <w:p w:rsidR="009B7368" w:rsidRPr="004918E0" w:rsidRDefault="009B7368" w:rsidP="009B7368">
      <w:pPr>
        <w:pStyle w:val="ListBullet"/>
        <w:rPr>
          <w:lang w:val="ga-IE"/>
        </w:rPr>
      </w:pPr>
      <w:r w:rsidRPr="004918E0">
        <w:rPr>
          <w:lang w:val="ga-IE"/>
        </w:rPr>
        <w:t xml:space="preserve">Páipéar Comhairliúchán ar an Liúntas So-aistritheachta </w:t>
      </w:r>
    </w:p>
    <w:p w:rsidR="009B7368" w:rsidRPr="004918E0" w:rsidRDefault="009B7368" w:rsidP="009B7368">
      <w:pPr>
        <w:pStyle w:val="ListBullet"/>
        <w:spacing w:after="240"/>
        <w:rPr>
          <w:lang w:val="ga-IE"/>
        </w:rPr>
      </w:pPr>
      <w:r w:rsidRPr="004918E0">
        <w:rPr>
          <w:lang w:val="ga-IE"/>
        </w:rPr>
        <w:t xml:space="preserve">Comhairle ar rialáil seirbhísí éisteolaíochta príobháideacha </w:t>
      </w:r>
    </w:p>
    <w:p w:rsidR="009B7368" w:rsidRPr="004918E0" w:rsidRDefault="009B7368" w:rsidP="009B7368">
      <w:pPr>
        <w:pStyle w:val="Heading2"/>
        <w:rPr>
          <w:lang w:val="ga-IE"/>
        </w:rPr>
      </w:pPr>
      <w:r w:rsidRPr="004918E0">
        <w:rPr>
          <w:lang w:val="ga-IE"/>
        </w:rPr>
        <w:t xml:space="preserve">Caighdeáin do dhaoine faoi mhíchumas </w:t>
      </w:r>
    </w:p>
    <w:p w:rsidR="009B7368" w:rsidRPr="004918E0" w:rsidRDefault="009B7368" w:rsidP="009B7368">
      <w:pPr>
        <w:pStyle w:val="Heading3"/>
        <w:rPr>
          <w:lang w:val="ga-IE"/>
        </w:rPr>
      </w:pPr>
      <w:r w:rsidRPr="004918E0">
        <w:rPr>
          <w:lang w:val="ga-IE"/>
        </w:rPr>
        <w:t xml:space="preserve">Caighdeáin Náisiúnta d’Ionaid Chónaitheacha </w:t>
      </w:r>
    </w:p>
    <w:p w:rsidR="009B7368" w:rsidRPr="004918E0" w:rsidRDefault="009B7368" w:rsidP="009B7368">
      <w:pPr>
        <w:rPr>
          <w:lang w:val="ga-IE"/>
        </w:rPr>
      </w:pPr>
      <w:r w:rsidRPr="004918E0">
        <w:rPr>
          <w:lang w:val="ga-IE"/>
        </w:rPr>
        <w:t xml:space="preserve">D’fhoilsigh an tÚdarás um Fhaisnéis agus Cáilíocht Sláinte (HIQA) na Dréachtchaighdeáin Náisiúnta d’Ionaid Chónaitheacha do Dhaoine faoi Mhíchumas um chomhairliúchán poiblí i 2012. Chuir an tÚdarás Náisiúnta Míchumais aighneacht faoi bhráid HIQA mar fhreagra ar an gcomhairliúchán poiblí sin. </w:t>
      </w:r>
    </w:p>
    <w:p w:rsidR="009B7368" w:rsidRPr="004918E0" w:rsidRDefault="009B7368" w:rsidP="009B7368">
      <w:pPr>
        <w:pStyle w:val="Heading3"/>
        <w:rPr>
          <w:lang w:val="ga-IE"/>
        </w:rPr>
      </w:pPr>
      <w:r w:rsidRPr="004918E0">
        <w:rPr>
          <w:lang w:val="ga-IE"/>
        </w:rPr>
        <w:t xml:space="preserve">Caighdeáin Eatramhacha um Sheirbhísí Lae do Dhaoine Fásta </w:t>
      </w:r>
    </w:p>
    <w:p w:rsidR="009B7368" w:rsidRPr="004918E0" w:rsidRDefault="009B7368" w:rsidP="009B7368">
      <w:pPr>
        <w:rPr>
          <w:lang w:val="ga-IE"/>
        </w:rPr>
      </w:pPr>
      <w:r w:rsidRPr="004918E0">
        <w:rPr>
          <w:lang w:val="ga-IE"/>
        </w:rPr>
        <w:t>Foilsíodh an t-athbhreithniú ar Sheirbhísí Lae an FSS do dhaoine fásta dar teideal New Directions i bhFeabhra 2012. Sa tuarascáil sin samhlaítear samhail nua seirbhísí ina leagtar béim ar thacaíocht dhaoine faoi mhíchumas chun páirt a ghlacadh i ngníomhaíochtaí príomhshrutha sa phobal. Déantar ionadaíocht ar an NDA ar an ngrúpa feidhmithe. Faoin bplean feidhmithe, iarradh ar an Údarás Náisiúnta Míchumais dréachtchaighdeáin eatramhacha a fhorbairt don tsamhail nua atá leagtha amach i New Directions. Meastar go bhfoilseofar Dréachtchaighdeáin Eatramhacha um chomhairliúchán poiblí i Meán Fómhair 2013.</w:t>
      </w:r>
    </w:p>
    <w:p w:rsidR="009B7368" w:rsidRPr="004918E0" w:rsidRDefault="009B7368" w:rsidP="009B7368">
      <w:pPr>
        <w:pStyle w:val="Heading2"/>
        <w:rPr>
          <w:lang w:val="ga-IE"/>
        </w:rPr>
      </w:pPr>
      <w:r w:rsidRPr="004918E0">
        <w:rPr>
          <w:lang w:val="ga-IE"/>
        </w:rPr>
        <w:t>Fostaíocht</w:t>
      </w:r>
    </w:p>
    <w:p w:rsidR="009B7368" w:rsidRPr="004918E0" w:rsidRDefault="009B7368" w:rsidP="009B7368">
      <w:pPr>
        <w:rPr>
          <w:lang w:val="ga-IE"/>
        </w:rPr>
      </w:pPr>
      <w:r w:rsidRPr="004918E0">
        <w:rPr>
          <w:lang w:val="ga-IE"/>
        </w:rPr>
        <w:t xml:space="preserve">D’ullmhaigh an tÚdarás Náisiúnta Míchumais coimre le haghaidh Airí ar na réimsí a d’fhéadfadh straitéis chuimsitheach fostaíochta do dhaoine faoi mhíchumas a chumhdach. </w:t>
      </w:r>
    </w:p>
    <w:p w:rsidR="009B7368" w:rsidRPr="004918E0" w:rsidRDefault="009B7368" w:rsidP="009B7368">
      <w:pPr>
        <w:pStyle w:val="Heading3"/>
        <w:rPr>
          <w:lang w:val="ga-IE"/>
        </w:rPr>
      </w:pPr>
      <w:r w:rsidRPr="004918E0">
        <w:rPr>
          <w:lang w:val="ga-IE"/>
        </w:rPr>
        <w:t xml:space="preserve">Gníomhaireacht nua breisoideachais agus oiliúna </w:t>
      </w:r>
    </w:p>
    <w:p w:rsidR="009B7368" w:rsidRPr="004918E0" w:rsidRDefault="009B7368" w:rsidP="009B7368">
      <w:pPr>
        <w:rPr>
          <w:lang w:val="ga-IE"/>
        </w:rPr>
      </w:pPr>
      <w:r w:rsidRPr="004918E0">
        <w:rPr>
          <w:lang w:val="ga-IE"/>
        </w:rPr>
        <w:t xml:space="preserve">Chuir an tÚdarás Náisiúnta Míchumais aighneacht faoi bhráid an Roinn Oideachais agus Scileanna maidir le Solas, an ghníomhaireacht nua um breisoideachas agus oiliúna, le moltaí lárnacha maidir le conas a fhéadann an ghníomhaireacht seirbhísí cuimsitheacha a sholáthar do dhaoine faoi mhíchumas. </w:t>
      </w:r>
    </w:p>
    <w:p w:rsidR="009B7368" w:rsidRPr="004918E0" w:rsidRDefault="009B7368" w:rsidP="009B7368">
      <w:pPr>
        <w:pStyle w:val="Heading3"/>
        <w:rPr>
          <w:lang w:val="ga-IE"/>
        </w:rPr>
      </w:pPr>
      <w:r w:rsidRPr="004918E0">
        <w:rPr>
          <w:lang w:val="ga-IE"/>
        </w:rPr>
        <w:t xml:space="preserve">Seimineáir Fhostaíochta </w:t>
      </w:r>
    </w:p>
    <w:p w:rsidR="009B7368" w:rsidRPr="004918E0" w:rsidRDefault="009B7368" w:rsidP="009B7368">
      <w:pPr>
        <w:pStyle w:val="NormalBeforeList"/>
        <w:spacing w:after="120"/>
        <w:rPr>
          <w:lang w:val="ga-IE"/>
        </w:rPr>
      </w:pPr>
      <w:r w:rsidRPr="004918E0">
        <w:rPr>
          <w:lang w:val="ga-IE"/>
        </w:rPr>
        <w:t>Reáchtáil an tÚdarás Náisiúnta Míchumais sraith seimineár chun treoir a thabhairt ar bheartas agus chleachtas i ndáil le daoine faoi mhíchumas a fhostú. Tá an t-eolas lárnach a foghlaimíodh ó na seimineáir sin taifeadta ar shraith de pháipéir treorach ar an láithreán gréasáin.</w:t>
      </w:r>
    </w:p>
    <w:p w:rsidR="009B7368" w:rsidRPr="004918E0" w:rsidRDefault="009B7368" w:rsidP="009B7368">
      <w:pPr>
        <w:pStyle w:val="ListBullet"/>
        <w:rPr>
          <w:lang w:val="ga-IE"/>
        </w:rPr>
      </w:pPr>
      <w:r w:rsidRPr="004918E0">
        <w:rPr>
          <w:lang w:val="ga-IE"/>
        </w:rPr>
        <w:t>Seimineár le haghaidh ceardchumann ar shaincheisteanna fostaíochta do dhaoine faoi mhíchumas</w:t>
      </w:r>
    </w:p>
    <w:p w:rsidR="009B7368" w:rsidRPr="004918E0" w:rsidRDefault="009B7368" w:rsidP="009B7368">
      <w:pPr>
        <w:pStyle w:val="ListBullet"/>
        <w:rPr>
          <w:lang w:val="ga-IE"/>
        </w:rPr>
      </w:pPr>
      <w:r w:rsidRPr="004918E0">
        <w:rPr>
          <w:lang w:val="ga-IE"/>
        </w:rPr>
        <w:t xml:space="preserve">Seimineár ar straitéisí fostaíochta do dhaoine a bhfuil uathachas orthu </w:t>
      </w:r>
    </w:p>
    <w:p w:rsidR="009B7368" w:rsidRPr="004918E0" w:rsidRDefault="009B7368" w:rsidP="009B7368">
      <w:pPr>
        <w:pStyle w:val="ListBullet"/>
        <w:spacing w:after="240"/>
        <w:rPr>
          <w:lang w:val="ga-IE"/>
        </w:rPr>
      </w:pPr>
      <w:r w:rsidRPr="004918E0">
        <w:rPr>
          <w:lang w:val="ga-IE"/>
        </w:rPr>
        <w:t xml:space="preserve">Ról na fiontraíochta maidir le tacú le haistriú daoine faoi mhíchumas ó ghairmoideachas agus ghairmoiliúint go fostaíocht, agus an t-eolas a foghlaimíodh ó thionscadal Grundtvig an AE a chur san áireamh </w:t>
      </w:r>
    </w:p>
    <w:p w:rsidR="009B7368" w:rsidRPr="004918E0" w:rsidRDefault="009B7368" w:rsidP="009B7368">
      <w:pPr>
        <w:rPr>
          <w:lang w:val="ga-IE"/>
        </w:rPr>
      </w:pPr>
      <w:r w:rsidRPr="004918E0">
        <w:rPr>
          <w:lang w:val="ga-IE"/>
        </w:rPr>
        <w:t xml:space="preserve">D’óstáil an NDA cruinniú i bhFeabhra le haghaidh comhaltaí de Rehabilitation International Europe ar cuireadh torthaí léarscáiliú an NDA ar thaighde ábhartha i láthair aige. I dteannta leis an imeacht seo, reáchtáladh seimineár áit a ndearna an Dr Christopher Prinz ón Eagraíocht um Chomhar agus Fhorbairt Eacnamaíochta cur i láthair ar thuarascáil taighde dheireanach a rinne siad dar teideal </w:t>
      </w:r>
      <w:r w:rsidRPr="004918E0">
        <w:rPr>
          <w:rFonts w:cs="Arial"/>
          <w:b/>
          <w:lang w:val="ga-IE"/>
        </w:rPr>
        <w:t xml:space="preserve">Sick on the Job: Myths and Realities about mental health and work. </w:t>
      </w:r>
    </w:p>
    <w:p w:rsidR="009B7368" w:rsidRPr="004918E0" w:rsidRDefault="009B7368" w:rsidP="009B7368">
      <w:pPr>
        <w:pStyle w:val="Heading3"/>
        <w:rPr>
          <w:lang w:val="ga-IE"/>
        </w:rPr>
      </w:pPr>
      <w:r w:rsidRPr="004918E0">
        <w:rPr>
          <w:lang w:val="ga-IE"/>
        </w:rPr>
        <w:t xml:space="preserve">Scaipeadh chuig fostóirí </w:t>
      </w:r>
    </w:p>
    <w:p w:rsidR="009B7368" w:rsidRPr="004918E0" w:rsidRDefault="009B7368" w:rsidP="009B7368">
      <w:pPr>
        <w:rPr>
          <w:lang w:val="ga-IE"/>
        </w:rPr>
      </w:pPr>
      <w:r w:rsidRPr="004918E0">
        <w:rPr>
          <w:lang w:val="ga-IE"/>
        </w:rPr>
        <w:t xml:space="preserve">Scaipeadh eolaí an Údarás Náisiúnta Míchumais ar bhaill foirne faoi mhíchumas a choimeád, agus an cúrsa oiliúna ríomhfhoghlama i seirbhís chustaiméara chuig 3,000 comhalta IBEC, chuig comhaltaí poiblí agus chuig roinnt cuideachtaí príobháideacha aonair móra. </w:t>
      </w:r>
    </w:p>
    <w:p w:rsidR="009B7368" w:rsidRPr="004918E0" w:rsidRDefault="009B7368" w:rsidP="009B7368">
      <w:pPr>
        <w:pStyle w:val="Heading3"/>
        <w:rPr>
          <w:lang w:val="ga-IE"/>
        </w:rPr>
      </w:pPr>
      <w:r w:rsidRPr="004918E0">
        <w:rPr>
          <w:lang w:val="ga-IE"/>
        </w:rPr>
        <w:t xml:space="preserve">Cruinnithe le grúpaí fostaíochta idirnáisiúnta </w:t>
      </w:r>
    </w:p>
    <w:p w:rsidR="009B7368" w:rsidRPr="004918E0" w:rsidRDefault="009B7368" w:rsidP="009B7368">
      <w:pPr>
        <w:rPr>
          <w:lang w:val="ga-IE"/>
        </w:rPr>
      </w:pPr>
      <w:r w:rsidRPr="004918E0">
        <w:rPr>
          <w:lang w:val="ga-IE"/>
        </w:rPr>
        <w:t xml:space="preserve">Bhí cruinnithe ag an Údarás Náisiúnta Míchumais le toscaireachtaí agus grúpaí idirnáisiúnta lenar áiríodh grúpa fostaíochta tacaithe as an mBeilg; an Roinn um Chúrsaí Daoine faoi Mhíchumas in Aireacht Slándála Sóisialaí na Liotuáine; Disability Employment Australia; agus comhghleacaithe fostaíochta na Tansáine. </w:t>
      </w:r>
    </w:p>
    <w:p w:rsidR="009B7368" w:rsidRPr="004918E0" w:rsidRDefault="009B7368" w:rsidP="009B7368">
      <w:pPr>
        <w:pStyle w:val="Heading2"/>
        <w:rPr>
          <w:lang w:val="ga-IE"/>
        </w:rPr>
      </w:pPr>
      <w:r w:rsidRPr="004918E0">
        <w:rPr>
          <w:lang w:val="ga-IE"/>
        </w:rPr>
        <w:t xml:space="preserve">Fostaíocht san earnáil phoiblí </w:t>
      </w:r>
    </w:p>
    <w:p w:rsidR="009B7368" w:rsidRPr="004918E0" w:rsidRDefault="009B7368" w:rsidP="009B7368">
      <w:pPr>
        <w:rPr>
          <w:lang w:val="ga-IE"/>
        </w:rPr>
      </w:pPr>
      <w:r w:rsidRPr="004918E0">
        <w:rPr>
          <w:lang w:val="ga-IE"/>
        </w:rPr>
        <w:t xml:space="preserve">Tiomsaíonn an tÚdarás Náisiúnta Míchumais tuarascáil bhliantúil reachtúil ar chomhlíonadh Cuid 5 den Acht Míchumais 2005 ina leagtar amach oibleagáidí ar fhostú daoine faoi mhíchumas san earnáil phoiblí. </w:t>
      </w:r>
    </w:p>
    <w:p w:rsidR="009B7368" w:rsidRPr="004918E0" w:rsidRDefault="009B7368" w:rsidP="009B7368">
      <w:pPr>
        <w:pStyle w:val="Heading3"/>
        <w:rPr>
          <w:lang w:val="ga-IE"/>
        </w:rPr>
      </w:pPr>
      <w:r w:rsidRPr="004918E0">
        <w:rPr>
          <w:lang w:val="ga-IE"/>
        </w:rPr>
        <w:t xml:space="preserve">Sprioc fostaíochta de 3% bainte amach den chéad uair </w:t>
      </w:r>
    </w:p>
    <w:p w:rsidR="009B7368" w:rsidRPr="004918E0" w:rsidRDefault="009B7368" w:rsidP="009B7368">
      <w:pPr>
        <w:rPr>
          <w:lang w:val="ga-IE"/>
        </w:rPr>
      </w:pPr>
      <w:r w:rsidRPr="004918E0">
        <w:rPr>
          <w:lang w:val="ga-IE"/>
        </w:rPr>
        <w:t xml:space="preserve">Léirigh an tuarascáil bhliantúil le haghaidh 2011, a foilsíodh i Samhain 2012, gurbh é an cion iomlán de bhaill foirne faoi mhíchumas a tuairiscíodh thar an tseirbhís phoiblí iomlán ná 3.1% i 2011. Ba é an chéad uair ar baineadh amach an sprioc post de 3% do dhaoine faoi mhíchumas ó tháinig sé chun bheith ina ceangal dlí i 2006. </w:t>
      </w:r>
    </w:p>
    <w:p w:rsidR="009B7368" w:rsidRPr="004918E0" w:rsidRDefault="009B7368" w:rsidP="009B7368">
      <w:pPr>
        <w:rPr>
          <w:lang w:val="ga-IE"/>
        </w:rPr>
      </w:pPr>
      <w:r w:rsidRPr="004918E0">
        <w:rPr>
          <w:lang w:val="ga-IE"/>
        </w:rPr>
        <w:t xml:space="preserve">Cloch míle tábhachtach é sin, agus léiríonn sé tionchar na gcéimeanna tábhachtacha a glacadh ar fud na seirbhíse poiblí chun daoine faoi mhíchumas a earcú, a thacú agus a choimeád, chomh maith le tionchar córas níos fearr chun líon na mball foirne atá faoi mhíchumas a thaifeadadh agus a thuairisciú. Éacht suntasach é go háirithe agus é bainte amach i gcoinne cúlra de laghdú ar líon na mball foirne sa tseirbhís phoiblí agus an moratóir ar earcaíocht nó líonadh folúntas thar chuid mhór den tseirbhís phoiblí. </w:t>
      </w:r>
    </w:p>
    <w:p w:rsidR="009B7368" w:rsidRPr="004918E0" w:rsidRDefault="009B7368" w:rsidP="009B7368">
      <w:pPr>
        <w:rPr>
          <w:lang w:val="ga-IE"/>
        </w:rPr>
      </w:pPr>
      <w:r w:rsidRPr="004918E0">
        <w:rPr>
          <w:lang w:val="ga-IE"/>
        </w:rPr>
        <w:t xml:space="preserve">Tá líon iomlán na mball foirne sa tseirbhís phoiblí ag dul i laghad ó 2007 agus laghdú de os cionn 33,000 tagtha air ag a buaic. Mar sin féin, tá méadú tagtha ar líon tuairiscithe na ndaoine faoi mhíchumas atá ag obair sa tseirbhís phoiblí ó 5,879 i 2007 go 6,171 i 2011. Bhí figiúr 2011 comhionann le méadú tuairiscithe de 423 fhostaí faoi mhíchumas nuair a chuirtear i gcomparáid le 2010 é. </w:t>
      </w:r>
    </w:p>
    <w:p w:rsidR="009B7368" w:rsidRPr="004918E0" w:rsidRDefault="009B7368" w:rsidP="009B7368">
      <w:pPr>
        <w:rPr>
          <w:lang w:val="ga-IE"/>
        </w:rPr>
      </w:pPr>
      <w:r w:rsidRPr="004918E0">
        <w:rPr>
          <w:lang w:val="ga-IE"/>
        </w:rPr>
        <w:t xml:space="preserve">I dteannta le céimeanna chun fostú ball foirne faoi mhíchumas a chur chun cinn agus a thacú, ar cheann de na príomhchúiseanna leis an athrú tuairiscithe ó 2010 tá gur fheabhsaigh roinnt comhlachtaí poiblí móra a gcuid sonraí ar líon na mball foirne faoi mhíchumas agus chabhraigh ról dearfach cheardchumainn na hearnála poiblí le comhaireamh níos cruinne a chinntiú. </w:t>
      </w:r>
    </w:p>
    <w:p w:rsidR="009B7368" w:rsidRPr="004918E0" w:rsidRDefault="009B7368" w:rsidP="009B7368">
      <w:pPr>
        <w:pStyle w:val="Heading3"/>
        <w:rPr>
          <w:lang w:val="ga-IE"/>
        </w:rPr>
      </w:pPr>
      <w:r w:rsidRPr="004918E0">
        <w:rPr>
          <w:lang w:val="ga-IE"/>
        </w:rPr>
        <w:t xml:space="preserve">Obair leantach le comhlachtaí poiblí a raibh níos lú ná 3% fostaithe acu </w:t>
      </w:r>
    </w:p>
    <w:p w:rsidR="009B7368" w:rsidRPr="004918E0" w:rsidRDefault="009B7368" w:rsidP="009B7368">
      <w:pPr>
        <w:rPr>
          <w:lang w:val="ga-IE"/>
        </w:rPr>
      </w:pPr>
      <w:r w:rsidRPr="004918E0">
        <w:rPr>
          <w:lang w:val="ga-IE"/>
        </w:rPr>
        <w:t xml:space="preserve">D’iarr agus fuair an tÚdarás Náisiúnta Míchumais eolas níos sonraí ó na comhlachtaí poiblí sin, a raibh acmhainn acu chun earcú i 2011 ach nár bhain amach an sprioc de 3%. D’eisigh an tÚdarás Náisiúnta Míchumais comhairle shaincheaptha chuig caoga comhlacht poiblí nár bhain an sprioc amach, agus rinne siad obair leantach níos sonraí leis na hocht gcomhlacht ba mhó as na comhlachtaí sin chun na dúshláin a shocrú a bhí ag baint leis an sprioc a bhaint amach agus chun treoir shonrach a thairiscint. </w:t>
      </w:r>
    </w:p>
    <w:p w:rsidR="009B7368" w:rsidRPr="004918E0" w:rsidRDefault="009B7368" w:rsidP="009B7368">
      <w:pPr>
        <w:rPr>
          <w:lang w:val="ga-IE"/>
        </w:rPr>
      </w:pPr>
      <w:r w:rsidRPr="004918E0">
        <w:rPr>
          <w:lang w:val="ga-IE"/>
        </w:rPr>
        <w:t xml:space="preserve">Ina theannta sin d’fhoilsigh an tÚdarás Náisiúnta Míchumais treoir ilchineálach maidir le conas an sprioc post de 3% a bhaint amach agus tógáil uirthi. </w:t>
      </w:r>
    </w:p>
    <w:p w:rsidR="009B7368" w:rsidRPr="004918E0" w:rsidRDefault="009B7368" w:rsidP="009B7368">
      <w:pPr>
        <w:rPr>
          <w:b/>
          <w:bCs/>
          <w:lang w:val="ga-IE"/>
        </w:rPr>
      </w:pPr>
      <w:r w:rsidRPr="004918E0">
        <w:rPr>
          <w:lang w:val="ga-IE"/>
        </w:rPr>
        <w:t>Ina theannta sin thug an NDA eolas do sheimineár Chomhdháil na gCeardchumann ar ról agus obair an Údarás Náisiúnta Míchumais, an Straitéis Náisiúnta Míchumais, cúrsa ríomhfhoghlama an NDA, taighde ar dhearcaí i dtreo daoine faoi mhíchumas, coimeád oibrithe a dtagann míchumas orthu, inrochtaineacht agus Dearadh Uilíoch.</w:t>
      </w:r>
    </w:p>
    <w:p w:rsidR="009B7368" w:rsidRPr="004918E0" w:rsidRDefault="009B7368" w:rsidP="009B7368">
      <w:pPr>
        <w:pStyle w:val="Heading3"/>
        <w:rPr>
          <w:lang w:val="ga-IE"/>
        </w:rPr>
      </w:pPr>
      <w:r w:rsidRPr="004918E0">
        <w:rPr>
          <w:lang w:val="ga-IE"/>
        </w:rPr>
        <w:t xml:space="preserve">Comhdháil le haghaidh comhlachtaí earnála poiblí ar fhostaíocht </w:t>
      </w:r>
    </w:p>
    <w:p w:rsidR="009B7368" w:rsidRPr="004918E0" w:rsidRDefault="009B7368" w:rsidP="009B7368">
      <w:pPr>
        <w:rPr>
          <w:lang w:val="ga-IE"/>
        </w:rPr>
      </w:pPr>
      <w:r w:rsidRPr="004918E0">
        <w:rPr>
          <w:lang w:val="ga-IE"/>
        </w:rPr>
        <w:t xml:space="preserve">D’óstáil an tÚdarás Náisiúnta Míchumais comhdháil ar fhostú daoine faoi míchumas do chomhlachtaí poiblí i Meitheamh 2012. Bhí sí sin ceaptha chun treoir a thabhairt do chomhlachtaí earnála poiblí maidir lena gcuid oibleagáidí reachtúla sa réimse sin a chomhlíonadh, chun dea-chleachtas a thaispeáint agus chun eolas agus smaointe a roinnt. </w:t>
      </w:r>
    </w:p>
    <w:p w:rsidR="009B7368" w:rsidRPr="004918E0" w:rsidRDefault="009B7368" w:rsidP="009B7368">
      <w:pPr>
        <w:rPr>
          <w:lang w:val="ga-IE"/>
        </w:rPr>
      </w:pPr>
      <w:r w:rsidRPr="004918E0">
        <w:rPr>
          <w:lang w:val="ga-IE"/>
        </w:rPr>
        <w:t>Chomh maith leis sin d’óstáil an NDA seimineár ar fhostaíocht d’Institiúidí Teicneolaíochta chun cur ar a gcumas dea-chleachtas atá sonrach dá n-earnáil féin a roinnt lena chéile.</w:t>
      </w:r>
    </w:p>
    <w:p w:rsidR="009B7368" w:rsidRPr="004918E0" w:rsidRDefault="009B7368" w:rsidP="009B7368">
      <w:pPr>
        <w:pStyle w:val="Heading2"/>
        <w:rPr>
          <w:lang w:val="ga-IE"/>
        </w:rPr>
      </w:pPr>
      <w:r w:rsidRPr="004918E0">
        <w:rPr>
          <w:lang w:val="ga-IE"/>
        </w:rPr>
        <w:t>Coimirce Shóisialach</w:t>
      </w:r>
    </w:p>
    <w:p w:rsidR="009B7368" w:rsidRPr="004918E0" w:rsidRDefault="009B7368" w:rsidP="009B7368">
      <w:pPr>
        <w:pStyle w:val="Heading3"/>
        <w:rPr>
          <w:lang w:val="ga-IE"/>
        </w:rPr>
      </w:pPr>
      <w:r w:rsidRPr="004918E0">
        <w:rPr>
          <w:lang w:val="ga-IE"/>
        </w:rPr>
        <w:t>Aoníocaíocht cúnaimh shóisialaigh</w:t>
      </w:r>
    </w:p>
    <w:p w:rsidR="009B7368" w:rsidRPr="004918E0" w:rsidRDefault="009B7368" w:rsidP="009B7368">
      <w:pPr>
        <w:rPr>
          <w:lang w:val="ga-IE"/>
        </w:rPr>
      </w:pPr>
      <w:r w:rsidRPr="004918E0">
        <w:rPr>
          <w:lang w:val="ga-IE"/>
        </w:rPr>
        <w:t xml:space="preserve">D’ullmhaigh an tÚdarás Náisiúnta Míchumais páipéar don Roinn Coimirce Sóisialaí, i bhfianaise an pháipéir phlé ar aoníocaíocht cúnaimh shóisialaigh agus ar an díriú ar chur i ngníomh, na róil agus naisc éagsúla a leagan amach ar fud Ranna agus na gníomhaireachtaí is fearr a dhéanfadh tacaí gan bhriseadh a sheachadadh do dhaoine faoi mhíchumas atá ag lorg oibre. </w:t>
      </w:r>
    </w:p>
    <w:p w:rsidR="009B7368" w:rsidRPr="004918E0" w:rsidRDefault="009B7368" w:rsidP="009B7368">
      <w:pPr>
        <w:pStyle w:val="Heading3"/>
        <w:rPr>
          <w:lang w:val="ga-IE"/>
        </w:rPr>
      </w:pPr>
      <w:r w:rsidRPr="004918E0">
        <w:rPr>
          <w:lang w:val="ga-IE"/>
        </w:rPr>
        <w:t xml:space="preserve">Athbhreithniú ar an Liúntais Míchumais </w:t>
      </w:r>
    </w:p>
    <w:p w:rsidR="009B7368" w:rsidRPr="004918E0" w:rsidRDefault="009B7368" w:rsidP="009B7368">
      <w:pPr>
        <w:rPr>
          <w:lang w:val="ga-IE"/>
        </w:rPr>
      </w:pPr>
      <w:r w:rsidRPr="004918E0">
        <w:rPr>
          <w:lang w:val="ga-IE"/>
        </w:rPr>
        <w:t>D’ullmhaigh an tÚdarás Náisiúnta Míchumais páipéar don Ghrúpa Comhairleach ar Cháin agus Leas ar cheist na n-íocaíochtaí do dhaoine faoi mhíchumas faoi bhun 25 bliana d’aois. D’athdhearbhaigh an tÚdarás Náisiúnta Míchumais a chomhairle gur cheart íocaíochtaí leasa shóisialaigh i dtaobh daoine faoi bhun 18 mbliana d’aois a dhéanamh tríd an Liúntas Cúram Baile.</w:t>
      </w:r>
    </w:p>
    <w:p w:rsidR="009B7368" w:rsidRPr="004918E0" w:rsidRDefault="009B7368" w:rsidP="009B7368">
      <w:pPr>
        <w:pStyle w:val="Heading3"/>
        <w:rPr>
          <w:lang w:val="ga-IE"/>
        </w:rPr>
      </w:pPr>
      <w:r w:rsidRPr="004918E0">
        <w:rPr>
          <w:lang w:val="ga-IE"/>
        </w:rPr>
        <w:t xml:space="preserve">Athbhreithniú ar an Liúntas Cúram Baile </w:t>
      </w:r>
    </w:p>
    <w:p w:rsidR="009B7368" w:rsidRPr="004918E0" w:rsidRDefault="009B7368" w:rsidP="009B7368">
      <w:pPr>
        <w:pStyle w:val="NormalBeforeList"/>
        <w:spacing w:after="120"/>
        <w:rPr>
          <w:lang w:val="ga-IE"/>
        </w:rPr>
      </w:pPr>
      <w:r w:rsidRPr="004918E0">
        <w:rPr>
          <w:lang w:val="ga-IE"/>
        </w:rPr>
        <w:t>Bhí Stiúrthóir an Údarás Náisiúnta Míchumais mar chomhalta den Ghrúpa Athbhreithnithe don Liúntas Cúram Baile a thug tuairisc i mí na Nollag 2012. Ina theannta sin chabhraigh an tÚdarás Náisiúnta Míchumais le hobair an Ghrúpa Athbhreithnithe ar na bealaí seo a leanas:</w:t>
      </w:r>
    </w:p>
    <w:p w:rsidR="009B7368" w:rsidRPr="004918E0" w:rsidRDefault="009B7368" w:rsidP="009B7368">
      <w:pPr>
        <w:pStyle w:val="ListBullet"/>
        <w:rPr>
          <w:lang w:val="ga-IE"/>
        </w:rPr>
      </w:pPr>
      <w:r w:rsidRPr="004918E0">
        <w:rPr>
          <w:lang w:val="ga-IE"/>
        </w:rPr>
        <w:t xml:space="preserve">Taighde ar chleachtas i ndlínsí eile </w:t>
      </w:r>
    </w:p>
    <w:p w:rsidR="009B7368" w:rsidRPr="004918E0" w:rsidRDefault="009B7368" w:rsidP="009B7368">
      <w:pPr>
        <w:pStyle w:val="ListBullet"/>
        <w:rPr>
          <w:lang w:val="ga-IE"/>
        </w:rPr>
      </w:pPr>
      <w:r w:rsidRPr="004918E0">
        <w:rPr>
          <w:lang w:val="ga-IE"/>
        </w:rPr>
        <w:t xml:space="preserve">Comhairle a thabhairt faoi shuirbhé ar thuismitheoirí, agus roinnt anailíse staitistiúla a dhéanamh ar na torthaí agus ar an bpróiseas comhairliúcháin </w:t>
      </w:r>
    </w:p>
    <w:p w:rsidR="009B7368" w:rsidRPr="004918E0" w:rsidRDefault="009B7368" w:rsidP="009B7368">
      <w:pPr>
        <w:pStyle w:val="ListBullet"/>
        <w:rPr>
          <w:lang w:val="ga-IE"/>
        </w:rPr>
      </w:pPr>
      <w:r w:rsidRPr="004918E0">
        <w:rPr>
          <w:lang w:val="ga-IE"/>
        </w:rPr>
        <w:t xml:space="preserve">Comhairle a thabhairt ar phróiseas comhairliúcháin scríofa agus pearsanta, agus 2 fhócasghrúpa a stiúradh, i Sligeach agus i mBaile Átha Cliath mar chuid den chomhairliúchán sin </w:t>
      </w:r>
    </w:p>
    <w:p w:rsidR="009B7368" w:rsidRPr="004918E0" w:rsidRDefault="009B7368" w:rsidP="009B7368">
      <w:pPr>
        <w:pStyle w:val="ListBullet"/>
        <w:rPr>
          <w:lang w:val="ga-IE"/>
        </w:rPr>
      </w:pPr>
      <w:r w:rsidRPr="004918E0">
        <w:rPr>
          <w:lang w:val="ga-IE"/>
        </w:rPr>
        <w:t xml:space="preserve">Páipéar taighde a ullmhú ar uirlisí bailíochtaithe chun measúnú a dhéanamh ar riachtanais leanaí maidir le tacaíocht </w:t>
      </w:r>
    </w:p>
    <w:p w:rsidR="009B7368" w:rsidRPr="004918E0" w:rsidRDefault="009B7368" w:rsidP="009B7368">
      <w:pPr>
        <w:pStyle w:val="ListBullet"/>
        <w:rPr>
          <w:lang w:val="ga-IE"/>
        </w:rPr>
      </w:pPr>
      <w:r w:rsidRPr="004918E0">
        <w:rPr>
          <w:lang w:val="ga-IE"/>
        </w:rPr>
        <w:t xml:space="preserve">Páirt a ghlacadh i ngrúpa a leag amach na tacaí éagsúla atá ar fáil do thuismitheoirí linbh faoi mhíchumas </w:t>
      </w:r>
    </w:p>
    <w:p w:rsidR="009B7368" w:rsidRPr="004918E0" w:rsidRDefault="009B7368" w:rsidP="009B7368">
      <w:pPr>
        <w:pStyle w:val="ListBullet"/>
        <w:spacing w:after="240"/>
        <w:rPr>
          <w:lang w:val="ga-IE"/>
        </w:rPr>
      </w:pPr>
      <w:r w:rsidRPr="004918E0">
        <w:rPr>
          <w:lang w:val="ga-IE"/>
        </w:rPr>
        <w:t xml:space="preserve">Páipéar comhairle beartais a chur isteach </w:t>
      </w:r>
    </w:p>
    <w:p w:rsidR="009B7368" w:rsidRPr="004918E0" w:rsidRDefault="009B7368" w:rsidP="009B7368">
      <w:pPr>
        <w:pStyle w:val="Heading2"/>
        <w:rPr>
          <w:lang w:val="ga-IE"/>
        </w:rPr>
      </w:pPr>
      <w:r w:rsidRPr="004918E0">
        <w:rPr>
          <w:lang w:val="ga-IE"/>
        </w:rPr>
        <w:t>Tithíocht</w:t>
      </w:r>
    </w:p>
    <w:p w:rsidR="009B7368" w:rsidRPr="004918E0" w:rsidRDefault="009B7368" w:rsidP="009B7368">
      <w:pPr>
        <w:rPr>
          <w:lang w:val="ga-IE"/>
        </w:rPr>
      </w:pPr>
      <w:r w:rsidRPr="004918E0">
        <w:rPr>
          <w:lang w:val="ga-IE"/>
        </w:rPr>
        <w:t>Lean an tÚdarás Náisiúnta Míchumais ar aghaidh ag obair i ndlúthpháirt leis an Roinn Comhshaoil, Pobail agus Rialtais Áitiúil, an Ghníomhaireacht Tithíochta agus le heagraíochtaí míchumais ar chur i bhfeidhm an Straitéis Náisiúnta Tithíochta do Dhaoine faoi Mhíchumas. Ghlac an tÚdarás Náisiúnta Míchumais páirt sa Ghrúpa Faireacháin, atá ag déanamh maoirseachta ar chur i bhfeidhm na straitéise sin.</w:t>
      </w:r>
    </w:p>
    <w:p w:rsidR="009B7368" w:rsidRPr="004918E0" w:rsidRDefault="009B7368" w:rsidP="009B7368">
      <w:pPr>
        <w:pStyle w:val="Heading3"/>
        <w:rPr>
          <w:lang w:val="ga-IE"/>
        </w:rPr>
      </w:pPr>
      <w:r w:rsidRPr="004918E0">
        <w:rPr>
          <w:lang w:val="ga-IE"/>
        </w:rPr>
        <w:t xml:space="preserve">Treoirlínte ar mheabhairshláinte do bhaill foirne tithíochta </w:t>
      </w:r>
    </w:p>
    <w:p w:rsidR="009B7368" w:rsidRPr="004918E0" w:rsidRDefault="009B7368" w:rsidP="009B7368">
      <w:pPr>
        <w:rPr>
          <w:lang w:val="ga-IE"/>
        </w:rPr>
      </w:pPr>
      <w:r w:rsidRPr="004918E0">
        <w:rPr>
          <w:lang w:val="ga-IE"/>
        </w:rPr>
        <w:t>Rinne an tÚdarás Náisiúnta Míchumais treoirlínte chun tacaíocht a thabhairt do bhaill foirne tithíochta in údaráis áitiúla chun oibriú le custaiméirí a bhfuil fadhbanna meabhairshláinte acu, a bhí ar cheann de na míreanna gnímh sa straitéis náisiúnta tithíochta. Rinneadh na treoirlínte sin i gcomhairle le páirtithe leasmhara agus foilseofar i 2013 iad.</w:t>
      </w:r>
    </w:p>
    <w:p w:rsidR="009B7368" w:rsidRPr="004918E0" w:rsidRDefault="009B7368" w:rsidP="009B7368">
      <w:pPr>
        <w:pStyle w:val="Heading2"/>
        <w:rPr>
          <w:lang w:val="ga-IE"/>
        </w:rPr>
      </w:pPr>
      <w:r w:rsidRPr="004918E0">
        <w:rPr>
          <w:lang w:val="ga-IE"/>
        </w:rPr>
        <w:t>Iompar</w:t>
      </w:r>
    </w:p>
    <w:p w:rsidR="009B7368" w:rsidRPr="004918E0" w:rsidRDefault="009B7368" w:rsidP="009B7368">
      <w:pPr>
        <w:pStyle w:val="Heading3"/>
        <w:rPr>
          <w:lang w:val="ga-IE"/>
        </w:rPr>
      </w:pPr>
      <w:r w:rsidRPr="004918E0">
        <w:rPr>
          <w:lang w:val="ga-IE"/>
        </w:rPr>
        <w:t xml:space="preserve">An Bille um Rialáil Tacsaithe </w:t>
      </w:r>
    </w:p>
    <w:p w:rsidR="009B7368" w:rsidRPr="004918E0" w:rsidRDefault="009B7368" w:rsidP="009B7368">
      <w:pPr>
        <w:rPr>
          <w:lang w:val="ga-IE"/>
        </w:rPr>
      </w:pPr>
      <w:r w:rsidRPr="004918E0">
        <w:rPr>
          <w:lang w:val="ga-IE"/>
        </w:rPr>
        <w:t xml:space="preserve">Thug an tÚdarás Náisiúnta Míchumais tráchta ar an mBille um Rialáil Tacsaithe 2012. </w:t>
      </w:r>
    </w:p>
    <w:p w:rsidR="009B7368" w:rsidRPr="004918E0" w:rsidRDefault="009B7368" w:rsidP="009B7368">
      <w:pPr>
        <w:pStyle w:val="Heading3"/>
        <w:rPr>
          <w:lang w:val="ga-IE"/>
        </w:rPr>
      </w:pPr>
      <w:r w:rsidRPr="004918E0">
        <w:rPr>
          <w:lang w:val="ga-IE"/>
        </w:rPr>
        <w:t xml:space="preserve">An tÚdarás Náisiúnta Iompair </w:t>
      </w:r>
    </w:p>
    <w:p w:rsidR="009B7368" w:rsidRPr="004918E0" w:rsidRDefault="009B7368" w:rsidP="009B7368">
      <w:pPr>
        <w:rPr>
          <w:lang w:val="ga-IE"/>
        </w:rPr>
      </w:pPr>
      <w:r w:rsidRPr="004918E0">
        <w:rPr>
          <w:lang w:val="ga-IE"/>
        </w:rPr>
        <w:t xml:space="preserve">Thug an tÚdarás Náisiúnta Míchumais trácht ar dhréacht-treoirlínte do thiománaithe tacsaí, hacnaí agus limisín maidir le daoine faoi mhíchumas a thiomáint. </w:t>
      </w:r>
    </w:p>
    <w:p w:rsidR="009B7368" w:rsidRPr="004918E0" w:rsidRDefault="009B7368" w:rsidP="009B7368">
      <w:pPr>
        <w:pStyle w:val="Heading3"/>
        <w:rPr>
          <w:lang w:val="ga-IE"/>
        </w:rPr>
      </w:pPr>
      <w:r w:rsidRPr="004918E0">
        <w:rPr>
          <w:lang w:val="ga-IE"/>
        </w:rPr>
        <w:t>Conarthaí Seirbhíse Bus</w:t>
      </w:r>
    </w:p>
    <w:p w:rsidR="009B7368" w:rsidRPr="004918E0" w:rsidRDefault="009B7368" w:rsidP="009B7368">
      <w:pPr>
        <w:rPr>
          <w:lang w:val="ga-IE"/>
        </w:rPr>
      </w:pPr>
      <w:r w:rsidRPr="004918E0">
        <w:rPr>
          <w:lang w:val="ga-IE"/>
        </w:rPr>
        <w:t xml:space="preserve">Ghlac an tÚdarás Náisiúnta Míchumais páirt freisin sa chomhairliúchán poiblí ar Chonarthaí Seirbhíse Bus 2014, agus mhol sé go gcumhdófaí dearadh uilíoch mar choinníoll um sholáthar poiblí. Chiallódh sé sin go mbeidh seirbhísí ar conradh inrochtana do gach duine is cuma faoi aois, méid, cumas ná míchumas. </w:t>
      </w:r>
    </w:p>
    <w:p w:rsidR="009B7368" w:rsidRPr="004918E0" w:rsidRDefault="009B7368" w:rsidP="009B7368">
      <w:pPr>
        <w:pStyle w:val="Heading3"/>
        <w:rPr>
          <w:lang w:val="ga-IE"/>
        </w:rPr>
      </w:pPr>
      <w:r w:rsidRPr="004918E0">
        <w:rPr>
          <w:lang w:val="ga-IE"/>
        </w:rPr>
        <w:t xml:space="preserve">An tÚdarás um Shábháilteacht ar Bhóithre </w:t>
      </w:r>
    </w:p>
    <w:p w:rsidR="009B7368" w:rsidRPr="004918E0" w:rsidRDefault="009B7368" w:rsidP="009B7368">
      <w:pPr>
        <w:rPr>
          <w:lang w:val="ga-IE"/>
        </w:rPr>
      </w:pPr>
      <w:r w:rsidRPr="004918E0">
        <w:rPr>
          <w:lang w:val="ga-IE"/>
        </w:rPr>
        <w:t>Thug an tÚdarás Náisiúnta Míchumais comhairle mar chuid de chomhairliúchán poiblí ar fhorbairt na Straitéise Náisiúnta ar Shábháilteacht ar Bhóithre 2013-2020 agus mhol sé soláthar poiblí agus Dearadh Uilíoch a úsáid chun timpeallachtaí níos sábháilte a phleanáil a bheadh deartha níos fearr agus a chuirfeadh feabhas ar shábháilteacht do gach úsáideoir bóthair amach anseo.</w:t>
      </w:r>
    </w:p>
    <w:p w:rsidR="009B7368" w:rsidRPr="004918E0" w:rsidRDefault="009B7368" w:rsidP="009B7368">
      <w:pPr>
        <w:pStyle w:val="Heading1"/>
        <w:rPr>
          <w:lang w:val="ga-IE"/>
        </w:rPr>
      </w:pPr>
      <w:bookmarkStart w:id="82" w:name="_Toc368646738"/>
      <w:r w:rsidRPr="004918E0">
        <w:rPr>
          <w:lang w:val="ga-IE"/>
        </w:rPr>
        <w:t>Tosaíocht Straitéiseach 2</w:t>
      </w:r>
      <w:bookmarkEnd w:id="82"/>
    </w:p>
    <w:p w:rsidR="009B7368" w:rsidRPr="004918E0" w:rsidRDefault="009B7368" w:rsidP="009B7368">
      <w:pPr>
        <w:rPr>
          <w:b/>
          <w:lang w:val="ga-IE"/>
        </w:rPr>
      </w:pPr>
      <w:r w:rsidRPr="004918E0">
        <w:rPr>
          <w:b/>
          <w:lang w:val="ga-IE"/>
        </w:rPr>
        <w:t xml:space="preserve">Comhairle bheartais fianaise-bhunaithe a chur ar fáil chun neamhspleáchas agus caighdeán an tsaoil laethúil a chur chun cinn do dhaoine faoi mhíchumas thar an saolré </w:t>
      </w:r>
    </w:p>
    <w:p w:rsidR="009B7368" w:rsidRPr="004918E0" w:rsidRDefault="009B7368" w:rsidP="009B7368">
      <w:pPr>
        <w:pStyle w:val="Heading3"/>
        <w:rPr>
          <w:lang w:val="ga-IE"/>
        </w:rPr>
      </w:pPr>
      <w:r w:rsidRPr="004918E0">
        <w:rPr>
          <w:lang w:val="ga-IE"/>
        </w:rPr>
        <w:t xml:space="preserve">Coinbhinsiún na NA ar Chearta Daoine faoi Mhíchumas </w:t>
      </w:r>
    </w:p>
    <w:p w:rsidR="009B7368" w:rsidRPr="004918E0" w:rsidRDefault="009B7368" w:rsidP="009B7368">
      <w:pPr>
        <w:rPr>
          <w:lang w:val="ga-IE"/>
        </w:rPr>
      </w:pPr>
      <w:r w:rsidRPr="004918E0">
        <w:rPr>
          <w:lang w:val="ga-IE"/>
        </w:rPr>
        <w:t>D’oibrigh an tÚdarás Náisiúnta Míchumais i gcomhpháirt leis an Roinn Dlí agus Cirt agus Comhionannais chun seimineár a eagrú in Aibreán do Ranna Rialtais. Ba í aidhm an tseimineáir ná cabhrú le Ranna chun ceanglais a aithint faoi Choinbhinsiún na NA ar Chearta Daoine faoi Mhíchumas atá ábhartha dóibh, agus faoi ghníomhartha a d’fhéadfadh a bheith ag teastáil. Thug an tÚdarás Náisiúnta Míchumais dhá láithreachas ag an seimineár agus rinne siad an tuarascáil ar imeachtaí an tseimineáir le haghaidh an Roinn Dlí agus Cirt agus Comhionannais.</w:t>
      </w:r>
    </w:p>
    <w:p w:rsidR="009B7368" w:rsidRPr="004918E0" w:rsidRDefault="009B7368" w:rsidP="009B7368">
      <w:pPr>
        <w:rPr>
          <w:lang w:val="ga-IE"/>
        </w:rPr>
      </w:pPr>
      <w:r w:rsidRPr="004918E0">
        <w:rPr>
          <w:lang w:val="ga-IE"/>
        </w:rPr>
        <w:t xml:space="preserve">Ina theannta sin thug an tÚdarás Náisiúnta Míchumais tairiscint le haghaidh taighde chun saincheisteanna a aithint ó thaobh an dlí maidir le daingniú. </w:t>
      </w:r>
    </w:p>
    <w:p w:rsidR="009B7368" w:rsidRPr="004918E0" w:rsidRDefault="009B7368" w:rsidP="009B7368">
      <w:pPr>
        <w:rPr>
          <w:lang w:val="ga-IE"/>
        </w:rPr>
      </w:pPr>
      <w:r w:rsidRPr="004918E0">
        <w:rPr>
          <w:lang w:val="ga-IE"/>
        </w:rPr>
        <w:t xml:space="preserve">Bhí cruinniú ag an Údarás Náisiúnta Míchumais leis an Roinn Dlí agus Cirt agus Comhionannais chun treoir a thabhairt faoi dhréachtú na reachtaíochta ar Inniúlacht Meabhrach, agus chuir sé taighde arna coimisiúnú ag an Údarás Náisiúnta Míchumais i láthair; sa taighde sin rinneadh achoimre ar an bhfianaise taighde idirnáisiúnta ar chinnteoireacht. </w:t>
      </w:r>
    </w:p>
    <w:p w:rsidR="009B7368" w:rsidRPr="004918E0" w:rsidRDefault="009B7368" w:rsidP="009B7368">
      <w:pPr>
        <w:pStyle w:val="Heading2"/>
        <w:rPr>
          <w:lang w:val="ga-IE"/>
        </w:rPr>
      </w:pPr>
      <w:r w:rsidRPr="004918E0">
        <w:rPr>
          <w:lang w:val="ga-IE"/>
        </w:rPr>
        <w:t xml:space="preserve">Seimineár ar an Tuarascáil Dhomhanda ar Mhíchumas </w:t>
      </w:r>
    </w:p>
    <w:p w:rsidR="009B7368" w:rsidRPr="004918E0" w:rsidRDefault="009B7368" w:rsidP="009B7368">
      <w:pPr>
        <w:rPr>
          <w:lang w:val="ga-IE"/>
        </w:rPr>
      </w:pPr>
      <w:r w:rsidRPr="004918E0">
        <w:rPr>
          <w:color w:val="000000"/>
          <w:lang w:val="ga-IE"/>
        </w:rPr>
        <w:t xml:space="preserve">Tugadh cuireadh do gach ballstát den Eagraíocht Dhomhanda Sláinte chun seimineár a óstáil ar fhionnachtana na Tuarascála Domhanda ar Mhíchumas 2011, a rinne an WHO agus an Banc Domhanda i dteannta a chéile. D’óstáil an tÚdarás Náisiúnta Míchumais seimineár in Eanáir 2012, le Tom Shakespeare, duine d’údair an tuarascála, mar phríomhchainteoir, agus reáchtáladh roinnt ceardlann ina dhiaidh ar chuid de théamaí lárnacha na tuarascála. </w:t>
      </w:r>
    </w:p>
    <w:p w:rsidR="009B7368" w:rsidRPr="004918E0" w:rsidRDefault="009B7368" w:rsidP="009B7368">
      <w:pPr>
        <w:pStyle w:val="Heading2"/>
        <w:rPr>
          <w:lang w:val="ga-IE"/>
        </w:rPr>
      </w:pPr>
      <w:r w:rsidRPr="004918E0">
        <w:rPr>
          <w:lang w:val="ga-IE"/>
        </w:rPr>
        <w:t xml:space="preserve">Dearcaí dearfacha a chur chun cinn </w:t>
      </w:r>
    </w:p>
    <w:p w:rsidR="009B7368" w:rsidRPr="004918E0" w:rsidRDefault="009B7368" w:rsidP="009B7368">
      <w:pPr>
        <w:pStyle w:val="Heading3"/>
        <w:rPr>
          <w:lang w:val="ga-IE"/>
        </w:rPr>
      </w:pPr>
      <w:r w:rsidRPr="004918E0">
        <w:rPr>
          <w:lang w:val="ga-IE"/>
        </w:rPr>
        <w:t>Taighde ar mheabhairshláinte</w:t>
      </w:r>
    </w:p>
    <w:p w:rsidR="009B7368" w:rsidRPr="004918E0" w:rsidRDefault="009B7368" w:rsidP="009B7368">
      <w:pPr>
        <w:rPr>
          <w:lang w:val="ga-IE"/>
        </w:rPr>
      </w:pPr>
      <w:r w:rsidRPr="004918E0">
        <w:rPr>
          <w:lang w:val="ga-IE"/>
        </w:rPr>
        <w:t xml:space="preserve">Rinne an tÚdarás Náisiúnta Míchumais agus an Oifig Náisiúnta um Fhéinmharú a Chosc comh-mhaoiniú ar thaighde ar dhearcaí i dtreo daoine a bhfuil fadhbanna meabhairshláinte acu, mar chuid de rannpháirtíocht an Údarás Náisiúnta Míchumais san fheachtas See Change. Tháinig an taighde sin i ndiaidh taighde cosúlaí a rinne an tÚdarás Náisiúnta Míchumais dhá bhliain roimhe sin, agus leagadh béim inti ar thionchar an chúlú eacnamaíochta agus an bhrú airgeadais ar fhadhbanna meabhairshláinte. </w:t>
      </w:r>
    </w:p>
    <w:p w:rsidR="009B7368" w:rsidRPr="004918E0" w:rsidRDefault="009B7368" w:rsidP="009B7368">
      <w:pPr>
        <w:pStyle w:val="Heading3"/>
        <w:rPr>
          <w:lang w:val="ga-IE"/>
        </w:rPr>
      </w:pPr>
      <w:r w:rsidRPr="004918E0">
        <w:rPr>
          <w:lang w:val="ga-IE"/>
        </w:rPr>
        <w:t xml:space="preserve">Ionadaíocht ar dhaoine faoi mhíchumas sna meáin chraolta </w:t>
      </w:r>
    </w:p>
    <w:p w:rsidR="009B7368" w:rsidRPr="004918E0" w:rsidRDefault="009B7368" w:rsidP="009B7368">
      <w:pPr>
        <w:rPr>
          <w:lang w:val="ga-IE"/>
        </w:rPr>
      </w:pPr>
      <w:r w:rsidRPr="004918E0">
        <w:rPr>
          <w:lang w:val="ga-IE"/>
        </w:rPr>
        <w:t>Tar éis comhthaighde a foilsíodh i 2009, reáchtáil an tÚdarás Náisiúnta Míchumais agus an tÚdarás Náisiúnta Craolacháin seimineár ar fhionnachtana na taighde sin sular chuir sé tús le treoirlínte deonacha a fhorbairt sa réimse sin ag an Údarás Náisiúnta Craolacháin. Tá Grúpa Stiúrtha bunaithe anois chun na treoirlínte sin a chur ar aghaidh, a dhéanann ionadaíocht ar gach gné den chraoladh, agus ar dhaoine faoi mhíchumas, agus an tÚdarás Náisiúnta Míchumais san áireamh.</w:t>
      </w:r>
    </w:p>
    <w:p w:rsidR="009B7368" w:rsidRPr="004918E0" w:rsidRDefault="009B7368" w:rsidP="009B7368">
      <w:pPr>
        <w:pStyle w:val="Heading3"/>
        <w:rPr>
          <w:lang w:val="ga-IE"/>
        </w:rPr>
      </w:pPr>
      <w:r w:rsidRPr="004918E0">
        <w:rPr>
          <w:lang w:val="ga-IE"/>
        </w:rPr>
        <w:t>Rialacha Rochtana Craolta</w:t>
      </w:r>
    </w:p>
    <w:p w:rsidR="009B7368" w:rsidRPr="004918E0" w:rsidRDefault="009B7368" w:rsidP="009B7368">
      <w:pPr>
        <w:rPr>
          <w:lang w:val="ga-IE"/>
        </w:rPr>
      </w:pPr>
      <w:r w:rsidRPr="004918E0">
        <w:rPr>
          <w:lang w:val="ga-IE"/>
        </w:rPr>
        <w:t>Thug an tÚdarás Náisiúnta Míchumais aighneacht don chomhairliúchán ar na Rialacha Rochtana a leagann amach ceanglais go mbeadh fotheidil nó léirmhíniú Teanga Comharthaíochta na hÉireann ag gabháil le híoschion dá n-ábhar.</w:t>
      </w:r>
    </w:p>
    <w:p w:rsidR="009B7368" w:rsidRPr="004918E0" w:rsidRDefault="009B7368" w:rsidP="009B7368">
      <w:pPr>
        <w:pStyle w:val="Heading3"/>
        <w:rPr>
          <w:lang w:val="ga-IE"/>
        </w:rPr>
      </w:pPr>
      <w:r w:rsidRPr="004918E0">
        <w:rPr>
          <w:lang w:val="ga-IE"/>
        </w:rPr>
        <w:t xml:space="preserve">Aitheantas do Theanga Comharthaíochta na hÉireann </w:t>
      </w:r>
    </w:p>
    <w:p w:rsidR="009B7368" w:rsidRPr="004918E0" w:rsidRDefault="009B7368" w:rsidP="009B7368">
      <w:pPr>
        <w:rPr>
          <w:lang w:val="ga-IE"/>
        </w:rPr>
      </w:pPr>
      <w:r w:rsidRPr="004918E0">
        <w:rPr>
          <w:lang w:val="ga-IE"/>
        </w:rPr>
        <w:t>D’ullmhaigh an tÚdarás Náisiúnta Míchumais páipéar treorach don Roinn Dlí agus Cirt agus Comhionannais ar aithint teangacha comharthaíochta i ndlínsí eile, agus ar shaincheisteanna in Éirinn. D’óstáil an tÚdarás Náisiúnta Míchumais Babhta Bailithe Tuairimí faoin tsaincheist sin i mBealtaine, chun deis a thabhairt do phobal na mBodhar agus do dhéantóirí beartais plé a dhéanamh ar thosaíochtaí um chumarsáid agus léirmhíniú, agus ar bhealaí praiticiúla chun dul chun cinn a dhéanamh.</w:t>
      </w:r>
    </w:p>
    <w:p w:rsidR="009B7368" w:rsidRPr="004918E0" w:rsidRDefault="009B7368" w:rsidP="009B7368">
      <w:pPr>
        <w:pStyle w:val="Heading2"/>
        <w:rPr>
          <w:lang w:val="ga-IE"/>
        </w:rPr>
      </w:pPr>
      <w:r w:rsidRPr="004918E0">
        <w:rPr>
          <w:lang w:val="ga-IE"/>
        </w:rPr>
        <w:t xml:space="preserve">Maireachtáil neamhspleách sa phobal </w:t>
      </w:r>
    </w:p>
    <w:p w:rsidR="009B7368" w:rsidRPr="004918E0" w:rsidRDefault="009B7368" w:rsidP="009B7368">
      <w:pPr>
        <w:rPr>
          <w:lang w:val="ga-IE"/>
        </w:rPr>
      </w:pPr>
      <w:r w:rsidRPr="004918E0">
        <w:rPr>
          <w:lang w:val="ga-IE"/>
        </w:rPr>
        <w:t xml:space="preserve">D’ullmhaigh an tÚdarás Náisiúnta Míchumais taighde dar teideal </w:t>
      </w:r>
      <w:r w:rsidRPr="004918E0">
        <w:rPr>
          <w:b/>
          <w:lang w:val="ga-IE"/>
        </w:rPr>
        <w:t>Living in your own home with a disability</w:t>
      </w:r>
      <w:r w:rsidRPr="004918E0">
        <w:rPr>
          <w:lang w:val="ga-IE"/>
        </w:rPr>
        <w:t xml:space="preserve">, a bhí bunaithe ar agallaimh le tuairim caoga duine faoi mhíchumas. Sa staidéar sin breathnaíodh ar na tacaí a bhí éifeachtach do dhaoine dar leo féin, maidir le cur ar a gcumas maireachtáil go neamhspleách agus fanacht ina dtithe féin. </w:t>
      </w:r>
    </w:p>
    <w:p w:rsidR="009B7368" w:rsidRPr="004918E0" w:rsidRDefault="009B7368" w:rsidP="009B7368">
      <w:pPr>
        <w:pStyle w:val="Heading2"/>
        <w:rPr>
          <w:lang w:val="ga-IE"/>
        </w:rPr>
      </w:pPr>
      <w:r w:rsidRPr="004918E0">
        <w:rPr>
          <w:lang w:val="ga-IE"/>
        </w:rPr>
        <w:t xml:space="preserve">Caighdeáin um Chosaint agus Leas Leanaí </w:t>
      </w:r>
    </w:p>
    <w:p w:rsidR="009B7368" w:rsidRPr="004918E0" w:rsidRDefault="009B7368" w:rsidP="009B7368">
      <w:pPr>
        <w:rPr>
          <w:lang w:val="ga-IE"/>
        </w:rPr>
      </w:pPr>
      <w:r w:rsidRPr="004918E0">
        <w:rPr>
          <w:lang w:val="ga-IE"/>
        </w:rPr>
        <w:t>D’fhoilsigh an tÚdarás um Fhaisnéis agus Cáilíocht Sláinte (HIQA) Dréachtchaighdeáin Náisiúnta um Chosaint agus Leas Leanaí do Sheirbhísí Leanaí agus Teaghlaigh an FSS um chomhairliúchán poiblí i 2012. Thug an tÚdarás Náisiúnta Míchumais comhairle do HIQA faoi na dréachtchaighdeáin sin.</w:t>
      </w:r>
    </w:p>
    <w:p w:rsidR="009B7368" w:rsidRPr="004918E0" w:rsidRDefault="009B7368" w:rsidP="009B7368">
      <w:pPr>
        <w:pStyle w:val="Heading2"/>
        <w:rPr>
          <w:lang w:val="ga-IE"/>
        </w:rPr>
      </w:pPr>
    </w:p>
    <w:p w:rsidR="009B7368" w:rsidRPr="004918E0" w:rsidRDefault="009B7368" w:rsidP="009B7368">
      <w:pPr>
        <w:pStyle w:val="Heading2"/>
        <w:rPr>
          <w:lang w:val="ga-IE"/>
        </w:rPr>
      </w:pPr>
      <w:r w:rsidRPr="004918E0">
        <w:rPr>
          <w:lang w:val="ga-IE"/>
        </w:rPr>
        <w:t>Teicneolaíocht Chúnta</w:t>
      </w:r>
    </w:p>
    <w:p w:rsidR="009B7368" w:rsidRPr="004918E0" w:rsidRDefault="009B7368" w:rsidP="009B7368">
      <w:pPr>
        <w:rPr>
          <w:lang w:val="ga-IE"/>
        </w:rPr>
      </w:pPr>
      <w:r w:rsidRPr="004918E0">
        <w:rPr>
          <w:lang w:val="ga-IE"/>
        </w:rPr>
        <w:t>D’fhoilsigh an tÚdarás Náisiúnta Míchumais taighde ar theicneolaíocht chúnta, a bhfuil ról ríthábhachtach aici maidir le cur ar chumas daoine maireachtáil go neamhspleách, agus rochtain a fháil ar oideachas agus fhostaíocht. Sa staidéar breathnaíodh ar an gcóras náisiúnta in Éirinn agus ar chórais idirnáisiúnta sa Danmhairg, san Iorua, san Íoslainn, san Iodáil, sa RA, agus sa Ghearmáin maidir le teicneolaíocht chúnta a sholáthar do dhaoine faoi mhíchumas agus dhaoine scothaosta. Chlúdaigh an taighde córais um measúnú, threoir, chothabháil trealaimh, agus scrúdaíodh difríochtaí idir córais ar fud réimsí na sláinte agus an chúraim shóisialta, an oideachais agus na fostaíochta. Thángthas ar an gconclúid sa tuarascáil go raibh córas na hÉireann tearcfhorbartha i gcoibhneas le tíortha eile, agus go bhfuil deis níos mó ann chun comhordú níos fearr a dhéanamh ar na córais chun teicneolaíocht a sholáthar sna trí shuíomh éagsúla, córais atá neamhspleách óna chéile den chuid is mó faoi láthair.</w:t>
      </w:r>
    </w:p>
    <w:p w:rsidR="009B7368" w:rsidRPr="004918E0" w:rsidRDefault="009B7368" w:rsidP="009B7368">
      <w:pPr>
        <w:rPr>
          <w:lang w:val="ga-IE"/>
        </w:rPr>
      </w:pPr>
      <w:r w:rsidRPr="004918E0">
        <w:rPr>
          <w:lang w:val="ga-IE"/>
        </w:rPr>
        <w:t>Is í seo an chéad taighde ar Theicneolaíocht Chuiditheach in Éirinn agus tá tús curtha le plé maidir le cuid de na moltaí a chur i bhfeidhm.</w:t>
      </w:r>
    </w:p>
    <w:p w:rsidR="009B7368" w:rsidRPr="004918E0" w:rsidRDefault="009B7368" w:rsidP="009B7368">
      <w:pPr>
        <w:pStyle w:val="Heading2"/>
        <w:rPr>
          <w:lang w:val="ga-IE"/>
        </w:rPr>
      </w:pPr>
      <w:r w:rsidRPr="004918E0">
        <w:rPr>
          <w:lang w:val="ga-IE"/>
        </w:rPr>
        <w:t>Rochtain ar cheartas</w:t>
      </w:r>
    </w:p>
    <w:p w:rsidR="009B7368" w:rsidRPr="004918E0" w:rsidRDefault="009B7368" w:rsidP="009B7368">
      <w:pPr>
        <w:spacing w:after="120"/>
        <w:rPr>
          <w:lang w:val="ga-IE"/>
        </w:rPr>
      </w:pPr>
      <w:r w:rsidRPr="004918E0">
        <w:rPr>
          <w:lang w:val="ga-IE"/>
        </w:rPr>
        <w:t>I 2012, d’fhoilsigh an tÚdarás Náisiúnta Míchumais taighde ar chuir sé cúnamh deontais ar fáil dó faoin Scéim Deontas um Chur chun Cinn na Taighde 2011 i ndáil le:</w:t>
      </w:r>
    </w:p>
    <w:p w:rsidR="009B7368" w:rsidRPr="004918E0" w:rsidRDefault="009B7368" w:rsidP="009B7368">
      <w:pPr>
        <w:pStyle w:val="ListBullet"/>
        <w:rPr>
          <w:lang w:val="ga-IE"/>
        </w:rPr>
      </w:pPr>
      <w:r w:rsidRPr="004918E0">
        <w:rPr>
          <w:lang w:val="ga-IE"/>
        </w:rPr>
        <w:t xml:space="preserve">Rochtain ar an gcóras dlí agus cirt do dhaoine faoi mhíchumas (UCC), a rinne taifead ar bhunús agallamh náisiúnta agus na litríochta idirnáisiúnta ar na bacainní a mbíonn ar dhaoine faoi mhíchumas aghaidh a thabhairt orthu </w:t>
      </w:r>
    </w:p>
    <w:p w:rsidR="009B7368" w:rsidRPr="004918E0" w:rsidRDefault="009B7368" w:rsidP="009B7368">
      <w:pPr>
        <w:pStyle w:val="ListBullet"/>
        <w:spacing w:after="240"/>
        <w:rPr>
          <w:lang w:val="ga-IE"/>
        </w:rPr>
      </w:pPr>
      <w:r w:rsidRPr="004918E0">
        <w:rPr>
          <w:lang w:val="ga-IE"/>
        </w:rPr>
        <w:t>Foréigean gnéasach i gcoinne daoine faoi mhíchumas (National Rape Crisis Network of Ireland), a léirigh gur bhain beagnach 200 duine faoi mhíchumas úsáid as seirbhísí Éigeandála um Éigniú idir 2008 agus 2010</w:t>
      </w:r>
    </w:p>
    <w:p w:rsidR="009B7368" w:rsidRPr="004918E0" w:rsidRDefault="009B7368" w:rsidP="009B7368">
      <w:pPr>
        <w:pStyle w:val="Heading3"/>
        <w:rPr>
          <w:lang w:val="ga-IE"/>
        </w:rPr>
      </w:pPr>
      <w:r w:rsidRPr="004918E0">
        <w:rPr>
          <w:lang w:val="ga-IE"/>
        </w:rPr>
        <w:t>Obair Leantach leis na Gardaí</w:t>
      </w:r>
    </w:p>
    <w:p w:rsidR="009B7368" w:rsidRPr="004918E0" w:rsidRDefault="009B7368" w:rsidP="009B7368">
      <w:pPr>
        <w:rPr>
          <w:lang w:val="ga-IE"/>
        </w:rPr>
      </w:pPr>
      <w:r w:rsidRPr="004918E0">
        <w:rPr>
          <w:lang w:val="ga-IE"/>
        </w:rPr>
        <w:t>Bhí cruinniú ag an Údarás Náisiúnta Míchumais le hoifigeach ó Oifig an Gharda Síochána um Chiníochas, Ilchultúrachas agus Éagsúlacht i mBealtaine chun plé a dhéanamh ar conas a dhéantar ionadaíocht ar mhíchumas agus dhaoine faoi mhíchumas in obair agus oiliúint na nGardaí, agus ar shaincheisteanna a thagann chun cinn do dhaoine faoi mhíchumas sa chóras ceartais choiriúil. Bhí cruinniú ag an Údarás Náisiúnta Míchumais le hionadaí na nGardaí ar an gCoiste Stiúrtha Náisiúnta ar Fhoréigean in aghaidh na mBan i Meán Fómhair. Thug an tÚdarás Náisiúnta Míchumais aighneacht leantach mar ionchur d’fhorbairt Straitéis 4 bliana na nGardaí.</w:t>
      </w:r>
    </w:p>
    <w:p w:rsidR="009B7368" w:rsidRPr="004918E0" w:rsidRDefault="009B7368" w:rsidP="009B7368">
      <w:pPr>
        <w:pStyle w:val="Heading2"/>
        <w:rPr>
          <w:lang w:val="ga-IE"/>
        </w:rPr>
      </w:pPr>
      <w:r w:rsidRPr="004918E0">
        <w:rPr>
          <w:lang w:val="ga-IE"/>
        </w:rPr>
        <w:t>Vótáil</w:t>
      </w:r>
    </w:p>
    <w:p w:rsidR="009B7368" w:rsidRPr="004918E0" w:rsidRDefault="009B7368" w:rsidP="009B7368">
      <w:pPr>
        <w:rPr>
          <w:lang w:val="ga-IE"/>
        </w:rPr>
      </w:pPr>
      <w:r w:rsidRPr="004918E0">
        <w:rPr>
          <w:lang w:val="ga-IE"/>
        </w:rPr>
        <w:t xml:space="preserve">D’ullmhaigh an tÚdarás Náisiúnta Míchumais páipéar plé ar Vótáil Inrochtana, inar leagadh béim ar na bacainní roimh vótáil do dhaoine a d’fhulaing caillteanas radhairc agus daoine atá faoi mhíchumas intleachta. Sa pháipéar sin taispeánadh roinnt cur chuige idirnáisiúnta i dtreo dul i ngleic leis na bacainní sin, agus scrúdaíodh conas a d’fhéadfaí na réitigh sin a úsáid i gcomhthéacs thoghchóras na hÉireann. Reáchtáladh plé leis an Roinn Comhshaoil, Pobail agus Rialtais Áitiúil ar mholtaí praiticiúla sa pháipéar. </w:t>
      </w:r>
    </w:p>
    <w:p w:rsidR="009B7368" w:rsidRPr="004918E0" w:rsidRDefault="009B7368" w:rsidP="009B7368">
      <w:pPr>
        <w:pStyle w:val="Heading2"/>
        <w:rPr>
          <w:lang w:val="ga-IE"/>
        </w:rPr>
      </w:pPr>
      <w:r w:rsidRPr="004918E0">
        <w:rPr>
          <w:lang w:val="ga-IE"/>
        </w:rPr>
        <w:t xml:space="preserve">Turasóireacht </w:t>
      </w:r>
    </w:p>
    <w:p w:rsidR="009B7368" w:rsidRPr="004918E0" w:rsidRDefault="009B7368" w:rsidP="009B7368">
      <w:pPr>
        <w:rPr>
          <w:lang w:val="ga-IE"/>
        </w:rPr>
      </w:pPr>
      <w:r w:rsidRPr="004918E0">
        <w:rPr>
          <w:lang w:val="ga-IE"/>
        </w:rPr>
        <w:t xml:space="preserve">Chuir an tÚdarás Náisiúnta Míchumais comhairle ar an Aire Iompair, Turasóireachta agus Spóirt agus Fáilte Éireann maidir le Tóstal Éireann 2013, ag tabhairt treorach faoi conas taithí thurasóireachta chuimsitheach a fhorbairt do dhaoine faoi mhíchumas agus dhaoine scothaosta. Ina theannta sin chuir an tÚdarás Náisiúnta Míchumais comhairle ar Thurasóireacht Éireann ar eolas nuashonraithe do thaistealaithe faoi mhíchumas mar chuid d’athfhorbairt a láithreán gréasáin: </w:t>
      </w:r>
      <w:hyperlink r:id="rId16" w:history="1">
        <w:r w:rsidRPr="004918E0">
          <w:rPr>
            <w:rStyle w:val="Hyperlink"/>
            <w:lang w:val="ga-IE"/>
          </w:rPr>
          <w:t>www.discoverireland.com</w:t>
        </w:r>
      </w:hyperlink>
      <w:r w:rsidRPr="004918E0">
        <w:rPr>
          <w:lang w:val="ga-IE"/>
        </w:rPr>
        <w:t xml:space="preserve">. </w:t>
      </w:r>
    </w:p>
    <w:p w:rsidR="009B7368" w:rsidRPr="004918E0" w:rsidRDefault="009B7368" w:rsidP="009B7368">
      <w:pPr>
        <w:pStyle w:val="Heading2"/>
        <w:rPr>
          <w:lang w:val="ga-IE"/>
        </w:rPr>
      </w:pPr>
      <w:r w:rsidRPr="004918E0">
        <w:rPr>
          <w:lang w:val="ga-IE"/>
        </w:rPr>
        <w:t>Spórt</w:t>
      </w:r>
    </w:p>
    <w:p w:rsidR="009B7368" w:rsidRPr="004918E0" w:rsidRDefault="009B7368" w:rsidP="009B7368">
      <w:pPr>
        <w:rPr>
          <w:lang w:val="ga-IE"/>
        </w:rPr>
      </w:pPr>
      <w:r w:rsidRPr="004918E0">
        <w:rPr>
          <w:lang w:val="ga-IE"/>
        </w:rPr>
        <w:t>D’óstáil an tÚdarás Náisiúnta Míchumais seimineár ar rannpháirtíocht daoine faoi mhíchumas sa spóirt agus i ngníomhaíocht fhisiceach le saineolaí náisiúnta agus idirnáisiúnta, chun béim a leagan ar thábhacht an spóirt agus na gníomhaíochta fisicí do dhaoine faoi mhíchumas, agus ar na deiseanna sa réimse sin.</w:t>
      </w:r>
    </w:p>
    <w:p w:rsidR="009B7368" w:rsidRPr="004918E0" w:rsidRDefault="009B7368" w:rsidP="009B7368">
      <w:pPr>
        <w:pStyle w:val="Heading2"/>
        <w:rPr>
          <w:lang w:val="ga-IE"/>
        </w:rPr>
      </w:pPr>
      <w:r w:rsidRPr="004918E0">
        <w:rPr>
          <w:lang w:val="ga-IE"/>
        </w:rPr>
        <w:t>Oideachas</w:t>
      </w:r>
    </w:p>
    <w:p w:rsidR="009B7368" w:rsidRPr="004918E0" w:rsidRDefault="009B7368" w:rsidP="009B7368">
      <w:pPr>
        <w:pStyle w:val="Heading3"/>
        <w:rPr>
          <w:lang w:val="ga-IE"/>
        </w:rPr>
      </w:pPr>
      <w:r w:rsidRPr="004918E0">
        <w:rPr>
          <w:lang w:val="ga-IE"/>
        </w:rPr>
        <w:t>Comhpháirtíocht</w:t>
      </w:r>
    </w:p>
    <w:p w:rsidR="009B7368" w:rsidRPr="004918E0" w:rsidRDefault="009B7368" w:rsidP="009B7368">
      <w:pPr>
        <w:rPr>
          <w:lang w:val="ga-IE"/>
        </w:rPr>
      </w:pPr>
      <w:r w:rsidRPr="004918E0">
        <w:rPr>
          <w:lang w:val="ga-IE"/>
        </w:rPr>
        <w:t xml:space="preserve">D’oibrigh an tÚdarás Náisiúnta Míchumais i gcomhpháirt leis an gComhairle Náisiúnta um Oideachas Speisialta ina chuid oibre chun na deiseanna breisoideachais agus breisoiliúna do dhaoine faoi mhíchumas a leagan amach. Tá réimse eile comhair maidir le daoine óga a bhfuil riachtanais speisialta acu á scrúdú. </w:t>
      </w:r>
    </w:p>
    <w:p w:rsidR="009B7368" w:rsidRPr="004918E0" w:rsidRDefault="009B7368" w:rsidP="009B7368">
      <w:pPr>
        <w:pStyle w:val="Heading3"/>
        <w:rPr>
          <w:lang w:val="ga-IE"/>
        </w:rPr>
      </w:pPr>
      <w:r w:rsidRPr="004918E0">
        <w:rPr>
          <w:lang w:val="ga-IE"/>
        </w:rPr>
        <w:t xml:space="preserve">Bulaíocht agus leanaí a bhfuil riachtanais speisialta oideachais acu </w:t>
      </w:r>
    </w:p>
    <w:p w:rsidR="009B7368" w:rsidRPr="004918E0" w:rsidRDefault="009B7368" w:rsidP="009B7368">
      <w:pPr>
        <w:rPr>
          <w:lang w:val="ga-IE"/>
        </w:rPr>
      </w:pPr>
      <w:r w:rsidRPr="004918E0">
        <w:rPr>
          <w:lang w:val="ga-IE"/>
        </w:rPr>
        <w:t xml:space="preserve">Reáchtáil an tÚdarás Náisiúnta Míchumais cruinniú leis an Roinn Oideachais agus Scileanna agus chuir sé comhairle ar fáil maidir le Plean Gníomhaíochta na Roinne ar Bhulaíocht. Mar chuid den Phlean Gníomhaíochta sin, déanfaidh an tÚdarás Náisiúnta Míchumais taighde i 2013 ar dhea-chleachtas agus idirghabhálacha éifeachtacha i scoileanna na hÉireann chun bulaíocht ar leanaí a bhfuil riachtanais speisialta oideachais acu a chosc. </w:t>
      </w:r>
    </w:p>
    <w:p w:rsidR="009B7368" w:rsidRPr="004918E0" w:rsidRDefault="009B7368" w:rsidP="009B7368">
      <w:pPr>
        <w:pStyle w:val="Heading3"/>
        <w:rPr>
          <w:lang w:val="ga-IE"/>
        </w:rPr>
      </w:pPr>
      <w:r w:rsidRPr="004918E0">
        <w:rPr>
          <w:lang w:val="ga-IE"/>
        </w:rPr>
        <w:t xml:space="preserve">Treoir Frithbhulaíochta </w:t>
      </w:r>
    </w:p>
    <w:p w:rsidR="009B7368" w:rsidRPr="004918E0" w:rsidRDefault="009B7368" w:rsidP="009B7368">
      <w:pPr>
        <w:rPr>
          <w:lang w:val="ga-IE"/>
        </w:rPr>
      </w:pPr>
      <w:r w:rsidRPr="004918E0">
        <w:rPr>
          <w:lang w:val="ga-IE"/>
        </w:rPr>
        <w:t xml:space="preserve">Faoin Scéim Deontas un Chur chun Cinn na Taighde de chuid an NDA maoiníodh tionscadal ar thaighde agus threoirlínte ar bhulaíocht ar dhaoine faoi mhíchumas intleachta a chosc (TCD). Tá an obair sin foilsithe agus tugadh don Roinn Oideachais agus Scileanna é freisin. </w:t>
      </w:r>
    </w:p>
    <w:p w:rsidR="009B7368" w:rsidRPr="004918E0" w:rsidRDefault="009B7368" w:rsidP="009B7368">
      <w:pPr>
        <w:pStyle w:val="Heading2"/>
        <w:rPr>
          <w:lang w:val="ga-IE"/>
        </w:rPr>
      </w:pPr>
      <w:r w:rsidRPr="004918E0">
        <w:rPr>
          <w:lang w:val="ga-IE"/>
        </w:rPr>
        <w:t xml:space="preserve">Comhdháil Bhliantúil an Údarás Náisiúnta Míchumais </w:t>
      </w:r>
    </w:p>
    <w:p w:rsidR="009B7368" w:rsidRPr="004918E0" w:rsidRDefault="009B7368" w:rsidP="009B7368">
      <w:pPr>
        <w:rPr>
          <w:lang w:val="ga-IE"/>
        </w:rPr>
      </w:pPr>
      <w:r w:rsidRPr="004918E0">
        <w:rPr>
          <w:lang w:val="ga-IE"/>
        </w:rPr>
        <w:t xml:space="preserve">Reáchtáil an tÚdarás Náisiúnta Míchumais a chomhdháil bhliantúil i nDeireadh Fómhair. Sna seisiúin iomlánacha ba iad na téamaí a pléadh ná tacaí nádúrtha sa phobal, coireacht fuatha, leithdháileadh acmhainní, agus pearsantú seirbhísí agus tacaí. Ag trí cheardlann chomhuaineacha san iarnóin clúdaíodh oideachas agus cuimsiú, timpeallachtaí cumasaithe, agus dearcaí athraitheacha. Tá páipéir chomhdhála agus nasc le físeán d’imeachtaí na comhdhála ar fáil ar an láithreán gréasáin. </w:t>
      </w:r>
    </w:p>
    <w:p w:rsidR="009B7368" w:rsidRPr="004918E0" w:rsidRDefault="009B7368" w:rsidP="009B7368">
      <w:pPr>
        <w:pStyle w:val="Heading2"/>
        <w:rPr>
          <w:lang w:val="ga-IE"/>
        </w:rPr>
      </w:pPr>
      <w:r w:rsidRPr="004918E0">
        <w:rPr>
          <w:lang w:val="ga-IE"/>
        </w:rPr>
        <w:t xml:space="preserve">Anailís ar shonraí an Suirbhé Náisiúnta Míchumais </w:t>
      </w:r>
    </w:p>
    <w:p w:rsidR="009B7368" w:rsidRPr="004918E0" w:rsidRDefault="009B7368" w:rsidP="009B7368">
      <w:pPr>
        <w:spacing w:after="120"/>
        <w:rPr>
          <w:lang w:val="ga-IE"/>
        </w:rPr>
      </w:pPr>
      <w:r w:rsidRPr="004918E0">
        <w:rPr>
          <w:lang w:val="ga-IE"/>
        </w:rPr>
        <w:t xml:space="preserve">Acmhainn shaibhir é an Suirbhé Náisiúnta Míchumais 2006 ar shaol daoine faoi mhíchumas, agus sonraí ann faoi thart ar 13,000 duine. Cuireadh na micreashonraí ón suirbhé sin ar fáil le linn na bliana agus thionscain an tÚdarás Náisiúnta Míchumais taighde choimisiúnaithe chun anailís a dhéanamh ar na micreashonraí ionas go bhféadfaí léargas níos mó a fháil. Deonaíodh conarthaí ar thrí thionscadal, le críochnú i 2013, ar: </w:t>
      </w:r>
    </w:p>
    <w:p w:rsidR="009B7368" w:rsidRPr="004918E0" w:rsidRDefault="009B7368" w:rsidP="009B7368">
      <w:pPr>
        <w:pStyle w:val="ListBullet"/>
        <w:rPr>
          <w:lang w:val="ga-IE"/>
        </w:rPr>
      </w:pPr>
      <w:r w:rsidRPr="004918E0">
        <w:rPr>
          <w:lang w:val="ga-IE"/>
        </w:rPr>
        <w:t xml:space="preserve">Leanaí faoi mhíchumas </w:t>
      </w:r>
    </w:p>
    <w:p w:rsidR="009B7368" w:rsidRPr="004918E0" w:rsidRDefault="009B7368" w:rsidP="009B7368">
      <w:pPr>
        <w:pStyle w:val="ListBullet"/>
        <w:rPr>
          <w:lang w:val="ga-IE"/>
        </w:rPr>
      </w:pPr>
      <w:r w:rsidRPr="004918E0">
        <w:rPr>
          <w:lang w:val="ga-IE"/>
        </w:rPr>
        <w:t xml:space="preserve">Daoine a bhfuil deacrachtaí meabhairshláinte acu </w:t>
      </w:r>
    </w:p>
    <w:p w:rsidR="009B7368" w:rsidRPr="004918E0" w:rsidRDefault="009B7368" w:rsidP="009B7368">
      <w:pPr>
        <w:pStyle w:val="ListBullet"/>
        <w:rPr>
          <w:lang w:val="ga-IE"/>
        </w:rPr>
      </w:pPr>
      <w:r w:rsidRPr="004918E0">
        <w:rPr>
          <w:lang w:val="ga-IE"/>
        </w:rPr>
        <w:t>Rochtain ar iompar</w:t>
      </w:r>
    </w:p>
    <w:p w:rsidR="009B7368" w:rsidRPr="004918E0" w:rsidRDefault="009B7368" w:rsidP="009B7368">
      <w:pPr>
        <w:pStyle w:val="Heading1"/>
        <w:rPr>
          <w:lang w:val="ga-IE"/>
        </w:rPr>
      </w:pPr>
      <w:bookmarkStart w:id="83" w:name="_Toc368646739"/>
      <w:r w:rsidRPr="004918E0">
        <w:rPr>
          <w:lang w:val="ga-IE"/>
        </w:rPr>
        <w:t>Tosaíocht Straitéiseach 3</w:t>
      </w:r>
      <w:bookmarkEnd w:id="83"/>
    </w:p>
    <w:p w:rsidR="009B7368" w:rsidRPr="004918E0" w:rsidRDefault="009B7368" w:rsidP="009B7368">
      <w:pPr>
        <w:rPr>
          <w:b/>
          <w:lang w:val="ga-IE"/>
        </w:rPr>
      </w:pPr>
      <w:r w:rsidRPr="004918E0">
        <w:rPr>
          <w:b/>
          <w:lang w:val="ga-IE"/>
        </w:rPr>
        <w:t xml:space="preserve">Cuimsiú a chur chun cinn trí hinrochtaineacht agus dhearadh uilíoch </w:t>
      </w:r>
    </w:p>
    <w:p w:rsidR="009B7368" w:rsidRPr="004918E0" w:rsidRDefault="009B7368" w:rsidP="009B7368">
      <w:pPr>
        <w:pStyle w:val="Heading2"/>
        <w:rPr>
          <w:lang w:val="ga-IE"/>
        </w:rPr>
      </w:pPr>
      <w:r w:rsidRPr="004918E0">
        <w:rPr>
          <w:lang w:val="ga-IE"/>
        </w:rPr>
        <w:t>Treoir agus caighdeáin</w:t>
      </w:r>
    </w:p>
    <w:p w:rsidR="009B7368" w:rsidRPr="004918E0" w:rsidRDefault="009B7368" w:rsidP="009B7368">
      <w:pPr>
        <w:pStyle w:val="Heading3"/>
        <w:rPr>
          <w:lang w:val="ga-IE" w:eastAsia="en-GB"/>
        </w:rPr>
      </w:pPr>
      <w:r w:rsidRPr="004918E0">
        <w:rPr>
          <w:lang w:val="ga-IE" w:eastAsia="en-GB"/>
        </w:rPr>
        <w:t>Treoir</w:t>
      </w:r>
    </w:p>
    <w:p w:rsidR="009B7368" w:rsidRPr="004918E0" w:rsidRDefault="009B7368" w:rsidP="009B7368">
      <w:pPr>
        <w:autoSpaceDE w:val="0"/>
        <w:autoSpaceDN w:val="0"/>
        <w:adjustRightInd w:val="0"/>
        <w:rPr>
          <w:rFonts w:cs="Gill Sans"/>
          <w:szCs w:val="26"/>
          <w:lang w:val="ga-IE" w:eastAsia="en-GB"/>
        </w:rPr>
      </w:pPr>
      <w:r w:rsidRPr="004918E0">
        <w:rPr>
          <w:rFonts w:cs="Gill Sans"/>
          <w:szCs w:val="26"/>
          <w:lang w:val="ga-IE" w:eastAsia="en-GB"/>
        </w:rPr>
        <w:t xml:space="preserve">D’oibrigh an NDA i ndlúthpháirt leis an Roinn Ealaíon, Oidhreachta agus Gaeltachta ar na foilseacháin </w:t>
      </w:r>
      <w:r w:rsidRPr="004918E0">
        <w:rPr>
          <w:rFonts w:cs="Gill Sans"/>
          <w:b/>
          <w:szCs w:val="26"/>
          <w:lang w:val="ga-IE" w:eastAsia="en-GB"/>
        </w:rPr>
        <w:t xml:space="preserve">Improving the Accessibility of Historic Buildings and Places </w:t>
      </w:r>
      <w:r w:rsidRPr="004918E0">
        <w:rPr>
          <w:rFonts w:cs="Gill Sans"/>
          <w:szCs w:val="26"/>
          <w:lang w:val="ga-IE" w:eastAsia="en-GB"/>
        </w:rPr>
        <w:t>a thugann treoir níos sonraí agus a chomhlánaíonn an Cód Cleachtais</w:t>
      </w:r>
      <w:r w:rsidRPr="004918E0">
        <w:rPr>
          <w:rFonts w:cs="Gill Sans"/>
          <w:b/>
          <w:szCs w:val="26"/>
          <w:lang w:val="ga-IE" w:eastAsia="en-GB"/>
        </w:rPr>
        <w:t>.</w:t>
      </w:r>
      <w:r w:rsidRPr="004918E0">
        <w:rPr>
          <w:rFonts w:cs="Gill Sans"/>
          <w:szCs w:val="26"/>
          <w:lang w:val="ga-IE" w:eastAsia="en-GB"/>
        </w:rPr>
        <w:t xml:space="preserve"> </w:t>
      </w:r>
    </w:p>
    <w:p w:rsidR="009B7368" w:rsidRPr="004918E0" w:rsidRDefault="009B7368" w:rsidP="009B7368">
      <w:pPr>
        <w:pStyle w:val="Heading3"/>
        <w:rPr>
          <w:lang w:val="ga-IE" w:eastAsia="en-GB"/>
        </w:rPr>
      </w:pPr>
      <w:r w:rsidRPr="004918E0">
        <w:rPr>
          <w:lang w:val="ga-IE" w:eastAsia="en-GB"/>
        </w:rPr>
        <w:t>Comhdháil</w:t>
      </w:r>
    </w:p>
    <w:p w:rsidR="009B7368" w:rsidRPr="004918E0" w:rsidRDefault="009B7368" w:rsidP="009B7368">
      <w:pPr>
        <w:autoSpaceDE w:val="0"/>
        <w:autoSpaceDN w:val="0"/>
        <w:adjustRightInd w:val="0"/>
        <w:rPr>
          <w:rFonts w:cs="Gill Sans"/>
          <w:szCs w:val="26"/>
          <w:lang w:val="ga-IE" w:eastAsia="en-GB"/>
        </w:rPr>
      </w:pPr>
      <w:r w:rsidRPr="004918E0">
        <w:rPr>
          <w:rFonts w:cs="Gill Sans"/>
          <w:szCs w:val="26"/>
          <w:lang w:val="ga-IE" w:eastAsia="en-GB"/>
        </w:rPr>
        <w:t xml:space="preserve">I 2012, chomhóstáil an tÚdarás Náisiúnta Míchumais comhdháil ar Rochtain ar Fhoirgnimh agus Áiteanna Stairiúla leis an Roinn Ealaíon, Oidhreachta agus Gaeltachta agus an Irish Georgian Society. D’fhreastail os cionn 200 duine lenar áiríodh ailtirí, innealtóirí, bainisteoirí ar áiseanna stairiúla agus oifigigh rochtana ar an gcomhdháil sin. Thug saineolaithe as an RA, an tSualainn agus Éirinn láithreachais inar taispeánadh dea-chleachtais sa réimse sin. </w:t>
      </w:r>
    </w:p>
    <w:p w:rsidR="009B7368" w:rsidRPr="004918E0" w:rsidRDefault="009B7368" w:rsidP="009B7368">
      <w:pPr>
        <w:pStyle w:val="Heading3"/>
        <w:rPr>
          <w:lang w:val="ga-IE"/>
        </w:rPr>
      </w:pPr>
      <w:r w:rsidRPr="004918E0">
        <w:rPr>
          <w:lang w:val="ga-IE"/>
        </w:rPr>
        <w:t xml:space="preserve">Paca Acmhainní ar Inrochtaineachta </w:t>
      </w:r>
    </w:p>
    <w:p w:rsidR="009B7368" w:rsidRPr="004918E0" w:rsidRDefault="009B7368" w:rsidP="009B7368">
      <w:pPr>
        <w:rPr>
          <w:lang w:val="ga-IE"/>
        </w:rPr>
      </w:pPr>
      <w:r w:rsidRPr="004918E0">
        <w:rPr>
          <w:lang w:val="ga-IE"/>
        </w:rPr>
        <w:t xml:space="preserve">Rinne an tÚdarás Náisiúnta Míchumais </w:t>
      </w:r>
      <w:r w:rsidRPr="004918E0">
        <w:rPr>
          <w:b/>
          <w:lang w:val="ga-IE"/>
        </w:rPr>
        <w:t xml:space="preserve">Foireann Uirlisí Inrochtaineachta do bhaill foirne na hearnála poiblí </w:t>
      </w:r>
      <w:r w:rsidRPr="004918E0">
        <w:rPr>
          <w:lang w:val="ga-IE"/>
        </w:rPr>
        <w:t>ag http://accessibility.ie chun míniú conas seirbhísí, foirgnimh, eolas agus láithreáin ghréasáin phoiblí a dhéanamh níos inrochtana do chustaiméirí faoi mhíchumas.</w:t>
      </w:r>
    </w:p>
    <w:p w:rsidR="009B7368" w:rsidRPr="004918E0" w:rsidRDefault="009B7368" w:rsidP="009B7368">
      <w:pPr>
        <w:rPr>
          <w:lang w:val="ga-IE"/>
        </w:rPr>
      </w:pPr>
      <w:r w:rsidRPr="004918E0">
        <w:rPr>
          <w:lang w:val="ga-IE"/>
        </w:rPr>
        <w:t xml:space="preserve">Clúdaíonn sé raon ábhar chun Oifigigh Rochtana agus daoine eile a threorú maidir le dea-chleachtas san inrochtaineacht a chur i bhfeidhm agus na hoibleagáidí dlí atá leagtha amach i gCuid 3 den Acht Míchumais a chomhlíonadh. Tugann sé treoir agus naisc ar fhoirgnimh inrochtana, aslonnú sábháilte do dhaoine faoi mhíchumas, eolas inrochtana, láithreáin inrochtana, agus conas pleanáil i gcomhair inrochtaineachta. </w:t>
      </w:r>
    </w:p>
    <w:p w:rsidR="009B7368" w:rsidRPr="004918E0" w:rsidRDefault="009B7368" w:rsidP="009B7368">
      <w:pPr>
        <w:rPr>
          <w:lang w:val="ga-IE"/>
        </w:rPr>
      </w:pPr>
      <w:r w:rsidRPr="004918E0">
        <w:rPr>
          <w:lang w:val="ga-IE"/>
        </w:rPr>
        <w:t>Féadann baill foirne na hearnála poiblí rochtain a fháil ar an láithreán gréasáin seo ar fhearas ar bith, áit ar bith — ionas go bhféadann siad sainchomhairle faoi inrochtaineacht a fháil i gcónaí. Ina theannta sin tá físeán 17-nóiméid fortheideal dúnta de láithreachas ar an bhfoireann uirlisí inrochtaineachta ar fáil ar chainéal Youtube an Údarás Náisiúnta Míchumais.</w:t>
      </w:r>
    </w:p>
    <w:p w:rsidR="009B7368" w:rsidRPr="004918E0" w:rsidRDefault="009B7368" w:rsidP="009B7368">
      <w:pPr>
        <w:pStyle w:val="Heading3"/>
        <w:rPr>
          <w:lang w:val="ga-IE"/>
        </w:rPr>
      </w:pPr>
      <w:r w:rsidRPr="004918E0">
        <w:rPr>
          <w:lang w:val="ga-IE"/>
        </w:rPr>
        <w:t>Comhdháil ar inrochtaineacht</w:t>
      </w:r>
    </w:p>
    <w:p w:rsidR="009B7368" w:rsidRPr="004918E0" w:rsidRDefault="009B7368" w:rsidP="009B7368">
      <w:pPr>
        <w:rPr>
          <w:lang w:val="ga-IE"/>
        </w:rPr>
      </w:pPr>
      <w:r w:rsidRPr="004918E0">
        <w:rPr>
          <w:lang w:val="ga-IE"/>
        </w:rPr>
        <w:t xml:space="preserve">D’óstáil an NDA comhdháil i Meitheamh do bhaill foirne na hearnála poiblí, Oifigigh Rochtana san áireamh, chun béim a leagan ar saincheisteanna inrochtaineachta agus ar acmhainní inrochtaineachta an NDA, lenar áiríodh an Fhoireann Uirlisí Acmhainní Inrochtaineachta agus an oiliúint ríomhfhoghlama ar Chomhionannas Míchumais, agus chun fóram a sholáthar le dea-chleachtas a roinnt. </w:t>
      </w:r>
    </w:p>
    <w:p w:rsidR="009B7368" w:rsidRPr="004918E0" w:rsidRDefault="009B7368" w:rsidP="009B7368">
      <w:pPr>
        <w:pStyle w:val="Heading2"/>
        <w:rPr>
          <w:lang w:val="ga-IE"/>
        </w:rPr>
      </w:pPr>
      <w:r w:rsidRPr="004918E0">
        <w:rPr>
          <w:lang w:val="ga-IE"/>
        </w:rPr>
        <w:t>Soláthar</w:t>
      </w:r>
    </w:p>
    <w:p w:rsidR="009B7368" w:rsidRPr="004918E0" w:rsidRDefault="009B7368" w:rsidP="009B7368">
      <w:pPr>
        <w:rPr>
          <w:lang w:val="ga-IE"/>
        </w:rPr>
      </w:pPr>
      <w:r w:rsidRPr="004918E0">
        <w:rPr>
          <w:lang w:val="ga-IE"/>
        </w:rPr>
        <w:t>Ceanglaíonn Alt 27 den Acht Míchumais 2005 ar bhaill foirne i gcomhlachtaí poiblí cinntiú go bhfuil earraí nó seirbhísí arna soláthar dóibh inrochtana do dhaoine faoi mhíchumas. D’fhoilsigh an tÚdarás Náisiúnta Míchumais doiciméad treorach chun feabhas a chur ar fheasacht ar na ceanglais dlí i ndáil le hinrochtaineacht agus soláthar, agus chun treoir a thabhairt do chomhlachtaí poiblí ar conas a fhéadann siad inrochtaineacht a chuimsiú ina gcuid beartas, nósanna imeachta agus cleachtas um sholáthar. Sa treoir moltar bealaí chun athrú a dhéanamh ar phróisis reatha soláthair, agus tugtar critéir shamplacha um sholáthraithe le húsáid ina gcuid iarratas ar thairiscintí.</w:t>
      </w:r>
    </w:p>
    <w:p w:rsidR="009B7368" w:rsidRPr="004918E0" w:rsidRDefault="009B7368" w:rsidP="009B7368">
      <w:pPr>
        <w:pStyle w:val="Heading2"/>
        <w:rPr>
          <w:lang w:val="ga-IE"/>
        </w:rPr>
      </w:pPr>
      <w:r w:rsidRPr="004918E0">
        <w:rPr>
          <w:lang w:val="ga-IE"/>
        </w:rPr>
        <w:t xml:space="preserve">Taispeáintí tí um chórais méadraithe chliste </w:t>
      </w:r>
    </w:p>
    <w:p w:rsidR="009B7368" w:rsidRPr="004918E0" w:rsidRDefault="009B7368" w:rsidP="009B7368">
      <w:pPr>
        <w:rPr>
          <w:lang w:val="ga-IE"/>
        </w:rPr>
      </w:pPr>
      <w:r w:rsidRPr="004918E0">
        <w:rPr>
          <w:lang w:val="ga-IE"/>
        </w:rPr>
        <w:t>I 2012, d’fhógair an Coimisiún um Rialáil Fuinnimh go raibh sé beartaithe leas a bhaint as méadair chliste leictreachais agus gháis ar fud na hÉireann idir 2016 agus 2019. Mar chuid de thar-rolladh na méadar cliste, gheobhaidh gach custaiméir teaghlaigh Taispeáint Tí a bheidh in ann eolas beagnach réadama ar a n-ídiú fuinnimh a thaispeáint.</w:t>
      </w:r>
    </w:p>
    <w:p w:rsidR="009B7368" w:rsidRPr="004918E0" w:rsidRDefault="009B7368" w:rsidP="009B7368">
      <w:pPr>
        <w:rPr>
          <w:lang w:val="ga-IE"/>
        </w:rPr>
      </w:pPr>
      <w:r w:rsidRPr="004918E0">
        <w:rPr>
          <w:lang w:val="ga-IE"/>
        </w:rPr>
        <w:t>Choimisiúnaigh an tÚdarás Náisiúnta Míchumais taighde agus forbairt treoirlínte teicniúla um Dhearadh Uilíoch Taispeáintí Tí. Treoróidh na treoirlínte ceannairí tionscadail, páirtithe leasmhara, dearthóirí agus gníomhaireachtaí soláthair ar dhearadh Taispeáintí Tí ionas go mbeidh custaiméirí teaghlaigh in ann rochtain a fháil uirthi, iad a thuiscint agus a úsáid an oiread is féidir is cuma faoi aois, mhéid, chumas ná mhíchumas. Tugadh faoi phróiseas taighde trí-chéime a bhí déanta suas de léirmheas litríochta, de thástáil inúsáidteachta agus chomhairliúchán le páirtithe leasmhara lárnacha. Críochnófar an tionscadal sin sa chéad leath de 2013.</w:t>
      </w:r>
    </w:p>
    <w:p w:rsidR="009B7368" w:rsidRPr="004918E0" w:rsidRDefault="009B7368" w:rsidP="009B7368">
      <w:pPr>
        <w:pStyle w:val="Heading2"/>
        <w:rPr>
          <w:lang w:val="ga-IE"/>
        </w:rPr>
      </w:pPr>
      <w:r w:rsidRPr="004918E0">
        <w:rPr>
          <w:lang w:val="ga-IE"/>
        </w:rPr>
        <w:t>Tógáil do Chách</w:t>
      </w:r>
    </w:p>
    <w:p w:rsidR="009B7368" w:rsidRPr="004918E0" w:rsidRDefault="009B7368" w:rsidP="009B7368">
      <w:pPr>
        <w:rPr>
          <w:lang w:val="ga-IE"/>
        </w:rPr>
      </w:pPr>
      <w:r w:rsidRPr="004918E0">
        <w:rPr>
          <w:lang w:val="ga-IE"/>
        </w:rPr>
        <w:t xml:space="preserve">D’athbhreithnigh an Lárionad Sármhaitheasa i nDearadh Uilíoch an leagan athbhreithnithe den tsraith </w:t>
      </w:r>
      <w:r w:rsidRPr="004918E0">
        <w:rPr>
          <w:b/>
          <w:lang w:val="ga-IE"/>
        </w:rPr>
        <w:t>Tógáil do Chách</w:t>
      </w:r>
      <w:r w:rsidRPr="004918E0">
        <w:rPr>
          <w:lang w:val="ga-IE"/>
        </w:rPr>
        <w:t xml:space="preserve">– </w:t>
      </w:r>
      <w:r w:rsidRPr="004918E0">
        <w:rPr>
          <w:b/>
          <w:lang w:val="ga-IE"/>
        </w:rPr>
        <w:t xml:space="preserve">Cur Chuige Dearaidh Uilíoch </w:t>
      </w:r>
      <w:r w:rsidRPr="004918E0">
        <w:rPr>
          <w:lang w:val="ga-IE"/>
        </w:rPr>
        <w:t xml:space="preserve">ar an 23 Feabhra 2012. Leis an leagan sin méadaítear go mór an leagan ó 2002 a bhí ann roimhe, glactar cur chuige bunaithe ar Dhearadh Uilíoch agus cuimsítear na caighdeáin is deireanaí. Den chéad uair, cuimsíonn sé treoir shonrach ar phleanáil agus fhorbairt. </w:t>
      </w:r>
    </w:p>
    <w:p w:rsidR="009B7368" w:rsidRPr="004918E0" w:rsidRDefault="009B7368" w:rsidP="009B7368">
      <w:pPr>
        <w:rPr>
          <w:lang w:val="ga-IE"/>
        </w:rPr>
      </w:pPr>
      <w:r w:rsidRPr="004918E0">
        <w:rPr>
          <w:lang w:val="ga-IE"/>
        </w:rPr>
        <w:t>Tá an leagan nua de Tógáil do Chách comhdhéanta de shraith de 10 leabhrán a chlúdaíonn gnéithe éagsúla de dhearadh tógála lena n-áirítear spás seachtrach, imshruthú ingearach agus cothrománach, agus an próiseas pleanála. Tá treoir phraiticiúil shonrach iontu, i dteannta le léaráidí, grianghraif agus seicliostaí, chun forbróirí, ailtirí, dearthóirí, tógálaithe agus bainisteoirí tógála a spreagadh chun bheith nuálaíoch agus smaoineamh go cruthaitheach faoi réitigh a fhreastalaíonn ar riachtanais gach duine, is cuma faoi aois, mhéid, chumas ná mhíchumas. Ar bhealach praiticiúil cumhdaíonn an tsraith coincheapa agus fealsúnacht an dearaidh uilíoch. Sheol Phil Hogan, T.D., an tAire Comhshaoil, Pobail agus Rialtais Áitiúil an tsraith, i dteannta leis na príomhchainteoirí Michelle Fagan, Uachtarán Institiúid Ríoga Ailtirí na hÉireann (RIAI), agus Onny Eikhaug,  Ceannaire Cláir Design for All, Norwegian Design Council.</w:t>
      </w:r>
    </w:p>
    <w:p w:rsidR="009B7368" w:rsidRPr="004918E0" w:rsidRDefault="009B7368" w:rsidP="009B7368">
      <w:pPr>
        <w:rPr>
          <w:lang w:val="ga-IE"/>
        </w:rPr>
      </w:pPr>
      <w:r w:rsidRPr="004918E0">
        <w:rPr>
          <w:lang w:val="ga-IE"/>
        </w:rPr>
        <w:t xml:space="preserve">D’fhreastail os cionn 200 duine ar an imeacht. I measc iad siúd a bhí i láthair aici bhí gairmithe i réimse na timpeallachta tógtha ó earnálacha poiblí agus príobháideacha. </w:t>
      </w:r>
    </w:p>
    <w:p w:rsidR="009B7368" w:rsidRPr="004918E0" w:rsidRDefault="009B7368" w:rsidP="009B7368">
      <w:pPr>
        <w:pStyle w:val="Heading2"/>
        <w:rPr>
          <w:lang w:val="ga-IE"/>
        </w:rPr>
      </w:pPr>
      <w:r w:rsidRPr="004918E0">
        <w:rPr>
          <w:lang w:val="ga-IE"/>
        </w:rPr>
        <w:t xml:space="preserve">Caighdeán Dearaidh Uilíoch do Sholáthraithe Fuinnimh </w:t>
      </w:r>
    </w:p>
    <w:p w:rsidR="009B7368" w:rsidRPr="004918E0" w:rsidRDefault="009B7368" w:rsidP="009B7368">
      <w:pPr>
        <w:rPr>
          <w:lang w:val="ga-IE"/>
        </w:rPr>
      </w:pPr>
      <w:r w:rsidRPr="004918E0">
        <w:rPr>
          <w:lang w:val="ga-IE"/>
        </w:rPr>
        <w:t>Chomhoibrigh an Lárionad Sármhaitheasa i nDearadh Uilíoch leis an gCoimisiún um Rialáil Fuinnimh agus an Údarás um Chaighdeáin Náisiúnta na hÉireann chun caighdeán SWiFT (Standard Written in Fast Track) um dhearadh uilíoch seirbhísí custaiméara do sholáthraithe fuinnimh a sheoladh—is é an chéad chaighdeán den chineál sin ar an domhan.</w:t>
      </w:r>
    </w:p>
    <w:p w:rsidR="009B7368" w:rsidRPr="004918E0" w:rsidRDefault="009B7368" w:rsidP="009B7368">
      <w:pPr>
        <w:rPr>
          <w:b/>
          <w:lang w:val="ga-IE"/>
        </w:rPr>
      </w:pPr>
      <w:r w:rsidRPr="004918E0">
        <w:rPr>
          <w:lang w:val="ga-IE"/>
        </w:rPr>
        <w:t>Le caighdeán 2012 cuirtear uirlisí ar fáil chun cabhrú le cinntiú go gceaptar na cumarsáidí scríofa, béil agus gréasáin a bhíonn soláthraithe fuinnimh le custaiméirí ar bhealach a dhéanfaidh freastal ar riachtanais a gcuid custaiméirí go léir thar speictream na haoise, an chumais agus an mhíchumais. Tá an caighdeán spriocdhírithe chun soláthraithe fuinnimh na hÉireann a chur ar chomhréim le reachtaíocht ghaolmhar dheireanach, agus chun feabhas a chur ar inrochtaineacht agus inúsáidteacht eolais agus cumarsáide le haghaidh níos mó ná 1.5 milliún custaiméir fuinnimh in Éirinn.</w:t>
      </w:r>
    </w:p>
    <w:p w:rsidR="009B7368" w:rsidRPr="004918E0" w:rsidRDefault="009B7368" w:rsidP="009B7368">
      <w:pPr>
        <w:pStyle w:val="Heading2"/>
        <w:rPr>
          <w:lang w:val="ga-IE"/>
        </w:rPr>
      </w:pPr>
      <w:r w:rsidRPr="004918E0">
        <w:rPr>
          <w:lang w:val="ga-IE"/>
        </w:rPr>
        <w:t xml:space="preserve">Treoirlínte ar Dhearadh Uilíoch do theilifís dhigiteach </w:t>
      </w:r>
    </w:p>
    <w:p w:rsidR="009B7368" w:rsidRPr="004918E0" w:rsidRDefault="009B7368" w:rsidP="009B7368">
      <w:pPr>
        <w:rPr>
          <w:lang w:val="ga-IE"/>
        </w:rPr>
      </w:pPr>
      <w:r w:rsidRPr="004918E0">
        <w:rPr>
          <w:lang w:val="ga-IE"/>
        </w:rPr>
        <w:t xml:space="preserve">Foilsíodh treoirlínte ar Dhearadh Uilíoch do threalamh agus sheirbhísí Teilifíse Digití agus scaipeadh chuig páirtithe leasmhara lárnacha iad. Leis an aistriú ó Theilifís thrastíre go Dhigiteach in Éirinn, tá go leor daoine, daoine scothaosta ach go háirithe ag tabhairt aghaidhe ar dhúshláin maidir leis an bparaidím idirghníomhaithe nua sin a úsáid. Is iad na treoirlínte sin ar Theilifís Dhigiteach na chéad treoirlínte a dhíríonn ar riachtanais raoin leathan d’úsáideoirí agus níl siad dírithe go heisiach ar riachtanais fíor-úsáideoirí mar a thugtar orthu, mar shampla daoine faoi mhíchumas. </w:t>
      </w:r>
    </w:p>
    <w:p w:rsidR="009B7368" w:rsidRPr="004918E0" w:rsidRDefault="009B7368" w:rsidP="009B7368">
      <w:pPr>
        <w:rPr>
          <w:lang w:val="ga-IE"/>
        </w:rPr>
      </w:pPr>
      <w:r w:rsidRPr="004918E0">
        <w:rPr>
          <w:lang w:val="ga-IE"/>
        </w:rPr>
        <w:t>Freisin reáchtáil an NDA seimineár le saineolaí sa réimse sin as SAM.</w:t>
      </w:r>
    </w:p>
    <w:p w:rsidR="009B7368" w:rsidRPr="004918E0" w:rsidRDefault="009B7368" w:rsidP="009B7368">
      <w:pPr>
        <w:pStyle w:val="Heading2"/>
        <w:rPr>
          <w:lang w:val="ga-IE"/>
        </w:rPr>
      </w:pPr>
      <w:r w:rsidRPr="004918E0">
        <w:rPr>
          <w:lang w:val="ga-IE"/>
        </w:rPr>
        <w:t xml:space="preserve">Foireann Uirlisí Soláthair na hEorpa um TFC Inrochtana </w:t>
      </w:r>
    </w:p>
    <w:p w:rsidR="009B7368" w:rsidRPr="004918E0" w:rsidRDefault="009B7368" w:rsidP="009B7368">
      <w:pPr>
        <w:rPr>
          <w:lang w:val="ga-IE"/>
        </w:rPr>
      </w:pPr>
      <w:r w:rsidRPr="004918E0">
        <w:rPr>
          <w:lang w:val="ga-IE"/>
        </w:rPr>
        <w:t>Leanann an Lárionad Sármhaitheasa i nDearadh Uilíoch de chuid an Údarás Náisiúnta Míchumais ar aghaidh ag cur le hobair an Choimisiúin Eorpaigh ar Cheanglais Inrochtaineachta na hEorpa um Sholáthar Poiblí Táirgí agus Seirbhísí i réimse na TFC (Mandáit 376), i dteannta le dhá chomhlacht caighdeánaithe san Eoraip, CEN agus ETSI. Is í an aidhm atá i gceist ná caighdeán Eorpach a fhorbairt agus foireann uirlisí a fhorbairt a bheidh ag gabháil leis chun soláthar poiblí teicneolaíochtaí faisnéise agus cumarsáide agus inrochtana a chumasú. Ba é a bhí i gceist le hobair i 2012 ná téacs an chaighdeáin a thabhairt chun críche agus forbairt an ábhair agus an deartha don láithreán gréasáin foireann uirlisí a láimhseáil. Meastar go mbeidh an fhoireann uirlisí ar fáil i 2014.</w:t>
      </w:r>
    </w:p>
    <w:p w:rsidR="009B7368" w:rsidRPr="004918E0" w:rsidRDefault="009B7368" w:rsidP="009B7368">
      <w:pPr>
        <w:pStyle w:val="Heading2"/>
        <w:rPr>
          <w:lang w:val="ga-IE"/>
        </w:rPr>
      </w:pPr>
      <w:r w:rsidRPr="004918E0">
        <w:rPr>
          <w:lang w:val="ga-IE"/>
        </w:rPr>
        <w:t xml:space="preserve">Dearadh Uilíoch i Rannpháirtíocht Custaiméirí </w:t>
      </w:r>
    </w:p>
    <w:p w:rsidR="009B7368" w:rsidRPr="004918E0" w:rsidRDefault="009B7368" w:rsidP="009B7368">
      <w:pPr>
        <w:rPr>
          <w:rFonts w:eastAsia="MS Mincho"/>
          <w:lang w:val="ga-IE" w:eastAsia="ja-JP"/>
        </w:rPr>
      </w:pPr>
      <w:r w:rsidRPr="004918E0">
        <w:rPr>
          <w:rFonts w:eastAsia="MS Mincho"/>
          <w:lang w:val="ga-IE" w:eastAsia="ja-JP"/>
        </w:rPr>
        <w:t xml:space="preserve">Chuir an Lárionad Sármhaitheasa i nDearadh Uilíoch de chuid an Údarás Náisiúnta Míchumais tús le tionscadal chun sraith d’fhoirne uirlisí a fhorbairt chun eolas a thabhairt don earnáil Soláthair Fuinnimh agus don earnáil Turasóireacht ar conas cur chuige bunaithe ar Dhearadh Uilíoch a chur i bhfeidhm chun rannpháirtíocht custaiméirí ina gcuid seirbhísí a fheabhsú. Tabharfaidh na foirne uirlisí samplaí praiticiúla, leideanna, seicliostaí agus uirlisí eile le húsáid ag soláthraithe fuinnimh agus turasóireachta. Cabhróidh an Fhoireann Uirlisí leis an gceanglas atá sa NSAI SWiFT 9:2012 “Universal design for energy Suppliers” agus an </w:t>
      </w:r>
      <w:r w:rsidRPr="004918E0">
        <w:rPr>
          <w:rFonts w:eastAsia="MS Mincho"/>
          <w:lang w:val="ga-IE"/>
        </w:rPr>
        <w:t xml:space="preserve">NSAI, </w:t>
      </w:r>
      <w:r w:rsidRPr="004918E0">
        <w:rPr>
          <w:rFonts w:eastAsia="MS Mincho"/>
          <w:lang w:val="ga-IE" w:eastAsia="ja-JP"/>
        </w:rPr>
        <w:t xml:space="preserve">IS 373: 2013 “Universal Design for Customer Engagement in Tourism </w:t>
      </w:r>
      <w:r w:rsidRPr="004918E0">
        <w:rPr>
          <w:rFonts w:eastAsia="MS Mincho"/>
          <w:lang w:val="ga-IE"/>
        </w:rPr>
        <w:t>S</w:t>
      </w:r>
      <w:r w:rsidRPr="004918E0">
        <w:rPr>
          <w:rFonts w:eastAsia="MS Mincho"/>
          <w:lang w:val="ga-IE" w:eastAsia="ja-JP"/>
        </w:rPr>
        <w:t>ervices” a chur i bhfeidhm. Cuirfear na foirne uirlisí ar fáil nuair a sheolfar an caighdeán go hoifigiúil i mBealtaine 2013.</w:t>
      </w:r>
    </w:p>
    <w:p w:rsidR="009B7368" w:rsidRPr="004918E0" w:rsidRDefault="009B7368" w:rsidP="009B7368">
      <w:pPr>
        <w:pStyle w:val="Heading3"/>
        <w:rPr>
          <w:lang w:val="ga-IE"/>
        </w:rPr>
      </w:pPr>
      <w:r w:rsidRPr="004918E0">
        <w:rPr>
          <w:lang w:val="ga-IE"/>
        </w:rPr>
        <w:t xml:space="preserve">Rannpháirtíocht Custaiméirí i Seirbhísí Turasóireachta </w:t>
      </w:r>
    </w:p>
    <w:p w:rsidR="009B7368" w:rsidRPr="004918E0" w:rsidRDefault="009B7368" w:rsidP="009B7368">
      <w:pPr>
        <w:rPr>
          <w:lang w:val="ga-IE"/>
        </w:rPr>
      </w:pPr>
      <w:r w:rsidRPr="004918E0">
        <w:rPr>
          <w:lang w:val="ga-IE"/>
        </w:rPr>
        <w:t>I gcomhpháirt leis an Údarás Comhionannais thosaigh an Lárionad Sármhaitheasa i nDearadh Uilíoch san Údarás Náisiúnta Míchumais obair leis an Údarás um Chaighdeáin Náisiúnta na hÉireann, Fáilte Éireann agus páirtithe leasmhara san earnáil Iompair agus Turasóireachta (Ranna Rialtais, gníomhaireachtaí stáit, an earnáil phríobháideach agus úsáideoirí deiridh) chun NSAI, IS 373 an caighdeán um Dhearadh Uilíoch do Rannpháirtíocht Custaiméirí i Seirbhísí Turasóireachta a fhorbairt. Seolfar an caighdeán sin, arb é an chéad chaighdeán den chineál sin ag Imeacht a Bhaineann le hUachtaránacht na hEorpa i mBealtaine 2013. Tá an caighdeán á thairiscint saor in aisce do níos mó ná 18,000 Soláthraí Seirbhíse Turasóireachta agus beidh Foireann Uirlisí ag gabháil leis.</w:t>
      </w:r>
    </w:p>
    <w:p w:rsidR="009B7368" w:rsidRPr="004918E0" w:rsidRDefault="009B7368" w:rsidP="009B7368">
      <w:pPr>
        <w:pStyle w:val="Heading2"/>
        <w:rPr>
          <w:lang w:val="ga-IE"/>
        </w:rPr>
      </w:pPr>
      <w:r w:rsidRPr="004918E0">
        <w:rPr>
          <w:lang w:val="ga-IE"/>
        </w:rPr>
        <w:t>Treoirlínte idirnáisiúnta ar chaighdeáin— Treoir 71</w:t>
      </w:r>
    </w:p>
    <w:p w:rsidR="009B7368" w:rsidRPr="004918E0" w:rsidRDefault="009B7368" w:rsidP="009B7368">
      <w:pPr>
        <w:rPr>
          <w:lang w:val="ga-IE"/>
        </w:rPr>
      </w:pPr>
      <w:r w:rsidRPr="004918E0">
        <w:rPr>
          <w:lang w:val="ga-IE"/>
        </w:rPr>
        <w:t xml:space="preserve">Tá an Lárionad Sármhaitheasa i nDearadh Uilíoch san Údarás Náisiúnta Míchumais rannpháirteach mar shaineolaí ar an gComhghrúpa Comhairleach Teicniúil atá ag nuashonrú agus ag athscríobh an doiciméad lárnach idirnáisiúnta ar dhearadh inrochtana, </w:t>
      </w:r>
      <w:r w:rsidRPr="004918E0">
        <w:rPr>
          <w:b/>
          <w:lang w:val="ga-IE"/>
        </w:rPr>
        <w:t>Treoirlínte um forbróirí caighdeáin chun dul i ngleic le riachtanais daoine scothaosta agus daoine faoi mhíchumas</w:t>
      </w:r>
      <w:r w:rsidRPr="004918E0">
        <w:rPr>
          <w:lang w:val="ga-IE"/>
        </w:rPr>
        <w:t xml:space="preserve">, ar a dtugtar Treoir 71 ISO/IEC. Tá obair déanta ag an NDA ach go háirithe maidir le hAicmiú Idirnáisiúnta Feidhmithe (International Classification of Functioning/ICF) an Eagraíocht Dhomhanda Sláinte a chuimsiú sa doiciméad idirnáisiúnta seo, agus tá ár gcuid oibre ar shonraí faoi mhéid comhtháite aige sa tionscadal seo freisin. </w:t>
      </w:r>
    </w:p>
    <w:p w:rsidR="009B7368" w:rsidRPr="004918E0" w:rsidRDefault="009B7368" w:rsidP="009B7368">
      <w:pPr>
        <w:pStyle w:val="Heading3"/>
        <w:rPr>
          <w:lang w:val="ga-IE"/>
        </w:rPr>
      </w:pPr>
      <w:r w:rsidRPr="004918E0">
        <w:rPr>
          <w:lang w:val="ga-IE"/>
        </w:rPr>
        <w:t>Seimineár</w:t>
      </w:r>
    </w:p>
    <w:p w:rsidR="009B7368" w:rsidRPr="004918E0" w:rsidRDefault="009B7368" w:rsidP="009B7368">
      <w:pPr>
        <w:rPr>
          <w:lang w:val="ga-IE"/>
        </w:rPr>
      </w:pPr>
      <w:r w:rsidRPr="004918E0">
        <w:rPr>
          <w:lang w:val="ga-IE"/>
        </w:rPr>
        <w:t xml:space="preserve">Chun ár gcomhoibriú leis an gComhghrúpa Comhairleach Teicniúil sin a chur ar aghaidh, chomheagraigh an NDA seimineár (leis an Údarás um Chaighdeáin Náisiúnta na hÉireann) ar “Innovation Lead Design for Competitive Advantage”. Mar chuid den imeacht labhair triúir cainteoirí faoi Dhul chun Cinn maidir le hInrochtaineacht agus Inúsáidteacht i gCaighdeáin agus críochnaíodh é le plé painéil faoi stiúir. D’fhreastail comhaltaí idirnáisiúnta ón gComhghrúpa Comhairleach Teicniúil ar ISO/IEC Treoirleabhar 71 ar an imeacht chomh maith le lucht éisteachta Éireannach ar tugadh cuireadh dóibh. </w:t>
      </w:r>
    </w:p>
    <w:p w:rsidR="009B7368" w:rsidRPr="004918E0" w:rsidRDefault="009B7368" w:rsidP="009B7368">
      <w:pPr>
        <w:pStyle w:val="Heading3"/>
        <w:rPr>
          <w:lang w:val="ga-IE"/>
        </w:rPr>
      </w:pPr>
      <w:r w:rsidRPr="004918E0">
        <w:rPr>
          <w:lang w:val="ga-IE"/>
        </w:rPr>
        <w:t>An Coiste Comhairleach ar na Caighdeáin Inrochtaineacht do Chách</w:t>
      </w:r>
    </w:p>
    <w:p w:rsidR="009B7368" w:rsidRPr="004918E0" w:rsidRDefault="009B7368" w:rsidP="009B7368">
      <w:pPr>
        <w:rPr>
          <w:lang w:val="ga-IE"/>
        </w:rPr>
      </w:pPr>
      <w:r w:rsidRPr="004918E0">
        <w:rPr>
          <w:lang w:val="ga-IE"/>
        </w:rPr>
        <w:t xml:space="preserve">Oibríonn an tÚdarás Náisiúnta Míchumais leis an Údarás um Chaighdeáin Náisiúnta na hÉireann trí hobair an Choiste Chomhairligh ar na Caighdeáin Inrochtaineacht do Chách (Accessibility for All Standards/AASCC)agus a sheacht meitheal oibre. Tugann an meitheal oibre comhairle faoi fhorbairt caighdeán ar Dhearadh Uilíoch táirgí, seirbhísí, teicneolaíochtaí na faisnéise agus na cumarsáide agus an timpeallacht thógtha. Thug na meithleacha oibre aighneachtaí faoi roinnt caighdeán Eorpach agus idirnáisiúnta. Ba é buaicphointe na bliana ná a rannpháirtíocht sa chéad chaighdeán náisiúnta ar Dhearadh Uilíoch a fhorbairt i seirbhísí turasóireachta. </w:t>
      </w:r>
    </w:p>
    <w:p w:rsidR="009B7368" w:rsidRPr="004918E0" w:rsidRDefault="009B7368" w:rsidP="009B7368">
      <w:pPr>
        <w:pStyle w:val="Heading2"/>
        <w:rPr>
          <w:lang w:val="ga-IE"/>
        </w:rPr>
      </w:pPr>
      <w:r w:rsidRPr="004918E0">
        <w:rPr>
          <w:lang w:val="ga-IE"/>
        </w:rPr>
        <w:t xml:space="preserve">Treoirlínte ar thithe dearaidh uilíoch </w:t>
      </w:r>
    </w:p>
    <w:p w:rsidR="009B7368" w:rsidRPr="004918E0" w:rsidRDefault="009B7368" w:rsidP="009B7368">
      <w:pPr>
        <w:rPr>
          <w:lang w:val="ga-IE"/>
        </w:rPr>
      </w:pPr>
      <w:r w:rsidRPr="004918E0">
        <w:rPr>
          <w:lang w:val="ga-IE"/>
        </w:rPr>
        <w:t xml:space="preserve">Tá an tÚdarás Náisiúnta Míchumais ag obair chun treoirlínte a fhorbairt um thithe dearaidh uilíoch—“Guidelines for Universal Design Homes for Ireland”—tithe atá oiriúnach do dhaoine d’aois, de mhéid, de chumas nó de míchumas éagsúla agus ar féidir a chur in oiriúint go héasca le haghaidh na gcéimeanna éagsúla den saol. Tá sé beartaithe go mbeadh na treoirlínte seo oiriúnach do gach teach agus árasán. Leis an obair chonacthas an chéim dheireanach den ghné áirithe sin den tionscadal ar Threoir um Thithe Dearaidh Uilíoch. Is é an chéad chéim eile ná Anailís Costais is Tairbhe ar Thithe Dearaidh Uilíoch a chríochnófar i 2013. </w:t>
      </w:r>
    </w:p>
    <w:p w:rsidR="009B7368" w:rsidRPr="004918E0" w:rsidRDefault="009B7368" w:rsidP="009B7368">
      <w:pPr>
        <w:pStyle w:val="Heading2"/>
        <w:rPr>
          <w:lang w:val="ga-IE"/>
        </w:rPr>
      </w:pPr>
      <w:r w:rsidRPr="004918E0">
        <w:rPr>
          <w:lang w:val="ga-IE"/>
        </w:rPr>
        <w:t xml:space="preserve">Scéimeanna Gradaim </w:t>
      </w:r>
    </w:p>
    <w:p w:rsidR="009B7368" w:rsidRPr="004918E0" w:rsidRDefault="009B7368" w:rsidP="009B7368">
      <w:pPr>
        <w:pStyle w:val="Heading3"/>
        <w:rPr>
          <w:lang w:val="ga-IE"/>
        </w:rPr>
      </w:pPr>
      <w:r w:rsidRPr="004918E0">
        <w:rPr>
          <w:lang w:val="ga-IE"/>
        </w:rPr>
        <w:t>An Gradam um Dhearadh Uilíoch 2012</w:t>
      </w:r>
    </w:p>
    <w:p w:rsidR="009B7368" w:rsidRPr="004918E0" w:rsidRDefault="009B7368" w:rsidP="009B7368">
      <w:pPr>
        <w:rPr>
          <w:lang w:val="ga-IE"/>
        </w:rPr>
      </w:pPr>
      <w:r w:rsidRPr="004918E0">
        <w:rPr>
          <w:lang w:val="ga-IE"/>
        </w:rPr>
        <w:t>Chomhoibrigh an Lárionad Sármhaitheasa i nDearadh Uilíoch de chuid an Údarás Náisiúnta Míchumais leis an Institute of Designers in Ireland (IDI) chun an chéad Ghradam um Dhearadh Uilíoch de chuid an IDI a bhunú agus a chur i láthair. Thug Stiúrthóir an Údarás Náisiúnta Míchumais agus Uachtarán an IDI an gradam sin i dteannta a chéile ag imeacht Gradam 2012 an IDI. Bhuaigh dearthóir táirgí óg as Éirinn an comórtas don ghradam le haghaidh a dhearadh nua cathaoireach ar a tugadh an chathaoir “Comfort Plus” le haghaidh leanaí. Ghlac cuid mhór de chomhaltaí náisiúnta an IDA páirt in imeachtaí 24 uaire um Dhúshlán Dearaidh Uilíoch de chuid an Údarás Náisiúnta Míchumais/an Lárionad Sármhaitheasa i nDearadh Uilíoch. Ba é giúiré idirnáisiúnta a roghnaigh an gradam agus úsáid á baint acu as critéir deartha a bhí bunaithe ar 7 bPrionsabal agus 29 dtreoirlíne an Dearaidh Uilíoch.</w:t>
      </w:r>
    </w:p>
    <w:p w:rsidR="009B7368" w:rsidRPr="004918E0" w:rsidRDefault="009B7368" w:rsidP="009B7368">
      <w:pPr>
        <w:pStyle w:val="Heading2"/>
        <w:rPr>
          <w:lang w:val="ga-IE"/>
        </w:rPr>
      </w:pPr>
      <w:r w:rsidRPr="004918E0">
        <w:rPr>
          <w:lang w:val="ga-IE"/>
        </w:rPr>
        <w:t xml:space="preserve">Feasacht </w:t>
      </w:r>
    </w:p>
    <w:p w:rsidR="009B7368" w:rsidRPr="004918E0" w:rsidRDefault="009B7368" w:rsidP="009B7368">
      <w:pPr>
        <w:pStyle w:val="Heading3"/>
        <w:rPr>
          <w:lang w:val="ga-IE"/>
        </w:rPr>
      </w:pPr>
      <w:r w:rsidRPr="004918E0">
        <w:rPr>
          <w:lang w:val="ga-IE"/>
        </w:rPr>
        <w:t xml:space="preserve">Oiliúint Ar Chomhionannas Míchumais Ar Líne do bhaill foirne na hearnála poiblí </w:t>
      </w:r>
    </w:p>
    <w:p w:rsidR="009B7368" w:rsidRPr="004918E0" w:rsidRDefault="009B7368" w:rsidP="009B7368">
      <w:pPr>
        <w:rPr>
          <w:lang w:val="ga-IE" w:eastAsia="en-GB"/>
        </w:rPr>
      </w:pPr>
      <w:r w:rsidRPr="004918E0">
        <w:rPr>
          <w:lang w:val="ga-IE" w:eastAsia="en-GB"/>
        </w:rPr>
        <w:t>Lean an tÚdarás Náisiúnta Míchumais air ag tabhairt oiliúna ar chomhionannas míchumais ar líne do bhaill foirne na hearnála poiblí. Chomhoibrigh an tÚdarás Náisiúnta Míchumais le Líonra Oifigeach Rochtana na n-Údarás Áitiúil ar an gclár “Enabling Access across Generations” do dhaltaí na hIdirbhliana. Bhain beagnach 1,000 dalta idirbhliana úsáid as modúl ríomhfhoghlama an Údarás Náisiúnta Míchumais chun ullmhú i gcomhair déileála le custaiméirí faoi mhíchumas le linn a dtaithí oibre.</w:t>
      </w:r>
    </w:p>
    <w:p w:rsidR="009B7368" w:rsidRPr="004918E0" w:rsidRDefault="009B7368" w:rsidP="009B7368">
      <w:pPr>
        <w:rPr>
          <w:lang w:val="ga-IE"/>
        </w:rPr>
      </w:pPr>
      <w:r w:rsidRPr="004918E0">
        <w:rPr>
          <w:lang w:val="ga-IE"/>
        </w:rPr>
        <w:t xml:space="preserve">D’óstáil an Lárionad Sármhaitheasa i nDearadh Uilíoch de chuid an Údarás Náisiúnta Míchumais sraith seimineár agus thug sé láithreachais ag seimineáir/comhdhálacha éagsúla chun feasacht agus tuiscint a mhúscailt faoi dhearadh uilíoch agus chun moladh do pháirtithe leasmhara glacadh leis lenar áiríodh léacht ar Dhearadh Uilíoch agus an timpeallacht thógtha don Chartered Institute of Building (Lárionad an Tuaiscirt) i gCorcaigh. </w:t>
      </w:r>
    </w:p>
    <w:p w:rsidR="009B7368" w:rsidRPr="004918E0" w:rsidRDefault="009B7368" w:rsidP="009B7368">
      <w:pPr>
        <w:rPr>
          <w:rFonts w:cs="Arial"/>
          <w:lang w:val="ga-IE"/>
        </w:rPr>
      </w:pPr>
      <w:r w:rsidRPr="004918E0">
        <w:rPr>
          <w:rFonts w:cs="Arial"/>
          <w:lang w:val="ga-IE"/>
        </w:rPr>
        <w:t>D’oibrigh an NDA i gcomhpháirt le hAilltirí Chomhairle Cathrach Bhaile Átha Cliath a bhí i mbun athchóirithe ar líonra Cheantar Shráid Grafton chun athbhreithniú a dhéanamh ar na hoibreacha beartaithe.</w:t>
      </w:r>
    </w:p>
    <w:p w:rsidR="009B7368" w:rsidRPr="004918E0" w:rsidRDefault="009B7368" w:rsidP="009B7368">
      <w:pPr>
        <w:rPr>
          <w:lang w:val="ga-IE"/>
        </w:rPr>
      </w:pPr>
      <w:r w:rsidRPr="004918E0">
        <w:rPr>
          <w:rFonts w:cs="Arial"/>
          <w:lang w:val="ga-IE"/>
        </w:rPr>
        <w:t>Freisin d’fhreastail an CEUD ar shraith de sheimineáir ag Institiúid Ríoga Ailtirí na hÉireann (RIAI) ar Dhearadh Bunscoile</w:t>
      </w:r>
      <w:r w:rsidRPr="004918E0">
        <w:rPr>
          <w:lang w:val="ga-IE"/>
        </w:rPr>
        <w:t xml:space="preserve">. Ba é cuspóir na sraithe ná plé a chothú faoi réimsí áirithe de dhearadh bunscoileanna agus treoir a thabhairt don athbhreithniú ar an gCoimre Bunscoile atá á dhéanamh faoi láthair ag an Aonad Pleanála agus Tógála agus Cigireacht an Roinn Oideachais &amp; Scileanna. </w:t>
      </w:r>
    </w:p>
    <w:p w:rsidR="009B7368" w:rsidRPr="004918E0" w:rsidRDefault="009B7368" w:rsidP="009B7368">
      <w:pPr>
        <w:pStyle w:val="Heading2"/>
        <w:rPr>
          <w:lang w:val="ga-IE"/>
        </w:rPr>
      </w:pPr>
      <w:r w:rsidRPr="004918E0">
        <w:rPr>
          <w:lang w:val="ga-IE"/>
        </w:rPr>
        <w:t>Taighde agus eolas</w:t>
      </w:r>
    </w:p>
    <w:p w:rsidR="009B7368" w:rsidRPr="004918E0" w:rsidRDefault="009B7368" w:rsidP="009B7368">
      <w:pPr>
        <w:pStyle w:val="Heading3"/>
        <w:rPr>
          <w:lang w:val="ga-IE"/>
        </w:rPr>
      </w:pPr>
      <w:r w:rsidRPr="004918E0">
        <w:rPr>
          <w:lang w:val="ga-IE"/>
        </w:rPr>
        <w:t xml:space="preserve">Taighde ar Dhearadh Uilíoch &amp; Theicneolaíocht do Dhaoine Scothaosta </w:t>
      </w:r>
    </w:p>
    <w:p w:rsidR="009B7368" w:rsidRPr="004918E0" w:rsidRDefault="009B7368" w:rsidP="009B7368">
      <w:pPr>
        <w:rPr>
          <w:lang w:val="ga-IE" w:eastAsia="en-GB"/>
        </w:rPr>
      </w:pPr>
      <w:r w:rsidRPr="004918E0">
        <w:rPr>
          <w:lang w:val="ga-IE" w:eastAsia="en-GB"/>
        </w:rPr>
        <w:t>Bhí an tÚdáras Náisiúnta Míchumais mar chomhpháirtí le hOspidéal San Séamas mar chuid de Bhaile Átha Cliath Cathair Eolaíochta 2012, ar thionscadal taighde a bhí dírithe ar “Universal Design &amp; Technology for Older People”. Ghabh an taighde sonraí cáilíochtúla agus cainníochtúla ar idirghníomhú daoine scothaosta le táirgí laethúla. Díríodh uirthi ar theicneolaíocht monatóireachta agus aláram a úsáideann daoine scothaosta agus ar theicneolaíochtaí a thuairiscigh daoine go raibh siad “deacair le húsáid” mar DVDanna. Fuarthas amach sa tionscadal a mhéid is atá prionsabail an Dearaidh Uilíoch cumhdaithe sna teicneolaíochtaí sin, agus tábhacht choibhneasta phrionsabail an Dearaidh Uilíoch maidir le hinúsáidteacht fhoriomlán</w:t>
      </w:r>
      <w:r w:rsidRPr="004918E0">
        <w:rPr>
          <w:lang w:val="ga-IE"/>
        </w:rPr>
        <w:t>.</w:t>
      </w:r>
      <w:r w:rsidRPr="004918E0">
        <w:rPr>
          <w:lang w:val="ga-IE" w:eastAsia="en-GB"/>
        </w:rPr>
        <w:t xml:space="preserve"> </w:t>
      </w:r>
      <w:r w:rsidRPr="004918E0">
        <w:rPr>
          <w:lang w:val="ga-IE"/>
        </w:rPr>
        <w:t>Rinneadh taifead ar éifeachtacht agus ar shásamh leis na teicneolaíochtaí sin agus ar riachtanais daoine scothaosta, na rudaí a thaitníonn agus nach dtaitníonn leo agus a gcuid ionchas agus roghanna agus úsáid na dteicneolaíochtaí sin acu</w:t>
      </w:r>
      <w:r w:rsidRPr="004918E0">
        <w:rPr>
          <w:lang w:val="ga-IE" w:eastAsia="en-GB"/>
        </w:rPr>
        <w:t xml:space="preserve">. Sa tionscadal forbraíodh uirlis tástála chun measúnú a dhéanamh ar Dhearadh Uilíoch in situ i gcomhthéacs na hÉireann agus baineadh triail as an uirlis sin.  Chun torthaí na taighde a chur i láthair ar bhealach suimiúil, rinneadh cur i láthair amharclainne dar teideal “Red button, </w:t>
      </w:r>
      <w:r w:rsidRPr="004918E0">
        <w:rPr>
          <w:lang w:val="ga-IE"/>
        </w:rPr>
        <w:t>G</w:t>
      </w:r>
      <w:r w:rsidRPr="004918E0">
        <w:rPr>
          <w:lang w:val="ga-IE" w:eastAsia="en-GB"/>
        </w:rPr>
        <w:t>reen button” a choimisiúnú agus léiríodh é ag “ActivAge 2012: Exploring Successful Ageing with the Aid of Technology” a reáchtáladh i mí na Samhna. Tá páipéar acadúil á ullmhú le foilsiú in irisleabhar ar dhearadh agus tá an uirlis a forbraíodh chun measúnú a dhéanamh ar Dhearadh Uilíoch á úsáid chun dearadh uirlisí agus tionscadal gaolmhar eile a threorú.</w:t>
      </w:r>
    </w:p>
    <w:p w:rsidR="009B7368" w:rsidRPr="004918E0" w:rsidRDefault="009B7368" w:rsidP="009B7368">
      <w:pPr>
        <w:pStyle w:val="Heading3"/>
        <w:rPr>
          <w:lang w:val="ga-IE"/>
        </w:rPr>
      </w:pPr>
      <w:r w:rsidRPr="004918E0">
        <w:rPr>
          <w:lang w:val="ga-IE"/>
        </w:rPr>
        <w:t xml:space="preserve">An ICF agus Dearadh Uilíoch </w:t>
      </w:r>
    </w:p>
    <w:p w:rsidR="009B7368" w:rsidRPr="004918E0" w:rsidRDefault="009B7368" w:rsidP="009B7368">
      <w:pPr>
        <w:rPr>
          <w:lang w:val="ga-IE"/>
        </w:rPr>
      </w:pPr>
      <w:r w:rsidRPr="004918E0">
        <w:rPr>
          <w:lang w:val="ga-IE"/>
        </w:rPr>
        <w:t>Choimisiúnaigh an Lárionad Sármhaitheasa i nDearadh Uilíoch san Údarás Náisiúnta Míchumais taighde ar an WHO-ICF agus Acmhainní Gaolmhara chun feabhas a chur ar Chaighdeáin um Dhearadh Uilíoch a chomhtháthú. Aithníodh na tréithe lárnacha a bhaineann le Dearadh Uilíoch. Rinneadh na gnéithe a leagan amach sa treoir chun úsáid téarmaíochta a threorú chomh maith le cúrsaí próisis um dearaí laethúla a shonrú agus a roghnú. Ba é a bhí i gceist le tionscadal 2012 ná athbhreithniú córasach ar an litríocht idirnáisiúnta agus doiciméad treorach a fhorbairt ina bhfuil samplaí le haghaidh gach ceann de na réimsí dearaidh; táirgí, seirbhísí, an timpeallacht thógtha agus Teicneolaíochtaí na Faisnéise agus na Cumarsáide.</w:t>
      </w:r>
    </w:p>
    <w:p w:rsidR="009B7368" w:rsidRPr="004918E0" w:rsidRDefault="009B7368" w:rsidP="009B7368">
      <w:pPr>
        <w:pStyle w:val="Heading3"/>
        <w:rPr>
          <w:lang w:val="ga-IE"/>
        </w:rPr>
      </w:pPr>
      <w:r w:rsidRPr="004918E0">
        <w:rPr>
          <w:lang w:val="ga-IE"/>
        </w:rPr>
        <w:t>Méid um Dhearadh Uilíoch</w:t>
      </w:r>
    </w:p>
    <w:p w:rsidR="009B7368" w:rsidRPr="004918E0" w:rsidRDefault="009B7368" w:rsidP="009B7368">
      <w:pPr>
        <w:rPr>
          <w:lang w:val="ga-IE"/>
        </w:rPr>
      </w:pPr>
      <w:r w:rsidRPr="004918E0">
        <w:rPr>
          <w:lang w:val="ga-IE"/>
        </w:rPr>
        <w:t>Choimisiúnaigh an tÚdarás Náisiúnta Míchumais taighde chun an tionchar a bhíonn ag méid chorp an duine ar fhorbairt an dearadh uilíoch a shocrú, toisc go bhfuil méid mar chomaoin lárnach den dearadh uilíoch mar a aithníodh san Acht um Míchumas 2005. Cuimsíonn an tionscadal atá ina thrí chuid léirmheas idirnáisiúnta ar an litríocht, suirbhé náisiúnta ar dhearthóirí, mic léinn deartha agus speisialtóirí soláthair agus treoir ar dhea-chleachtas sa todhchaí. Foilseofar an treoir le haghaidh dearthóirí, oideoirí agus speisialtóirí soláthair i 2013.</w:t>
      </w:r>
    </w:p>
    <w:p w:rsidR="009B7368" w:rsidRPr="004918E0" w:rsidRDefault="009B7368" w:rsidP="009B7368">
      <w:pPr>
        <w:pStyle w:val="Heading3"/>
        <w:rPr>
          <w:lang w:val="ga-IE"/>
        </w:rPr>
      </w:pPr>
      <w:r w:rsidRPr="004918E0">
        <w:rPr>
          <w:lang w:val="ga-IE"/>
        </w:rPr>
        <w:t xml:space="preserve">Láithreáin ghréasáin na hearnála poiblí </w:t>
      </w:r>
    </w:p>
    <w:p w:rsidR="009B7368" w:rsidRPr="004918E0" w:rsidRDefault="009B7368" w:rsidP="009B7368">
      <w:pPr>
        <w:rPr>
          <w:rFonts w:cs="Arial"/>
          <w:lang w:val="ga-IE"/>
        </w:rPr>
      </w:pPr>
      <w:r w:rsidRPr="004918E0">
        <w:rPr>
          <w:lang w:val="ga-IE"/>
        </w:rPr>
        <w:t xml:space="preserve">Críochnaíodh taighde ar conas is féidir dearadh faisnéise agus seirbhísí poiblí ar líne a fheabhsú chun go mbeidh taithí níos fearr ag úsáideoirí ar líne agus chun feabhas a chur ar éifeachtúlachtaí do chomhlachtaí rialtais agus poiblí. Trí mheán agallamh agus suirbhéanna le raon leathan páirtithe leasmhara, chomh maith le hanailís ar láithreáin ghréasáin lárnacha de chuid na hearnála poiblí, treoraíodh forbairt treoirlínte deartha. Seolfar na treoirlínte ag imeacht do bhainisteoirí gréasáin san earnáil phoiblí i  gcomhpháirt leis an Roinn Caiteachais Phoiblí agus Athchóirithe i 2013. Meastar go gcabhróidh na treoirlínte le comhlachtaí poiblí a gcuid oibleagáidí a chomhlíonadh faoi </w:t>
      </w:r>
      <w:r w:rsidRPr="004918E0">
        <w:rPr>
          <w:bCs/>
          <w:lang w:val="ga-IE"/>
        </w:rPr>
        <w:t>Athchóiriú na Seirbhíse Poiblí - ríomhsheirbhísí Rialtais 2012 – 2015</w:t>
      </w:r>
      <w:r w:rsidRPr="004918E0">
        <w:rPr>
          <w:lang w:val="ga-IE"/>
        </w:rPr>
        <w:t xml:space="preserve"> chun riachtanais leanaí a chur ag croílár an r-Rialtais. Tagraítear do na treoirlínte sa Straitéis Dhigiteach Náisiúnta (an Roinn Cumarsáide, Fuinnimh agus Acmhainní Nádúrtha) mar acmhainní a mholtar a úsáid agus seirbhísí ar líne níos inrochtana agus tarraingtí  á mbaint amach.</w:t>
      </w:r>
    </w:p>
    <w:p w:rsidR="009B7368" w:rsidRPr="004918E0" w:rsidRDefault="009B7368" w:rsidP="009B7368">
      <w:pPr>
        <w:pStyle w:val="Heading3"/>
        <w:rPr>
          <w:lang w:val="ga-IE"/>
        </w:rPr>
      </w:pPr>
      <w:r w:rsidRPr="004918E0">
        <w:rPr>
          <w:lang w:val="ga-IE"/>
        </w:rPr>
        <w:t xml:space="preserve">Taighde ar spáis agus dhromchlaí roinnte </w:t>
      </w:r>
    </w:p>
    <w:p w:rsidR="009B7368" w:rsidRPr="004918E0" w:rsidRDefault="009B7368" w:rsidP="009B7368">
      <w:pPr>
        <w:rPr>
          <w:rFonts w:cs="Arial"/>
          <w:lang w:val="ga-IE" w:eastAsia="en-GB"/>
        </w:rPr>
      </w:pPr>
      <w:r w:rsidRPr="004918E0">
        <w:rPr>
          <w:rFonts w:cs="Helv"/>
          <w:lang w:val="ga-IE" w:eastAsia="en-GB"/>
        </w:rPr>
        <w:t>Coimisiúnaíodh taighde ar chleachtais chomhaimseartha in Éirinn agus thar lear agus ar smaoineamh faoi spáis roinnte, dhromchlaí roinnte agus “creasa baile” ina raibh moltaí lárnacha faoin treo ar cheart don Údarás Náisiúnta Míchumais a ghlacadh i ndáil leis an ábhar sin. Foilsíodh an Tuarascáil Taighde agus Moltaí i Meán Fómhair 2012</w:t>
      </w:r>
      <w:r w:rsidRPr="004918E0">
        <w:rPr>
          <w:rFonts w:cs="Arial"/>
          <w:lang w:val="ga-IE" w:eastAsia="en-GB"/>
        </w:rPr>
        <w:t xml:space="preserve">. </w:t>
      </w:r>
    </w:p>
    <w:p w:rsidR="009B7368" w:rsidRPr="004918E0" w:rsidRDefault="009B7368" w:rsidP="009B7368">
      <w:pPr>
        <w:rPr>
          <w:rFonts w:cs="Arial"/>
          <w:lang w:val="ga-IE" w:eastAsia="en-GB"/>
        </w:rPr>
      </w:pPr>
      <w:r w:rsidRPr="004918E0">
        <w:rPr>
          <w:rFonts w:cs="Arial"/>
          <w:lang w:val="ga-IE" w:eastAsia="en-GB"/>
        </w:rPr>
        <w:t xml:space="preserve">Chuir an NDA comhairle ar oifigigh sa Roinn Iompair, Turasóireachta agus Spóirt a bhí i mbun an athbhreithnithe ar an Lámhleabhar Deartha do Bhóithre agus Shráideanna Uirbeacha chun iad a chur ar a n-eolas faoin taighde sin. </w:t>
      </w:r>
    </w:p>
    <w:p w:rsidR="009B7368" w:rsidRPr="004918E0" w:rsidRDefault="009B7368" w:rsidP="009B7368">
      <w:pPr>
        <w:rPr>
          <w:rFonts w:cs="Arial"/>
          <w:lang w:val="ga-IE" w:eastAsia="en-GB"/>
        </w:rPr>
      </w:pPr>
      <w:r w:rsidRPr="004918E0">
        <w:rPr>
          <w:rFonts w:cs="Arial"/>
          <w:lang w:val="ga-IE" w:eastAsia="en-GB"/>
        </w:rPr>
        <w:t>Is é an chéad chéim eile den obair seo ná Staidéir Phíolótacha ina ndéanfar taighde réamh-mheasúnaithe agus iarmheasúnaithe ar dhearadh Spásanna Roinnte ó thaobh Dearaidh Uilíoch. Tá CEUD i mbun plé le hÚdaráis Áitiúla faoi ionaid suímh féideartha um Spás Roinnte.</w:t>
      </w:r>
    </w:p>
    <w:p w:rsidR="009B7368" w:rsidRPr="004918E0" w:rsidRDefault="009B7368" w:rsidP="009B7368">
      <w:pPr>
        <w:pStyle w:val="Heading3"/>
        <w:rPr>
          <w:lang w:val="ga-IE"/>
        </w:rPr>
      </w:pPr>
      <w:r w:rsidRPr="004918E0">
        <w:rPr>
          <w:lang w:val="ga-IE"/>
        </w:rPr>
        <w:t xml:space="preserve">Taighde ar Champais Oideachais de Dhearadh Uilíoch </w:t>
      </w:r>
    </w:p>
    <w:p w:rsidR="009B7368" w:rsidRPr="004918E0" w:rsidRDefault="009B7368" w:rsidP="009B7368">
      <w:pPr>
        <w:rPr>
          <w:lang w:val="ga-IE"/>
        </w:rPr>
      </w:pPr>
      <w:r w:rsidRPr="004918E0">
        <w:rPr>
          <w:lang w:val="ga-IE"/>
        </w:rPr>
        <w:t>Is í aidhm an tionscadail seo ná taighde a dhéanamh ar an dea-chleachtas comhaimseartha in Éirinn agus thar lear ar Champais Oideachais thar an Saolré— scrúdú a dhéanamh ar conas a threoraíonn Dearadh Uilíoch dearadh campas den sórt sin in Éirinn le haghaidh daoine d’aois, de mhéid, de chumas, nó de mhíchumas ar bith — agus moltaí lárnacha ann faoin treo ar cheart d’Éirinn a ghlacadh maidir le cur chuige bunaithe ar Dhearadh Uilíoch i dtreo Champais Oideachasúla Saolré. Rinneadh an taighde sin a choimisiúnú i 2012 agus críochnófar i 2013 í.</w:t>
      </w:r>
    </w:p>
    <w:p w:rsidR="009B7368" w:rsidRPr="004918E0" w:rsidRDefault="009B7368" w:rsidP="009B7368">
      <w:pPr>
        <w:pStyle w:val="Heading2"/>
        <w:rPr>
          <w:lang w:val="ga-IE"/>
        </w:rPr>
      </w:pPr>
      <w:r w:rsidRPr="004918E0">
        <w:rPr>
          <w:lang w:val="ga-IE"/>
        </w:rPr>
        <w:t xml:space="preserve">Dearadh tí do dhaoine a bhfuil néaltrú orthu </w:t>
      </w:r>
    </w:p>
    <w:p w:rsidR="009B7368" w:rsidRPr="004918E0" w:rsidRDefault="009B7368" w:rsidP="009B7368">
      <w:pPr>
        <w:autoSpaceDE w:val="0"/>
        <w:autoSpaceDN w:val="0"/>
        <w:adjustRightInd w:val="0"/>
        <w:rPr>
          <w:rFonts w:cs="Arial"/>
          <w:lang w:val="ga-IE"/>
        </w:rPr>
      </w:pPr>
      <w:r w:rsidRPr="004918E0">
        <w:rPr>
          <w:rFonts w:cs="Arial"/>
          <w:lang w:val="ga-IE"/>
        </w:rPr>
        <w:t>Is í aidhm an tionscadail seo ná treoir a thabhairt do ghairmithe i réimse an deartha agus do pháirtithe leasmhara leis an Dearadh Uilíoch riachtanach ar dhearadh tithe nua agus aisfheistiú an stoc reatha tithe chun dul i ngleic le riachtanais daoine a  bhfuil néaltrú orthu. Féadann dearadh oiriúnach tí cabhrú le tacaíocht a thabhairt do dhaoine a bhfuil néaltrú orthu ionas go mbeidh siad in ann maireachtáil chomh fada is féidir ina gcuid tithe agus pobal féin. Rachaidh an Taighde, na Moltaí agus an Treoir ar Dhearadh i ngleic freisin le riachtanais theaghlaigh na ndaoine a bhfuil néaltrú orthu. Coimisiúnaíodh an obair sin ag deireadh 2012 agus críochnófar í ag deireadh 2013.</w:t>
      </w:r>
    </w:p>
    <w:p w:rsidR="009B7368" w:rsidRPr="004918E0" w:rsidRDefault="009B7368" w:rsidP="009B7368">
      <w:pPr>
        <w:pStyle w:val="Heading2"/>
        <w:rPr>
          <w:lang w:val="ga-IE"/>
        </w:rPr>
      </w:pPr>
      <w:r w:rsidRPr="004918E0">
        <w:rPr>
          <w:lang w:val="ga-IE"/>
        </w:rPr>
        <w:t xml:space="preserve">Tionscadal taighde tacaithe </w:t>
      </w:r>
    </w:p>
    <w:p w:rsidR="009B7368" w:rsidRPr="004918E0" w:rsidRDefault="009B7368" w:rsidP="009B7368">
      <w:pPr>
        <w:rPr>
          <w:lang w:val="ga-IE"/>
        </w:rPr>
      </w:pPr>
      <w:r w:rsidRPr="004918E0">
        <w:rPr>
          <w:lang w:val="ga-IE"/>
        </w:rPr>
        <w:t xml:space="preserve">Tá an tÚdarás Náisiúnta Míchumais ag déanamh maoirseachta ar thionscadal taighde iardhochtúireachta agus dochtúireachta faoin scéim “Enterprise Partner Research” de chuid Chomhairle Taighde na hÉireann agus tá sé ag tabhairt tacaíochta don tionscadal. </w:t>
      </w:r>
    </w:p>
    <w:p w:rsidR="009B7368" w:rsidRPr="004918E0" w:rsidRDefault="009B7368" w:rsidP="009B7368">
      <w:pPr>
        <w:pStyle w:val="Heading3"/>
        <w:rPr>
          <w:lang w:val="ga-IE"/>
        </w:rPr>
      </w:pPr>
      <w:r w:rsidRPr="004918E0">
        <w:rPr>
          <w:lang w:val="ga-IE"/>
        </w:rPr>
        <w:t xml:space="preserve">Taighde ar tháirgí de Dhearadh Uilíoch agus ar innealtóireacht próisis </w:t>
      </w:r>
    </w:p>
    <w:p w:rsidR="009B7368" w:rsidRPr="004918E0" w:rsidRDefault="009B7368" w:rsidP="009B7368">
      <w:pPr>
        <w:rPr>
          <w:lang w:val="ga-IE"/>
        </w:rPr>
      </w:pPr>
      <w:r w:rsidRPr="004918E0">
        <w:rPr>
          <w:lang w:val="ga-IE"/>
        </w:rPr>
        <w:t>1. Críochnaíodh tionscadal taighde dhá-bhliana ar Dhearadh Uilíoch don innealtóireacht i gColáiste na Tríonóide Baile Átha Cliath. Chruthaigh an tionscadal conas is féidir Dearadh Uilíoch a chur i bhfeidhm ar thaighde táirgí agus innealtóireacht dearaidh, agus ar mhúineadh agus fhoghlaim i réimse na hinnealtóireachta.</w:t>
      </w:r>
    </w:p>
    <w:p w:rsidR="009B7368" w:rsidRPr="004918E0" w:rsidRDefault="009B7368" w:rsidP="009B7368">
      <w:pPr>
        <w:rPr>
          <w:lang w:val="ga-IE"/>
        </w:rPr>
      </w:pPr>
      <w:r w:rsidRPr="004918E0">
        <w:rPr>
          <w:lang w:val="ga-IE"/>
        </w:rPr>
        <w:t xml:space="preserve">Toradh amháin ar an tionscadal ab ea coincheap nua do tháirge chun brú i gcoinne an choirp a bhrath a bhí spreagtha ag Dearadh Uilíoch. Tá paitinn curtha ar an maoin intleachta ag Coláiste na Tríonóide Baile Átha Cliath agus tá maoiniú tugtha ag Fiontraíocht Éireann don taighdeoir chun tionscadal a oibriú leis an gcoincheap a fhorbairt níos mó go feidhmeanna táirge féideartha. Is é an dara toradh lárnach ná próiseas taighde nuálaíoch um innealtóireacht táirge a úsáideadh chun go leor ábhar a fhorbairt do churaclam innealtóireachta. Tá triail á baint astu siúd mar bhonn nua um chuir chuige chun Dearadh Uilíoch a chomhtháthú i dteagasc, i bpleanáil cúrsaí agus i gcomórtais deartha. </w:t>
      </w:r>
    </w:p>
    <w:p w:rsidR="009B7368" w:rsidRPr="004918E0" w:rsidRDefault="009B7368" w:rsidP="009B7368">
      <w:pPr>
        <w:rPr>
          <w:lang w:val="ga-IE"/>
        </w:rPr>
      </w:pPr>
      <w:r w:rsidRPr="004918E0">
        <w:rPr>
          <w:lang w:val="ga-IE"/>
        </w:rPr>
        <w:t>2. Déanfar an dara píosa taighde dochtúireachta atá comh-mhaoinithe ar chóras rátála Dearaidh Uilíoch a shainiú le haghaidh foirgneamh. Tá taighdeoir ailtireachta ó Choláiste na Tríonóide Baile Átha Cliath ag scrúdú na réimse sin agus go háirithe conas a d’fhéadfadh go n-oibreodh sé ar bhealach cosúil leis an gcóras um Rátáil Fuinnimh Foirgnimh atá i bhfeidhm in Éirinn cheana féin. Tá an obair sin ag dul ar aghaidh agus tá sí le bheith críochnaithe faoi Mheán Fómhair 2013</w:t>
      </w:r>
      <w:r w:rsidRPr="004918E0">
        <w:rPr>
          <w:rFonts w:cs="Arial"/>
          <w:lang w:val="ga-IE"/>
        </w:rPr>
        <w:t>.</w:t>
      </w:r>
    </w:p>
    <w:p w:rsidR="009B7368" w:rsidRPr="004918E0" w:rsidRDefault="009B7368" w:rsidP="009B7368">
      <w:pPr>
        <w:pStyle w:val="Heading3"/>
        <w:rPr>
          <w:lang w:val="ga-IE"/>
        </w:rPr>
      </w:pPr>
      <w:r w:rsidRPr="004918E0">
        <w:rPr>
          <w:lang w:val="ga-IE"/>
        </w:rPr>
        <w:t xml:space="preserve">Seimineár ar Theileachúram agus Theileashláinte </w:t>
      </w:r>
    </w:p>
    <w:p w:rsidR="009B7368" w:rsidRPr="004918E0" w:rsidRDefault="009B7368" w:rsidP="009B7368">
      <w:pPr>
        <w:rPr>
          <w:lang w:val="ga-IE"/>
        </w:rPr>
      </w:pPr>
      <w:r w:rsidRPr="004918E0">
        <w:rPr>
          <w:lang w:val="ga-IE"/>
        </w:rPr>
        <w:t xml:space="preserve">Óstáladh seimineár faoin téama “Enabling Independent Living through promoting Universal Design of Health Services for Telecare and Telehealth” ar an 23 Bealtaine 2012 i bPáirc an Chrócaigh. Thug Cathal Magee, POF an FSS agus an tOllamh Stan Newman, Príomhthaighdeoir an tionscadail Whole Systems Demonstrator, an RA na príomhoráidí. D’fhreastail go leor daoine ar an seimineár a raibh ina measc cleachtóirí sláinte, an lucht tionscail, comhlachtaí ionadaíocha, oifigigh ó Fheidhmeannacht na Seirbhíse Sláinte agus ón Roinn Sláinte. Leag an tÚdarás Náisiúnta Míchumais amach a chuid pleananna chun taighde a dhéanamh ar theileashláinte/theileachúram in Éirinn. </w:t>
      </w:r>
    </w:p>
    <w:p w:rsidR="009B7368" w:rsidRPr="004918E0" w:rsidRDefault="009B7368" w:rsidP="009B7368">
      <w:pPr>
        <w:pStyle w:val="Heading2"/>
        <w:rPr>
          <w:lang w:val="ga-IE"/>
        </w:rPr>
      </w:pPr>
      <w:r w:rsidRPr="004918E0">
        <w:rPr>
          <w:lang w:val="ga-IE"/>
        </w:rPr>
        <w:t xml:space="preserve">Oideachas </w:t>
      </w:r>
    </w:p>
    <w:p w:rsidR="009B7368" w:rsidRPr="004918E0" w:rsidRDefault="009B7368" w:rsidP="009B7368">
      <w:pPr>
        <w:pStyle w:val="Heading3"/>
        <w:rPr>
          <w:lang w:val="ga-IE"/>
        </w:rPr>
      </w:pPr>
      <w:r w:rsidRPr="004918E0">
        <w:rPr>
          <w:lang w:val="ga-IE"/>
        </w:rPr>
        <w:t xml:space="preserve">Modúl ar Dhearadh Uilíoch don churaclam tríú leibhéal </w:t>
      </w:r>
    </w:p>
    <w:p w:rsidR="009B7368" w:rsidRPr="004918E0" w:rsidRDefault="009B7368" w:rsidP="009B7368">
      <w:pPr>
        <w:rPr>
          <w:rFonts w:cs="Arial"/>
          <w:lang w:val="ga-IE"/>
        </w:rPr>
      </w:pPr>
      <w:r w:rsidRPr="004918E0">
        <w:rPr>
          <w:rFonts w:cs="Arial"/>
          <w:lang w:val="ga-IE"/>
        </w:rPr>
        <w:t>Chríochnaigh an Lárionad Sármhaitheasa i nDearadh Uilíoch tionscadal chun modúl ar dhearadh uilíoch a fhorbairt atá oiriúnach le húsáid i ngach cúrsa céad bliana san innealtóireacht, san ailtireacht, sa teicneolaíocht agus sa dearadh. Ghlac cuibhreann d’institiúidí oideachais tríú leibhéal páirt sa churaclam agus a chuid ábhar á bhforbairt i 2011, agus baineadh triail astu i gcoláistí tríú leibhéal éagsúla i 2012. Tá baill foirne an CEUD ag úsáid ábhar an mhodúil in aoi-léachtaí do mhic léinn 3ú leibhéal. D’aithin an tionscadal roinnt straitéisí um thar-rolladh an churaclaim le leanúint i 2013.</w:t>
      </w:r>
    </w:p>
    <w:p w:rsidR="009B7368" w:rsidRPr="004918E0" w:rsidRDefault="009B7368" w:rsidP="009B7368">
      <w:pPr>
        <w:pStyle w:val="Heading3"/>
        <w:rPr>
          <w:lang w:val="ga-IE"/>
        </w:rPr>
      </w:pPr>
      <w:r w:rsidRPr="004918E0">
        <w:rPr>
          <w:lang w:val="ga-IE"/>
        </w:rPr>
        <w:t>Modúl píolótach ar Dhearadh Uilíoch don churaclam dara leibhéal</w:t>
      </w:r>
    </w:p>
    <w:p w:rsidR="009B7368" w:rsidRPr="004918E0" w:rsidRDefault="009B7368" w:rsidP="009B7368">
      <w:pPr>
        <w:rPr>
          <w:lang w:val="ga-IE"/>
        </w:rPr>
      </w:pPr>
      <w:r w:rsidRPr="004918E0">
        <w:rPr>
          <w:lang w:val="ga-IE"/>
        </w:rPr>
        <w:t>Rinne an Lárionad Sármhaitheasa i nDearadh Uilíoch san Údarás Náisiúnta Míchumais tionscadal i gcomhpháirt le hOllscoil Cambridge (an RA) inar oibríodh trialacha píolótacha ar mhodúl curaclaim ar Dhearadh Uilíoch ag dara leibhéal i gcláir idirbhliana atá dírithe ar an teicneolaíocht. Sa churaclam tugtar bunchúrsa do dhaltaí dara leibhéal ar fhadhbréiteach deartha atá bunaithe ar chleachtaí deartha dírithe ar an úsáideoir chun réitigh Dearaidh Uilíoch a chruthú. Rinneadh tuilleadh athbhreithnithe ar fhionnachtana an tionscadail agus ar an modúl curaclaim i gceardlanna straitéise tar-rolltha le teagascóirí dara leibhéal. Tá pleanáil ar siúl le haghaidh tionscadail i 2013 chun an curaclam a bharrfheabhsú do Ghearrchúrsa a bheidh ar aon dul leis an gCreat Sraithe Sóisearaí athbhreithnithe de chuid an Chomhairle Náisiúnta Curaclaim agus Measúnachta.</w:t>
      </w:r>
    </w:p>
    <w:p w:rsidR="009B7368" w:rsidRPr="004918E0" w:rsidRDefault="009B7368" w:rsidP="009B7368">
      <w:pPr>
        <w:pStyle w:val="Heading1"/>
        <w:rPr>
          <w:lang w:val="ga-IE"/>
        </w:rPr>
      </w:pPr>
      <w:bookmarkStart w:id="84" w:name="_Toc368646740"/>
      <w:r w:rsidRPr="004918E0">
        <w:rPr>
          <w:lang w:val="ga-IE"/>
        </w:rPr>
        <w:t>Tosaíocht straitéiseach 4</w:t>
      </w:r>
      <w:bookmarkEnd w:id="84"/>
    </w:p>
    <w:p w:rsidR="009B7368" w:rsidRPr="004918E0" w:rsidRDefault="009B7368" w:rsidP="009B7368">
      <w:pPr>
        <w:rPr>
          <w:b/>
          <w:lang w:val="ga-IE"/>
        </w:rPr>
      </w:pPr>
      <w:r w:rsidRPr="004918E0">
        <w:rPr>
          <w:b/>
          <w:lang w:val="ga-IE"/>
        </w:rPr>
        <w:t xml:space="preserve">Forbairt a dhéanamh ar acmhainn an Údarás Náisiúnta Míchumais chun a chuid spriocanna straitéiseacha a chomhlíonadh </w:t>
      </w:r>
    </w:p>
    <w:p w:rsidR="009B7368" w:rsidRPr="004918E0" w:rsidRDefault="009B7368" w:rsidP="009B7368">
      <w:pPr>
        <w:rPr>
          <w:lang w:val="ga-IE"/>
        </w:rPr>
      </w:pPr>
      <w:r w:rsidRPr="004918E0">
        <w:rPr>
          <w:lang w:val="ga-IE"/>
        </w:rPr>
        <w:t>Lean an tÚdarás Náisiúnta Míchumais ar aghaidh ag obair chun éifeachtúlachtaí a bhaint amach agus chun feabhas a chur ar acmhainn agus cháilíocht a chuid oibre le linn 2012, d’ainneoin na ndúshlán atá ag baint leis an laghdú ar líon na mball foirne. Mar chuid den obair sin baineadh leas as seirbhísí roinnte TF agus tacaíochta airgeadais ón Roinn Dlí agus Cirt agus Comhionannais, de réir bheartas an Rialtais ar sheirbhísí roinnte. Tugtar tuairisc thíos ar fhorbairtí sonracha eile.</w:t>
      </w:r>
    </w:p>
    <w:p w:rsidR="009B7368" w:rsidRPr="004918E0" w:rsidRDefault="009B7368" w:rsidP="009B7368">
      <w:pPr>
        <w:pStyle w:val="Heading2"/>
        <w:rPr>
          <w:lang w:val="ga-IE"/>
        </w:rPr>
      </w:pPr>
      <w:r w:rsidRPr="004918E0">
        <w:rPr>
          <w:lang w:val="ga-IE"/>
        </w:rPr>
        <w:t>Oifigeach Rochtana</w:t>
      </w:r>
    </w:p>
    <w:p w:rsidR="009B7368" w:rsidRPr="004918E0" w:rsidRDefault="009B7368" w:rsidP="009B7368">
      <w:pPr>
        <w:rPr>
          <w:lang w:val="ga-IE"/>
        </w:rPr>
      </w:pPr>
      <w:r w:rsidRPr="004918E0">
        <w:rPr>
          <w:lang w:val="ga-IE"/>
        </w:rPr>
        <w:t>Lean Oifigeach Rochtana an Údarás Náisiúnta Míchumais, a ceapadh de réir an Achta um Míchumas, ar aghaidh ag eagrú cúnamh oiriúnach do dhaoine faoi mhíchumas a bhain úsáid as eolas agus seirbhísí an Údaráis. Tá sonraí an Oifigigh Rochtana ar fáil ar leathanach baile láithreán gréasáin an NDA.</w:t>
      </w:r>
    </w:p>
    <w:p w:rsidR="009B7368" w:rsidRPr="004918E0" w:rsidRDefault="009B7368" w:rsidP="009B7368">
      <w:pPr>
        <w:pStyle w:val="Heading2"/>
        <w:rPr>
          <w:lang w:val="ga-IE"/>
        </w:rPr>
      </w:pPr>
      <w:r w:rsidRPr="004918E0">
        <w:rPr>
          <w:lang w:val="ga-IE"/>
        </w:rPr>
        <w:t xml:space="preserve">Seirbhís leabharlainne </w:t>
      </w:r>
    </w:p>
    <w:p w:rsidR="009B7368" w:rsidRPr="004918E0" w:rsidRDefault="009B7368" w:rsidP="009B7368">
      <w:pPr>
        <w:rPr>
          <w:lang w:val="ga-IE"/>
        </w:rPr>
      </w:pPr>
      <w:r w:rsidRPr="004918E0">
        <w:rPr>
          <w:lang w:val="ga-IE"/>
        </w:rPr>
        <w:t xml:space="preserve">Tá os cionn 55,000 mír faoi mhíchumas agus ábhair bhainteacha ag an Údarás Náisiúnta Míchumais, a thugann acmhainn chun tacú le comhairle agus treoir atá treoraithe ag fianaise a d’fhorbair an tÚdarás. Tá an bailiúchán fairsing sin déanta suas de leabhair, d’irisleabhair, de DVDanna, d’fhíseáin agus de CD ROManna. Chomh maith le catalóg ar líne a chur ar fáil, soláthraíonn an Leabharlann leabhair agus ailt irisleabhair tríd an bpost agus féadann daoine cuairt a thabhairt ar an leabharlann chun saothair níos sonraí a fháil. </w:t>
      </w:r>
    </w:p>
    <w:p w:rsidR="009B7368" w:rsidRPr="004918E0" w:rsidRDefault="009B7368" w:rsidP="009B7368">
      <w:pPr>
        <w:rPr>
          <w:lang w:val="ga-IE"/>
        </w:rPr>
      </w:pPr>
      <w:r w:rsidRPr="004918E0">
        <w:rPr>
          <w:lang w:val="ga-IE"/>
        </w:rPr>
        <w:t>I rith 2012, d’fhreagair an Leabharlann thart ar 400 ceist, agus chuaigh 13 bhall nua léi le linn na bliana. Ina theannta sin thug an Leabharlann thart ar 50 leabhar, 50 doiciméad agus 26 halt irisleabhair ar iasacht.</w:t>
      </w:r>
    </w:p>
    <w:p w:rsidR="009B7368" w:rsidRPr="004918E0" w:rsidRDefault="009B7368" w:rsidP="009B7368">
      <w:pPr>
        <w:pStyle w:val="Heading2"/>
        <w:rPr>
          <w:lang w:val="ga-IE"/>
        </w:rPr>
      </w:pPr>
      <w:r w:rsidRPr="004918E0">
        <w:rPr>
          <w:lang w:val="ga-IE"/>
        </w:rPr>
        <w:t>Ríomh-nuachtlitir</w:t>
      </w:r>
    </w:p>
    <w:p w:rsidR="009B7368" w:rsidRPr="004918E0" w:rsidRDefault="009B7368" w:rsidP="009B7368">
      <w:pPr>
        <w:rPr>
          <w:lang w:val="ga-IE"/>
        </w:rPr>
      </w:pPr>
      <w:r w:rsidRPr="004918E0">
        <w:rPr>
          <w:lang w:val="ga-IE"/>
        </w:rPr>
        <w:t xml:space="preserve">I 2012, d’fhoilsigh an tÚdarás Náisiúnta Míchumais a chéad Nuachtlitir leictreonach. Seoltar an Nuachtlitir ráithiúil trí ríomhphost chuig os cionn 2,000 síntiúsóra. Coimeádann sé daoine ar a n-eolas ar obair an Údarás Náisiúnta Míchumais ina chuid réimsí lárnacha mar atá Beartas, Taighde, Caighdeáin agus Dearadh Uilíoch. Féadann daoine cóipeanna cartlainne den ríomh-nuachtlitir a fháil nó más mian leo bheith ina síntiúsóir féadann siad clárú ar líne ag </w:t>
      </w:r>
      <w:hyperlink r:id="rId17" w:history="1">
        <w:r w:rsidRPr="004918E0">
          <w:rPr>
            <w:rStyle w:val="Hyperlink"/>
            <w:lang w:val="ga-IE"/>
          </w:rPr>
          <w:t>www.nda.ie</w:t>
        </w:r>
      </w:hyperlink>
      <w:r w:rsidRPr="004918E0">
        <w:rPr>
          <w:lang w:val="ga-IE"/>
        </w:rPr>
        <w:t>.</w:t>
      </w:r>
    </w:p>
    <w:p w:rsidR="009B7368" w:rsidRPr="004918E0" w:rsidRDefault="009B7368" w:rsidP="009B7368">
      <w:pPr>
        <w:pStyle w:val="Heading2"/>
        <w:rPr>
          <w:lang w:val="ga-IE"/>
        </w:rPr>
      </w:pPr>
      <w:r w:rsidRPr="004918E0">
        <w:rPr>
          <w:lang w:val="ga-IE"/>
        </w:rPr>
        <w:t>Airgeadas agus rialachas</w:t>
      </w:r>
    </w:p>
    <w:p w:rsidR="009B7368" w:rsidRPr="004918E0" w:rsidRDefault="009B7368" w:rsidP="009B7368">
      <w:pPr>
        <w:rPr>
          <w:lang w:val="ga-IE"/>
        </w:rPr>
      </w:pPr>
      <w:r w:rsidRPr="004918E0">
        <w:rPr>
          <w:lang w:val="ga-IE"/>
        </w:rPr>
        <w:t>De réir dea-rialachais tá coiste iniúchóireachta neamhspleách ag an Údarás Náisiúnta Míchumais a lean ar aghaidh ag reáchtáil cruinnithe le linn 2012. Críochnaíodh athbhreithniú neamhspleách ar rialuithe inmheánacha airgeadais in Aibreán 2012. Cuireadh obair ar aghaidh chun beachtú a dhéanamh ar chlár sócmhainní seasta de réir dea-chleachtais agus mholtaí na hIniúchóireachta Inmheánaí.</w:t>
      </w:r>
    </w:p>
    <w:p w:rsidR="009B7368" w:rsidRPr="004918E0" w:rsidRDefault="009B7368" w:rsidP="009B7368">
      <w:pPr>
        <w:rPr>
          <w:lang w:val="ga-IE"/>
        </w:rPr>
      </w:pPr>
      <w:r w:rsidRPr="004918E0">
        <w:rPr>
          <w:lang w:val="ga-IE"/>
        </w:rPr>
        <w:t>D’fhaomh an tÚdarás leagan athbhreithnithe eile den Lámhleabhar Rialachais, lenar áiríodh beartas nua ar thuairisciú de mheon macánta, i 2012.</w:t>
      </w:r>
    </w:p>
    <w:p w:rsidR="009B7368" w:rsidRPr="004918E0" w:rsidRDefault="009B7368" w:rsidP="009B7368">
      <w:pPr>
        <w:pStyle w:val="Heading2"/>
        <w:rPr>
          <w:lang w:val="ga-IE"/>
        </w:rPr>
      </w:pPr>
      <w:r w:rsidRPr="004918E0">
        <w:rPr>
          <w:lang w:val="ga-IE"/>
        </w:rPr>
        <w:t xml:space="preserve">Ráitis airgeadais </w:t>
      </w:r>
    </w:p>
    <w:p w:rsidR="009B7368" w:rsidRPr="004918E0" w:rsidRDefault="009B7368" w:rsidP="009B7368">
      <w:pPr>
        <w:rPr>
          <w:lang w:val="ga-IE"/>
        </w:rPr>
      </w:pPr>
      <w:r w:rsidRPr="004918E0">
        <w:rPr>
          <w:lang w:val="ga-IE"/>
        </w:rPr>
        <w:t>De réir an Achta um Údarás Náisiúnta Míchumais, 1999, d’ullmhaigh an tÚdarás cuntais airgeadais le haghaidh 2011 agus chuir sé isteach iad le go bhféadfaí an tArd-Reachtaire Cuntas agus Ciste iniúchadh a dhéanamh orthu. D’fhaomhadh na ráitis i Lúnasa 2012 agus cuireadh san áireamh i dTuarascáil Bhliantúil 2012 iad; cuireadh an tuarascáil sin faoi bhráid an Aire i Meán Fómhair 2012.</w:t>
      </w:r>
    </w:p>
    <w:p w:rsidR="009B7368" w:rsidRPr="004918E0" w:rsidRDefault="009B7368" w:rsidP="009B7368">
      <w:pPr>
        <w:pStyle w:val="Heading2"/>
        <w:rPr>
          <w:lang w:val="ga-IE" w:eastAsia="en-GB"/>
        </w:rPr>
      </w:pPr>
      <w:r w:rsidRPr="004918E0">
        <w:rPr>
          <w:lang w:val="ga-IE" w:eastAsia="en-GB"/>
        </w:rPr>
        <w:t xml:space="preserve">An Straitéis Acmhainní Daonna 2011-2013 </w:t>
      </w:r>
    </w:p>
    <w:p w:rsidR="009B7368" w:rsidRPr="004918E0" w:rsidRDefault="009B7368" w:rsidP="009B7368">
      <w:pPr>
        <w:rPr>
          <w:lang w:val="ga-IE"/>
        </w:rPr>
      </w:pPr>
      <w:r w:rsidRPr="004918E0">
        <w:rPr>
          <w:lang w:val="ga-IE" w:eastAsia="en-GB"/>
        </w:rPr>
        <w:t>I Straitéis Acmhainní Daonna 2011-2013 an Údarás Náisiúnta Míchumais leagtar amach na gníomhartha a chuirfear ar aghaidh, trí fheidhm AD na heagraíochta go príomha, chun acmhainn a fhorbairt agus cinntiú gur féidir an leas is mó a bhaint as seirbhísí chun cuspóirí an Phlean Straitéisigh a chomhlíonadh</w:t>
      </w:r>
      <w:r w:rsidRPr="004918E0">
        <w:rPr>
          <w:lang w:val="ga-IE"/>
        </w:rPr>
        <w:t>. I rith 2012 cuireadh raon gníomhartha ar aghaidh lenar áiríodh gníomhartha a bhain le hoiliúint a thabhairt, pleanáil oibre agus maoirseacht ar an gCóras Bainistíochta agus Forbartha Feidhmíochta. Clúdaíodh freisin cur i bhfeidhm leanúnach na ngníomhartha ar tugadh gealltanas ina leith i bPlean Gníomhaíochta Pháirc an Chrócaigh de chuid an NDA.</w:t>
      </w:r>
    </w:p>
    <w:p w:rsidR="009B7368" w:rsidRPr="004918E0" w:rsidRDefault="009B7368" w:rsidP="009B7368">
      <w:pPr>
        <w:pStyle w:val="Heading2"/>
        <w:rPr>
          <w:lang w:val="ga-IE"/>
        </w:rPr>
      </w:pPr>
      <w:r w:rsidRPr="004918E0">
        <w:rPr>
          <w:lang w:val="ga-IE"/>
        </w:rPr>
        <w:t xml:space="preserve">Beartas um bainistíocht freastail </w:t>
      </w:r>
    </w:p>
    <w:p w:rsidR="009B7368" w:rsidRPr="004918E0" w:rsidRDefault="009B7368" w:rsidP="009B7368">
      <w:pPr>
        <w:rPr>
          <w:lang w:val="ga-IE"/>
        </w:rPr>
      </w:pPr>
      <w:r w:rsidRPr="004918E0">
        <w:rPr>
          <w:lang w:val="ga-IE"/>
        </w:rPr>
        <w:t>Tar éis dul i gcomhairle le baill foirne, ceardchumainn agus comhpháirtithe, tabharfar beartas feabhsaithe um Bainistíocht Freastail chun críche i 2012. Eagraíodh socruithe um oiliúint bainisteoirí líne don bhliain seo chugainn chun tar-rolladh an bheartais nua a éascú.</w:t>
      </w:r>
    </w:p>
    <w:p w:rsidR="009B7368" w:rsidRPr="004918E0" w:rsidRDefault="009B7368" w:rsidP="009B7368">
      <w:pPr>
        <w:pStyle w:val="Heading2"/>
        <w:rPr>
          <w:lang w:val="ga-IE"/>
        </w:rPr>
      </w:pPr>
      <w:r w:rsidRPr="004918E0">
        <w:rPr>
          <w:lang w:val="ga-IE"/>
        </w:rPr>
        <w:t xml:space="preserve">Oiliúint agus forbairt </w:t>
      </w:r>
    </w:p>
    <w:p w:rsidR="009B7368" w:rsidRPr="004918E0" w:rsidRDefault="009B7368" w:rsidP="009B7368">
      <w:pPr>
        <w:rPr>
          <w:lang w:val="ga-IE" w:eastAsia="en-GB"/>
        </w:rPr>
      </w:pPr>
      <w:r w:rsidRPr="004918E0">
        <w:rPr>
          <w:lang w:val="ga-IE" w:eastAsia="en-GB"/>
        </w:rPr>
        <w:t xml:space="preserve">Is é an Córas Bainistíochta agus Forbartha Feidhmíochta an mheicníocht lárnach a úsáidtear chun feidhmíocht ball foirne a mheasúnú, a bhainistiú agus a thacú de réir an chleachtais reatha sa tseirbhís phoiblí. Treoraíonn na riachtanais oiliúna a aithnítear plean oiliúna an NDA mar fhreagra ar riachtanais aonair agus réimsí a aithnítear um chláir oiliúna spriocdhírithe. </w:t>
      </w:r>
    </w:p>
    <w:p w:rsidR="009B7368" w:rsidRPr="004918E0" w:rsidRDefault="009B7368" w:rsidP="009B7368">
      <w:pPr>
        <w:rPr>
          <w:lang w:val="ga-IE"/>
        </w:rPr>
      </w:pPr>
      <w:r w:rsidRPr="004918E0">
        <w:rPr>
          <w:lang w:val="ga-IE" w:eastAsia="en-GB"/>
        </w:rPr>
        <w:t>I rith 2012, cuireadh clár oiliúna ar fhorbairt ceannaireachta ar fáil do bhainisteoirí sinsearacha agus meánleibhéal de réir na n-inniúlachtaí a aithníodh chun feidhmíocht eagraíochta a fheabhsú. Ina theannta sin, tosaíodh oiliúint ar bhainistíocht líne le haghaidh gach bainisteoir líne i ndáil lena ról i mbainistíocht ball foirne agus i dtacú lena gcuid forbartha. I measc clár oiliúna sonrach eile chun feabhas a chur ar scileanna lárnacha don NDA bhí oiliúint ar úsáid Excel chun cabhrú le hanailís sonraí agus le tuarascálacha reachtúla a dhéanamh.</w:t>
      </w:r>
    </w:p>
    <w:p w:rsidR="009B7368" w:rsidRPr="004918E0" w:rsidRDefault="009B7368" w:rsidP="009B7368">
      <w:pPr>
        <w:rPr>
          <w:lang w:val="ga-IE"/>
        </w:rPr>
      </w:pPr>
      <w:r w:rsidRPr="004918E0">
        <w:rPr>
          <w:lang w:val="ga-IE"/>
        </w:rPr>
        <w:t>Chríochnaigh baill foirne an Údarás Náisiúnta Míchumais an  modúl oiliúna ríomhfhoghlama ar fheasacht faoi mhíchumas do bhaill foirne san earnáil phoiblí. Bealach costéifeachtach é an oiliúint seo, de réir chlár oibre na hearnála poiblí um bunathrú chun feabhais, leis an eolas agus na scileanna a sholáthar chun feabhas a chur ar sheirbhísí do dhaoine faoi mhíchumas.</w:t>
      </w:r>
    </w:p>
    <w:p w:rsidR="009B7368" w:rsidRPr="004918E0" w:rsidRDefault="009B7368" w:rsidP="009B7368">
      <w:pPr>
        <w:pStyle w:val="Heading2"/>
        <w:rPr>
          <w:lang w:val="ga-IE"/>
        </w:rPr>
      </w:pPr>
      <w:r w:rsidRPr="004918E0">
        <w:rPr>
          <w:lang w:val="ga-IE"/>
        </w:rPr>
        <w:t xml:space="preserve">Athbhreithniú ar an gcóras bainistíocht tionscadal </w:t>
      </w:r>
    </w:p>
    <w:p w:rsidR="009B7368" w:rsidRPr="004918E0" w:rsidRDefault="009B7368" w:rsidP="009B7368">
      <w:pPr>
        <w:rPr>
          <w:lang w:val="ga-IE"/>
        </w:rPr>
      </w:pPr>
      <w:r w:rsidRPr="004918E0">
        <w:rPr>
          <w:lang w:val="ga-IE"/>
        </w:rPr>
        <w:t>Mar chuid dá ghealltanas chun feabhais leanúnaigh rinne an tÚdarás Náisiúnta Míchumais athbhreithniú inmheánach ar a Chóras Bainistíochta Tionscadal. Cuirfear roinnt moltaí ar aghaidh i 2013 chun feabhas a dhéanamh ar an gcaoi a ndéanann an tÚdarás Náisiúnta Míchumais a chuid oibre.</w:t>
      </w:r>
    </w:p>
    <w:p w:rsidR="009B7368" w:rsidRPr="004918E0" w:rsidRDefault="009B7368" w:rsidP="009B7368">
      <w:pPr>
        <w:pStyle w:val="Heading2"/>
        <w:rPr>
          <w:lang w:val="ga-IE"/>
        </w:rPr>
      </w:pPr>
      <w:r w:rsidRPr="004918E0">
        <w:rPr>
          <w:lang w:val="ga-IE"/>
        </w:rPr>
        <w:t xml:space="preserve">An Coiste Comhpháirtíochta </w:t>
      </w:r>
    </w:p>
    <w:p w:rsidR="009B7368" w:rsidRPr="004918E0" w:rsidRDefault="009B7368" w:rsidP="009B7368">
      <w:pPr>
        <w:rPr>
          <w:lang w:val="ga-IE"/>
        </w:rPr>
      </w:pPr>
      <w:r w:rsidRPr="004918E0">
        <w:rPr>
          <w:lang w:val="ga-IE"/>
        </w:rPr>
        <w:t>Bhí 6 chruinniú ag an Údarás Náisiúnta Míchumais i 2012. Chuimsigh clár oibre an choiste athbhreithniú ar an gcaoi a raibh sé ag obair chun réimsí um feabhas a aithint. Thacaigh an Coiste le scéim phíolótach um moltaí foirne a fhorbairt áit a bhféadfadh baill foirne smaointe a chur ar aghaidh maidir le conas a d’fhéadfaí oibríochtaí a fheabhsú chun éifeachtúlachtaí a bhaint amach, lena n-áirítear coigiltis airgeadais áit is féidir agus sláinte agus sábháilteacht fheabhsaithe. Cuireadh naoi moladh isteach agus cháiligh ceithre cinn díobh le haghaidh dámhachtana, lenar áiríodh éifeachtúlachtaí in am agus i gcostais riaracháin ó thaobh iompar poiblí a úsáid, agus iarratais saoire a phróiseáil.</w:t>
      </w:r>
    </w:p>
    <w:p w:rsidR="009B7368" w:rsidRPr="004918E0" w:rsidRDefault="009B7368" w:rsidP="009B7368">
      <w:pPr>
        <w:pStyle w:val="Heading2"/>
        <w:rPr>
          <w:lang w:val="ga-IE"/>
        </w:rPr>
      </w:pPr>
      <w:r w:rsidRPr="004918E0">
        <w:rPr>
          <w:lang w:val="ga-IE"/>
        </w:rPr>
        <w:t>Plean Straitéiseach 2013–2015</w:t>
      </w:r>
    </w:p>
    <w:p w:rsidR="009B7368" w:rsidRPr="004918E0" w:rsidRDefault="009B7368" w:rsidP="009B7368">
      <w:pPr>
        <w:rPr>
          <w:lang w:val="ga-IE"/>
        </w:rPr>
      </w:pPr>
      <w:r w:rsidRPr="004918E0">
        <w:rPr>
          <w:lang w:val="ga-IE"/>
        </w:rPr>
        <w:t>De réir an Achta um Údarás Náisiúnta Míchumais 1999, chuir an tÚdarás isteach Dréachtphlean Straitéiseach 2013-2015, a d’fhaomh an tAire Dlí agus Cirt agus Comhionannais.</w:t>
      </w:r>
    </w:p>
    <w:p w:rsidR="009B7368" w:rsidRPr="004918E0" w:rsidRDefault="009B7368" w:rsidP="009B7368">
      <w:pPr>
        <w:pStyle w:val="Heading1"/>
        <w:rPr>
          <w:lang w:val="ga-IE"/>
        </w:rPr>
      </w:pPr>
      <w:r w:rsidRPr="004918E0">
        <w:rPr>
          <w:lang w:val="ga-IE"/>
        </w:rPr>
        <w:t>Ráitis Airgeadais 2012</w:t>
      </w:r>
    </w:p>
    <w:p w:rsidR="009B7368" w:rsidRPr="004918E0" w:rsidRDefault="009B7368" w:rsidP="009B7368">
      <w:pPr>
        <w:pStyle w:val="Heading2"/>
        <w:rPr>
          <w:lang w:val="ga-IE"/>
        </w:rPr>
      </w:pPr>
      <w:r w:rsidRPr="004918E0">
        <w:rPr>
          <w:lang w:val="ga-IE"/>
        </w:rPr>
        <w:t xml:space="preserve">Comhaltaí an Údaráis agus Faisnéis Eile </w:t>
      </w:r>
    </w:p>
    <w:p w:rsidR="009B7368" w:rsidRPr="004918E0" w:rsidRDefault="009B7368" w:rsidP="009B7368">
      <w:pPr>
        <w:pStyle w:val="TableTitle"/>
        <w:rPr>
          <w:lang w:val="ga-IE"/>
        </w:rPr>
      </w:pPr>
      <w:r w:rsidRPr="004918E0">
        <w:rPr>
          <w:lang w:val="ga-IE"/>
        </w:rPr>
        <w:t>Ón 1 Eanáir – 31 Nollaig,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41"/>
        <w:gridCol w:w="1220"/>
        <w:gridCol w:w="1410"/>
      </w:tblGrid>
      <w:tr w:rsidR="009B7368" w:rsidRPr="004918E0" w:rsidTr="00790853">
        <w:trPr>
          <w:trHeight w:val="844"/>
        </w:trPr>
        <w:tc>
          <w:tcPr>
            <w:tcW w:w="2613" w:type="dxa"/>
            <w:vAlign w:val="center"/>
          </w:tcPr>
          <w:p w:rsidR="009B7368" w:rsidRPr="004918E0" w:rsidRDefault="009B7368" w:rsidP="00790853">
            <w:pPr>
              <w:rPr>
                <w:b/>
                <w:lang w:val="ga-IE"/>
              </w:rPr>
            </w:pPr>
            <w:r w:rsidRPr="004918E0">
              <w:rPr>
                <w:b/>
                <w:lang w:val="ga-IE"/>
              </w:rPr>
              <w:t>Comhalta Údaráis</w:t>
            </w:r>
          </w:p>
        </w:tc>
        <w:tc>
          <w:tcPr>
            <w:tcW w:w="3232" w:type="dxa"/>
            <w:vAlign w:val="center"/>
          </w:tcPr>
          <w:p w:rsidR="009B7368" w:rsidRPr="004918E0" w:rsidRDefault="009B7368" w:rsidP="00790853">
            <w:pPr>
              <w:rPr>
                <w:b/>
                <w:lang w:val="ga-IE"/>
              </w:rPr>
            </w:pPr>
            <w:r w:rsidRPr="004918E0">
              <w:rPr>
                <w:rFonts w:cs="Arial"/>
                <w:b/>
                <w:lang w:val="ga-IE"/>
              </w:rPr>
              <w:t xml:space="preserve">Líon na gCruinnithe Údaráis a Freastalaíodh Orthu le linn na tréimhse seo </w:t>
            </w:r>
          </w:p>
        </w:tc>
        <w:tc>
          <w:tcPr>
            <w:tcW w:w="1264" w:type="dxa"/>
            <w:vAlign w:val="center"/>
          </w:tcPr>
          <w:p w:rsidR="009B7368" w:rsidRPr="004918E0" w:rsidRDefault="009B7368" w:rsidP="00790853">
            <w:pPr>
              <w:jc w:val="center"/>
              <w:rPr>
                <w:rFonts w:cs="Arial"/>
                <w:b/>
                <w:lang w:val="ga-IE"/>
              </w:rPr>
            </w:pPr>
            <w:r w:rsidRPr="004918E0">
              <w:rPr>
                <w:rFonts w:cs="Arial"/>
                <w:b/>
                <w:lang w:val="ga-IE"/>
              </w:rPr>
              <w:t>Táillí</w:t>
            </w:r>
          </w:p>
        </w:tc>
        <w:tc>
          <w:tcPr>
            <w:tcW w:w="1413" w:type="dxa"/>
            <w:vAlign w:val="center"/>
          </w:tcPr>
          <w:p w:rsidR="009B7368" w:rsidRPr="004918E0" w:rsidRDefault="009B7368" w:rsidP="00790853">
            <w:pPr>
              <w:jc w:val="center"/>
              <w:rPr>
                <w:rFonts w:cs="Arial"/>
                <w:b/>
                <w:lang w:val="ga-IE"/>
              </w:rPr>
            </w:pPr>
            <w:r w:rsidRPr="004918E0">
              <w:rPr>
                <w:rFonts w:cs="Arial"/>
                <w:b/>
                <w:lang w:val="ga-IE"/>
              </w:rPr>
              <w:t>Speansais</w:t>
            </w:r>
          </w:p>
        </w:tc>
      </w:tr>
      <w:tr w:rsidR="009B7368" w:rsidRPr="004918E0" w:rsidTr="00790853">
        <w:trPr>
          <w:trHeight w:val="620"/>
        </w:trPr>
        <w:tc>
          <w:tcPr>
            <w:tcW w:w="2613" w:type="dxa"/>
          </w:tcPr>
          <w:p w:rsidR="009B7368" w:rsidRPr="004918E0" w:rsidRDefault="009B7368" w:rsidP="00790853">
            <w:pPr>
              <w:rPr>
                <w:lang w:val="ga-IE"/>
              </w:rPr>
            </w:pPr>
            <w:r w:rsidRPr="004918E0">
              <w:rPr>
                <w:lang w:val="ga-IE"/>
              </w:rPr>
              <w:t xml:space="preserve">An tUas. Peter Mc Kevitt, Cathaoirleach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10/10</w:t>
            </w:r>
          </w:p>
        </w:tc>
        <w:tc>
          <w:tcPr>
            <w:tcW w:w="1264" w:type="dxa"/>
            <w:vAlign w:val="center"/>
          </w:tcPr>
          <w:p w:rsidR="009B7368" w:rsidRPr="004918E0" w:rsidRDefault="009B7368" w:rsidP="00790853">
            <w:pPr>
              <w:jc w:val="center"/>
              <w:rPr>
                <w:rFonts w:cs="Arial"/>
                <w:lang w:val="ga-IE"/>
              </w:rPr>
            </w:pPr>
            <w:r w:rsidRPr="004918E0">
              <w:rPr>
                <w:rFonts w:cs="Arial"/>
                <w:lang w:val="ga-IE"/>
              </w:rPr>
              <w:t>€8,978</w:t>
            </w:r>
          </w:p>
        </w:tc>
        <w:tc>
          <w:tcPr>
            <w:tcW w:w="1413" w:type="dxa"/>
            <w:vAlign w:val="center"/>
          </w:tcPr>
          <w:p w:rsidR="009B7368" w:rsidRPr="004918E0" w:rsidRDefault="009B7368" w:rsidP="00790853">
            <w:pPr>
              <w:jc w:val="center"/>
              <w:rPr>
                <w:lang w:val="ga-IE"/>
              </w:rPr>
            </w:pPr>
            <w:r w:rsidRPr="004918E0">
              <w:rPr>
                <w:lang w:val="ga-IE"/>
              </w:rPr>
              <w:t>€209</w:t>
            </w:r>
          </w:p>
        </w:tc>
      </w:tr>
      <w:tr w:rsidR="009B7368" w:rsidRPr="004918E0" w:rsidTr="00790853">
        <w:tc>
          <w:tcPr>
            <w:tcW w:w="2613" w:type="dxa"/>
          </w:tcPr>
          <w:p w:rsidR="009B7368" w:rsidRPr="004918E0" w:rsidRDefault="009B7368" w:rsidP="00790853">
            <w:pPr>
              <w:tabs>
                <w:tab w:val="left" w:pos="2520"/>
              </w:tabs>
              <w:rPr>
                <w:lang w:val="ga-IE"/>
              </w:rPr>
            </w:pPr>
            <w:r w:rsidRPr="004918E0">
              <w:rPr>
                <w:lang w:val="ga-IE"/>
              </w:rPr>
              <w:t xml:space="preserve">An Dr. Tony Bates </w:t>
            </w:r>
            <w:r w:rsidRPr="004918E0">
              <w:rPr>
                <w:lang w:val="ga-IE"/>
              </w:rPr>
              <w:tab/>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4/7</w:t>
            </w:r>
          </w:p>
        </w:tc>
        <w:tc>
          <w:tcPr>
            <w:tcW w:w="1264" w:type="dxa"/>
            <w:vAlign w:val="center"/>
          </w:tcPr>
          <w:p w:rsidR="009B7368" w:rsidRPr="004918E0" w:rsidRDefault="009B7368" w:rsidP="00790853">
            <w:pPr>
              <w:jc w:val="center"/>
              <w:rPr>
                <w:rFonts w:cs="Arial"/>
                <w:lang w:val="ga-IE"/>
              </w:rPr>
            </w:pPr>
            <w:r w:rsidRPr="004918E0">
              <w:rPr>
                <w:lang w:val="ga-IE"/>
              </w:rPr>
              <w:t>€0</w:t>
            </w:r>
          </w:p>
        </w:tc>
        <w:tc>
          <w:tcPr>
            <w:tcW w:w="1413" w:type="dxa"/>
            <w:vAlign w:val="center"/>
          </w:tcPr>
          <w:p w:rsidR="009B7368" w:rsidRPr="004918E0" w:rsidRDefault="009B7368" w:rsidP="00790853">
            <w:pPr>
              <w:jc w:val="center"/>
              <w:rPr>
                <w:rFonts w:cs="Arial"/>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Caroline Burrell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10/10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jc w:val="center"/>
              <w:rPr>
                <w:lang w:val="ga-IE"/>
              </w:rPr>
            </w:pPr>
            <w:r w:rsidRPr="004918E0">
              <w:rPr>
                <w:lang w:val="ga-IE"/>
              </w:rPr>
              <w:t>€116</w:t>
            </w:r>
          </w:p>
        </w:tc>
      </w:tr>
      <w:tr w:rsidR="009B7368" w:rsidRPr="004918E0" w:rsidTr="00790853">
        <w:tc>
          <w:tcPr>
            <w:tcW w:w="2613" w:type="dxa"/>
          </w:tcPr>
          <w:p w:rsidR="009B7368" w:rsidRPr="004918E0" w:rsidRDefault="009B7368" w:rsidP="00790853">
            <w:pPr>
              <w:rPr>
                <w:lang w:val="ga-IE"/>
              </w:rPr>
            </w:pPr>
            <w:r w:rsidRPr="004918E0">
              <w:rPr>
                <w:lang w:val="ga-IE"/>
              </w:rPr>
              <w:t xml:space="preserve">An tUas. Frank Cunneen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8/10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Tara Cunningham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8/10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Fiona Duignan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7/10</w:t>
            </w:r>
          </w:p>
        </w:tc>
        <w:tc>
          <w:tcPr>
            <w:tcW w:w="1264" w:type="dxa"/>
            <w:vAlign w:val="center"/>
          </w:tcPr>
          <w:p w:rsidR="009B7368" w:rsidRPr="004918E0" w:rsidRDefault="009B7368" w:rsidP="00790853">
            <w:pPr>
              <w:jc w:val="center"/>
              <w:rPr>
                <w:rFonts w:cs="Arial"/>
                <w:lang w:val="ga-IE"/>
              </w:rPr>
            </w:pPr>
            <w:r w:rsidRPr="004918E0">
              <w:rPr>
                <w:lang w:val="ga-IE"/>
              </w:rPr>
              <w:t>€0</w:t>
            </w:r>
          </w:p>
        </w:tc>
        <w:tc>
          <w:tcPr>
            <w:tcW w:w="1413" w:type="dxa"/>
            <w:vAlign w:val="center"/>
          </w:tcPr>
          <w:p w:rsidR="009B7368" w:rsidRPr="004918E0" w:rsidRDefault="009B7368" w:rsidP="00790853">
            <w:pPr>
              <w:jc w:val="center"/>
              <w:rPr>
                <w:rFonts w:cs="Arial"/>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An tUas. David Joyce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8/10</w:t>
            </w:r>
          </w:p>
        </w:tc>
        <w:tc>
          <w:tcPr>
            <w:tcW w:w="1264" w:type="dxa"/>
            <w:vAlign w:val="center"/>
          </w:tcPr>
          <w:p w:rsidR="009B7368" w:rsidRPr="004918E0" w:rsidRDefault="009B7368" w:rsidP="00790853">
            <w:pPr>
              <w:jc w:val="center"/>
              <w:rPr>
                <w:rFonts w:cs="Arial"/>
                <w:lang w:val="ga-IE"/>
              </w:rPr>
            </w:pPr>
            <w:r w:rsidRPr="004918E0">
              <w:rPr>
                <w:lang w:val="ga-IE"/>
              </w:rPr>
              <w:t>€5,985</w:t>
            </w:r>
          </w:p>
        </w:tc>
        <w:tc>
          <w:tcPr>
            <w:tcW w:w="1413" w:type="dxa"/>
            <w:vAlign w:val="center"/>
          </w:tcPr>
          <w:p w:rsidR="009B7368" w:rsidRPr="004918E0" w:rsidRDefault="009B7368" w:rsidP="00790853">
            <w:pPr>
              <w:jc w:val="center"/>
              <w:rPr>
                <w:rFonts w:cs="Arial"/>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An tUas. Des Kenny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9/10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Mary Lavelle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8/10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Joanne McCarthy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9/10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An tUas. James O’Grady </w:t>
            </w:r>
          </w:p>
        </w:tc>
        <w:tc>
          <w:tcPr>
            <w:tcW w:w="3232" w:type="dxa"/>
          </w:tcPr>
          <w:p w:rsidR="009B7368" w:rsidRPr="004918E0" w:rsidRDefault="009B7368" w:rsidP="00790853">
            <w:pPr>
              <w:spacing w:after="80"/>
              <w:jc w:val="center"/>
              <w:rPr>
                <w:rFonts w:cs="Arial"/>
                <w:lang w:val="ga-IE"/>
              </w:rPr>
            </w:pPr>
            <w:r w:rsidRPr="004918E0">
              <w:rPr>
                <w:rFonts w:cs="Arial"/>
                <w:lang w:val="ga-IE"/>
              </w:rPr>
              <w:t>9/10</w:t>
            </w:r>
          </w:p>
        </w:tc>
        <w:tc>
          <w:tcPr>
            <w:tcW w:w="1264" w:type="dxa"/>
          </w:tcPr>
          <w:p w:rsidR="009B7368" w:rsidRPr="004918E0" w:rsidRDefault="009B7368" w:rsidP="00790853">
            <w:pPr>
              <w:jc w:val="center"/>
              <w:rPr>
                <w:lang w:val="ga-IE"/>
              </w:rPr>
            </w:pPr>
            <w:r w:rsidRPr="004918E0">
              <w:rPr>
                <w:lang w:val="ga-IE"/>
              </w:rPr>
              <w:t>€5,985</w:t>
            </w:r>
          </w:p>
        </w:tc>
        <w:tc>
          <w:tcPr>
            <w:tcW w:w="1413" w:type="dxa"/>
          </w:tcPr>
          <w:p w:rsidR="009B7368" w:rsidRPr="004918E0" w:rsidRDefault="009B7368" w:rsidP="00790853">
            <w:pPr>
              <w:jc w:val="center"/>
              <w:rPr>
                <w:lang w:val="ga-IE"/>
              </w:rPr>
            </w:pPr>
            <w:r w:rsidRPr="004918E0">
              <w:rPr>
                <w:lang w:val="ga-IE"/>
              </w:rPr>
              <w:t>€4,087</w:t>
            </w:r>
          </w:p>
        </w:tc>
      </w:tr>
      <w:tr w:rsidR="009B7368" w:rsidRPr="004918E0" w:rsidTr="00790853">
        <w:trPr>
          <w:trHeight w:val="439"/>
        </w:trPr>
        <w:tc>
          <w:tcPr>
            <w:tcW w:w="2613" w:type="dxa"/>
          </w:tcPr>
          <w:p w:rsidR="009B7368" w:rsidRPr="004918E0" w:rsidRDefault="009B7368" w:rsidP="00790853">
            <w:pPr>
              <w:rPr>
                <w:lang w:val="ga-IE"/>
              </w:rPr>
            </w:pPr>
            <w:r w:rsidRPr="004918E0">
              <w:rPr>
                <w:lang w:val="ga-IE"/>
              </w:rPr>
              <w:t>Ms. Linda Grealy</w:t>
            </w:r>
          </w:p>
        </w:tc>
        <w:tc>
          <w:tcPr>
            <w:tcW w:w="3232" w:type="dxa"/>
          </w:tcPr>
          <w:p w:rsidR="009B7368" w:rsidRPr="004918E0" w:rsidRDefault="009B7368" w:rsidP="00790853">
            <w:pPr>
              <w:spacing w:after="80"/>
              <w:jc w:val="center"/>
              <w:rPr>
                <w:rFonts w:cs="Arial"/>
                <w:lang w:val="ga-IE"/>
              </w:rPr>
            </w:pPr>
            <w:r w:rsidRPr="004918E0">
              <w:rPr>
                <w:rFonts w:cs="Arial"/>
                <w:lang w:val="ga-IE"/>
              </w:rPr>
              <w:t>6/10</w:t>
            </w:r>
          </w:p>
        </w:tc>
        <w:tc>
          <w:tcPr>
            <w:tcW w:w="1264" w:type="dxa"/>
          </w:tcPr>
          <w:p w:rsidR="009B7368" w:rsidRPr="004918E0" w:rsidRDefault="009B7368" w:rsidP="00790853">
            <w:pPr>
              <w:jc w:val="center"/>
              <w:rPr>
                <w:lang w:val="ga-IE"/>
              </w:rPr>
            </w:pPr>
            <w:r w:rsidRPr="004918E0">
              <w:rPr>
                <w:lang w:val="ga-IE"/>
              </w:rPr>
              <w:t>€0</w:t>
            </w:r>
          </w:p>
        </w:tc>
        <w:tc>
          <w:tcPr>
            <w:tcW w:w="1413" w:type="dxa"/>
          </w:tcPr>
          <w:p w:rsidR="009B7368" w:rsidRPr="004918E0" w:rsidRDefault="009B7368" w:rsidP="00790853">
            <w:pPr>
              <w:rPr>
                <w:lang w:val="ga-IE"/>
              </w:rPr>
            </w:pPr>
          </w:p>
        </w:tc>
      </w:tr>
      <w:tr w:rsidR="009B7368" w:rsidRPr="004918E0" w:rsidTr="00790853">
        <w:trPr>
          <w:trHeight w:val="441"/>
        </w:trPr>
        <w:tc>
          <w:tcPr>
            <w:tcW w:w="2613" w:type="dxa"/>
          </w:tcPr>
          <w:p w:rsidR="009B7368" w:rsidRPr="004918E0" w:rsidRDefault="009B7368" w:rsidP="00790853">
            <w:pPr>
              <w:rPr>
                <w:lang w:val="ga-IE"/>
              </w:rPr>
            </w:pPr>
            <w:r w:rsidRPr="004918E0">
              <w:rPr>
                <w:lang w:val="ga-IE"/>
              </w:rPr>
              <w:t>An tUas. Shane Hogan</w:t>
            </w:r>
          </w:p>
        </w:tc>
        <w:tc>
          <w:tcPr>
            <w:tcW w:w="3232" w:type="dxa"/>
          </w:tcPr>
          <w:p w:rsidR="009B7368" w:rsidRPr="004918E0" w:rsidRDefault="009B7368" w:rsidP="00790853">
            <w:pPr>
              <w:spacing w:after="80"/>
              <w:jc w:val="center"/>
              <w:rPr>
                <w:rFonts w:cs="Arial"/>
                <w:lang w:val="ga-IE"/>
              </w:rPr>
            </w:pPr>
            <w:r w:rsidRPr="004918E0">
              <w:rPr>
                <w:rFonts w:cs="Arial"/>
                <w:lang w:val="ga-IE"/>
              </w:rPr>
              <w:t>10/10</w:t>
            </w:r>
          </w:p>
        </w:tc>
        <w:tc>
          <w:tcPr>
            <w:tcW w:w="1264" w:type="dxa"/>
          </w:tcPr>
          <w:p w:rsidR="009B7368" w:rsidRPr="004918E0" w:rsidRDefault="009B7368" w:rsidP="00790853">
            <w:pPr>
              <w:jc w:val="center"/>
              <w:rPr>
                <w:lang w:val="ga-IE"/>
              </w:rPr>
            </w:pPr>
            <w:r w:rsidRPr="004918E0">
              <w:rPr>
                <w:lang w:val="ga-IE"/>
              </w:rPr>
              <w:t>€0</w:t>
            </w:r>
          </w:p>
        </w:tc>
        <w:tc>
          <w:tcPr>
            <w:tcW w:w="1413" w:type="dxa"/>
          </w:tcPr>
          <w:p w:rsidR="009B7368" w:rsidRPr="004918E0" w:rsidRDefault="009B7368" w:rsidP="00790853">
            <w:pPr>
              <w:rPr>
                <w:lang w:val="ga-IE"/>
              </w:rPr>
            </w:pPr>
          </w:p>
        </w:tc>
      </w:tr>
    </w:tbl>
    <w:p w:rsidR="009B7368" w:rsidRPr="004918E0" w:rsidRDefault="009B7368" w:rsidP="009B7368">
      <w:pPr>
        <w:tabs>
          <w:tab w:val="left" w:pos="1440"/>
        </w:tabs>
        <w:spacing w:after="0"/>
        <w:rPr>
          <w:lang w:val="ga-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024"/>
        <w:gridCol w:w="1216"/>
        <w:gridCol w:w="1409"/>
      </w:tblGrid>
      <w:tr w:rsidR="009B7368" w:rsidRPr="004918E0" w:rsidTr="00790853">
        <w:trPr>
          <w:trHeight w:val="350"/>
        </w:trPr>
        <w:tc>
          <w:tcPr>
            <w:tcW w:w="2630" w:type="dxa"/>
          </w:tcPr>
          <w:p w:rsidR="009B7368" w:rsidRPr="004918E0" w:rsidRDefault="009B7368" w:rsidP="00790853">
            <w:pPr>
              <w:rPr>
                <w:b/>
                <w:lang w:val="ga-IE"/>
              </w:rPr>
            </w:pPr>
            <w:r w:rsidRPr="004918E0">
              <w:rPr>
                <w:b/>
                <w:lang w:val="ga-IE"/>
              </w:rPr>
              <w:t xml:space="preserve">Comhalta den Choiste Iniúchta </w:t>
            </w:r>
          </w:p>
        </w:tc>
        <w:tc>
          <w:tcPr>
            <w:tcW w:w="3220" w:type="dxa"/>
            <w:vAlign w:val="center"/>
          </w:tcPr>
          <w:p w:rsidR="009B7368" w:rsidRPr="004918E0" w:rsidRDefault="009B7368" w:rsidP="00790853">
            <w:pPr>
              <w:rPr>
                <w:b/>
                <w:lang w:val="ga-IE"/>
              </w:rPr>
            </w:pPr>
            <w:r w:rsidRPr="004918E0">
              <w:rPr>
                <w:rFonts w:cs="Arial"/>
                <w:b/>
                <w:lang w:val="ga-IE"/>
              </w:rPr>
              <w:t xml:space="preserve">Líon na gcruinnithe den Choiste Iniúchta a Freastalaíodh Orthu le linn na tréimhse seo </w:t>
            </w:r>
          </w:p>
        </w:tc>
        <w:tc>
          <w:tcPr>
            <w:tcW w:w="1260" w:type="dxa"/>
            <w:vAlign w:val="center"/>
          </w:tcPr>
          <w:p w:rsidR="009B7368" w:rsidRPr="004918E0" w:rsidRDefault="009B7368" w:rsidP="00790853">
            <w:pPr>
              <w:jc w:val="center"/>
              <w:rPr>
                <w:rFonts w:cs="Arial"/>
                <w:b/>
                <w:lang w:val="ga-IE"/>
              </w:rPr>
            </w:pPr>
            <w:r w:rsidRPr="004918E0">
              <w:rPr>
                <w:rFonts w:cs="Arial"/>
                <w:b/>
                <w:lang w:val="ga-IE"/>
              </w:rPr>
              <w:t>Táillí</w:t>
            </w:r>
          </w:p>
        </w:tc>
        <w:tc>
          <w:tcPr>
            <w:tcW w:w="1412" w:type="dxa"/>
            <w:vAlign w:val="center"/>
          </w:tcPr>
          <w:p w:rsidR="009B7368" w:rsidRPr="004918E0" w:rsidRDefault="009B7368" w:rsidP="00790853">
            <w:pPr>
              <w:jc w:val="center"/>
              <w:rPr>
                <w:rFonts w:cs="Arial"/>
                <w:b/>
                <w:lang w:val="ga-IE"/>
              </w:rPr>
            </w:pPr>
            <w:r w:rsidRPr="004918E0">
              <w:rPr>
                <w:rFonts w:cs="Arial"/>
                <w:b/>
                <w:lang w:val="ga-IE"/>
              </w:rPr>
              <w:t>Speansais</w:t>
            </w:r>
          </w:p>
        </w:tc>
      </w:tr>
      <w:tr w:rsidR="009B7368" w:rsidRPr="004918E0" w:rsidTr="00790853">
        <w:trPr>
          <w:trHeight w:val="530"/>
        </w:trPr>
        <w:tc>
          <w:tcPr>
            <w:tcW w:w="2630" w:type="dxa"/>
          </w:tcPr>
          <w:p w:rsidR="009B7368" w:rsidRPr="004918E0" w:rsidRDefault="009B7368" w:rsidP="00790853">
            <w:pPr>
              <w:rPr>
                <w:lang w:val="ga-IE"/>
              </w:rPr>
            </w:pPr>
            <w:r w:rsidRPr="004918E0">
              <w:rPr>
                <w:lang w:val="ga-IE"/>
              </w:rPr>
              <w:t>An tUas. Donal Lawlor (Cathaoirleach an Choiste Iniúchta)</w:t>
            </w:r>
          </w:p>
        </w:tc>
        <w:tc>
          <w:tcPr>
            <w:tcW w:w="3220" w:type="dxa"/>
          </w:tcPr>
          <w:p w:rsidR="009B7368" w:rsidRPr="004918E0" w:rsidRDefault="009B7368" w:rsidP="00790853">
            <w:pPr>
              <w:spacing w:after="80"/>
              <w:jc w:val="center"/>
              <w:rPr>
                <w:rFonts w:cs="Arial"/>
                <w:lang w:val="ga-IE"/>
              </w:rPr>
            </w:pPr>
            <w:r w:rsidRPr="004918E0">
              <w:rPr>
                <w:rFonts w:cs="Arial"/>
                <w:lang w:val="ga-IE"/>
              </w:rPr>
              <w:t>4/4</w:t>
            </w:r>
          </w:p>
        </w:tc>
        <w:tc>
          <w:tcPr>
            <w:tcW w:w="1260" w:type="dxa"/>
          </w:tcPr>
          <w:p w:rsidR="009B7368" w:rsidRPr="004918E0" w:rsidRDefault="009B7368" w:rsidP="00790853">
            <w:pPr>
              <w:jc w:val="center"/>
              <w:rPr>
                <w:lang w:val="ga-IE"/>
              </w:rPr>
            </w:pPr>
            <w:r w:rsidRPr="004918E0">
              <w:rPr>
                <w:lang w:val="ga-IE"/>
              </w:rPr>
              <w:t>€2,565</w:t>
            </w:r>
          </w:p>
        </w:tc>
        <w:tc>
          <w:tcPr>
            <w:tcW w:w="1412" w:type="dxa"/>
          </w:tcPr>
          <w:p w:rsidR="009B7368" w:rsidRPr="004918E0" w:rsidRDefault="009B7368" w:rsidP="00790853">
            <w:pPr>
              <w:rPr>
                <w:lang w:val="ga-IE"/>
              </w:rPr>
            </w:pPr>
          </w:p>
        </w:tc>
      </w:tr>
    </w:tbl>
    <w:p w:rsidR="009B7368" w:rsidRPr="004918E0" w:rsidRDefault="009B7368" w:rsidP="009B7368">
      <w:pPr>
        <w:tabs>
          <w:tab w:val="left" w:pos="1440"/>
        </w:tabs>
        <w:rPr>
          <w:lang w:val="ga-IE"/>
        </w:rPr>
      </w:pPr>
    </w:p>
    <w:p w:rsidR="009B7368" w:rsidRPr="004918E0" w:rsidRDefault="009B7368" w:rsidP="009B7368">
      <w:pPr>
        <w:tabs>
          <w:tab w:val="left" w:pos="1440"/>
        </w:tabs>
        <w:rPr>
          <w:lang w:val="ga-IE"/>
        </w:rPr>
      </w:pPr>
      <w:r w:rsidRPr="004918E0">
        <w:rPr>
          <w:lang w:val="ga-IE"/>
        </w:rPr>
        <w:t>Stiúrthóir:</w:t>
      </w:r>
      <w:r w:rsidRPr="004918E0">
        <w:rPr>
          <w:lang w:val="ga-IE"/>
        </w:rPr>
        <w:tab/>
        <w:t>Siobhan Barron</w:t>
      </w:r>
      <w:r w:rsidRPr="004918E0">
        <w:rPr>
          <w:lang w:val="ga-IE"/>
        </w:rPr>
        <w:tab/>
      </w:r>
      <w:r w:rsidRPr="004918E0">
        <w:rPr>
          <w:lang w:val="ga-IE"/>
        </w:rPr>
        <w:tab/>
      </w:r>
      <w:r w:rsidRPr="004918E0">
        <w:rPr>
          <w:lang w:val="ga-IE"/>
        </w:rPr>
        <w:tab/>
      </w:r>
    </w:p>
    <w:p w:rsidR="009B7368" w:rsidRPr="004918E0" w:rsidRDefault="009B7368" w:rsidP="009B7368">
      <w:pPr>
        <w:spacing w:after="0"/>
        <w:ind w:left="1440" w:hanging="1440"/>
        <w:rPr>
          <w:lang w:val="ga-IE"/>
        </w:rPr>
      </w:pPr>
      <w:r w:rsidRPr="004918E0">
        <w:rPr>
          <w:lang w:val="ga-IE"/>
        </w:rPr>
        <w:t>Aturnaetha:</w:t>
      </w:r>
      <w:r w:rsidRPr="004918E0">
        <w:rPr>
          <w:lang w:val="ga-IE"/>
        </w:rPr>
        <w:tab/>
        <w:t>Mason Hayes and Curran</w:t>
      </w:r>
      <w:r w:rsidRPr="004918E0">
        <w:rPr>
          <w:lang w:val="ga-IE"/>
        </w:rPr>
        <w:br/>
        <w:t>Teach an Bhruacha Theas</w:t>
      </w:r>
      <w:r w:rsidRPr="004918E0">
        <w:rPr>
          <w:lang w:val="ga-IE"/>
        </w:rPr>
        <w:br/>
        <w:t xml:space="preserve">Sráid na Bearú </w:t>
      </w:r>
    </w:p>
    <w:p w:rsidR="009B7368" w:rsidRPr="004918E0" w:rsidRDefault="009B7368" w:rsidP="009B7368">
      <w:pPr>
        <w:spacing w:after="0"/>
        <w:ind w:left="1440"/>
        <w:rPr>
          <w:lang w:val="ga-IE"/>
        </w:rPr>
      </w:pPr>
      <w:r w:rsidRPr="004918E0">
        <w:rPr>
          <w:lang w:val="ga-IE"/>
        </w:rPr>
        <w:t>Baile Átha Cliath 2.</w:t>
      </w:r>
    </w:p>
    <w:p w:rsidR="009B7368" w:rsidRPr="004918E0" w:rsidRDefault="009B7368" w:rsidP="009B7368">
      <w:pPr>
        <w:spacing w:after="0"/>
        <w:ind w:left="1440"/>
        <w:rPr>
          <w:lang w:val="ga-IE"/>
        </w:rPr>
      </w:pPr>
    </w:p>
    <w:p w:rsidR="009B7368" w:rsidRPr="004918E0" w:rsidRDefault="009B7368" w:rsidP="009B7368">
      <w:pPr>
        <w:ind w:left="1440" w:hanging="1440"/>
        <w:rPr>
          <w:lang w:val="ga-IE"/>
        </w:rPr>
      </w:pPr>
      <w:r w:rsidRPr="004918E0">
        <w:rPr>
          <w:lang w:val="ga-IE"/>
        </w:rPr>
        <w:t>Baincéirí:</w:t>
      </w:r>
      <w:r w:rsidRPr="004918E0">
        <w:rPr>
          <w:lang w:val="ga-IE"/>
        </w:rPr>
        <w:tab/>
        <w:t>Banc na hÉireann</w:t>
      </w:r>
      <w:r w:rsidRPr="004918E0">
        <w:rPr>
          <w:lang w:val="ga-IE"/>
        </w:rPr>
        <w:br/>
        <w:t>104 Raghnallach</w:t>
      </w:r>
      <w:r w:rsidRPr="004918E0">
        <w:rPr>
          <w:lang w:val="ga-IE"/>
        </w:rPr>
        <w:br/>
        <w:t>Baile Átha Cliath 6.</w:t>
      </w:r>
    </w:p>
    <w:p w:rsidR="009B7368" w:rsidRPr="004918E0" w:rsidRDefault="009B7368" w:rsidP="009B7368">
      <w:pPr>
        <w:rPr>
          <w:lang w:val="ga-IE"/>
        </w:rPr>
      </w:pPr>
      <w:r w:rsidRPr="004918E0">
        <w:rPr>
          <w:lang w:val="ga-IE"/>
        </w:rPr>
        <w:t>Iniúchóirí:</w:t>
      </w:r>
      <w:r w:rsidRPr="004918E0">
        <w:rPr>
          <w:lang w:val="ga-IE"/>
        </w:rPr>
        <w:tab/>
        <w:t>An tArd-Reachtaire Cuntas agus Ciste</w:t>
      </w:r>
      <w:r w:rsidRPr="004918E0">
        <w:rPr>
          <w:lang w:val="ga-IE"/>
        </w:rPr>
        <w:br/>
        <w:t xml:space="preserve">                      Caisleán Bhaile Átha Cliath</w:t>
      </w:r>
      <w:r w:rsidRPr="004918E0">
        <w:rPr>
          <w:lang w:val="ga-IE"/>
        </w:rPr>
        <w:br/>
        <w:t xml:space="preserve">                      Baile Átha Cliath 2.</w:t>
      </w:r>
    </w:p>
    <w:p w:rsidR="009B7368" w:rsidRPr="004918E0" w:rsidRDefault="009B7368" w:rsidP="009B7368">
      <w:pPr>
        <w:pStyle w:val="Heading1"/>
        <w:rPr>
          <w:lang w:val="ga-IE"/>
        </w:rPr>
      </w:pPr>
      <w:bookmarkStart w:id="85" w:name="_Toc368646741"/>
      <w:r w:rsidRPr="004918E0">
        <w:rPr>
          <w:lang w:val="ga-IE"/>
        </w:rPr>
        <w:t>An tÚdarás Náisiúnta Míchumais</w:t>
      </w:r>
      <w:bookmarkEnd w:id="85"/>
      <w:r w:rsidRPr="004918E0">
        <w:rPr>
          <w:lang w:val="ga-IE"/>
        </w:rPr>
        <w:t xml:space="preserve"> </w:t>
      </w:r>
    </w:p>
    <w:p w:rsidR="009B7368" w:rsidRPr="004918E0" w:rsidRDefault="009B7368" w:rsidP="009B7368">
      <w:pPr>
        <w:rPr>
          <w:lang w:val="ga-IE"/>
        </w:rPr>
      </w:pPr>
      <w:r w:rsidRPr="004918E0">
        <w:rPr>
          <w:lang w:val="ga-IE"/>
        </w:rPr>
        <w:t>Bunaíodh an tÚdarás Náisiúnta Míchumais ar an 12 Meitheamh, 2000 faoi Alt 6 den Acht um Údarás Náisiúnta Míchumais 1999.</w:t>
      </w:r>
    </w:p>
    <w:p w:rsidR="009B7368" w:rsidRPr="004918E0" w:rsidRDefault="009B7368" w:rsidP="009B7368">
      <w:pPr>
        <w:pStyle w:val="Heading2"/>
        <w:rPr>
          <w:lang w:val="ga-IE"/>
        </w:rPr>
      </w:pPr>
      <w:r w:rsidRPr="004918E0">
        <w:rPr>
          <w:lang w:val="ga-IE"/>
        </w:rPr>
        <w:t xml:space="preserve">Feidhmeanna agus cumhachtaí an Údarás Náisiúnta Míchumais </w:t>
      </w:r>
    </w:p>
    <w:p w:rsidR="009B7368" w:rsidRPr="004918E0" w:rsidRDefault="009B7368" w:rsidP="009B7368">
      <w:pPr>
        <w:rPr>
          <w:lang w:val="ga-IE"/>
        </w:rPr>
      </w:pPr>
      <w:r w:rsidRPr="004918E0">
        <w:rPr>
          <w:lang w:val="ga-IE"/>
        </w:rPr>
        <w:t xml:space="preserve">Is í príomhfheidhm an Údarás Náisiúnta Míchumais ná comhairle a chur ar an Aire Dlí agus Cirt agus Comhionannais faoi shaincheisteanna beartais agus cleachtais i ndáil le míchumas. </w:t>
      </w:r>
    </w:p>
    <w:p w:rsidR="009B7368" w:rsidRPr="004918E0" w:rsidRDefault="009B7368" w:rsidP="009B7368">
      <w:pPr>
        <w:pStyle w:val="NormalBeforeList"/>
        <w:spacing w:after="120"/>
        <w:rPr>
          <w:lang w:val="ga-IE"/>
        </w:rPr>
      </w:pPr>
      <w:r w:rsidRPr="004918E0">
        <w:rPr>
          <w:lang w:val="ga-IE"/>
        </w:rPr>
        <w:t>I measc feidhmeanna áirithe an Údaráis faoi Alt 8 den Acht um Údarás Náisiúnta Míchumais 1999 tá:</w:t>
      </w:r>
    </w:p>
    <w:p w:rsidR="009B7368" w:rsidRPr="004918E0" w:rsidRDefault="009B7368" w:rsidP="009B7368">
      <w:pPr>
        <w:pStyle w:val="ListBullet"/>
        <w:rPr>
          <w:lang w:val="ga-IE"/>
        </w:rPr>
      </w:pPr>
      <w:r w:rsidRPr="004918E0">
        <w:rPr>
          <w:lang w:val="ga-IE"/>
        </w:rPr>
        <w:t xml:space="preserve">Gníomhú mar chomhlacht lárnach, náisiúnta a chabhróidh leis an Aire beartas a chomhordú agus a fhorbairt i ndáil le daoine faoi mhíchumas </w:t>
      </w:r>
    </w:p>
    <w:p w:rsidR="009B7368" w:rsidRPr="004918E0" w:rsidRDefault="009B7368" w:rsidP="009B7368">
      <w:pPr>
        <w:pStyle w:val="ListBullet"/>
        <w:rPr>
          <w:lang w:val="ga-IE"/>
        </w:rPr>
      </w:pPr>
      <w:r w:rsidRPr="004918E0">
        <w:rPr>
          <w:lang w:val="ga-IE"/>
        </w:rPr>
        <w:t xml:space="preserve">Tabhairt faoi thionscadail taighde agus ghníomhaíochtaí ar shaincheisteanna a bhaineann le míchumas, iad a choimisiúnú nó comhoibriú iontu agus cabhrú le heolas staitistiúil a fhorbairt atá oiriúnach do phleanáil, sheachadadh agus mhonatóireacht clár agus seirbhísí do dhaoine faoi mhíchumas </w:t>
      </w:r>
    </w:p>
    <w:p w:rsidR="009B7368" w:rsidRPr="004918E0" w:rsidRDefault="009B7368" w:rsidP="009B7368">
      <w:pPr>
        <w:pStyle w:val="ListBullet"/>
        <w:rPr>
          <w:lang w:val="ga-IE"/>
        </w:rPr>
      </w:pPr>
      <w:r w:rsidRPr="004918E0">
        <w:rPr>
          <w:lang w:val="ga-IE"/>
        </w:rPr>
        <w:t xml:space="preserve">Comhairle a chur ar an Aire faoi chaighdeáin oiriúnacha do chláir agus sheirbhísí arna soláthar nó atá le soláthar do dhaoine faoi mhíchumas agus gníomhú mar chomhlacht comhairleach maidir le caighdeáin ghinearálta agus shonracha a fhorbairt i ndáil le cláir agus seirbhísí den sórt sin </w:t>
      </w:r>
    </w:p>
    <w:p w:rsidR="009B7368" w:rsidRPr="004918E0" w:rsidRDefault="009B7368" w:rsidP="009B7368">
      <w:pPr>
        <w:pStyle w:val="ListBullet"/>
        <w:rPr>
          <w:lang w:val="ga-IE"/>
        </w:rPr>
      </w:pPr>
      <w:r w:rsidRPr="004918E0">
        <w:rPr>
          <w:lang w:val="ga-IE"/>
        </w:rPr>
        <w:t xml:space="preserve">Monatóireacht a dhéanamh ar chur i bhfeidhm caighdeán agus cód cleachtais i gcláir agus seirbhísí arna soláthar do dhaoine faoi mhíchumas agus tuairisc a thabhairt don Aire air sin </w:t>
      </w:r>
    </w:p>
    <w:p w:rsidR="009B7368" w:rsidRPr="004918E0" w:rsidRDefault="009B7368" w:rsidP="009B7368">
      <w:pPr>
        <w:pStyle w:val="ListBullet"/>
        <w:rPr>
          <w:lang w:val="ga-IE"/>
        </w:rPr>
      </w:pPr>
      <w:r w:rsidRPr="004918E0">
        <w:rPr>
          <w:lang w:val="ga-IE"/>
        </w:rPr>
        <w:t xml:space="preserve">Idirchaidreamh a dhéanamh le comhlachtaí eile, idir comhlachtaí corparáideacha agus neamhchorpraithe, atá i mbun seirbhísí a sholáthar do dhaoine faoi mhíchumas agus forbairt agus cur i bhfeidhm caighdeán oiriúnach um chláir agus sheirbhísí do dhaoine faoi mhíchumas a éascú agus a thacú </w:t>
      </w:r>
    </w:p>
    <w:p w:rsidR="009B7368" w:rsidRPr="004918E0" w:rsidRDefault="009B7368" w:rsidP="009B7368">
      <w:pPr>
        <w:pStyle w:val="ListBullet"/>
        <w:rPr>
          <w:lang w:val="ga-IE"/>
        </w:rPr>
      </w:pPr>
      <w:r w:rsidRPr="004918E0">
        <w:rPr>
          <w:lang w:val="ga-IE"/>
        </w:rPr>
        <w:t xml:space="preserve">Cóid chleachtais a ullmhú agus é mar aidhm dea-chaighdeáin agus cáilíocht a bhaint amach maidir le soláthar clár agus seirbhísí arna soláthar nó atá le soláthar do dhaoine faoi mhíchumas. </w:t>
      </w:r>
    </w:p>
    <w:p w:rsidR="009B7368" w:rsidRPr="004918E0" w:rsidRDefault="009B7368" w:rsidP="009B7368">
      <w:pPr>
        <w:pStyle w:val="ListBullet"/>
        <w:rPr>
          <w:lang w:val="ga-IE"/>
        </w:rPr>
      </w:pPr>
      <w:r w:rsidRPr="004918E0">
        <w:rPr>
          <w:lang w:val="ga-IE"/>
        </w:rPr>
        <w:t xml:space="preserve">Baint amach dea-chaighdeán agus cáilíochta i soláthar clár agus seirbhísí do dhaoine faoi mhíchumas a aithint, lena n-áirítear trí chóras gradam um chomhionannas míchumais </w:t>
      </w:r>
    </w:p>
    <w:p w:rsidR="009B7368" w:rsidRPr="004918E0" w:rsidRDefault="009B7368" w:rsidP="009B7368">
      <w:pPr>
        <w:pStyle w:val="ListBullet"/>
        <w:spacing w:after="240"/>
        <w:rPr>
          <w:lang w:val="ga-IE"/>
        </w:rPr>
      </w:pPr>
      <w:r w:rsidRPr="004918E0">
        <w:rPr>
          <w:lang w:val="ga-IE"/>
        </w:rPr>
        <w:t xml:space="preserve">Plean straitéiseach a ullmhú </w:t>
      </w:r>
    </w:p>
    <w:p w:rsidR="009B7368" w:rsidRPr="004918E0" w:rsidRDefault="009B7368" w:rsidP="009B7368">
      <w:pPr>
        <w:pStyle w:val="NormalBeforeandafterlist"/>
        <w:rPr>
          <w:lang w:val="ga-IE"/>
        </w:rPr>
      </w:pPr>
      <w:r w:rsidRPr="004918E0">
        <w:rPr>
          <w:lang w:val="ga-IE"/>
        </w:rPr>
        <w:t>I measc feidhmeanna breise an Údaráis faoin Acht Míchumais 2005 tá:</w:t>
      </w:r>
    </w:p>
    <w:p w:rsidR="009B7368" w:rsidRPr="004918E0" w:rsidRDefault="009B7368" w:rsidP="009B7368">
      <w:pPr>
        <w:pStyle w:val="ListBullet"/>
        <w:rPr>
          <w:lang w:val="ga-IE"/>
        </w:rPr>
      </w:pPr>
      <w:r w:rsidRPr="004918E0">
        <w:rPr>
          <w:lang w:val="ga-IE"/>
        </w:rPr>
        <w:t xml:space="preserve">Cóid chleachtais maidir le hinrochtaineacht foirgneamh poiblí, seirbhísí, eolais agus suíomhanna oidhreachta agus maidir le fostú daoine faoi mhíchumas san earnáil phoiblí ar iarratas an Aire (Cuid 3) </w:t>
      </w:r>
    </w:p>
    <w:p w:rsidR="009B7368" w:rsidRPr="004918E0" w:rsidRDefault="009B7368" w:rsidP="009B7368">
      <w:pPr>
        <w:pStyle w:val="ListBullet"/>
        <w:rPr>
          <w:lang w:val="ga-IE"/>
        </w:rPr>
      </w:pPr>
      <w:r w:rsidRPr="004918E0">
        <w:rPr>
          <w:lang w:val="ga-IE"/>
        </w:rPr>
        <w:t xml:space="preserve">Monatóireacht a dhéanamh ar chomhlíonadh spriocanna reachtúla um earcú agus fostú daoine faoi mhíchumas san earnáil phoiblí, gníomhartha a mholadh le glacadh áit nach bhfuil na spriocanna sin á gcomhlíonadh, agus cóid chleachtais a ullmhú áit a n-iarrtar sin (Cuid 5) </w:t>
      </w:r>
    </w:p>
    <w:p w:rsidR="009B7368" w:rsidRPr="004918E0" w:rsidRDefault="009B7368" w:rsidP="009B7368">
      <w:pPr>
        <w:pStyle w:val="ListBullet"/>
        <w:rPr>
          <w:lang w:val="ga-IE"/>
        </w:rPr>
      </w:pPr>
      <w:r w:rsidRPr="004918E0">
        <w:rPr>
          <w:lang w:val="ga-IE"/>
        </w:rPr>
        <w:t xml:space="preserve">Lárionad Sármhaitheasa i nDearadh Uilíoch sa timpeallacht thógtha agus i dteicneolaíocht na faisnéise a bhunú a dhéanfaidh cur chun cinn ar phrionsabail an dearaidh uilíoch ar féidir le daoine faoi mhíchumas rochtain a fháil orthu agus iad a thuiscint agus a úsáid an oiread is féidir: </w:t>
      </w:r>
    </w:p>
    <w:p w:rsidR="009B7368" w:rsidRPr="004918E0" w:rsidRDefault="009B7368" w:rsidP="009B7368">
      <w:pPr>
        <w:pStyle w:val="ListBullet"/>
        <w:numPr>
          <w:ilvl w:val="1"/>
          <w:numId w:val="7"/>
        </w:numPr>
        <w:rPr>
          <w:lang w:val="ga-IE"/>
        </w:rPr>
      </w:pPr>
      <w:r w:rsidRPr="004918E0">
        <w:rPr>
          <w:lang w:val="ga-IE"/>
        </w:rPr>
        <w:t xml:space="preserve">ar an mbealach is neamhspleáiche agus is nádúrtha </w:t>
      </w:r>
    </w:p>
    <w:p w:rsidR="009B7368" w:rsidRPr="004918E0" w:rsidRDefault="009B7368" w:rsidP="009B7368">
      <w:pPr>
        <w:pStyle w:val="ListBullet"/>
        <w:numPr>
          <w:ilvl w:val="1"/>
          <w:numId w:val="7"/>
        </w:numPr>
        <w:rPr>
          <w:lang w:val="ga-IE"/>
        </w:rPr>
      </w:pPr>
      <w:r w:rsidRPr="004918E0">
        <w:rPr>
          <w:lang w:val="ga-IE"/>
        </w:rPr>
        <w:t xml:space="preserve">sa raon suíomhanna is leithne is féidir </w:t>
      </w:r>
    </w:p>
    <w:p w:rsidR="009B7368" w:rsidRPr="004918E0" w:rsidRDefault="009B7368" w:rsidP="009B7368">
      <w:pPr>
        <w:pStyle w:val="ListBullet"/>
        <w:numPr>
          <w:ilvl w:val="1"/>
          <w:numId w:val="7"/>
        </w:numPr>
        <w:rPr>
          <w:lang w:val="ga-IE"/>
        </w:rPr>
      </w:pPr>
      <w:r w:rsidRPr="004918E0">
        <w:rPr>
          <w:lang w:val="ga-IE"/>
        </w:rPr>
        <w:t xml:space="preserve">gan ghá le cur in oiriúint, leasú, fearais chúnta réiteach speisialaithe (Cuid 6) </w:t>
      </w:r>
    </w:p>
    <w:p w:rsidR="009B7368" w:rsidRPr="004918E0" w:rsidRDefault="009B7368" w:rsidP="009B7368">
      <w:pPr>
        <w:pStyle w:val="Heading2"/>
        <w:rPr>
          <w:lang w:val="ga-IE"/>
        </w:rPr>
      </w:pPr>
      <w:r w:rsidRPr="004918E0">
        <w:rPr>
          <w:lang w:val="ga-IE"/>
        </w:rPr>
        <w:t xml:space="preserve">Cumhachtaí reachtúla </w:t>
      </w:r>
    </w:p>
    <w:p w:rsidR="009B7368" w:rsidRPr="004918E0" w:rsidRDefault="009B7368" w:rsidP="009B7368">
      <w:pPr>
        <w:pStyle w:val="NormalBeforeList"/>
        <w:rPr>
          <w:lang w:val="ga-IE"/>
        </w:rPr>
      </w:pPr>
      <w:r w:rsidRPr="004918E0">
        <w:rPr>
          <w:lang w:val="ga-IE"/>
        </w:rPr>
        <w:t>Chun a chuid feidhmeanna reachtúla a chomhlíonadh tá cumhachtaí reachtúla áirithe ag an Údarás faoin Acht um Údarás Náisiúnta Míchumais 1999:</w:t>
      </w:r>
    </w:p>
    <w:p w:rsidR="009B7368" w:rsidRPr="004918E0" w:rsidRDefault="009B7368" w:rsidP="009B7368">
      <w:pPr>
        <w:pStyle w:val="ListBullet"/>
        <w:rPr>
          <w:lang w:val="ga-IE"/>
        </w:rPr>
      </w:pPr>
      <w:r w:rsidRPr="004918E0">
        <w:rPr>
          <w:lang w:val="ga-IE"/>
        </w:rPr>
        <w:t xml:space="preserve">Tá an ceart ag an Údarás chun rochtana ar fhaisnéis (sonraí san áireamh) atá ábhartha dá chuid feidhmeanna agus atá i seilbh comhlachtaí poiblí (Alt 13) </w:t>
      </w:r>
    </w:p>
    <w:p w:rsidR="009B7368" w:rsidRPr="004918E0" w:rsidRDefault="009B7368" w:rsidP="009B7368">
      <w:pPr>
        <w:pStyle w:val="ListBullet"/>
        <w:rPr>
          <w:lang w:val="ga-IE"/>
        </w:rPr>
      </w:pPr>
      <w:r w:rsidRPr="004918E0">
        <w:rPr>
          <w:lang w:val="ga-IE"/>
        </w:rPr>
        <w:t xml:space="preserve">Féadann an tÚdarás faisnéis a lorg faoi ábhar ar bith a bhaineann le soláthar clár nó seirbhísí do dhaoine faoi mhíchumas a chuirtear ar fáil trí dhualgas reachtúil agus atá maoinithe go hiomlán nó go páirteach ag an bpobal (Alt 14) </w:t>
      </w:r>
    </w:p>
    <w:p w:rsidR="009B7368" w:rsidRPr="004918E0" w:rsidRDefault="009B7368" w:rsidP="009B7368">
      <w:pPr>
        <w:pStyle w:val="ListBullet"/>
        <w:rPr>
          <w:lang w:val="ga-IE"/>
        </w:rPr>
      </w:pPr>
      <w:r w:rsidRPr="004918E0">
        <w:rPr>
          <w:lang w:val="ga-IE"/>
        </w:rPr>
        <w:t xml:space="preserve">Déanann an tÚdarás moltaí um athbhreithniú, laghdú nó astarraingt airgead arna sholáthar ag an Oireachtas le haghaidh aon chláir nó seirbhíse áit a gcreideann sé go bhfuil sé á chur ar fáil ar bhealach neamhleor nó míshásúil nó nach bhfuil sé á chur ar fáil do dhaoine faoi mhíchumas (Alt 15(4)) </w:t>
      </w:r>
    </w:p>
    <w:p w:rsidR="009B7368" w:rsidRPr="004918E0" w:rsidRDefault="009B7368" w:rsidP="009B7368">
      <w:pPr>
        <w:pStyle w:val="NormalAfterList"/>
        <w:rPr>
          <w:lang w:val="ga-IE"/>
        </w:rPr>
      </w:pPr>
      <w:r w:rsidRPr="004918E0">
        <w:rPr>
          <w:lang w:val="ga-IE"/>
        </w:rPr>
        <w:t>Déanann an tÚdarás tuarascálacha bliantúla agus tuarascálacha eile don Aire i dtaobh a chuid feidhmeanna (Alt 15).</w:t>
      </w:r>
    </w:p>
    <w:p w:rsidR="009B7368" w:rsidRPr="004918E0" w:rsidRDefault="009B7368" w:rsidP="009B7368">
      <w:pPr>
        <w:pStyle w:val="Heading1"/>
        <w:rPr>
          <w:lang w:val="ga-IE"/>
        </w:rPr>
      </w:pPr>
      <w:bookmarkStart w:id="86" w:name="_Toc368646742"/>
      <w:r w:rsidRPr="004918E0">
        <w:rPr>
          <w:lang w:val="ga-IE"/>
        </w:rPr>
        <w:t>Ráiteas faoi fhreagrachtaí chomhaltaí an Údaráis</w:t>
      </w:r>
      <w:bookmarkEnd w:id="86"/>
      <w:r w:rsidRPr="004918E0">
        <w:rPr>
          <w:lang w:val="ga-IE"/>
        </w:rPr>
        <w:t xml:space="preserve"> </w:t>
      </w:r>
    </w:p>
    <w:p w:rsidR="009B7368" w:rsidRPr="004918E0" w:rsidRDefault="009B7368" w:rsidP="009B7368">
      <w:pPr>
        <w:rPr>
          <w:lang w:val="ga-IE"/>
        </w:rPr>
      </w:pPr>
      <w:r w:rsidRPr="004918E0">
        <w:rPr>
          <w:lang w:val="ga-IE"/>
        </w:rPr>
        <w:t>Ceanglaítear ar an Údarás trí hAlt 17 den Acht um Údarás Náisiúnta Míchumais 1999 ráitis airgeadais a ullmhú le haghaidh gach bliana airgeadais a thugann léargas fírinneach agus cothrom ar chúrsaí an Údaráis agus a chuid ioncaim agus caiteachais don tréimhse sin.</w:t>
      </w:r>
    </w:p>
    <w:p w:rsidR="009B7368" w:rsidRPr="004918E0" w:rsidRDefault="009B7368" w:rsidP="009B7368">
      <w:pPr>
        <w:pStyle w:val="NormalBeforeList"/>
        <w:spacing w:after="120"/>
        <w:rPr>
          <w:lang w:val="ga-IE"/>
        </w:rPr>
      </w:pPr>
      <w:r w:rsidRPr="004918E0">
        <w:rPr>
          <w:lang w:val="ga-IE"/>
        </w:rPr>
        <w:t>Agus na ráitis airgeadais sin á n-ullmhú ceanglaítear ar an Údarás:</w:t>
      </w:r>
    </w:p>
    <w:p w:rsidR="009B7368" w:rsidRPr="004918E0" w:rsidRDefault="009B7368" w:rsidP="009B7368">
      <w:pPr>
        <w:pStyle w:val="ListBullet"/>
        <w:rPr>
          <w:lang w:val="ga-IE"/>
        </w:rPr>
      </w:pPr>
      <w:r w:rsidRPr="004918E0">
        <w:rPr>
          <w:lang w:val="ga-IE"/>
        </w:rPr>
        <w:t>polasaithe cuntasaíochta oiriúnacha a roghnú agus a chur i bhfeidhm go comhsheasmhach;</w:t>
      </w:r>
    </w:p>
    <w:p w:rsidR="009B7368" w:rsidRPr="004918E0" w:rsidRDefault="009B7368" w:rsidP="009B7368">
      <w:pPr>
        <w:pStyle w:val="ListBullet"/>
        <w:rPr>
          <w:lang w:val="ga-IE"/>
        </w:rPr>
      </w:pPr>
      <w:r w:rsidRPr="004918E0">
        <w:rPr>
          <w:lang w:val="ga-IE"/>
        </w:rPr>
        <w:t xml:space="preserve"> breithiúnais agus meastacháin réasúnta agus chríonna a dhéanamh;</w:t>
      </w:r>
    </w:p>
    <w:p w:rsidR="009B7368" w:rsidRPr="004918E0" w:rsidRDefault="009B7368" w:rsidP="009B7368">
      <w:pPr>
        <w:pStyle w:val="ListBullet"/>
        <w:rPr>
          <w:lang w:val="ga-IE"/>
        </w:rPr>
      </w:pPr>
      <w:r w:rsidRPr="004918E0">
        <w:rPr>
          <w:lang w:val="ga-IE"/>
        </w:rPr>
        <w:t>Caighdeáin Chuntasaíochta infheidhme a chomhlíonadh faoi réir aon nochtuithe ábhartha arna nochtadh nó arna míniú sna Ráitis Airgeadais;</w:t>
      </w:r>
    </w:p>
    <w:p w:rsidR="009B7368" w:rsidRPr="004918E0" w:rsidRDefault="009B7368" w:rsidP="009B7368">
      <w:pPr>
        <w:pStyle w:val="ListBullet"/>
        <w:ind w:left="360" w:hanging="360"/>
        <w:rPr>
          <w:lang w:val="ga-IE"/>
        </w:rPr>
      </w:pPr>
      <w:r w:rsidRPr="004918E0">
        <w:rPr>
          <w:lang w:val="ga-IE"/>
        </w:rPr>
        <w:t>na ráitis airgeadais a ullmhú ar bhonn an ghnóthais leantaigh ach má tá sé mí-oiriúnach ceapadh nach leanfaidh an tÚdarás Náisiúnta Míchumais ar aghaidh.</w:t>
      </w:r>
    </w:p>
    <w:p w:rsidR="009B7368" w:rsidRPr="004918E0" w:rsidRDefault="009B7368" w:rsidP="009B7368">
      <w:pPr>
        <w:pStyle w:val="ListBullet"/>
        <w:numPr>
          <w:ilvl w:val="0"/>
          <w:numId w:val="0"/>
        </w:numPr>
        <w:ind w:left="567"/>
        <w:rPr>
          <w:lang w:val="ga-IE"/>
        </w:rPr>
      </w:pPr>
    </w:p>
    <w:p w:rsidR="009B7368" w:rsidRPr="004918E0" w:rsidRDefault="009B7368" w:rsidP="009B7368">
      <w:pPr>
        <w:rPr>
          <w:lang w:val="ga-IE"/>
        </w:rPr>
      </w:pPr>
      <w:r w:rsidRPr="004918E0">
        <w:rPr>
          <w:lang w:val="ga-IE"/>
        </w:rPr>
        <w:t>Tá an tÚdarás freagrach as taifid chearta chuntasaíochta a choimeád, a nochtann le cruinneas réasúnta uair ar bith staid airgeadais an Údaráis agus a chuireann ar a chumas cinntiú go gcomhlíonann na ráitis airgeadais an tAcht. Tá sé freagrach freisin as sócmhainní an Údarás Náisiúnta Míchumais a chosaint agus as céimeanna réasúnta a ghlacadh chun calaois agus mírialtachtaí eile a chosc agus a bhrath.</w:t>
      </w:r>
    </w:p>
    <w:p w:rsidR="009B7368" w:rsidRPr="004918E0" w:rsidRDefault="009B7368" w:rsidP="009B7368">
      <w:pPr>
        <w:pStyle w:val="NormalAfterList"/>
        <w:rPr>
          <w:lang w:val="ga-IE"/>
        </w:rPr>
      </w:pPr>
    </w:p>
    <w:p w:rsidR="009B7368" w:rsidRPr="004918E0" w:rsidRDefault="009B7368" w:rsidP="009B7368">
      <w:pPr>
        <w:pStyle w:val="ListBullet"/>
        <w:numPr>
          <w:ilvl w:val="0"/>
          <w:numId w:val="0"/>
        </w:numPr>
        <w:ind w:left="567"/>
        <w:rPr>
          <w:lang w:val="ga-IE"/>
        </w:rPr>
      </w:pPr>
      <w:r w:rsidRPr="004918E0">
        <w:rPr>
          <w:lang w:val="ga-IE"/>
        </w:rPr>
        <w:t>Thar ceann an Údaráis</w:t>
      </w:r>
    </w:p>
    <w:p w:rsidR="009B7368" w:rsidRPr="004918E0" w:rsidRDefault="009B7368" w:rsidP="009B7368">
      <w:pPr>
        <w:pStyle w:val="ListBullet"/>
        <w:rPr>
          <w:lang w:val="ga-IE"/>
        </w:rPr>
      </w:pPr>
      <w:r w:rsidRPr="004918E0">
        <w:rPr>
          <w:lang w:val="ga-IE"/>
        </w:rPr>
        <w:t>Cathaoirleach: Peter McKevitt</w:t>
      </w:r>
    </w:p>
    <w:p w:rsidR="009B7368" w:rsidRPr="004918E0" w:rsidRDefault="009B7368" w:rsidP="009B7368">
      <w:pPr>
        <w:pStyle w:val="ListBullet"/>
        <w:spacing w:after="240"/>
        <w:rPr>
          <w:lang w:val="ga-IE"/>
        </w:rPr>
      </w:pPr>
      <w:r w:rsidRPr="004918E0">
        <w:rPr>
          <w:lang w:val="ga-IE"/>
        </w:rPr>
        <w:t>Stiúrthóir: Siobhán Barron</w:t>
      </w:r>
    </w:p>
    <w:p w:rsidR="009B7368" w:rsidRPr="004918E0" w:rsidRDefault="009B7368" w:rsidP="009B7368">
      <w:pPr>
        <w:rPr>
          <w:lang w:val="ga-IE"/>
        </w:rPr>
      </w:pPr>
      <w:r w:rsidRPr="004918E0">
        <w:rPr>
          <w:lang w:val="ga-IE"/>
        </w:rPr>
        <w:t>Dáta: 10 Meán Fómhair</w:t>
      </w:r>
    </w:p>
    <w:p w:rsidR="009B7368" w:rsidRPr="004918E0" w:rsidRDefault="009B7368" w:rsidP="009B7368">
      <w:pPr>
        <w:rPr>
          <w:lang w:val="ga-IE"/>
        </w:rPr>
      </w:pPr>
    </w:p>
    <w:p w:rsidR="009B7368" w:rsidRPr="004918E0" w:rsidRDefault="009B7368" w:rsidP="009B7368">
      <w:pPr>
        <w:pStyle w:val="Heading1"/>
        <w:rPr>
          <w:lang w:val="ga-IE"/>
        </w:rPr>
      </w:pPr>
      <w:r w:rsidRPr="004918E0">
        <w:rPr>
          <w:lang w:val="ga-IE"/>
        </w:rPr>
        <w:br w:type="page"/>
      </w:r>
      <w:bookmarkStart w:id="87" w:name="_Toc367888633"/>
      <w:bookmarkStart w:id="88" w:name="_Toc368646743"/>
      <w:r w:rsidRPr="004918E0">
        <w:rPr>
          <w:lang w:val="ga-IE"/>
        </w:rPr>
        <w:t>Ráitis Airgeadais 2012</w:t>
      </w:r>
      <w:bookmarkEnd w:id="87"/>
      <w:bookmarkEnd w:id="88"/>
    </w:p>
    <w:p w:rsidR="009B7368" w:rsidRPr="004918E0" w:rsidRDefault="009B7368" w:rsidP="009B7368">
      <w:pPr>
        <w:pStyle w:val="Heading2"/>
        <w:rPr>
          <w:lang w:val="ga-IE"/>
        </w:rPr>
      </w:pPr>
      <w:r w:rsidRPr="004918E0">
        <w:rPr>
          <w:lang w:val="ga-IE"/>
        </w:rPr>
        <w:t xml:space="preserve">Comhaltaí an Údaráis agus Faisnéis Eile </w:t>
      </w:r>
    </w:p>
    <w:p w:rsidR="009B7368" w:rsidRPr="004918E0" w:rsidRDefault="009B7368" w:rsidP="009B7368">
      <w:pPr>
        <w:pStyle w:val="TableTitle"/>
        <w:rPr>
          <w:lang w:val="ga-IE"/>
        </w:rPr>
      </w:pPr>
      <w:r w:rsidRPr="004918E0">
        <w:rPr>
          <w:lang w:val="ga-IE"/>
        </w:rPr>
        <w:t>Ón 1 Eanáir – 31 Nollaig, 2012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041"/>
        <w:gridCol w:w="1220"/>
        <w:gridCol w:w="1410"/>
      </w:tblGrid>
      <w:tr w:rsidR="009B7368" w:rsidRPr="004918E0" w:rsidTr="00790853">
        <w:trPr>
          <w:trHeight w:val="844"/>
        </w:trPr>
        <w:tc>
          <w:tcPr>
            <w:tcW w:w="2613" w:type="dxa"/>
            <w:vAlign w:val="center"/>
          </w:tcPr>
          <w:p w:rsidR="009B7368" w:rsidRPr="004918E0" w:rsidRDefault="009B7368" w:rsidP="00790853">
            <w:pPr>
              <w:rPr>
                <w:b/>
                <w:lang w:val="ga-IE"/>
              </w:rPr>
            </w:pPr>
            <w:r w:rsidRPr="004918E0">
              <w:rPr>
                <w:b/>
                <w:lang w:val="ga-IE"/>
              </w:rPr>
              <w:t>Comhalta Údaráis</w:t>
            </w:r>
          </w:p>
        </w:tc>
        <w:tc>
          <w:tcPr>
            <w:tcW w:w="3232" w:type="dxa"/>
            <w:vAlign w:val="center"/>
          </w:tcPr>
          <w:p w:rsidR="009B7368" w:rsidRPr="004918E0" w:rsidRDefault="009B7368" w:rsidP="00790853">
            <w:pPr>
              <w:rPr>
                <w:b/>
                <w:lang w:val="ga-IE"/>
              </w:rPr>
            </w:pPr>
            <w:r w:rsidRPr="004918E0">
              <w:rPr>
                <w:rFonts w:cs="Arial"/>
                <w:b/>
                <w:lang w:val="ga-IE"/>
              </w:rPr>
              <w:t xml:space="preserve">Líon na gCruinnithe Údaráis a Freastalaíodh Orthu le linn na tréimhse seo </w:t>
            </w:r>
          </w:p>
        </w:tc>
        <w:tc>
          <w:tcPr>
            <w:tcW w:w="1264" w:type="dxa"/>
            <w:vAlign w:val="center"/>
          </w:tcPr>
          <w:p w:rsidR="009B7368" w:rsidRPr="004918E0" w:rsidRDefault="009B7368" w:rsidP="00790853">
            <w:pPr>
              <w:jc w:val="center"/>
              <w:rPr>
                <w:rFonts w:cs="Arial"/>
                <w:b/>
                <w:lang w:val="ga-IE"/>
              </w:rPr>
            </w:pPr>
            <w:r w:rsidRPr="004918E0">
              <w:rPr>
                <w:rFonts w:cs="Arial"/>
                <w:b/>
                <w:lang w:val="ga-IE"/>
              </w:rPr>
              <w:t>Táillí</w:t>
            </w:r>
          </w:p>
        </w:tc>
        <w:tc>
          <w:tcPr>
            <w:tcW w:w="1413" w:type="dxa"/>
            <w:vAlign w:val="center"/>
          </w:tcPr>
          <w:p w:rsidR="009B7368" w:rsidRPr="004918E0" w:rsidRDefault="009B7368" w:rsidP="00790853">
            <w:pPr>
              <w:jc w:val="center"/>
              <w:rPr>
                <w:rFonts w:cs="Arial"/>
                <w:b/>
                <w:lang w:val="ga-IE"/>
              </w:rPr>
            </w:pPr>
            <w:r w:rsidRPr="004918E0">
              <w:rPr>
                <w:rFonts w:cs="Arial"/>
                <w:b/>
                <w:lang w:val="ga-IE"/>
              </w:rPr>
              <w:t>Speansais</w:t>
            </w:r>
          </w:p>
        </w:tc>
      </w:tr>
      <w:tr w:rsidR="009B7368" w:rsidRPr="004918E0" w:rsidTr="00790853">
        <w:trPr>
          <w:trHeight w:val="620"/>
        </w:trPr>
        <w:tc>
          <w:tcPr>
            <w:tcW w:w="2613" w:type="dxa"/>
          </w:tcPr>
          <w:p w:rsidR="009B7368" w:rsidRPr="004918E0" w:rsidRDefault="009B7368" w:rsidP="00790853">
            <w:pPr>
              <w:rPr>
                <w:lang w:val="ga-IE"/>
              </w:rPr>
            </w:pPr>
            <w:r w:rsidRPr="004918E0">
              <w:rPr>
                <w:lang w:val="ga-IE"/>
              </w:rPr>
              <w:t xml:space="preserve">An tUas. Peter Mc Kevitt, Cathaoirleach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10/10</w:t>
            </w:r>
          </w:p>
        </w:tc>
        <w:tc>
          <w:tcPr>
            <w:tcW w:w="1264" w:type="dxa"/>
            <w:vAlign w:val="center"/>
          </w:tcPr>
          <w:p w:rsidR="009B7368" w:rsidRPr="004918E0" w:rsidRDefault="009B7368" w:rsidP="00790853">
            <w:pPr>
              <w:jc w:val="center"/>
              <w:rPr>
                <w:rFonts w:cs="Arial"/>
                <w:lang w:val="ga-IE"/>
              </w:rPr>
            </w:pPr>
            <w:r w:rsidRPr="004918E0">
              <w:rPr>
                <w:rFonts w:cs="Arial"/>
                <w:lang w:val="ga-IE"/>
              </w:rPr>
              <w:t>€8,978</w:t>
            </w:r>
          </w:p>
        </w:tc>
        <w:tc>
          <w:tcPr>
            <w:tcW w:w="1413" w:type="dxa"/>
            <w:vAlign w:val="center"/>
          </w:tcPr>
          <w:p w:rsidR="009B7368" w:rsidRPr="004918E0" w:rsidRDefault="009B7368" w:rsidP="00790853">
            <w:pPr>
              <w:jc w:val="center"/>
              <w:rPr>
                <w:lang w:val="ga-IE"/>
              </w:rPr>
            </w:pPr>
            <w:r w:rsidRPr="004918E0">
              <w:rPr>
                <w:lang w:val="ga-IE"/>
              </w:rPr>
              <w:t>€209</w:t>
            </w:r>
          </w:p>
        </w:tc>
      </w:tr>
      <w:tr w:rsidR="009B7368" w:rsidRPr="004918E0" w:rsidTr="00790853">
        <w:tc>
          <w:tcPr>
            <w:tcW w:w="2613" w:type="dxa"/>
          </w:tcPr>
          <w:p w:rsidR="009B7368" w:rsidRPr="004918E0" w:rsidRDefault="009B7368" w:rsidP="00790853">
            <w:pPr>
              <w:tabs>
                <w:tab w:val="left" w:pos="2520"/>
              </w:tabs>
              <w:rPr>
                <w:lang w:val="ga-IE"/>
              </w:rPr>
            </w:pPr>
            <w:r w:rsidRPr="004918E0">
              <w:rPr>
                <w:lang w:val="ga-IE"/>
              </w:rPr>
              <w:t xml:space="preserve">An Dr. Tony Bates </w:t>
            </w:r>
            <w:r w:rsidRPr="004918E0">
              <w:rPr>
                <w:lang w:val="ga-IE"/>
              </w:rPr>
              <w:tab/>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4/7</w:t>
            </w:r>
          </w:p>
        </w:tc>
        <w:tc>
          <w:tcPr>
            <w:tcW w:w="1264" w:type="dxa"/>
            <w:vAlign w:val="center"/>
          </w:tcPr>
          <w:p w:rsidR="009B7368" w:rsidRPr="004918E0" w:rsidRDefault="009B7368" w:rsidP="00790853">
            <w:pPr>
              <w:jc w:val="center"/>
              <w:rPr>
                <w:rFonts w:cs="Arial"/>
                <w:lang w:val="ga-IE"/>
              </w:rPr>
            </w:pPr>
            <w:r w:rsidRPr="004918E0">
              <w:rPr>
                <w:lang w:val="ga-IE"/>
              </w:rPr>
              <w:t>€0</w:t>
            </w:r>
          </w:p>
        </w:tc>
        <w:tc>
          <w:tcPr>
            <w:tcW w:w="1413" w:type="dxa"/>
            <w:vAlign w:val="center"/>
          </w:tcPr>
          <w:p w:rsidR="009B7368" w:rsidRPr="004918E0" w:rsidRDefault="009B7368" w:rsidP="00790853">
            <w:pPr>
              <w:jc w:val="center"/>
              <w:rPr>
                <w:rFonts w:cs="Arial"/>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Caroline Burrell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10/10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jc w:val="center"/>
              <w:rPr>
                <w:lang w:val="ga-IE"/>
              </w:rPr>
            </w:pPr>
            <w:r w:rsidRPr="004918E0">
              <w:rPr>
                <w:lang w:val="ga-IE"/>
              </w:rPr>
              <w:t>€116</w:t>
            </w:r>
          </w:p>
        </w:tc>
      </w:tr>
      <w:tr w:rsidR="009B7368" w:rsidRPr="004918E0" w:rsidTr="00790853">
        <w:tc>
          <w:tcPr>
            <w:tcW w:w="2613" w:type="dxa"/>
          </w:tcPr>
          <w:p w:rsidR="009B7368" w:rsidRPr="004918E0" w:rsidRDefault="009B7368" w:rsidP="00790853">
            <w:pPr>
              <w:rPr>
                <w:lang w:val="ga-IE"/>
              </w:rPr>
            </w:pPr>
            <w:r w:rsidRPr="004918E0">
              <w:rPr>
                <w:lang w:val="ga-IE"/>
              </w:rPr>
              <w:t xml:space="preserve">An tUas. Frank Cunneen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8/10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Tara Cunningham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8/10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Fiona Duignan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7/10</w:t>
            </w:r>
          </w:p>
        </w:tc>
        <w:tc>
          <w:tcPr>
            <w:tcW w:w="1264" w:type="dxa"/>
            <w:vAlign w:val="center"/>
          </w:tcPr>
          <w:p w:rsidR="009B7368" w:rsidRPr="004918E0" w:rsidRDefault="009B7368" w:rsidP="00790853">
            <w:pPr>
              <w:jc w:val="center"/>
              <w:rPr>
                <w:rFonts w:cs="Arial"/>
                <w:lang w:val="ga-IE"/>
              </w:rPr>
            </w:pPr>
            <w:r w:rsidRPr="004918E0">
              <w:rPr>
                <w:lang w:val="ga-IE"/>
              </w:rPr>
              <w:t>€0</w:t>
            </w:r>
          </w:p>
        </w:tc>
        <w:tc>
          <w:tcPr>
            <w:tcW w:w="1413" w:type="dxa"/>
            <w:vAlign w:val="center"/>
          </w:tcPr>
          <w:p w:rsidR="009B7368" w:rsidRPr="004918E0" w:rsidRDefault="009B7368" w:rsidP="00790853">
            <w:pPr>
              <w:jc w:val="center"/>
              <w:rPr>
                <w:rFonts w:cs="Arial"/>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An tUas. David Joyce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8/10</w:t>
            </w:r>
          </w:p>
        </w:tc>
        <w:tc>
          <w:tcPr>
            <w:tcW w:w="1264" w:type="dxa"/>
            <w:vAlign w:val="center"/>
          </w:tcPr>
          <w:p w:rsidR="009B7368" w:rsidRPr="004918E0" w:rsidRDefault="009B7368" w:rsidP="00790853">
            <w:pPr>
              <w:jc w:val="center"/>
              <w:rPr>
                <w:rFonts w:cs="Arial"/>
                <w:lang w:val="ga-IE"/>
              </w:rPr>
            </w:pPr>
            <w:r w:rsidRPr="004918E0">
              <w:rPr>
                <w:lang w:val="ga-IE"/>
              </w:rPr>
              <w:t>€5,985</w:t>
            </w:r>
          </w:p>
        </w:tc>
        <w:tc>
          <w:tcPr>
            <w:tcW w:w="1413" w:type="dxa"/>
            <w:vAlign w:val="center"/>
          </w:tcPr>
          <w:p w:rsidR="009B7368" w:rsidRPr="004918E0" w:rsidRDefault="009B7368" w:rsidP="00790853">
            <w:pPr>
              <w:jc w:val="center"/>
              <w:rPr>
                <w:rFonts w:cs="Arial"/>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An tUas. Des Kenny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9/10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Mary Lavelle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8/10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Ms. Joanne McCarthy </w:t>
            </w:r>
          </w:p>
        </w:tc>
        <w:tc>
          <w:tcPr>
            <w:tcW w:w="3232" w:type="dxa"/>
            <w:vAlign w:val="center"/>
          </w:tcPr>
          <w:p w:rsidR="009B7368" w:rsidRPr="004918E0" w:rsidRDefault="009B7368" w:rsidP="00790853">
            <w:pPr>
              <w:spacing w:after="80"/>
              <w:jc w:val="center"/>
              <w:rPr>
                <w:rFonts w:cs="Arial"/>
                <w:lang w:val="ga-IE"/>
              </w:rPr>
            </w:pPr>
            <w:r w:rsidRPr="004918E0">
              <w:rPr>
                <w:rFonts w:cs="Arial"/>
                <w:lang w:val="ga-IE"/>
              </w:rPr>
              <w:t>9/10</w:t>
            </w:r>
          </w:p>
        </w:tc>
        <w:tc>
          <w:tcPr>
            <w:tcW w:w="1264" w:type="dxa"/>
            <w:vAlign w:val="center"/>
          </w:tcPr>
          <w:p w:rsidR="009B7368" w:rsidRPr="004918E0" w:rsidRDefault="009B7368" w:rsidP="00790853">
            <w:pPr>
              <w:jc w:val="center"/>
              <w:rPr>
                <w:lang w:val="ga-IE"/>
              </w:rPr>
            </w:pPr>
            <w:r w:rsidRPr="004918E0">
              <w:rPr>
                <w:lang w:val="ga-IE"/>
              </w:rPr>
              <w:t>€5,985</w:t>
            </w:r>
          </w:p>
        </w:tc>
        <w:tc>
          <w:tcPr>
            <w:tcW w:w="1413" w:type="dxa"/>
            <w:vAlign w:val="center"/>
          </w:tcPr>
          <w:p w:rsidR="009B7368" w:rsidRPr="004918E0" w:rsidRDefault="009B7368" w:rsidP="00790853">
            <w:pPr>
              <w:rPr>
                <w:lang w:val="ga-IE"/>
              </w:rPr>
            </w:pPr>
          </w:p>
        </w:tc>
      </w:tr>
      <w:tr w:rsidR="009B7368" w:rsidRPr="004918E0" w:rsidTr="00790853">
        <w:tc>
          <w:tcPr>
            <w:tcW w:w="2613" w:type="dxa"/>
          </w:tcPr>
          <w:p w:rsidR="009B7368" w:rsidRPr="004918E0" w:rsidRDefault="009B7368" w:rsidP="00790853">
            <w:pPr>
              <w:rPr>
                <w:lang w:val="ga-IE"/>
              </w:rPr>
            </w:pPr>
            <w:r w:rsidRPr="004918E0">
              <w:rPr>
                <w:lang w:val="ga-IE"/>
              </w:rPr>
              <w:t xml:space="preserve">An tUas. James O’Grady </w:t>
            </w:r>
          </w:p>
        </w:tc>
        <w:tc>
          <w:tcPr>
            <w:tcW w:w="3232" w:type="dxa"/>
          </w:tcPr>
          <w:p w:rsidR="009B7368" w:rsidRPr="004918E0" w:rsidRDefault="009B7368" w:rsidP="00790853">
            <w:pPr>
              <w:spacing w:after="80"/>
              <w:jc w:val="center"/>
              <w:rPr>
                <w:rFonts w:cs="Arial"/>
                <w:lang w:val="ga-IE"/>
              </w:rPr>
            </w:pPr>
            <w:r w:rsidRPr="004918E0">
              <w:rPr>
                <w:rFonts w:cs="Arial"/>
                <w:lang w:val="ga-IE"/>
              </w:rPr>
              <w:t>9/10</w:t>
            </w:r>
          </w:p>
        </w:tc>
        <w:tc>
          <w:tcPr>
            <w:tcW w:w="1264" w:type="dxa"/>
          </w:tcPr>
          <w:p w:rsidR="009B7368" w:rsidRPr="004918E0" w:rsidRDefault="009B7368" w:rsidP="00790853">
            <w:pPr>
              <w:jc w:val="center"/>
              <w:rPr>
                <w:lang w:val="ga-IE"/>
              </w:rPr>
            </w:pPr>
            <w:r w:rsidRPr="004918E0">
              <w:rPr>
                <w:lang w:val="ga-IE"/>
              </w:rPr>
              <w:t>€5,985</w:t>
            </w:r>
          </w:p>
        </w:tc>
        <w:tc>
          <w:tcPr>
            <w:tcW w:w="1413" w:type="dxa"/>
          </w:tcPr>
          <w:p w:rsidR="009B7368" w:rsidRPr="004918E0" w:rsidRDefault="009B7368" w:rsidP="00790853">
            <w:pPr>
              <w:jc w:val="center"/>
              <w:rPr>
                <w:lang w:val="ga-IE"/>
              </w:rPr>
            </w:pPr>
            <w:r w:rsidRPr="004918E0">
              <w:rPr>
                <w:lang w:val="ga-IE"/>
              </w:rPr>
              <w:t>€4,087</w:t>
            </w:r>
          </w:p>
        </w:tc>
      </w:tr>
      <w:tr w:rsidR="009B7368" w:rsidRPr="004918E0" w:rsidTr="00790853">
        <w:trPr>
          <w:trHeight w:val="439"/>
        </w:trPr>
        <w:tc>
          <w:tcPr>
            <w:tcW w:w="2613" w:type="dxa"/>
          </w:tcPr>
          <w:p w:rsidR="009B7368" w:rsidRPr="004918E0" w:rsidRDefault="009B7368" w:rsidP="00790853">
            <w:pPr>
              <w:rPr>
                <w:lang w:val="ga-IE"/>
              </w:rPr>
            </w:pPr>
            <w:r w:rsidRPr="004918E0">
              <w:rPr>
                <w:lang w:val="ga-IE"/>
              </w:rPr>
              <w:t>Ms. Linda Grealy</w:t>
            </w:r>
          </w:p>
        </w:tc>
        <w:tc>
          <w:tcPr>
            <w:tcW w:w="3232" w:type="dxa"/>
          </w:tcPr>
          <w:p w:rsidR="009B7368" w:rsidRPr="004918E0" w:rsidRDefault="009B7368" w:rsidP="00790853">
            <w:pPr>
              <w:spacing w:after="80"/>
              <w:jc w:val="center"/>
              <w:rPr>
                <w:rFonts w:cs="Arial"/>
                <w:lang w:val="ga-IE"/>
              </w:rPr>
            </w:pPr>
            <w:r w:rsidRPr="004918E0">
              <w:rPr>
                <w:rFonts w:cs="Arial"/>
                <w:lang w:val="ga-IE"/>
              </w:rPr>
              <w:t>6/10</w:t>
            </w:r>
          </w:p>
        </w:tc>
        <w:tc>
          <w:tcPr>
            <w:tcW w:w="1264" w:type="dxa"/>
          </w:tcPr>
          <w:p w:rsidR="009B7368" w:rsidRPr="004918E0" w:rsidRDefault="009B7368" w:rsidP="00790853">
            <w:pPr>
              <w:jc w:val="center"/>
              <w:rPr>
                <w:lang w:val="ga-IE"/>
              </w:rPr>
            </w:pPr>
            <w:r w:rsidRPr="004918E0">
              <w:rPr>
                <w:lang w:val="ga-IE"/>
              </w:rPr>
              <w:t>€0</w:t>
            </w:r>
          </w:p>
        </w:tc>
        <w:tc>
          <w:tcPr>
            <w:tcW w:w="1413" w:type="dxa"/>
          </w:tcPr>
          <w:p w:rsidR="009B7368" w:rsidRPr="004918E0" w:rsidRDefault="009B7368" w:rsidP="00790853">
            <w:pPr>
              <w:rPr>
                <w:lang w:val="ga-IE"/>
              </w:rPr>
            </w:pPr>
          </w:p>
        </w:tc>
      </w:tr>
      <w:tr w:rsidR="009B7368" w:rsidRPr="004918E0" w:rsidTr="00790853">
        <w:trPr>
          <w:trHeight w:val="441"/>
        </w:trPr>
        <w:tc>
          <w:tcPr>
            <w:tcW w:w="2613" w:type="dxa"/>
          </w:tcPr>
          <w:p w:rsidR="009B7368" w:rsidRPr="004918E0" w:rsidRDefault="009B7368" w:rsidP="00790853">
            <w:pPr>
              <w:rPr>
                <w:lang w:val="ga-IE"/>
              </w:rPr>
            </w:pPr>
            <w:r w:rsidRPr="004918E0">
              <w:rPr>
                <w:lang w:val="ga-IE"/>
              </w:rPr>
              <w:t>An tUas. Shane Hogan</w:t>
            </w:r>
          </w:p>
        </w:tc>
        <w:tc>
          <w:tcPr>
            <w:tcW w:w="3232" w:type="dxa"/>
          </w:tcPr>
          <w:p w:rsidR="009B7368" w:rsidRPr="004918E0" w:rsidRDefault="009B7368" w:rsidP="00790853">
            <w:pPr>
              <w:spacing w:after="80"/>
              <w:jc w:val="center"/>
              <w:rPr>
                <w:rFonts w:cs="Arial"/>
                <w:lang w:val="ga-IE"/>
              </w:rPr>
            </w:pPr>
            <w:r w:rsidRPr="004918E0">
              <w:rPr>
                <w:rFonts w:cs="Arial"/>
                <w:lang w:val="ga-IE"/>
              </w:rPr>
              <w:t>10/10</w:t>
            </w:r>
          </w:p>
        </w:tc>
        <w:tc>
          <w:tcPr>
            <w:tcW w:w="1264" w:type="dxa"/>
          </w:tcPr>
          <w:p w:rsidR="009B7368" w:rsidRPr="004918E0" w:rsidRDefault="009B7368" w:rsidP="00790853">
            <w:pPr>
              <w:jc w:val="center"/>
              <w:rPr>
                <w:lang w:val="ga-IE"/>
              </w:rPr>
            </w:pPr>
            <w:r w:rsidRPr="004918E0">
              <w:rPr>
                <w:lang w:val="ga-IE"/>
              </w:rPr>
              <w:t>€0</w:t>
            </w:r>
          </w:p>
        </w:tc>
        <w:tc>
          <w:tcPr>
            <w:tcW w:w="1413" w:type="dxa"/>
          </w:tcPr>
          <w:p w:rsidR="009B7368" w:rsidRPr="004918E0" w:rsidRDefault="009B7368" w:rsidP="00790853">
            <w:pPr>
              <w:rPr>
                <w:lang w:val="ga-IE"/>
              </w:rPr>
            </w:pPr>
          </w:p>
        </w:tc>
      </w:tr>
    </w:tbl>
    <w:p w:rsidR="009B7368" w:rsidRPr="004918E0" w:rsidRDefault="009B7368" w:rsidP="009B7368">
      <w:pPr>
        <w:tabs>
          <w:tab w:val="left" w:pos="1440"/>
        </w:tabs>
        <w:spacing w:after="0"/>
        <w:rPr>
          <w:lang w:val="ga-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024"/>
        <w:gridCol w:w="1216"/>
        <w:gridCol w:w="1409"/>
      </w:tblGrid>
      <w:tr w:rsidR="009B7368" w:rsidRPr="004918E0" w:rsidTr="00790853">
        <w:trPr>
          <w:trHeight w:val="350"/>
        </w:trPr>
        <w:tc>
          <w:tcPr>
            <w:tcW w:w="2630" w:type="dxa"/>
          </w:tcPr>
          <w:p w:rsidR="009B7368" w:rsidRPr="004918E0" w:rsidRDefault="009B7368" w:rsidP="00790853">
            <w:pPr>
              <w:rPr>
                <w:b/>
                <w:lang w:val="ga-IE"/>
              </w:rPr>
            </w:pPr>
            <w:r w:rsidRPr="004918E0">
              <w:rPr>
                <w:b/>
                <w:lang w:val="ga-IE"/>
              </w:rPr>
              <w:t xml:space="preserve">Comhalta den Choiste Iniúchta </w:t>
            </w:r>
          </w:p>
        </w:tc>
        <w:tc>
          <w:tcPr>
            <w:tcW w:w="3220" w:type="dxa"/>
            <w:vAlign w:val="center"/>
          </w:tcPr>
          <w:p w:rsidR="009B7368" w:rsidRPr="004918E0" w:rsidRDefault="009B7368" w:rsidP="00790853">
            <w:pPr>
              <w:rPr>
                <w:b/>
                <w:lang w:val="ga-IE"/>
              </w:rPr>
            </w:pPr>
            <w:r w:rsidRPr="004918E0">
              <w:rPr>
                <w:rFonts w:cs="Arial"/>
                <w:b/>
                <w:lang w:val="ga-IE"/>
              </w:rPr>
              <w:t xml:space="preserve">Líon na gcruinnithe den Choiste Iniúchta a Freastalaíodh Orthu le linn na tréimhse seo </w:t>
            </w:r>
          </w:p>
        </w:tc>
        <w:tc>
          <w:tcPr>
            <w:tcW w:w="1260" w:type="dxa"/>
            <w:vAlign w:val="center"/>
          </w:tcPr>
          <w:p w:rsidR="009B7368" w:rsidRPr="004918E0" w:rsidRDefault="009B7368" w:rsidP="00790853">
            <w:pPr>
              <w:jc w:val="center"/>
              <w:rPr>
                <w:rFonts w:cs="Arial"/>
                <w:b/>
                <w:lang w:val="ga-IE"/>
              </w:rPr>
            </w:pPr>
            <w:r w:rsidRPr="004918E0">
              <w:rPr>
                <w:rFonts w:cs="Arial"/>
                <w:b/>
                <w:lang w:val="ga-IE"/>
              </w:rPr>
              <w:t>Táillí</w:t>
            </w:r>
          </w:p>
        </w:tc>
        <w:tc>
          <w:tcPr>
            <w:tcW w:w="1412" w:type="dxa"/>
            <w:vAlign w:val="center"/>
          </w:tcPr>
          <w:p w:rsidR="009B7368" w:rsidRPr="004918E0" w:rsidRDefault="009B7368" w:rsidP="00790853">
            <w:pPr>
              <w:jc w:val="center"/>
              <w:rPr>
                <w:rFonts w:cs="Arial"/>
                <w:b/>
                <w:lang w:val="ga-IE"/>
              </w:rPr>
            </w:pPr>
            <w:r w:rsidRPr="004918E0">
              <w:rPr>
                <w:rFonts w:cs="Arial"/>
                <w:b/>
                <w:lang w:val="ga-IE"/>
              </w:rPr>
              <w:t>Speansais</w:t>
            </w:r>
          </w:p>
        </w:tc>
      </w:tr>
      <w:tr w:rsidR="009B7368" w:rsidRPr="004918E0" w:rsidTr="00790853">
        <w:trPr>
          <w:trHeight w:val="530"/>
        </w:trPr>
        <w:tc>
          <w:tcPr>
            <w:tcW w:w="2630" w:type="dxa"/>
          </w:tcPr>
          <w:p w:rsidR="009B7368" w:rsidRPr="004918E0" w:rsidRDefault="009B7368" w:rsidP="00790853">
            <w:pPr>
              <w:rPr>
                <w:lang w:val="ga-IE"/>
              </w:rPr>
            </w:pPr>
            <w:r w:rsidRPr="004918E0">
              <w:rPr>
                <w:lang w:val="ga-IE"/>
              </w:rPr>
              <w:t>An tUas. Donal Lawlor (Cathaoirleach an Choiste Iniúchta)</w:t>
            </w:r>
          </w:p>
        </w:tc>
        <w:tc>
          <w:tcPr>
            <w:tcW w:w="3220" w:type="dxa"/>
          </w:tcPr>
          <w:p w:rsidR="009B7368" w:rsidRPr="004918E0" w:rsidRDefault="009B7368" w:rsidP="00790853">
            <w:pPr>
              <w:spacing w:after="80"/>
              <w:jc w:val="center"/>
              <w:rPr>
                <w:rFonts w:cs="Arial"/>
                <w:lang w:val="ga-IE"/>
              </w:rPr>
            </w:pPr>
            <w:r w:rsidRPr="004918E0">
              <w:rPr>
                <w:rFonts w:cs="Arial"/>
                <w:lang w:val="ga-IE"/>
              </w:rPr>
              <w:t>4/4</w:t>
            </w:r>
          </w:p>
        </w:tc>
        <w:tc>
          <w:tcPr>
            <w:tcW w:w="1260" w:type="dxa"/>
          </w:tcPr>
          <w:p w:rsidR="009B7368" w:rsidRPr="004918E0" w:rsidRDefault="009B7368" w:rsidP="00790853">
            <w:pPr>
              <w:jc w:val="center"/>
              <w:rPr>
                <w:lang w:val="ga-IE"/>
              </w:rPr>
            </w:pPr>
            <w:r w:rsidRPr="004918E0">
              <w:rPr>
                <w:lang w:val="ga-IE"/>
              </w:rPr>
              <w:t>€2,565</w:t>
            </w:r>
          </w:p>
        </w:tc>
        <w:tc>
          <w:tcPr>
            <w:tcW w:w="1412" w:type="dxa"/>
          </w:tcPr>
          <w:p w:rsidR="009B7368" w:rsidRPr="004918E0" w:rsidRDefault="009B7368" w:rsidP="00790853">
            <w:pPr>
              <w:rPr>
                <w:lang w:val="ga-IE"/>
              </w:rPr>
            </w:pPr>
          </w:p>
        </w:tc>
      </w:tr>
    </w:tbl>
    <w:p w:rsidR="009B7368" w:rsidRPr="004918E0" w:rsidRDefault="009B7368" w:rsidP="009B7368">
      <w:pPr>
        <w:tabs>
          <w:tab w:val="left" w:pos="1440"/>
        </w:tabs>
        <w:rPr>
          <w:lang w:val="ga-IE"/>
        </w:rPr>
      </w:pPr>
    </w:p>
    <w:p w:rsidR="009B7368" w:rsidRPr="004918E0" w:rsidRDefault="009B7368" w:rsidP="009B7368">
      <w:pPr>
        <w:tabs>
          <w:tab w:val="left" w:pos="1440"/>
        </w:tabs>
        <w:rPr>
          <w:lang w:val="ga-IE"/>
        </w:rPr>
      </w:pPr>
    </w:p>
    <w:p w:rsidR="009B7368" w:rsidRPr="004918E0" w:rsidRDefault="009B7368" w:rsidP="009B7368">
      <w:pPr>
        <w:tabs>
          <w:tab w:val="left" w:pos="1440"/>
        </w:tabs>
        <w:rPr>
          <w:lang w:val="ga-IE"/>
        </w:rPr>
      </w:pPr>
      <w:r w:rsidRPr="004918E0">
        <w:rPr>
          <w:lang w:val="ga-IE"/>
        </w:rPr>
        <w:t>Stiúrthóir:</w:t>
      </w:r>
      <w:r w:rsidRPr="004918E0">
        <w:rPr>
          <w:lang w:val="ga-IE"/>
        </w:rPr>
        <w:tab/>
        <w:t>Siobhan Barron</w:t>
      </w:r>
      <w:r w:rsidRPr="004918E0">
        <w:rPr>
          <w:lang w:val="ga-IE"/>
        </w:rPr>
        <w:tab/>
      </w:r>
      <w:r w:rsidRPr="004918E0">
        <w:rPr>
          <w:lang w:val="ga-IE"/>
        </w:rPr>
        <w:tab/>
      </w:r>
      <w:r w:rsidRPr="004918E0">
        <w:rPr>
          <w:lang w:val="ga-IE"/>
        </w:rPr>
        <w:tab/>
      </w:r>
    </w:p>
    <w:p w:rsidR="009B7368" w:rsidRPr="004918E0" w:rsidRDefault="009B7368" w:rsidP="009B7368">
      <w:pPr>
        <w:spacing w:after="0"/>
        <w:ind w:left="1440" w:hanging="1440"/>
        <w:rPr>
          <w:lang w:val="ga-IE"/>
        </w:rPr>
      </w:pPr>
      <w:r w:rsidRPr="004918E0">
        <w:rPr>
          <w:lang w:val="ga-IE"/>
        </w:rPr>
        <w:t>Aturnaetha:</w:t>
      </w:r>
      <w:r w:rsidRPr="004918E0">
        <w:rPr>
          <w:lang w:val="ga-IE"/>
        </w:rPr>
        <w:tab/>
        <w:t>Mason Hayes and Curran</w:t>
      </w:r>
      <w:r w:rsidRPr="004918E0">
        <w:rPr>
          <w:lang w:val="ga-IE"/>
        </w:rPr>
        <w:br/>
        <w:t>Teach an Bhruacha Theas</w:t>
      </w:r>
      <w:r w:rsidRPr="004918E0">
        <w:rPr>
          <w:lang w:val="ga-IE"/>
        </w:rPr>
        <w:br/>
        <w:t xml:space="preserve">Sráid na Bearú </w:t>
      </w:r>
    </w:p>
    <w:p w:rsidR="009B7368" w:rsidRPr="004918E0" w:rsidRDefault="009B7368" w:rsidP="009B7368">
      <w:pPr>
        <w:spacing w:after="0"/>
        <w:ind w:left="1440"/>
        <w:rPr>
          <w:lang w:val="ga-IE"/>
        </w:rPr>
      </w:pPr>
      <w:r w:rsidRPr="004918E0">
        <w:rPr>
          <w:lang w:val="ga-IE"/>
        </w:rPr>
        <w:t>Baile Átha Cliath 2.</w:t>
      </w:r>
    </w:p>
    <w:p w:rsidR="009B7368" w:rsidRPr="004918E0" w:rsidRDefault="009B7368" w:rsidP="009B7368">
      <w:pPr>
        <w:spacing w:after="0"/>
        <w:ind w:left="1440"/>
        <w:rPr>
          <w:lang w:val="ga-IE"/>
        </w:rPr>
      </w:pPr>
    </w:p>
    <w:p w:rsidR="009B7368" w:rsidRPr="004918E0" w:rsidRDefault="009B7368" w:rsidP="009B7368">
      <w:pPr>
        <w:ind w:left="1440" w:hanging="1440"/>
        <w:rPr>
          <w:lang w:val="ga-IE"/>
        </w:rPr>
      </w:pPr>
      <w:r w:rsidRPr="004918E0">
        <w:rPr>
          <w:lang w:val="ga-IE"/>
        </w:rPr>
        <w:t>Baincéirí:</w:t>
      </w:r>
      <w:r w:rsidRPr="004918E0">
        <w:rPr>
          <w:lang w:val="ga-IE"/>
        </w:rPr>
        <w:tab/>
        <w:t>Banc na hÉireann</w:t>
      </w:r>
      <w:r w:rsidRPr="004918E0">
        <w:rPr>
          <w:lang w:val="ga-IE"/>
        </w:rPr>
        <w:br/>
        <w:t>104 Raghnallach</w:t>
      </w:r>
      <w:r w:rsidRPr="004918E0">
        <w:rPr>
          <w:lang w:val="ga-IE"/>
        </w:rPr>
        <w:br/>
        <w:t>Baile Átha Cliath 6.</w:t>
      </w:r>
    </w:p>
    <w:p w:rsidR="009B7368" w:rsidRPr="004918E0" w:rsidRDefault="009B7368" w:rsidP="009B7368">
      <w:pPr>
        <w:rPr>
          <w:lang w:val="ga-IE"/>
        </w:rPr>
      </w:pPr>
      <w:r w:rsidRPr="004918E0">
        <w:rPr>
          <w:lang w:val="ga-IE"/>
        </w:rPr>
        <w:t>Iniúchóirí:</w:t>
      </w:r>
      <w:r w:rsidRPr="004918E0">
        <w:rPr>
          <w:lang w:val="ga-IE"/>
        </w:rPr>
        <w:tab/>
        <w:t>An tArd-Reachtaire Cuntas agus Ciste</w:t>
      </w:r>
      <w:r w:rsidRPr="004918E0">
        <w:rPr>
          <w:lang w:val="ga-IE"/>
        </w:rPr>
        <w:br/>
        <w:t xml:space="preserve">                      Caisleán Bhaile Átha Cliath</w:t>
      </w:r>
      <w:r w:rsidRPr="004918E0">
        <w:rPr>
          <w:lang w:val="ga-IE"/>
        </w:rPr>
        <w:br/>
        <w:t xml:space="preserve">                      Baile Átha Cliath 2.</w:t>
      </w:r>
    </w:p>
    <w:p w:rsidR="009B7368" w:rsidRPr="004918E0" w:rsidRDefault="009B7368" w:rsidP="009B7368">
      <w:pPr>
        <w:pStyle w:val="Heading2"/>
        <w:rPr>
          <w:lang w:val="ga-IE"/>
        </w:rPr>
      </w:pPr>
      <w:r w:rsidRPr="004918E0">
        <w:rPr>
          <w:lang w:val="ga-IE"/>
        </w:rPr>
        <w:br w:type="page"/>
        <w:t xml:space="preserve">An tÚdarás Náisiúnta Míchumais </w:t>
      </w:r>
    </w:p>
    <w:p w:rsidR="009B7368" w:rsidRPr="004918E0" w:rsidRDefault="009B7368" w:rsidP="009B7368">
      <w:pPr>
        <w:rPr>
          <w:lang w:val="ga-IE"/>
        </w:rPr>
      </w:pPr>
      <w:r w:rsidRPr="004918E0">
        <w:rPr>
          <w:lang w:val="ga-IE"/>
        </w:rPr>
        <w:t>Bunaíodh an tÚdarás Náisiúnta Míchumais ar an 12 Meitheamh, 2000 faoi Alt 6 den Acht um Údarás Náisiúnta Míchumais 1999.</w:t>
      </w:r>
    </w:p>
    <w:p w:rsidR="009B7368" w:rsidRPr="004918E0" w:rsidRDefault="009B7368" w:rsidP="009B7368">
      <w:pPr>
        <w:pStyle w:val="Heading3"/>
        <w:rPr>
          <w:lang w:val="ga-IE"/>
        </w:rPr>
      </w:pPr>
      <w:r w:rsidRPr="004918E0">
        <w:rPr>
          <w:lang w:val="ga-IE"/>
        </w:rPr>
        <w:t xml:space="preserve">Feidhmeanna agus cumhachtaí an NDA </w:t>
      </w:r>
    </w:p>
    <w:p w:rsidR="009B7368" w:rsidRPr="004918E0" w:rsidRDefault="009B7368" w:rsidP="009B7368">
      <w:pPr>
        <w:rPr>
          <w:lang w:val="ga-IE"/>
        </w:rPr>
      </w:pPr>
      <w:r w:rsidRPr="004918E0">
        <w:rPr>
          <w:lang w:val="ga-IE"/>
        </w:rPr>
        <w:t xml:space="preserve">Is í príomhfheidhm an NDA ná comhairle a chur ar an Aire Dlí agus Cirt agus Comhionannais faoi shaincheisteanna beartais agus cleachtais i ndáil le míchumas. </w:t>
      </w:r>
    </w:p>
    <w:p w:rsidR="009B7368" w:rsidRPr="004918E0" w:rsidRDefault="009B7368" w:rsidP="009B7368">
      <w:pPr>
        <w:pStyle w:val="NormalBeforeList"/>
        <w:spacing w:after="120"/>
        <w:rPr>
          <w:lang w:val="ga-IE"/>
        </w:rPr>
      </w:pPr>
      <w:r w:rsidRPr="004918E0">
        <w:rPr>
          <w:lang w:val="ga-IE"/>
        </w:rPr>
        <w:t>I measc fheidhmeanna áirithe an Údaráis faoi Alt 8 den Acht um Údarás Náisiúnta Míchumais 1999 tá:</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Gníomhú mar chomhlacht lárnach, náisiúnta a chabhróidh leis an Aire beartas a chomhordú agus a fhorbairt i ndáil le daoine faoi mhíchumas </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Tabhairt faoi thionscadail taighde agus ghníomhaíochtaí ar shaincheisteanna a bhaineann le míchumas, iad a choimisiúnú nó comhoibriú iontu agus cabhrú le heolas staitistiúil a fhorbairt atá oiriúnach do phleanáil, sheachadadh agus mhonatóireacht clár agus seirbhísí do dhaoine faoi mhíchumas </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Comhairle a chur ar an Aire faoi chaighdeáin oiriúnacha do chláir agus sheirbhísí arna soláthar nó atá le soláthar do dhaoine faoi mhíchumas agus gníomhú mar chomhlacht comhairleach maidir le caighdeáin ghinearálta agus shonracha a fhorbairt i ndáil le cláir agus seirbhísí den sórt sin </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Monatóireacht a dhéanamh ar chur i bhfeidhm caighdeán agus cód cleachtais i gcláir agus seirbhísí arna soláthar do dhaoine faoi mhíchumas agus tuairisc a thabhairt don Aire air sin </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Idirchaidreamh a dhéanamh le comhlachtaí eile, idir comhlachtaí corparáideacha agus neamhchorpraithe, atá i mbun seirbhísí a sholáthar do dhaoine faoi mhíchumas agus forbairt agus cur i bhfeidhm caighdeán oiriúnach um chláir agus sheirbhísí do dhaoine faoi mhíchumas a éascú agus a thacú </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Cóid chleachtais a ullmhú agus é mar aidhm dea-chaighdeáin agus cáilíocht a bhaint amach maidir le soláthar clár agus seirbhísí arna soláthar nó atá le soláthar do dhaoine faoi mhíchumas. </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Baint amach dea-chaighdeán agus cáilíochta i soláthar clár agus seirbhísí do dhaoine faoi mhíchumas a aithint, lena n-áirítear trí chóras gradam um chomhionannas míchumais </w:t>
      </w:r>
    </w:p>
    <w:p w:rsidR="009B7368" w:rsidRPr="004918E0" w:rsidRDefault="009B7368" w:rsidP="009B7368">
      <w:pPr>
        <w:pStyle w:val="ListBullet"/>
        <w:numPr>
          <w:ilvl w:val="0"/>
          <w:numId w:val="6"/>
        </w:numPr>
        <w:tabs>
          <w:tab w:val="clear" w:pos="360"/>
          <w:tab w:val="num" w:pos="567"/>
        </w:tabs>
        <w:spacing w:after="240"/>
        <w:ind w:left="567" w:hanging="567"/>
        <w:rPr>
          <w:lang w:val="ga-IE"/>
        </w:rPr>
      </w:pPr>
      <w:r w:rsidRPr="004918E0">
        <w:rPr>
          <w:lang w:val="ga-IE"/>
        </w:rPr>
        <w:t xml:space="preserve">Plean straitéiseach a ullmhú </w:t>
      </w:r>
    </w:p>
    <w:p w:rsidR="009B7368" w:rsidRPr="004918E0" w:rsidRDefault="009B7368" w:rsidP="009B7368">
      <w:pPr>
        <w:pStyle w:val="ListBullet"/>
        <w:numPr>
          <w:ilvl w:val="0"/>
          <w:numId w:val="0"/>
        </w:numPr>
        <w:ind w:left="567"/>
        <w:rPr>
          <w:lang w:val="ga-IE"/>
        </w:rPr>
      </w:pPr>
    </w:p>
    <w:p w:rsidR="009B7368" w:rsidRPr="004918E0" w:rsidRDefault="009B7368" w:rsidP="009B7368">
      <w:pPr>
        <w:pStyle w:val="NormalBeforeandafterlist"/>
        <w:rPr>
          <w:lang w:val="ga-IE"/>
        </w:rPr>
      </w:pPr>
      <w:r w:rsidRPr="004918E0">
        <w:rPr>
          <w:lang w:val="ga-IE"/>
        </w:rPr>
        <w:t>I measc fheidhmeanna breise an Údaráis faoin Acht Míchumais 2005 tá:</w:t>
      </w:r>
    </w:p>
    <w:p w:rsidR="009B7368" w:rsidRPr="004918E0" w:rsidRDefault="009B7368" w:rsidP="009B7368">
      <w:pPr>
        <w:pStyle w:val="ListBullet"/>
        <w:rPr>
          <w:lang w:val="ga-IE"/>
        </w:rPr>
      </w:pPr>
      <w:r w:rsidRPr="004918E0">
        <w:rPr>
          <w:lang w:val="ga-IE"/>
        </w:rPr>
        <w:t xml:space="preserve">Cóid chleachtais maidir le hinrochtaineacht foirgneamh poiblí, seirbhísí, eolais agus suíomhanna oidhreachta agus maidir le fostú daoine faoi mhíchumas san earnáil phoiblí ar iarratas an Aire (Cuid 3) </w:t>
      </w:r>
    </w:p>
    <w:p w:rsidR="009B7368" w:rsidRPr="004918E0" w:rsidRDefault="009B7368" w:rsidP="009B7368">
      <w:pPr>
        <w:pStyle w:val="ListBullet"/>
        <w:rPr>
          <w:lang w:val="ga-IE"/>
        </w:rPr>
      </w:pPr>
      <w:r w:rsidRPr="004918E0">
        <w:rPr>
          <w:lang w:val="ga-IE"/>
        </w:rPr>
        <w:t xml:space="preserve">Monatóireacht a dhéanamh ar chomhlíonadh spriocanna reachtúla um earcú agus fostú daoine faoi mhíchumas san earnáil phoiblí, gníomhartha a mholadh le glacadh áit nach bhfuil na spriocanna sin á gcomhlíonadh, agus cóid chleachtais a ullmhú áit a n-iarrtar sin (Cuid 5) </w:t>
      </w:r>
    </w:p>
    <w:p w:rsidR="009B7368" w:rsidRPr="004918E0" w:rsidRDefault="009B7368" w:rsidP="009B7368">
      <w:pPr>
        <w:pStyle w:val="ListBullet"/>
        <w:rPr>
          <w:lang w:val="ga-IE"/>
        </w:rPr>
      </w:pPr>
      <w:r w:rsidRPr="004918E0">
        <w:rPr>
          <w:lang w:val="ga-IE"/>
        </w:rPr>
        <w:t xml:space="preserve">Lárionad Sármhaitheasa i nDearadh Uilíoch sa timpeallacht thógtha agus i dteicneolaíocht na faisnéise a bhunú a dhéanfaidh cur chun cinn ar phrionsabail an dearaidh uilíoch ar féidir le daoine faoi mhíchumas rochtain a fháil orthu agus iad a thuiscint agus a úsáid an oiread is féidir: </w:t>
      </w:r>
    </w:p>
    <w:p w:rsidR="009B7368" w:rsidRPr="004918E0" w:rsidRDefault="009B7368" w:rsidP="009B7368">
      <w:pPr>
        <w:pStyle w:val="ListBullet"/>
        <w:numPr>
          <w:ilvl w:val="1"/>
          <w:numId w:val="7"/>
        </w:numPr>
        <w:rPr>
          <w:lang w:val="ga-IE"/>
        </w:rPr>
      </w:pPr>
      <w:r w:rsidRPr="004918E0">
        <w:rPr>
          <w:lang w:val="ga-IE"/>
        </w:rPr>
        <w:t xml:space="preserve">ar an mbealach is neamhspleáiche agus is nádúrtha </w:t>
      </w:r>
    </w:p>
    <w:p w:rsidR="009B7368" w:rsidRPr="004918E0" w:rsidRDefault="009B7368" w:rsidP="009B7368">
      <w:pPr>
        <w:pStyle w:val="ListBullet"/>
        <w:numPr>
          <w:ilvl w:val="1"/>
          <w:numId w:val="7"/>
        </w:numPr>
        <w:rPr>
          <w:lang w:val="ga-IE"/>
        </w:rPr>
      </w:pPr>
      <w:r w:rsidRPr="004918E0">
        <w:rPr>
          <w:lang w:val="ga-IE"/>
        </w:rPr>
        <w:t xml:space="preserve">sa raon suíomhanna is leithne is féidir </w:t>
      </w:r>
    </w:p>
    <w:p w:rsidR="009B7368" w:rsidRPr="004918E0" w:rsidRDefault="009B7368" w:rsidP="009B7368">
      <w:pPr>
        <w:pStyle w:val="ListBullet"/>
        <w:numPr>
          <w:ilvl w:val="1"/>
          <w:numId w:val="7"/>
        </w:numPr>
        <w:rPr>
          <w:lang w:val="ga-IE"/>
        </w:rPr>
      </w:pPr>
      <w:r w:rsidRPr="004918E0">
        <w:rPr>
          <w:lang w:val="ga-IE"/>
        </w:rPr>
        <w:t xml:space="preserve">gan ghá le cur in oiriúint, leasú, fearais chúnta réiteach speisialaithe (Cuid 6) </w:t>
      </w:r>
    </w:p>
    <w:p w:rsidR="009B7368" w:rsidRPr="004918E0" w:rsidRDefault="009B7368" w:rsidP="009B7368">
      <w:pPr>
        <w:pStyle w:val="Heading4"/>
        <w:rPr>
          <w:lang w:val="ga-IE"/>
        </w:rPr>
      </w:pPr>
      <w:r w:rsidRPr="004918E0">
        <w:rPr>
          <w:lang w:val="ga-IE"/>
        </w:rPr>
        <w:t>Cumhachtaí Reachtúla</w:t>
      </w:r>
    </w:p>
    <w:p w:rsidR="009B7368" w:rsidRPr="004918E0" w:rsidRDefault="009B7368" w:rsidP="009B7368">
      <w:pPr>
        <w:pStyle w:val="NormalBeforeList"/>
        <w:rPr>
          <w:lang w:val="ga-IE"/>
        </w:rPr>
      </w:pPr>
      <w:r w:rsidRPr="004918E0">
        <w:rPr>
          <w:lang w:val="ga-IE"/>
        </w:rPr>
        <w:t>Chun a chuid feidhmeanna reachtúla a chomhlíonadh tá cumhachtaí reachtúla áirithe ag an Údarás faoin Acht um Údarás Náisiúnta Míchumais 1999:</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Tá an ceart ag an Údarás chun rochtana ar fhaisnéis (sonraí san áireamh) atá ábhartha dá chuid feidhmeanna agus atá i seilbh comhlachtaí poiblí (Alt 13) </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Féadfaidh an tÚdarás faisnéis a lorg faoi ábhar ar bith a bhaineann le soláthar clár nó seirbhísí do dhaoine faoi mhíchumas a chuirtear ar fáil trí dhualgas reachtúil agus atá maoinithe go hiomlán nó go páirteach ag an bpobal (Alt 14) </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Déanann an tÚdarás moltaí um athbhreithniú, laghdú nó astarraingt airgead arna sholáthar ag an Oireachtas le haghaidh aon chláir nó seirbhíse áit a gcreideann sé go bhfuil sé á chur ar fáil ar bhealach neamhleor nó míshásúil nó nach bhfuil sé á chur ar fáil do dhaoine faoi mhíchumas (Alt 15(4)) </w:t>
      </w:r>
    </w:p>
    <w:p w:rsidR="009B7368" w:rsidRPr="004918E0" w:rsidRDefault="009B7368" w:rsidP="009B7368">
      <w:pPr>
        <w:pStyle w:val="NormalAfterList"/>
        <w:rPr>
          <w:lang w:val="ga-IE"/>
        </w:rPr>
      </w:pPr>
      <w:r w:rsidRPr="004918E0">
        <w:rPr>
          <w:lang w:val="ga-IE"/>
        </w:rPr>
        <w:t>Déanann an tÚdarás tuarascálacha bliantúla agus tuarascálacha eile don Aire i dtaobh a chuid feidhmeanna (Alt 15).</w:t>
      </w:r>
    </w:p>
    <w:p w:rsidR="009B7368" w:rsidRPr="004918E0" w:rsidRDefault="009B7368" w:rsidP="009B7368">
      <w:pPr>
        <w:pStyle w:val="ListBullet"/>
        <w:numPr>
          <w:ilvl w:val="0"/>
          <w:numId w:val="0"/>
        </w:numPr>
        <w:ind w:left="567"/>
        <w:rPr>
          <w:lang w:val="ga-IE"/>
        </w:rPr>
      </w:pPr>
    </w:p>
    <w:p w:rsidR="009B7368" w:rsidRPr="004918E0" w:rsidRDefault="009B7368" w:rsidP="009B7368">
      <w:pPr>
        <w:pStyle w:val="ListBullet"/>
        <w:numPr>
          <w:ilvl w:val="0"/>
          <w:numId w:val="0"/>
        </w:numPr>
        <w:ind w:left="567"/>
        <w:rPr>
          <w:lang w:val="ga-IE"/>
        </w:rPr>
      </w:pPr>
    </w:p>
    <w:p w:rsidR="009B7368" w:rsidRPr="004918E0" w:rsidRDefault="009B7368" w:rsidP="009B7368">
      <w:pPr>
        <w:pStyle w:val="Heading2"/>
        <w:rPr>
          <w:lang w:val="ga-IE"/>
        </w:rPr>
      </w:pPr>
      <w:r w:rsidRPr="004918E0">
        <w:rPr>
          <w:lang w:val="ga-IE"/>
        </w:rPr>
        <w:br w:type="page"/>
        <w:t xml:space="preserve">Ráiteas faoi Fhreagrachtaí Chomhaltaí an Údaráis </w:t>
      </w:r>
    </w:p>
    <w:p w:rsidR="009B7368" w:rsidRPr="004918E0" w:rsidRDefault="009B7368" w:rsidP="009B7368">
      <w:pPr>
        <w:rPr>
          <w:lang w:val="ga-IE"/>
        </w:rPr>
      </w:pPr>
      <w:r w:rsidRPr="004918E0">
        <w:rPr>
          <w:lang w:val="ga-IE"/>
        </w:rPr>
        <w:t>Ceanglaítear ar an Údarás trí hAlt 17 den Acht um Údarás Náisiúnta Míchumais 1999 ráitis airgeadais a ullmhú le haghaidh gach bliana airgeadais a thugann léargas fírinneach agus cothrom ar chúrsaí an Údaráis agus a chuid ioncaim agus caiteachais don tréimhse sin.</w:t>
      </w:r>
    </w:p>
    <w:p w:rsidR="009B7368" w:rsidRPr="004918E0" w:rsidRDefault="009B7368" w:rsidP="009B7368">
      <w:pPr>
        <w:pStyle w:val="NormalBeforeList"/>
        <w:spacing w:after="120"/>
        <w:rPr>
          <w:lang w:val="ga-IE"/>
        </w:rPr>
      </w:pPr>
      <w:r w:rsidRPr="004918E0">
        <w:rPr>
          <w:lang w:val="ga-IE"/>
        </w:rPr>
        <w:t>Agus na ráitis airgeadais sin á n-ullmhú ceanglaítear ar an Údarás:</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polasaithe cuntasaíochta oiriúnacha a roghnú agus a chur i bhfeidhm go comhsheasmhach;</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 xml:space="preserve"> breithiúnais agus meastacháin réasúnta agus chríonna a dhéanamh;</w:t>
      </w:r>
    </w:p>
    <w:p w:rsidR="009B7368" w:rsidRPr="004918E0" w:rsidRDefault="009B7368" w:rsidP="009B7368">
      <w:pPr>
        <w:pStyle w:val="ListBullet"/>
        <w:numPr>
          <w:ilvl w:val="0"/>
          <w:numId w:val="6"/>
        </w:numPr>
        <w:tabs>
          <w:tab w:val="clear" w:pos="360"/>
          <w:tab w:val="num" w:pos="567"/>
        </w:tabs>
        <w:ind w:left="567" w:hanging="567"/>
        <w:rPr>
          <w:lang w:val="ga-IE"/>
        </w:rPr>
      </w:pPr>
      <w:r w:rsidRPr="004918E0">
        <w:rPr>
          <w:lang w:val="ga-IE"/>
        </w:rPr>
        <w:t>Caighdeáin Chuntasaíochta infheidhme a chomhlíonadh faoi réir aon nochtuithe ábhartha arna nochtadh nó arna míniú sna Ráitis Airgeadais;</w:t>
      </w:r>
    </w:p>
    <w:p w:rsidR="009B7368" w:rsidRPr="004918E0" w:rsidRDefault="009B7368" w:rsidP="009B7368">
      <w:pPr>
        <w:pStyle w:val="ListBullet"/>
        <w:numPr>
          <w:ilvl w:val="0"/>
          <w:numId w:val="6"/>
        </w:numPr>
        <w:tabs>
          <w:tab w:val="clear" w:pos="360"/>
          <w:tab w:val="num" w:pos="567"/>
        </w:tabs>
        <w:rPr>
          <w:lang w:val="ga-IE"/>
        </w:rPr>
      </w:pPr>
      <w:r w:rsidRPr="004918E0">
        <w:rPr>
          <w:lang w:val="ga-IE"/>
        </w:rPr>
        <w:t>na ráitis airgeadais a ullmhú ar bhonn an ghnóthais leantaigh ach má tá sé mí-oiriúnach ceapadh nach leanfaidh an tÚdarás Náisiúnta Míchumais ar aghaidh.</w:t>
      </w:r>
    </w:p>
    <w:p w:rsidR="009B7368" w:rsidRPr="004918E0" w:rsidRDefault="009B7368" w:rsidP="009B7368">
      <w:pPr>
        <w:rPr>
          <w:lang w:val="ga-IE"/>
        </w:rPr>
      </w:pPr>
      <w:r w:rsidRPr="004918E0">
        <w:rPr>
          <w:lang w:val="ga-IE"/>
        </w:rPr>
        <w:t>Tá an tÚdarás freagrach as taifid chearta chuntasaíochta a choimeád, a nochtann le cruinneas réasúnta uair ar bith staid airgeadais an Údaráis agus a chuireann ar a chumas cinntiú go gcomhlíonann na ráitis airgeadais an tAcht. Tá sé freagrach freisin as sócmhainní an Údarás Náisiúnta Míchumais a chosaint agus as céimeanna réasúnta a ghlacadh chun calaois agus mírialtachtaí eile a chosc agus a bhrath.</w:t>
      </w:r>
    </w:p>
    <w:p w:rsidR="009B7368" w:rsidRPr="004918E0" w:rsidRDefault="009B7368" w:rsidP="009B7368">
      <w:pPr>
        <w:pStyle w:val="NormalAfterList"/>
        <w:rPr>
          <w:lang w:val="ga-IE"/>
        </w:rPr>
      </w:pPr>
    </w:p>
    <w:p w:rsidR="009B7368" w:rsidRPr="004918E0" w:rsidRDefault="009B7368" w:rsidP="009B7368">
      <w:pPr>
        <w:pStyle w:val="ListBullet"/>
        <w:numPr>
          <w:ilvl w:val="0"/>
          <w:numId w:val="0"/>
        </w:numPr>
        <w:ind w:left="567"/>
        <w:rPr>
          <w:lang w:val="ga-IE"/>
        </w:rPr>
      </w:pPr>
      <w:r w:rsidRPr="004918E0">
        <w:rPr>
          <w:lang w:val="ga-IE"/>
        </w:rPr>
        <w:t>Thar ceann an Údaráis</w:t>
      </w:r>
    </w:p>
    <w:p w:rsidR="009B7368" w:rsidRPr="004918E0" w:rsidRDefault="009B7368" w:rsidP="009B7368">
      <w:pPr>
        <w:rPr>
          <w:lang w:val="ga-IE"/>
        </w:rPr>
      </w:pPr>
    </w:p>
    <w:p w:rsidR="009B7368" w:rsidRPr="004918E0" w:rsidRDefault="009B7368" w:rsidP="009B7368">
      <w:pPr>
        <w:spacing w:after="0"/>
        <w:rPr>
          <w:lang w:val="ga-IE"/>
        </w:rPr>
      </w:pPr>
      <w:r w:rsidRPr="004918E0">
        <w:rPr>
          <w:b/>
          <w:lang w:val="ga-IE"/>
        </w:rPr>
        <w:t>Cathaoirleach</w:t>
      </w:r>
      <w:r w:rsidRPr="004918E0">
        <w:rPr>
          <w:b/>
          <w:lang w:val="ga-IE"/>
        </w:rPr>
        <w:tab/>
      </w:r>
      <w:r w:rsidRPr="004918E0">
        <w:rPr>
          <w:lang w:val="ga-IE"/>
        </w:rPr>
        <w:t>______________</w:t>
      </w:r>
    </w:p>
    <w:p w:rsidR="009B7368" w:rsidRPr="004918E0" w:rsidRDefault="009B7368" w:rsidP="009B7368">
      <w:pPr>
        <w:spacing w:after="0"/>
        <w:rPr>
          <w:b/>
          <w:lang w:val="ga-IE"/>
        </w:rPr>
      </w:pPr>
      <w:r w:rsidRPr="004918E0">
        <w:rPr>
          <w:lang w:val="ga-IE"/>
        </w:rPr>
        <w:tab/>
      </w:r>
      <w:r w:rsidRPr="004918E0">
        <w:rPr>
          <w:lang w:val="ga-IE"/>
        </w:rPr>
        <w:tab/>
      </w:r>
      <w:r w:rsidRPr="004918E0">
        <w:rPr>
          <w:lang w:val="ga-IE"/>
        </w:rPr>
        <w:tab/>
      </w:r>
      <w:r w:rsidRPr="004918E0">
        <w:rPr>
          <w:b/>
          <w:lang w:val="ga-IE"/>
        </w:rPr>
        <w:t>Peter McKevitt</w:t>
      </w:r>
    </w:p>
    <w:p w:rsidR="009B7368" w:rsidRPr="004918E0" w:rsidRDefault="009B7368" w:rsidP="009B7368">
      <w:pPr>
        <w:spacing w:after="0"/>
        <w:rPr>
          <w:lang w:val="ga-IE"/>
        </w:rPr>
      </w:pPr>
      <w:r w:rsidRPr="004918E0">
        <w:rPr>
          <w:lang w:val="ga-IE"/>
        </w:rPr>
        <w:tab/>
      </w:r>
      <w:r w:rsidRPr="004918E0">
        <w:rPr>
          <w:lang w:val="ga-IE"/>
        </w:rPr>
        <w:tab/>
      </w:r>
    </w:p>
    <w:p w:rsidR="009B7368" w:rsidRPr="004918E0" w:rsidRDefault="009B7368" w:rsidP="009B7368">
      <w:pPr>
        <w:spacing w:after="0"/>
        <w:rPr>
          <w:u w:val="single"/>
          <w:lang w:val="ga-IE"/>
        </w:rPr>
      </w:pPr>
      <w:r w:rsidRPr="004918E0">
        <w:rPr>
          <w:b/>
          <w:lang w:val="ga-IE"/>
        </w:rPr>
        <w:t>Stiúrthóir</w:t>
      </w:r>
      <w:r w:rsidRPr="004918E0">
        <w:rPr>
          <w:b/>
          <w:lang w:val="ga-IE"/>
        </w:rPr>
        <w:tab/>
      </w:r>
      <w:r w:rsidRPr="004918E0">
        <w:rPr>
          <w:b/>
          <w:lang w:val="ga-IE"/>
        </w:rPr>
        <w:tab/>
      </w:r>
      <w:r w:rsidRPr="004918E0">
        <w:rPr>
          <w:u w:val="single"/>
          <w:lang w:val="ga-IE"/>
        </w:rPr>
        <w:t>______________</w:t>
      </w:r>
    </w:p>
    <w:p w:rsidR="009B7368" w:rsidRPr="004918E0" w:rsidRDefault="009B7368" w:rsidP="009B7368">
      <w:pPr>
        <w:spacing w:after="0"/>
        <w:rPr>
          <w:b/>
          <w:lang w:val="ga-IE"/>
        </w:rPr>
      </w:pPr>
      <w:r w:rsidRPr="004918E0">
        <w:rPr>
          <w:lang w:val="ga-IE"/>
        </w:rPr>
        <w:tab/>
      </w:r>
      <w:r w:rsidRPr="004918E0">
        <w:rPr>
          <w:lang w:val="ga-IE"/>
        </w:rPr>
        <w:tab/>
      </w:r>
      <w:r w:rsidRPr="004918E0">
        <w:rPr>
          <w:lang w:val="ga-IE"/>
        </w:rPr>
        <w:tab/>
      </w:r>
      <w:r w:rsidRPr="004918E0">
        <w:rPr>
          <w:b/>
          <w:lang w:val="ga-IE"/>
        </w:rPr>
        <w:t>Siobhan Barron</w:t>
      </w:r>
    </w:p>
    <w:p w:rsidR="009B7368" w:rsidRPr="004918E0" w:rsidRDefault="009B7368" w:rsidP="009B7368">
      <w:pPr>
        <w:spacing w:after="0"/>
        <w:rPr>
          <w:u w:val="single"/>
          <w:lang w:val="ga-IE"/>
        </w:rPr>
      </w:pPr>
    </w:p>
    <w:p w:rsidR="009B7368" w:rsidRPr="004918E0" w:rsidRDefault="009B7368" w:rsidP="009B7368">
      <w:pPr>
        <w:spacing w:after="0"/>
        <w:rPr>
          <w:u w:val="single"/>
          <w:lang w:val="ga-IE"/>
        </w:rPr>
      </w:pPr>
      <w:r w:rsidRPr="004918E0">
        <w:rPr>
          <w:b/>
          <w:lang w:val="ga-IE"/>
        </w:rPr>
        <w:t>Dáta</w:t>
      </w:r>
      <w:r w:rsidRPr="004918E0">
        <w:rPr>
          <w:b/>
          <w:lang w:val="ga-IE"/>
        </w:rPr>
        <w:tab/>
      </w:r>
      <w:r w:rsidRPr="004918E0">
        <w:rPr>
          <w:b/>
          <w:lang w:val="ga-IE"/>
        </w:rPr>
        <w:tab/>
      </w:r>
      <w:r w:rsidRPr="004918E0">
        <w:rPr>
          <w:u w:val="single"/>
          <w:lang w:val="ga-IE"/>
        </w:rPr>
        <w:t>______________</w:t>
      </w:r>
    </w:p>
    <w:p w:rsidR="009B7368" w:rsidRPr="004918E0" w:rsidRDefault="009B7368" w:rsidP="009B7368">
      <w:pPr>
        <w:pStyle w:val="Heading2"/>
        <w:rPr>
          <w:lang w:val="ga-IE"/>
        </w:rPr>
      </w:pPr>
    </w:p>
    <w:p w:rsidR="009B7368" w:rsidRPr="004918E0" w:rsidRDefault="009B7368" w:rsidP="009B7368">
      <w:pPr>
        <w:pStyle w:val="Heading2"/>
        <w:rPr>
          <w:lang w:val="ga-IE"/>
        </w:rPr>
      </w:pPr>
      <w:r w:rsidRPr="004918E0">
        <w:rPr>
          <w:lang w:val="ga-IE"/>
        </w:rPr>
        <w:t>Ráiteas ar Rialú Inmheánach Airgeadais don bhliain dar chríoch 31 Nollaig 2012</w:t>
      </w:r>
    </w:p>
    <w:p w:rsidR="009B7368" w:rsidRPr="004918E0" w:rsidRDefault="009B7368" w:rsidP="009B7368">
      <w:pPr>
        <w:rPr>
          <w:lang w:val="ga-IE"/>
        </w:rPr>
      </w:pPr>
      <w:r w:rsidRPr="004918E0">
        <w:rPr>
          <w:lang w:val="ga-IE"/>
        </w:rPr>
        <w:t>Thar ceann Bhord an Údarás Náisiúnta Míchumais,  admhaím go bhfuilimid freagrach as cinntiú go gcoimeádtar agus go n-oibrítear córas éifeachtach de rialuithe inmheánacha airgeadais.</w:t>
      </w:r>
    </w:p>
    <w:p w:rsidR="009B7368" w:rsidRPr="004918E0" w:rsidRDefault="009B7368" w:rsidP="009B7368">
      <w:pPr>
        <w:rPr>
          <w:lang w:val="ga-IE"/>
        </w:rPr>
      </w:pPr>
      <w:r w:rsidRPr="004918E0">
        <w:rPr>
          <w:lang w:val="ga-IE"/>
        </w:rPr>
        <w:t>Ní fhéadann na córais ach dearbhú réasúnta a sholáthar nach dearbhú iomlán é go ndéantar na sócmhainní a chosaint, go ndéantar idirbhearta a údarú agus a thaifeadadh i gceart, agus go ndéantar earráidí nó mírialtachtaí ábhartha a chosc nó go mbraithfí go tráthúil iad.</w:t>
      </w:r>
    </w:p>
    <w:p w:rsidR="009B7368" w:rsidRPr="004918E0" w:rsidRDefault="009B7368" w:rsidP="009B7368">
      <w:pPr>
        <w:pStyle w:val="NormalAfterList"/>
        <w:rPr>
          <w:lang w:val="ga-IE"/>
        </w:rPr>
      </w:pPr>
      <w:r w:rsidRPr="004918E0">
        <w:rPr>
          <w:lang w:val="ga-IE"/>
        </w:rPr>
        <w:t>Ghlac an tÚdarás céimeanna chun cinntiú go bhfuil timpeallacht oiriúnach rialaithe i bhfeidhm trí:</w:t>
      </w:r>
    </w:p>
    <w:p w:rsidR="009B7368" w:rsidRPr="004918E0" w:rsidRDefault="009B7368" w:rsidP="009B7368">
      <w:pPr>
        <w:pStyle w:val="ListBullet"/>
        <w:numPr>
          <w:ilvl w:val="0"/>
          <w:numId w:val="6"/>
        </w:numPr>
        <w:spacing w:before="120"/>
        <w:rPr>
          <w:lang w:val="ga-IE"/>
        </w:rPr>
      </w:pPr>
      <w:r w:rsidRPr="004918E0">
        <w:rPr>
          <w:lang w:val="ga-IE"/>
        </w:rPr>
        <w:t xml:space="preserve">Nósanna imeachta foirmiúla a bhunú trí fheidhmeanna éagsúla coiste chun maoirseacht a dhéanamh ar ghníomhaíochtaí na heagraíochta agus a cuid sócmhainní a chosaint </w:t>
      </w:r>
    </w:p>
    <w:p w:rsidR="009B7368" w:rsidRPr="004918E0" w:rsidRDefault="009B7368" w:rsidP="009B7368">
      <w:pPr>
        <w:pStyle w:val="ListBullet"/>
        <w:numPr>
          <w:ilvl w:val="0"/>
          <w:numId w:val="6"/>
        </w:numPr>
        <w:spacing w:before="120"/>
        <w:rPr>
          <w:lang w:val="ga-IE"/>
        </w:rPr>
      </w:pPr>
      <w:r w:rsidRPr="004918E0">
        <w:rPr>
          <w:lang w:val="ga-IE"/>
        </w:rPr>
        <w:t xml:space="preserve">Freagrachtaí agus cumhachtaí na bainistíochta a shainiú go soiléir agus a thaifeadadh </w:t>
      </w:r>
    </w:p>
    <w:p w:rsidR="009B7368" w:rsidRPr="004918E0" w:rsidRDefault="009B7368" w:rsidP="009B7368">
      <w:pPr>
        <w:pStyle w:val="ListBullet"/>
        <w:numPr>
          <w:ilvl w:val="0"/>
          <w:numId w:val="6"/>
        </w:numPr>
        <w:spacing w:before="120"/>
        <w:rPr>
          <w:lang w:val="ga-IE"/>
        </w:rPr>
      </w:pPr>
      <w:r w:rsidRPr="004918E0">
        <w:rPr>
          <w:lang w:val="ga-IE"/>
        </w:rPr>
        <w:t>Cultúr láidir freagrúlachta a fhorbairt thar gach leibhéal den eagraíocht.</w:t>
      </w:r>
    </w:p>
    <w:p w:rsidR="009B7368" w:rsidRPr="004918E0" w:rsidRDefault="009B7368" w:rsidP="009B7368">
      <w:pPr>
        <w:pStyle w:val="ListBullet"/>
        <w:numPr>
          <w:ilvl w:val="0"/>
          <w:numId w:val="0"/>
        </w:numPr>
        <w:rPr>
          <w:lang w:val="ga-IE"/>
        </w:rPr>
      </w:pPr>
      <w:r w:rsidRPr="004918E0">
        <w:rPr>
          <w:lang w:val="ga-IE"/>
        </w:rPr>
        <w:t xml:space="preserve">Freisin tá próisis bunaithe ag an Údarás chun rioscaí gnó a aithint agus a mheasúnú. Baintear é sin amach ar roinnt bealaí lena n-áirítear </w:t>
      </w:r>
    </w:p>
    <w:p w:rsidR="009B7368" w:rsidRPr="004918E0" w:rsidRDefault="009B7368" w:rsidP="009B7368">
      <w:pPr>
        <w:pStyle w:val="ListBullet"/>
        <w:numPr>
          <w:ilvl w:val="0"/>
          <w:numId w:val="6"/>
        </w:numPr>
        <w:spacing w:before="120"/>
        <w:rPr>
          <w:lang w:val="ga-IE"/>
        </w:rPr>
      </w:pPr>
      <w:r w:rsidRPr="004918E0">
        <w:rPr>
          <w:lang w:val="ga-IE"/>
        </w:rPr>
        <w:t xml:space="preserve">Nádúr, méid agus impleachtaí airgeadais na rioscaí atá os comhair an Údarás Náisiúnta Míchumais a aithint </w:t>
      </w:r>
    </w:p>
    <w:p w:rsidR="009B7368" w:rsidRPr="004918E0" w:rsidRDefault="009B7368" w:rsidP="009B7368">
      <w:pPr>
        <w:pStyle w:val="ListBullet"/>
        <w:numPr>
          <w:ilvl w:val="0"/>
          <w:numId w:val="6"/>
        </w:numPr>
        <w:spacing w:before="120"/>
        <w:rPr>
          <w:lang w:val="ga-IE"/>
        </w:rPr>
      </w:pPr>
      <w:r w:rsidRPr="004918E0">
        <w:rPr>
          <w:lang w:val="ga-IE"/>
        </w:rPr>
        <w:t xml:space="preserve">Measúnú a dhéanamh ar an dóchúlacht go dtiocfaidh rioscaí chun cinn. D’ullmhaigh an NDA clár rioscaí lena n-áirítear rioscaí straitéiseacha, oibriúcháin, rioscaí maidir le teicneolaíocht na faisnéise, maidir le hairgeadas agus maidir le clú / comhlíonadh. Ina theannta sin déantar anailís riosca nuair atá tionscadail á bpleanáil agus nuair atá measadh scóip á dhéanamh orthu </w:t>
      </w:r>
    </w:p>
    <w:p w:rsidR="009B7368" w:rsidRPr="004918E0" w:rsidRDefault="009B7368" w:rsidP="009B7368">
      <w:pPr>
        <w:pStyle w:val="ListBullet"/>
        <w:numPr>
          <w:ilvl w:val="0"/>
          <w:numId w:val="6"/>
        </w:numPr>
        <w:spacing w:before="120"/>
        <w:rPr>
          <w:lang w:val="ga-IE"/>
        </w:rPr>
      </w:pPr>
      <w:r w:rsidRPr="004918E0">
        <w:rPr>
          <w:lang w:val="ga-IE"/>
        </w:rPr>
        <w:t xml:space="preserve">Measúnú a dhéanamh ar chumas an Údarás Náisiúnta Míchumas chun na rioscaí a thagann chun cinn a láimhseáil agus a mhaolú </w:t>
      </w:r>
    </w:p>
    <w:p w:rsidR="009B7368" w:rsidRPr="004918E0" w:rsidRDefault="009B7368" w:rsidP="009B7368">
      <w:pPr>
        <w:pStyle w:val="ListBullet"/>
        <w:numPr>
          <w:ilvl w:val="0"/>
          <w:numId w:val="6"/>
        </w:numPr>
        <w:spacing w:before="120"/>
        <w:rPr>
          <w:lang w:val="ga-IE"/>
        </w:rPr>
      </w:pPr>
      <w:r w:rsidRPr="004918E0">
        <w:rPr>
          <w:lang w:val="ga-IE"/>
        </w:rPr>
        <w:t xml:space="preserve">Oibriú i ndlúthpháirt leis an Rialtas agus le gníomhaireachtaí agus le hinstitiúidí éagsúla chun cinntiú go dtuigtear go soiléir cuspóirí an Údarás Náisiúnta Míchumas agus go dtugtar tacaíocht do straitéisí an Údaráis chun na cuspóirí sin a chomhlíonadh </w:t>
      </w:r>
    </w:p>
    <w:p w:rsidR="009B7368" w:rsidRPr="004918E0" w:rsidRDefault="009B7368" w:rsidP="009B7368">
      <w:pPr>
        <w:pStyle w:val="ListBullet"/>
        <w:numPr>
          <w:ilvl w:val="0"/>
          <w:numId w:val="6"/>
        </w:numPr>
        <w:spacing w:before="120"/>
        <w:rPr>
          <w:lang w:val="ga-IE"/>
        </w:rPr>
      </w:pPr>
      <w:r w:rsidRPr="004918E0">
        <w:rPr>
          <w:lang w:val="ga-IE"/>
        </w:rPr>
        <w:t xml:space="preserve">Athbhreithniú a dhéanamh go rialta ar phleananna straitéiseacha, idir pleananna gearrthéarmacha agus fadtéarmacha agus measúnú a dhéanamh ar na rioscaí a bhaineann leis na pleananna sin a thabhairt chun críche </w:t>
      </w:r>
    </w:p>
    <w:p w:rsidR="009B7368" w:rsidRPr="004918E0" w:rsidRDefault="009B7368" w:rsidP="009B7368">
      <w:pPr>
        <w:pStyle w:val="ListBullet"/>
        <w:numPr>
          <w:ilvl w:val="0"/>
          <w:numId w:val="6"/>
        </w:numPr>
        <w:spacing w:before="120"/>
        <w:rPr>
          <w:lang w:val="ga-IE"/>
        </w:rPr>
      </w:pPr>
      <w:r w:rsidRPr="004918E0">
        <w:rPr>
          <w:lang w:val="ga-IE"/>
        </w:rPr>
        <w:t xml:space="preserve">Spriocanna bliantúla agus níos fadtéarmaí a shocrú le haghaidh gach réimse dár ngnó agus tuairisciú rialta a dhéanamh ina dhiaidh sin ar na torthaí a baineadh amach </w:t>
      </w:r>
    </w:p>
    <w:p w:rsidR="009B7368" w:rsidRPr="004918E0" w:rsidRDefault="009B7368" w:rsidP="009B7368">
      <w:pPr>
        <w:pStyle w:val="ListBullet"/>
        <w:numPr>
          <w:ilvl w:val="0"/>
          <w:numId w:val="6"/>
        </w:numPr>
        <w:spacing w:before="120"/>
        <w:rPr>
          <w:lang w:val="ga-IE"/>
        </w:rPr>
      </w:pPr>
      <w:r w:rsidRPr="004918E0">
        <w:rPr>
          <w:lang w:val="ga-IE"/>
        </w:rPr>
        <w:t xml:space="preserve">Nósanna imeachta caighdeánacha agus forálacha fairsinge a bhunú agus a chur i bhfeidhm faoinar féidir cúnamh airgeadais a chur ar fáil do thionscadail lena n-áirítear forálacha áit a n-éilítear aisíocaíocht mura gcomhlíonann an tionscadal na tiomantais a rinne an tionscnóir </w:t>
      </w:r>
    </w:p>
    <w:p w:rsidR="009B7368" w:rsidRPr="004918E0" w:rsidRDefault="009B7368" w:rsidP="009B7368">
      <w:pPr>
        <w:pStyle w:val="ListBullet"/>
        <w:numPr>
          <w:ilvl w:val="0"/>
          <w:numId w:val="0"/>
        </w:numPr>
        <w:spacing w:before="120"/>
        <w:ind w:left="-142"/>
        <w:rPr>
          <w:lang w:val="ga-IE"/>
        </w:rPr>
      </w:pPr>
      <w:r w:rsidRPr="004918E0">
        <w:rPr>
          <w:lang w:val="ga-IE"/>
        </w:rPr>
        <w:t>Tá an córas um rialú inmheánach airgeadais bunaithe ar chreat d’fhaisnéis bhainistíochta rialta, de nósanna imeachta riaracháin lena n-áirítear leithscaradh dualgas, agus córas um tharmligean agus fhreagrúlacht. Áirítear leis ach go háirithe:</w:t>
      </w:r>
    </w:p>
    <w:p w:rsidR="009B7368" w:rsidRPr="004918E0" w:rsidRDefault="009B7368" w:rsidP="009B7368">
      <w:pPr>
        <w:pStyle w:val="ListBullet"/>
        <w:numPr>
          <w:ilvl w:val="0"/>
          <w:numId w:val="6"/>
        </w:numPr>
        <w:rPr>
          <w:lang w:val="ga-IE"/>
        </w:rPr>
      </w:pPr>
      <w:r w:rsidRPr="004918E0">
        <w:rPr>
          <w:lang w:val="ga-IE"/>
        </w:rPr>
        <w:t xml:space="preserve">Córas buiséid cuimsitheach le tuarascáil bhliantúil a ndéanann an t-Údarás athbhreithniú air agus a n-aontaíonn sé leis </w:t>
      </w:r>
    </w:p>
    <w:p w:rsidR="009B7368" w:rsidRPr="004918E0" w:rsidRDefault="009B7368" w:rsidP="009B7368">
      <w:pPr>
        <w:pStyle w:val="ListBullet"/>
        <w:numPr>
          <w:ilvl w:val="0"/>
          <w:numId w:val="6"/>
        </w:numPr>
        <w:spacing w:before="120"/>
        <w:rPr>
          <w:lang w:val="ga-IE"/>
        </w:rPr>
      </w:pPr>
      <w:r w:rsidRPr="004918E0">
        <w:rPr>
          <w:lang w:val="ga-IE"/>
        </w:rPr>
        <w:t xml:space="preserve">Athbhreithnithe rialta ag an Údarás ar thuarascálacha airgeadais tréimhsiúla agus bliantúla a  chomharthaíonn feidhmíocht airgeadais de réir réamhaisnéisí </w:t>
      </w:r>
    </w:p>
    <w:p w:rsidR="009B7368" w:rsidRPr="004918E0" w:rsidRDefault="009B7368" w:rsidP="009B7368">
      <w:pPr>
        <w:pStyle w:val="ListBullet"/>
        <w:numPr>
          <w:ilvl w:val="0"/>
          <w:numId w:val="6"/>
        </w:numPr>
        <w:spacing w:before="120"/>
        <w:rPr>
          <w:lang w:val="ga-IE"/>
        </w:rPr>
      </w:pPr>
      <w:r w:rsidRPr="004918E0">
        <w:rPr>
          <w:lang w:val="ga-IE"/>
        </w:rPr>
        <w:t xml:space="preserve">Spriocanna a shocrú chun feidhmíocht airgeadais agus eile a thomhas </w:t>
      </w:r>
    </w:p>
    <w:p w:rsidR="009B7368" w:rsidRPr="004918E0" w:rsidRDefault="009B7368" w:rsidP="009B7368">
      <w:pPr>
        <w:pStyle w:val="ListBullet"/>
        <w:numPr>
          <w:ilvl w:val="0"/>
          <w:numId w:val="6"/>
        </w:numPr>
        <w:spacing w:before="120"/>
        <w:rPr>
          <w:lang w:val="ga-IE"/>
        </w:rPr>
      </w:pPr>
      <w:r w:rsidRPr="004918E0">
        <w:rPr>
          <w:lang w:val="ga-IE"/>
        </w:rPr>
        <w:t xml:space="preserve">Treoirlínte atá sainithe go soiléir um rialú infheistíochta caipitiúla </w:t>
      </w:r>
    </w:p>
    <w:p w:rsidR="009B7368" w:rsidRPr="004918E0" w:rsidRDefault="009B7368" w:rsidP="009B7368">
      <w:pPr>
        <w:pStyle w:val="ListBullet"/>
        <w:numPr>
          <w:ilvl w:val="0"/>
          <w:numId w:val="6"/>
        </w:numPr>
        <w:spacing w:before="120"/>
        <w:rPr>
          <w:lang w:val="ga-IE"/>
        </w:rPr>
      </w:pPr>
      <w:r w:rsidRPr="004918E0">
        <w:rPr>
          <w:lang w:val="ga-IE"/>
        </w:rPr>
        <w:t xml:space="preserve">Disciplíní foirmiúla bainistíochta tionscadail </w:t>
      </w:r>
    </w:p>
    <w:p w:rsidR="009B7368" w:rsidRPr="004918E0" w:rsidRDefault="009B7368" w:rsidP="009B7368">
      <w:pPr>
        <w:pStyle w:val="ListBullet"/>
        <w:numPr>
          <w:ilvl w:val="0"/>
          <w:numId w:val="0"/>
        </w:numPr>
        <w:spacing w:before="120"/>
        <w:ind w:left="-142"/>
        <w:rPr>
          <w:lang w:val="ga-IE"/>
        </w:rPr>
      </w:pPr>
    </w:p>
    <w:p w:rsidR="009B7368" w:rsidRPr="004918E0" w:rsidRDefault="009B7368" w:rsidP="009B7368">
      <w:pPr>
        <w:pStyle w:val="NormalAfterList"/>
        <w:rPr>
          <w:lang w:val="ga-IE"/>
        </w:rPr>
      </w:pPr>
      <w:r w:rsidRPr="004918E0">
        <w:rPr>
          <w:lang w:val="ga-IE"/>
        </w:rPr>
        <w:t>Sheachfhoinsigh an tÚdarás Seirbhís Iniúchta Inmheánaigh, a oibríonn de réir an Chreatchód Dea-chleachtais atá leagtha amach sa Chód Cleachtais Athbhreithnithe ar Rialachas Comhlachtaí Stáit 2009. I rith 2012 ba í an Roinn Dlí agus Cirt, Comhionannais agus Athchóirithe Dlí a chuir an tSeirbhís Iniúchta Inmheánaigh ar fáil</w:t>
      </w:r>
      <w:r w:rsidRPr="004918E0">
        <w:rPr>
          <w:rFonts w:cs="Arial"/>
          <w:lang w:val="ga-IE"/>
        </w:rPr>
        <w:t>. Tugann an tSeirbhís Iniúchta Inmheánaigh tuairisc rialta don Choiste Iniúchta</w:t>
      </w:r>
      <w:r w:rsidRPr="004918E0">
        <w:rPr>
          <w:lang w:val="ga-IE"/>
        </w:rPr>
        <w:t>. Le linn na bliana reatha, tá tuarascáil críochnaithe ag Iniúchadh Inmheánach i réimse na Sócmhainní Seasta. Níor aithníodh aon saincheisteanna móra sa tuarascáil.</w:t>
      </w:r>
    </w:p>
    <w:p w:rsidR="009B7368" w:rsidRPr="004918E0" w:rsidRDefault="009B7368" w:rsidP="009B7368">
      <w:pPr>
        <w:rPr>
          <w:lang w:val="ga-IE"/>
        </w:rPr>
      </w:pPr>
      <w:r w:rsidRPr="004918E0">
        <w:rPr>
          <w:lang w:val="ga-IE"/>
        </w:rPr>
        <w:t>Tá an tÚdarás freagrach as maoirseacht a dhéanamh ar chur i bhfeidhm mholtaí an tSeirbhís Iniúchta Inmheánaigh chun cinntiú go gcoimeádtar nósanna imeachta cearta agus éifeachtacha um rialú airgeadais agus déanann sé maoirseacht ar an bhfeidhm iniúchta inmheánaigh agus aon phleananna bainteacha chun aon réimsí nua a aithníodh a chur san áireamh.</w:t>
      </w:r>
    </w:p>
    <w:p w:rsidR="009B7368" w:rsidRPr="004918E0" w:rsidRDefault="009B7368" w:rsidP="009B7368">
      <w:pPr>
        <w:rPr>
          <w:lang w:val="ga-IE"/>
        </w:rPr>
      </w:pPr>
    </w:p>
    <w:p w:rsidR="009B7368" w:rsidRPr="004918E0" w:rsidRDefault="009B7368" w:rsidP="009B7368">
      <w:pPr>
        <w:pStyle w:val="NormalBeforeList"/>
        <w:spacing w:after="120"/>
        <w:rPr>
          <w:lang w:val="ga-IE"/>
        </w:rPr>
      </w:pPr>
      <w:r w:rsidRPr="004918E0">
        <w:rPr>
          <w:lang w:val="ga-IE"/>
        </w:rPr>
        <w:t xml:space="preserve">Tá maoirseacht agus athbhreithniú an Údaráis ar éifeachtacht na gcóras um rialú inmheánach airgeadais treoraithe ag na gnéithe seo a leanas: </w:t>
      </w:r>
    </w:p>
    <w:p w:rsidR="009B7368" w:rsidRPr="004918E0" w:rsidRDefault="009B7368" w:rsidP="009B7368">
      <w:pPr>
        <w:pStyle w:val="ListBullet"/>
        <w:numPr>
          <w:ilvl w:val="0"/>
          <w:numId w:val="6"/>
        </w:numPr>
        <w:spacing w:before="120"/>
        <w:rPr>
          <w:lang w:val="ga-IE"/>
        </w:rPr>
      </w:pPr>
      <w:r w:rsidRPr="004918E0">
        <w:rPr>
          <w:lang w:val="ga-IE"/>
        </w:rPr>
        <w:t xml:space="preserve">obair an tSeirbhís Iniúchta Inmheánaigh agus ról an Choiste Iniúchta a dhéanann maoirseacht ar obair an Iniúchóra Inmheánaigh agus an timpeallacht rialachais chorparáidigh </w:t>
      </w:r>
    </w:p>
    <w:p w:rsidR="009B7368" w:rsidRPr="004918E0" w:rsidRDefault="009B7368" w:rsidP="009B7368">
      <w:pPr>
        <w:pStyle w:val="ListBullet"/>
        <w:numPr>
          <w:ilvl w:val="0"/>
          <w:numId w:val="6"/>
        </w:numPr>
        <w:spacing w:before="120"/>
        <w:rPr>
          <w:lang w:val="ga-IE"/>
        </w:rPr>
      </w:pPr>
      <w:r w:rsidRPr="004918E0">
        <w:rPr>
          <w:lang w:val="ga-IE"/>
        </w:rPr>
        <w:t xml:space="preserve">na bainisteoirí feidhmiúcháin leis an Údarás Náisiúnta Míchumais atá freagrach as an gcreat um rialú airgeadais a fhorbairt agus a choimeád  </w:t>
      </w:r>
    </w:p>
    <w:p w:rsidR="009B7368" w:rsidRPr="004918E0" w:rsidRDefault="009B7368" w:rsidP="009B7368">
      <w:pPr>
        <w:pStyle w:val="ListBullet"/>
        <w:numPr>
          <w:ilvl w:val="0"/>
          <w:numId w:val="6"/>
        </w:numPr>
        <w:spacing w:before="120"/>
        <w:rPr>
          <w:lang w:val="ga-IE"/>
        </w:rPr>
      </w:pPr>
      <w:r w:rsidRPr="004918E0">
        <w:rPr>
          <w:lang w:val="ga-IE"/>
        </w:rPr>
        <w:t xml:space="preserve">an coiste Airgeadais a thugann tuairisc gach ráithe ar a laghad ar chaiteachas airgeadais agus shaincheisteanna bainteacha agus  </w:t>
      </w:r>
    </w:p>
    <w:p w:rsidR="009B7368" w:rsidRPr="004918E0" w:rsidRDefault="009B7368" w:rsidP="009B7368">
      <w:pPr>
        <w:pStyle w:val="ListBullet"/>
        <w:numPr>
          <w:ilvl w:val="0"/>
          <w:numId w:val="6"/>
        </w:numPr>
        <w:spacing w:before="120"/>
        <w:rPr>
          <w:lang w:val="ga-IE"/>
        </w:rPr>
      </w:pPr>
      <w:r w:rsidRPr="004918E0">
        <w:rPr>
          <w:lang w:val="ga-IE"/>
        </w:rPr>
        <w:t xml:space="preserve">na saincheisteanna a ardaíonn an tArd-Reachtaire Cuntas agus Ciste </w:t>
      </w:r>
    </w:p>
    <w:p w:rsidR="009B7368" w:rsidRPr="004918E0" w:rsidRDefault="009B7368" w:rsidP="009B7368">
      <w:pPr>
        <w:pStyle w:val="ListBullet"/>
        <w:numPr>
          <w:ilvl w:val="0"/>
          <w:numId w:val="0"/>
        </w:numPr>
        <w:spacing w:after="0"/>
        <w:rPr>
          <w:lang w:val="ga-IE"/>
        </w:rPr>
      </w:pPr>
    </w:p>
    <w:p w:rsidR="009B7368" w:rsidRPr="004918E0" w:rsidRDefault="009B7368" w:rsidP="009B7368">
      <w:pPr>
        <w:rPr>
          <w:lang w:val="ga-IE"/>
        </w:rPr>
      </w:pPr>
      <w:r w:rsidRPr="004918E0">
        <w:rPr>
          <w:lang w:val="ga-IE"/>
        </w:rPr>
        <w:t>Dearbhaím go ndearna an tÚdarás athbhreithniú foirmiúil ar éifeachtacht na gcóras um rialuithe inmheánacha airgeadais i 2012.</w:t>
      </w:r>
    </w:p>
    <w:p w:rsidR="009B7368" w:rsidRPr="004918E0" w:rsidRDefault="009B7368" w:rsidP="009B7368">
      <w:pPr>
        <w:rPr>
          <w:lang w:val="ga-IE"/>
        </w:rPr>
      </w:pPr>
      <w:r w:rsidRPr="004918E0">
        <w:rPr>
          <w:lang w:val="ga-IE"/>
        </w:rPr>
        <w:t>Dearbhaím, ar feadh m’eolais go bhfuil an fhaisnéis thuas cruinn.</w:t>
      </w:r>
    </w:p>
    <w:p w:rsidR="009B7368" w:rsidRPr="004918E0" w:rsidRDefault="009B7368" w:rsidP="009B7368">
      <w:pPr>
        <w:rPr>
          <w:lang w:val="ga-IE"/>
        </w:rPr>
      </w:pPr>
      <w:r w:rsidRPr="004918E0">
        <w:rPr>
          <w:lang w:val="ga-IE"/>
        </w:rPr>
        <w:t>Peter Mc Kevitt</w:t>
      </w:r>
    </w:p>
    <w:p w:rsidR="009B7368" w:rsidRPr="004918E0" w:rsidRDefault="009B7368" w:rsidP="009B7368">
      <w:pPr>
        <w:rPr>
          <w:lang w:val="ga-IE"/>
        </w:rPr>
      </w:pPr>
    </w:p>
    <w:p w:rsidR="009B7368" w:rsidRPr="004918E0" w:rsidRDefault="009B7368" w:rsidP="009B7368">
      <w:pPr>
        <w:rPr>
          <w:lang w:val="ga-IE"/>
        </w:rPr>
      </w:pPr>
      <w:r w:rsidRPr="004918E0">
        <w:rPr>
          <w:lang w:val="ga-IE"/>
        </w:rPr>
        <w:t>Cathaoirleach</w:t>
      </w:r>
    </w:p>
    <w:p w:rsidR="009B7368" w:rsidRPr="004918E0" w:rsidRDefault="009B7368" w:rsidP="009B7368">
      <w:pPr>
        <w:rPr>
          <w:lang w:val="ga-IE"/>
        </w:rPr>
      </w:pPr>
    </w:p>
    <w:p w:rsidR="009B7368" w:rsidRPr="004918E0" w:rsidRDefault="009B7368" w:rsidP="009B7368">
      <w:pPr>
        <w:rPr>
          <w:lang w:val="ga-IE"/>
        </w:rPr>
      </w:pPr>
      <w:r w:rsidRPr="004918E0">
        <w:rPr>
          <w:lang w:val="ga-IE"/>
        </w:rPr>
        <w:t>Dáta</w:t>
      </w:r>
    </w:p>
    <w:p w:rsidR="009B7368" w:rsidRPr="004918E0" w:rsidRDefault="009B7368" w:rsidP="009B7368">
      <w:pPr>
        <w:pStyle w:val="Heading2"/>
        <w:rPr>
          <w:lang w:val="ga-IE"/>
        </w:rPr>
      </w:pPr>
      <w:r w:rsidRPr="004918E0">
        <w:rPr>
          <w:lang w:val="ga-IE"/>
        </w:rPr>
        <w:t xml:space="preserve">Tuarascáil an Ard-Reachtaire Cuntas agus Ciste le cur faoi bhráid Thithe an Oireachtais </w:t>
      </w:r>
    </w:p>
    <w:p w:rsidR="009B7368" w:rsidRPr="004918E0" w:rsidRDefault="009B7368" w:rsidP="009B7368">
      <w:pPr>
        <w:rPr>
          <w:lang w:val="ga-IE"/>
        </w:rPr>
      </w:pPr>
      <w:r w:rsidRPr="004918E0">
        <w:rPr>
          <w:lang w:val="ga-IE"/>
        </w:rPr>
        <w:t>Rinne mé iniúchadh ar ráitis airgeadais an Údarás Náisiúnta Míchumais don bhliain dar chríoch an 31 Nollaig 2012 faoi Acht an Údarás Náisiúnta Míchumais 1999. Cuimsíonn na ráitis airgeadais, a ullmhaíodh de réir na bpolasaithe cuntasaíochta atá leagtha amach iontu, an ráiteas faoi pholasaithe cuntasaíochta, an cuntas ioncaim agus caiteachais, an ráiteas faoi iomlán na ngnóthachan agus na gcaillteanas aitheanta, an clár comhardaithe, an ráiteas faoi shreabhadh airgid agus na nótaí bainteacha. Ullmhaíodh na ráitis airgeadais san fhoirm atá sainordaithe de réir Alt 17 den Acht, agus de réir an chleachtais chuntasaíochta a bhfuil glacadh leis in Éirinn.</w:t>
      </w:r>
    </w:p>
    <w:p w:rsidR="009B7368" w:rsidRPr="004918E0" w:rsidRDefault="009B7368" w:rsidP="009B7368">
      <w:pPr>
        <w:pStyle w:val="Heading3"/>
        <w:rPr>
          <w:lang w:val="ga-IE"/>
        </w:rPr>
      </w:pPr>
      <w:r w:rsidRPr="004918E0">
        <w:rPr>
          <w:lang w:val="ga-IE"/>
        </w:rPr>
        <w:t xml:space="preserve">Freagrachtaí Chomhaltaí an Údaráis </w:t>
      </w:r>
    </w:p>
    <w:p w:rsidR="009B7368" w:rsidRPr="004918E0" w:rsidRDefault="009B7368" w:rsidP="009B7368">
      <w:pPr>
        <w:rPr>
          <w:lang w:val="ga-IE"/>
        </w:rPr>
      </w:pPr>
      <w:r w:rsidRPr="004918E0">
        <w:rPr>
          <w:lang w:val="ga-IE"/>
        </w:rPr>
        <w:t>Tá an tÚdarás freagrach as na ráitis airgeadais a ullmhú, as cinntiú go dtugann siad léargas fírinneach cóir ar ghnóthaí an Údarás Náisiúnta Míchumais agus ar a chuid ioncaim agus caiteachais, agus as rialtacht idirbheart a chinntiú.</w:t>
      </w:r>
    </w:p>
    <w:p w:rsidR="009B7368" w:rsidRPr="004918E0" w:rsidRDefault="009B7368" w:rsidP="009B7368">
      <w:pPr>
        <w:pStyle w:val="Heading3"/>
        <w:rPr>
          <w:lang w:val="ga-IE"/>
        </w:rPr>
      </w:pPr>
      <w:r w:rsidRPr="004918E0">
        <w:rPr>
          <w:lang w:val="ga-IE"/>
        </w:rPr>
        <w:t xml:space="preserve">Freagrachtaí an Ard-Reachtaire Cuntas agus Ciste </w:t>
      </w:r>
    </w:p>
    <w:p w:rsidR="009B7368" w:rsidRPr="004918E0" w:rsidRDefault="009B7368" w:rsidP="009B7368">
      <w:pPr>
        <w:rPr>
          <w:lang w:val="ga-IE"/>
        </w:rPr>
      </w:pPr>
      <w:r w:rsidRPr="004918E0">
        <w:rPr>
          <w:lang w:val="ga-IE"/>
        </w:rPr>
        <w:t>Is é mo chúram ná iniúchadh a dhéanamh ar na ráitis airgeadais agus tuairisc a dhéanamh orthu de réir an dlí is infheidhme.</w:t>
      </w:r>
    </w:p>
    <w:p w:rsidR="009B7368" w:rsidRPr="004918E0" w:rsidRDefault="009B7368" w:rsidP="009B7368">
      <w:pPr>
        <w:rPr>
          <w:lang w:val="ga-IE"/>
        </w:rPr>
      </w:pPr>
      <w:r w:rsidRPr="004918E0">
        <w:rPr>
          <w:lang w:val="ga-IE"/>
        </w:rPr>
        <w:t>Déantar m’iniúchadh trí fhéachaint chuig na comaoiní speisialta a ghabhann le Comhlachtaí Stáit maidir le bainistíocht agus oibriú na gcomhlachtaí céanna.</w:t>
      </w:r>
    </w:p>
    <w:p w:rsidR="009B7368" w:rsidRPr="004918E0" w:rsidRDefault="009B7368" w:rsidP="009B7368">
      <w:pPr>
        <w:rPr>
          <w:bCs/>
          <w:lang w:val="ga-IE"/>
        </w:rPr>
      </w:pPr>
      <w:r w:rsidRPr="004918E0">
        <w:rPr>
          <w:bCs/>
          <w:lang w:val="ga-IE"/>
        </w:rPr>
        <w:t>Déantar m’iniúchadh de réir na gCaighdeán Idirnáisiúnta Iniúchóireachta (An RA agus Éire) agus i gcomhréir leis na Caighdeáin Eiticiúla d’Iniúchóirí de chuid an Bhoird um Chleachtais Iniúchóireachta.</w:t>
      </w:r>
    </w:p>
    <w:p w:rsidR="009B7368" w:rsidRPr="004918E0" w:rsidRDefault="009B7368" w:rsidP="009B7368">
      <w:pPr>
        <w:pStyle w:val="Heading3"/>
        <w:rPr>
          <w:lang w:val="ga-IE"/>
        </w:rPr>
      </w:pPr>
      <w:r w:rsidRPr="004918E0">
        <w:rPr>
          <w:lang w:val="ga-IE"/>
        </w:rPr>
        <w:t>Raon Feidhme an Iniúchta ar na Ráitis Airgeadais</w:t>
      </w:r>
    </w:p>
    <w:p w:rsidR="009B7368" w:rsidRPr="004918E0" w:rsidRDefault="009B7368" w:rsidP="009B7368">
      <w:pPr>
        <w:pStyle w:val="NormalBeforeList"/>
        <w:spacing w:after="120"/>
        <w:rPr>
          <w:lang w:val="ga-IE"/>
        </w:rPr>
      </w:pPr>
      <w:r w:rsidRPr="004918E0">
        <w:rPr>
          <w:lang w:val="ga-IE"/>
        </w:rPr>
        <w:t>Is é atá i gceist le hiniúchadh ná dóthain fianaise a fháil maidir leis na méideanna agus na nochtuithe sna ráitis airgeadais, chun dearbhú réasúnta a thabhairt go bhfuil na ráitis airgeadas saor ó mhíráiteas ábhartha, cibé acu trí chalaois nó trí earráid. Mar chuid den iarracht sin déantar measúnú maidir leis na saincheisteanna seo a leanas:</w:t>
      </w:r>
    </w:p>
    <w:p w:rsidR="009B7368" w:rsidRPr="004918E0" w:rsidRDefault="009B7368" w:rsidP="009B7368">
      <w:pPr>
        <w:pStyle w:val="ListBullet"/>
        <w:rPr>
          <w:lang w:val="ga-IE"/>
        </w:rPr>
      </w:pPr>
      <w:r w:rsidRPr="004918E0">
        <w:rPr>
          <w:lang w:val="ga-IE"/>
        </w:rPr>
        <w:t xml:space="preserve">cibé acu an bhfuil na polasaithe oiriúnach do chúinsí an Údaráis, agus ar cuireadh i bhfeidhm go comhréireach iad agus ar nochtadh go dóthanach iad. </w:t>
      </w:r>
    </w:p>
    <w:p w:rsidR="009B7368" w:rsidRPr="004918E0" w:rsidRDefault="009B7368" w:rsidP="009B7368">
      <w:pPr>
        <w:pStyle w:val="ListBullet"/>
        <w:rPr>
          <w:lang w:val="ga-IE"/>
        </w:rPr>
      </w:pPr>
      <w:r w:rsidRPr="004918E0">
        <w:rPr>
          <w:lang w:val="ga-IE"/>
        </w:rPr>
        <w:t>cibé acu an raibh nó nach raibh na meastacháin a rinneadh agus na ráitis airgeadais á n-ullmhú réasúnta</w:t>
      </w:r>
    </w:p>
    <w:p w:rsidR="009B7368" w:rsidRPr="004918E0" w:rsidRDefault="009B7368" w:rsidP="009B7368">
      <w:pPr>
        <w:pStyle w:val="ListBullet"/>
        <w:rPr>
          <w:lang w:val="ga-IE"/>
        </w:rPr>
      </w:pPr>
      <w:r w:rsidRPr="004918E0">
        <w:rPr>
          <w:lang w:val="ga-IE"/>
        </w:rPr>
        <w:t>leagan amach iomlán na ráiteas airgeadais</w:t>
      </w:r>
    </w:p>
    <w:p w:rsidR="009B7368" w:rsidRPr="004918E0" w:rsidRDefault="009B7368" w:rsidP="009B7368">
      <w:pPr>
        <w:jc w:val="both"/>
        <w:rPr>
          <w:szCs w:val="26"/>
          <w:lang w:val="ga-IE"/>
        </w:rPr>
      </w:pPr>
      <w:r w:rsidRPr="004918E0">
        <w:rPr>
          <w:szCs w:val="26"/>
          <w:lang w:val="ga-IE"/>
        </w:rPr>
        <w:t>Freisin déanaim iarracht fianaise a fháil le linn an iniúchta maidir le rialtacht na n-idirbheart airgeadais.</w:t>
      </w:r>
    </w:p>
    <w:p w:rsidR="009B7368" w:rsidRPr="004918E0" w:rsidRDefault="009B7368" w:rsidP="009B7368">
      <w:pPr>
        <w:rPr>
          <w:lang w:val="ga-IE"/>
        </w:rPr>
      </w:pPr>
      <w:r w:rsidRPr="004918E0">
        <w:rPr>
          <w:lang w:val="ga-IE"/>
        </w:rPr>
        <w:t>Ina theannta sin, léim tuarascáil bhliantúil an Údaráis chun aon neamhréireachtaí ábhartha leis na ráitis airgeadais iniúchta a aithint. Má thagaim ar an eolas go bhfuil aon mhíráitis nó neamhréireachtaí ábhartha soiléire i gceist déanaim machnamh ar na himpleachtaí le haghaidh mo thuarascála.</w:t>
      </w:r>
    </w:p>
    <w:p w:rsidR="009B7368" w:rsidRPr="004918E0" w:rsidRDefault="009B7368" w:rsidP="009B7368">
      <w:pPr>
        <w:pStyle w:val="Heading3"/>
        <w:rPr>
          <w:lang w:val="ga-IE"/>
        </w:rPr>
      </w:pPr>
      <w:r w:rsidRPr="004918E0">
        <w:rPr>
          <w:lang w:val="ga-IE"/>
        </w:rPr>
        <w:t xml:space="preserve">Tuairim maidir leis na Ráitis Airgeadais </w:t>
      </w:r>
    </w:p>
    <w:p w:rsidR="009B7368" w:rsidRPr="004918E0" w:rsidRDefault="009B7368" w:rsidP="009B7368">
      <w:pPr>
        <w:rPr>
          <w:lang w:val="ga-IE"/>
        </w:rPr>
      </w:pPr>
      <w:r w:rsidRPr="004918E0">
        <w:rPr>
          <w:lang w:val="ga-IE"/>
        </w:rPr>
        <w:t>Is é mo thuairim ná go dtugann na ráitis airgeadais, ar ullmhaíodh i gceart iad de réir an Chleachtais Chuntasaíochta a bhfuil Glacadh Leis in Éirinn, léargas fírinneach cóir ar staid cúrsaí an Údaráis amhail an 31 Nollaig 2012 agus ar a chuid ioncaim agus caiteachais le haghaidh 2012.</w:t>
      </w:r>
    </w:p>
    <w:p w:rsidR="009B7368" w:rsidRPr="004918E0" w:rsidRDefault="009B7368" w:rsidP="009B7368">
      <w:pPr>
        <w:rPr>
          <w:lang w:val="ga-IE"/>
        </w:rPr>
      </w:pPr>
      <w:r w:rsidRPr="004918E0">
        <w:rPr>
          <w:lang w:val="ga-IE"/>
        </w:rPr>
        <w:t>Is é mo thuairim ná gur choimeád an tÚdarás leabhair chearta chuntais. Réitíonn na ráitis airgeadais leis na leabhair chuntais.</w:t>
      </w:r>
    </w:p>
    <w:p w:rsidR="009B7368" w:rsidRPr="004918E0" w:rsidRDefault="009B7368" w:rsidP="009B7368">
      <w:pPr>
        <w:pStyle w:val="Heading3"/>
        <w:rPr>
          <w:lang w:val="ga-IE"/>
        </w:rPr>
      </w:pPr>
      <w:r w:rsidRPr="004918E0">
        <w:rPr>
          <w:lang w:val="ga-IE"/>
        </w:rPr>
        <w:t xml:space="preserve">Ábhair a nDéanaim Tuairisc Orthu trí hEisceacht </w:t>
      </w:r>
    </w:p>
    <w:p w:rsidR="009B7368" w:rsidRPr="004918E0" w:rsidRDefault="009B7368" w:rsidP="009B7368">
      <w:pPr>
        <w:pStyle w:val="NormalBeforeList"/>
        <w:spacing w:after="120"/>
        <w:rPr>
          <w:lang w:val="ga-IE"/>
        </w:rPr>
      </w:pPr>
      <w:r w:rsidRPr="004918E0">
        <w:rPr>
          <w:lang w:val="ga-IE"/>
        </w:rPr>
        <w:t>Tugaim tuairisc trí heisceacht más amhlaidh</w:t>
      </w:r>
    </w:p>
    <w:p w:rsidR="009B7368" w:rsidRPr="004918E0" w:rsidRDefault="009B7368" w:rsidP="009B7368">
      <w:pPr>
        <w:pStyle w:val="ListBullet"/>
        <w:rPr>
          <w:lang w:val="ga-IE"/>
        </w:rPr>
      </w:pPr>
      <w:r w:rsidRPr="004918E0">
        <w:rPr>
          <w:lang w:val="ga-IE"/>
        </w:rPr>
        <w:t>Nach bhfuair mé an fhaisnéis agus na míniúcháin go léir a theastaigh uaim le haghaidh m’iniúchta, nó</w:t>
      </w:r>
    </w:p>
    <w:p w:rsidR="009B7368" w:rsidRPr="004918E0" w:rsidRDefault="009B7368" w:rsidP="009B7368">
      <w:pPr>
        <w:pStyle w:val="ListBullet"/>
        <w:rPr>
          <w:lang w:val="ga-IE"/>
        </w:rPr>
      </w:pPr>
      <w:r w:rsidRPr="004918E0">
        <w:rPr>
          <w:lang w:val="ga-IE"/>
        </w:rPr>
        <w:t xml:space="preserve">gur tugadh faoi deara le linn m’iniúchta aon tarlúint ábhartha áit nár baineadh úsáid as airgead le haghaidh na gcuspóirí beartaithe nó áit nár chloígh idirbhearta leis na húdaráis arna rialú, nó </w:t>
      </w:r>
    </w:p>
    <w:p w:rsidR="009B7368" w:rsidRPr="004918E0" w:rsidRDefault="009B7368" w:rsidP="009B7368">
      <w:pPr>
        <w:pStyle w:val="ListBullet"/>
        <w:rPr>
          <w:lang w:val="ga-IE"/>
        </w:rPr>
      </w:pPr>
      <w:r w:rsidRPr="004918E0">
        <w:rPr>
          <w:lang w:val="ga-IE"/>
        </w:rPr>
        <w:t xml:space="preserve">nach bhfuil an fhaisnéis a tugadh i dTuarascáil Bhliantúil an Údarás Náisiúnta Míchumais i gcomhréir leis na ráitis airgeadais, nó </w:t>
      </w:r>
    </w:p>
    <w:p w:rsidR="009B7368" w:rsidRPr="004918E0" w:rsidRDefault="009B7368" w:rsidP="009B7368">
      <w:pPr>
        <w:pStyle w:val="ListBullet"/>
        <w:rPr>
          <w:lang w:val="ga-IE"/>
        </w:rPr>
      </w:pPr>
      <w:r w:rsidRPr="004918E0">
        <w:rPr>
          <w:lang w:val="ga-IE"/>
        </w:rPr>
        <w:t xml:space="preserve">nach léiríonn an Ráiteas ar Rialú Inmheánach Airgeadais go bhfuil an tÚdarás ag comhlíonadh an Chód Cleachtais um Rialachas Comhlachtaí Stáit, </w:t>
      </w:r>
    </w:p>
    <w:p w:rsidR="009B7368" w:rsidRPr="004918E0" w:rsidRDefault="009B7368" w:rsidP="009B7368">
      <w:pPr>
        <w:pStyle w:val="ListBullet"/>
        <w:rPr>
          <w:lang w:val="ga-IE"/>
        </w:rPr>
      </w:pPr>
      <w:r w:rsidRPr="004918E0">
        <w:rPr>
          <w:lang w:val="ga-IE"/>
        </w:rPr>
        <w:t>Go bhfaighim go bhfuil ábhair ábhartha eile i gceist maidir leis an mbealach ina ndearnadh gnó poiblí.</w:t>
      </w:r>
    </w:p>
    <w:p w:rsidR="009B7368" w:rsidRPr="004918E0" w:rsidRDefault="009B7368" w:rsidP="009B7368">
      <w:pPr>
        <w:rPr>
          <w:lang w:val="ga-IE"/>
        </w:rPr>
      </w:pPr>
      <w:r w:rsidRPr="004918E0">
        <w:rPr>
          <w:lang w:val="ga-IE"/>
        </w:rPr>
        <w:t>Níl aon ní le tuairisciú agam maidir leis na hábhair úd a ndéantar tuairisciú orthu trí heisceacht</w:t>
      </w:r>
    </w:p>
    <w:p w:rsidR="009B7368" w:rsidRPr="004918E0" w:rsidRDefault="009B7368" w:rsidP="009B7368">
      <w:pPr>
        <w:rPr>
          <w:lang w:val="ga-IE"/>
        </w:rPr>
      </w:pPr>
      <w:r w:rsidRPr="004918E0">
        <w:rPr>
          <w:lang w:val="ga-IE"/>
        </w:rPr>
        <w:t>Patricia Sheehan</w:t>
      </w:r>
    </w:p>
    <w:p w:rsidR="009B7368" w:rsidRPr="004918E0" w:rsidRDefault="009B7368" w:rsidP="009B7368">
      <w:pPr>
        <w:rPr>
          <w:lang w:val="ga-IE"/>
        </w:rPr>
      </w:pPr>
      <w:r w:rsidRPr="004918E0">
        <w:rPr>
          <w:lang w:val="ga-IE"/>
        </w:rPr>
        <w:t>Le haghaidh agus thar ceann an</w:t>
      </w:r>
      <w:r w:rsidRPr="004918E0">
        <w:rPr>
          <w:lang w:val="ga-IE"/>
        </w:rPr>
        <w:br/>
        <w:t xml:space="preserve">Ard-Reachtaire Cuntas agus Ciste </w:t>
      </w:r>
    </w:p>
    <w:p w:rsidR="009B7368" w:rsidRPr="004918E0" w:rsidRDefault="009B7368" w:rsidP="009B7368">
      <w:pPr>
        <w:rPr>
          <w:lang w:val="ga-IE"/>
        </w:rPr>
      </w:pPr>
      <w:r w:rsidRPr="004918E0">
        <w:rPr>
          <w:lang w:val="ga-IE"/>
        </w:rPr>
        <w:t>07 Meán Fómhair 2013</w:t>
      </w:r>
    </w:p>
    <w:p w:rsidR="009B7368" w:rsidRPr="004918E0" w:rsidRDefault="009B7368" w:rsidP="009B7368">
      <w:pPr>
        <w:pStyle w:val="Heading2"/>
        <w:rPr>
          <w:lang w:val="ga-IE"/>
        </w:rPr>
      </w:pPr>
      <w:r w:rsidRPr="004918E0">
        <w:rPr>
          <w:lang w:val="ga-IE"/>
        </w:rPr>
        <w:t>Ráiteas faoi Pholasaithe Cuntasaíochta</w:t>
      </w:r>
    </w:p>
    <w:p w:rsidR="009B7368" w:rsidRPr="004918E0" w:rsidRDefault="009B7368" w:rsidP="009B7368">
      <w:pPr>
        <w:pStyle w:val="Heading3"/>
        <w:rPr>
          <w:lang w:val="ga-IE"/>
        </w:rPr>
      </w:pPr>
      <w:r w:rsidRPr="004918E0">
        <w:rPr>
          <w:lang w:val="ga-IE"/>
        </w:rPr>
        <w:t>Bunús na Cuntasaíochta</w:t>
      </w:r>
    </w:p>
    <w:p w:rsidR="009B7368" w:rsidRPr="004918E0" w:rsidRDefault="009B7368" w:rsidP="009B7368">
      <w:pPr>
        <w:rPr>
          <w:lang w:val="ga-IE"/>
        </w:rPr>
      </w:pPr>
      <w:r w:rsidRPr="004918E0">
        <w:rPr>
          <w:lang w:val="ga-IE"/>
        </w:rPr>
        <w:t>Ullmhaíodh na ráitis airgeadais agus úsáid á baint as modh fabhraithe na cuntasaíochta, ach amháin áit a bhfuil sé sonraithe thíos agus de réir an chleachtais chuntasaíochta a bhfuil glacadh ginearálta leis faoi choinbhinsiún an chostais stairiúil.</w:t>
      </w:r>
    </w:p>
    <w:p w:rsidR="009B7368" w:rsidRPr="004918E0" w:rsidRDefault="009B7368" w:rsidP="009B7368">
      <w:pPr>
        <w:rPr>
          <w:lang w:val="ga-IE"/>
        </w:rPr>
      </w:pPr>
      <w:r w:rsidRPr="004918E0">
        <w:rPr>
          <w:lang w:val="ga-IE"/>
        </w:rPr>
        <w:t>Glactar leis na Caighdeáin um Thuairisciú Airgeadais a mholann na comhlachtaí cuntasaíochta aitheanta de réir mar a thagann siad chun a bheith oibríochtúil.</w:t>
      </w:r>
    </w:p>
    <w:p w:rsidR="009B7368" w:rsidRPr="004918E0" w:rsidRDefault="009B7368" w:rsidP="009B7368">
      <w:pPr>
        <w:pStyle w:val="Heading4"/>
        <w:rPr>
          <w:lang w:val="ga-IE"/>
        </w:rPr>
      </w:pPr>
      <w:r w:rsidRPr="004918E0">
        <w:rPr>
          <w:lang w:val="ga-IE"/>
        </w:rPr>
        <w:t>Ioncam ó Dheontais Oireachtais</w:t>
      </w:r>
    </w:p>
    <w:p w:rsidR="009B7368" w:rsidRPr="004918E0" w:rsidRDefault="009B7368" w:rsidP="009B7368">
      <w:pPr>
        <w:rPr>
          <w:b/>
          <w:lang w:val="ga-IE"/>
        </w:rPr>
      </w:pPr>
      <w:r w:rsidRPr="004918E0">
        <w:rPr>
          <w:lang w:val="ga-IE"/>
        </w:rPr>
        <w:t>Is ionann an t-ioncam ón bhfoinse seo agus na méideanna a chuireann na ranna urraitheacha ar fáil don NDA trí híocaíocht dhíreach tuarastal agus costas eile.</w:t>
      </w:r>
    </w:p>
    <w:p w:rsidR="009B7368" w:rsidRPr="004918E0" w:rsidRDefault="009B7368" w:rsidP="009B7368">
      <w:pPr>
        <w:pStyle w:val="Heading3"/>
        <w:rPr>
          <w:lang w:val="ga-IE"/>
        </w:rPr>
      </w:pPr>
      <w:r w:rsidRPr="004918E0">
        <w:rPr>
          <w:lang w:val="ga-IE"/>
        </w:rPr>
        <w:t>Sócmhainní Seasta agus Dímheas</w:t>
      </w:r>
    </w:p>
    <w:p w:rsidR="009B7368" w:rsidRPr="004918E0" w:rsidRDefault="009B7368" w:rsidP="009B7368">
      <w:pPr>
        <w:rPr>
          <w:lang w:val="ga-IE"/>
        </w:rPr>
      </w:pPr>
      <w:r w:rsidRPr="004918E0">
        <w:rPr>
          <w:lang w:val="ga-IE"/>
        </w:rPr>
        <w:t xml:space="preserve">Taispeántar Sócmhainní Seasta ag an gcostas nó luacháil tosaigh lúide dímheas carntha.  </w:t>
      </w:r>
    </w:p>
    <w:p w:rsidR="009B7368" w:rsidRPr="004918E0" w:rsidRDefault="009B7368" w:rsidP="009B7368">
      <w:pPr>
        <w:pStyle w:val="Blockquote0"/>
        <w:rPr>
          <w:lang w:val="ga-IE"/>
        </w:rPr>
      </w:pPr>
      <w:r w:rsidRPr="004918E0">
        <w:rPr>
          <w:lang w:val="ga-IE"/>
        </w:rPr>
        <w:t>Déantar soláthar do dhímheas ag na rátaí bliantúla seo a leanas:</w:t>
      </w:r>
    </w:p>
    <w:p w:rsidR="009B7368" w:rsidRPr="004918E0" w:rsidRDefault="009B7368" w:rsidP="009B7368">
      <w:pPr>
        <w:pStyle w:val="ListBullet"/>
        <w:rPr>
          <w:lang w:val="ga-IE"/>
        </w:rPr>
      </w:pPr>
      <w:r w:rsidRPr="004918E0">
        <w:rPr>
          <w:lang w:val="ga-IE"/>
        </w:rPr>
        <w:t>Troscán agus Trealamh Oifige:</w:t>
      </w:r>
      <w:r w:rsidRPr="004918E0">
        <w:rPr>
          <w:lang w:val="ga-IE"/>
        </w:rPr>
        <w:tab/>
      </w:r>
      <w:r w:rsidRPr="004918E0">
        <w:rPr>
          <w:lang w:val="ga-IE"/>
        </w:rPr>
        <w:tab/>
        <w:t xml:space="preserve">20.00 % (Líne Dhíreach) </w:t>
      </w:r>
    </w:p>
    <w:p w:rsidR="009B7368" w:rsidRPr="004918E0" w:rsidRDefault="009B7368" w:rsidP="009B7368">
      <w:pPr>
        <w:pStyle w:val="ListBullet"/>
        <w:rPr>
          <w:lang w:val="ga-IE"/>
        </w:rPr>
      </w:pPr>
      <w:r w:rsidRPr="004918E0">
        <w:rPr>
          <w:lang w:val="ga-IE"/>
        </w:rPr>
        <w:t>Crua-earraí agus Bogearraí Ríomhaire:</w:t>
      </w:r>
      <w:r w:rsidRPr="004918E0">
        <w:rPr>
          <w:lang w:val="ga-IE"/>
        </w:rPr>
        <w:tab/>
        <w:t>33.33 % (Líne Dhíreach)</w:t>
      </w:r>
    </w:p>
    <w:p w:rsidR="009B7368" w:rsidRPr="004918E0" w:rsidRDefault="009B7368" w:rsidP="009B7368">
      <w:pPr>
        <w:pStyle w:val="ListBullet"/>
        <w:rPr>
          <w:lang w:val="ga-IE"/>
        </w:rPr>
      </w:pPr>
      <w:r w:rsidRPr="004918E0">
        <w:rPr>
          <w:lang w:val="ga-IE"/>
        </w:rPr>
        <w:t>Áitreabh:</w:t>
      </w:r>
      <w:r w:rsidRPr="004918E0">
        <w:rPr>
          <w:lang w:val="ga-IE"/>
        </w:rPr>
        <w:tab/>
        <w:t>2.50 % (Bonn Comhordaithe Laghdaithigh)</w:t>
      </w:r>
    </w:p>
    <w:p w:rsidR="009B7368" w:rsidRPr="004918E0" w:rsidRDefault="009B7368" w:rsidP="009B7368">
      <w:pPr>
        <w:pStyle w:val="Heading3"/>
        <w:rPr>
          <w:lang w:val="ga-IE"/>
        </w:rPr>
      </w:pPr>
      <w:r w:rsidRPr="004918E0">
        <w:rPr>
          <w:lang w:val="ga-IE"/>
        </w:rPr>
        <w:t>Cuntas Caipitil</w:t>
      </w:r>
    </w:p>
    <w:p w:rsidR="009B7368" w:rsidRPr="004918E0" w:rsidRDefault="009B7368" w:rsidP="009B7368">
      <w:pPr>
        <w:rPr>
          <w:lang w:val="ga-IE"/>
        </w:rPr>
      </w:pPr>
      <w:r w:rsidRPr="004918E0">
        <w:rPr>
          <w:lang w:val="ga-IE"/>
        </w:rPr>
        <w:t>Léiríonn an Cuntas Caipitil méid an ioncaim gan amúchadh a leithdháiltear chun sócmhainní seasta a cheannach.</w:t>
      </w:r>
    </w:p>
    <w:p w:rsidR="009B7368" w:rsidRPr="004918E0" w:rsidRDefault="009B7368" w:rsidP="009B7368">
      <w:pPr>
        <w:pStyle w:val="Heading3"/>
        <w:rPr>
          <w:lang w:val="ga-IE"/>
        </w:rPr>
      </w:pPr>
      <w:r w:rsidRPr="004918E0">
        <w:rPr>
          <w:lang w:val="ga-IE"/>
        </w:rPr>
        <w:t>Pinsin</w:t>
      </w:r>
    </w:p>
    <w:p w:rsidR="009B7368" w:rsidRPr="004918E0" w:rsidRDefault="009B7368" w:rsidP="009B7368">
      <w:pPr>
        <w:rPr>
          <w:lang w:val="ga-IE"/>
        </w:rPr>
      </w:pPr>
      <w:r w:rsidRPr="004918E0">
        <w:rPr>
          <w:lang w:val="ga-IE"/>
        </w:rPr>
        <w:t xml:space="preserve">Oibríonn an tÚdarás Náisiúnta Míchumais scéim pinsean sochar sainithe a dhéantar a chistiú gach bliain ar bhonn íoc mar a úsáidtear ó airgead atá ar fáil di, lena n-áirítear airgead a sholáthraíonn an Roinn Dlí agus Cirt agus Comhionannais agus ó ranníocaíochtaí a asbhaintear ó thuarastail fhoirne. </w:t>
      </w:r>
    </w:p>
    <w:p w:rsidR="009B7368" w:rsidRPr="004918E0" w:rsidRDefault="009B7368" w:rsidP="009B7368">
      <w:pPr>
        <w:rPr>
          <w:lang w:val="ga-IE"/>
        </w:rPr>
      </w:pPr>
      <w:r w:rsidRPr="004918E0">
        <w:rPr>
          <w:lang w:val="ga-IE"/>
        </w:rPr>
        <w:t>Léiríonn costais phinsin sochair phinsin arna dtuilleamh ag fostaithe le linn na tréimhse agus taispeántar glan ó ranníocaíochtaí pinsean foirne iad a choimeádann an tÚdarás Náisiúnta Míchumais. Aithnítear méid a chomhfhreagraíonn don mhuirear pinsin mar ioncam sa mhéid is atá sé inaisghabhála, agus déantar é a chúiteamh ag deontais arna bhfáil le linn na bliana chun íocaíochtaí pinsin a scaoileadh.</w:t>
      </w:r>
    </w:p>
    <w:p w:rsidR="009B7368" w:rsidRPr="004918E0" w:rsidRDefault="009B7368" w:rsidP="009B7368">
      <w:pPr>
        <w:rPr>
          <w:lang w:val="ga-IE"/>
        </w:rPr>
      </w:pPr>
      <w:r w:rsidRPr="004918E0">
        <w:rPr>
          <w:lang w:val="ga-IE"/>
        </w:rPr>
        <w:t>Léirítear gnóthachain nó caillteanais achtúireacha ag eascairt ó dhliteanais scéime sa Ráiteas faoi Iomlán na nGnóthachan agus na gCaillteanas Aitheanta agus aithnítear leasú comhfhreagrach sa mhéid atá inaisghabhála ón Roinn Dlí agus Cirt agus Comhionannais.</w:t>
      </w:r>
    </w:p>
    <w:p w:rsidR="009B7368" w:rsidRPr="004918E0" w:rsidRDefault="009B7368" w:rsidP="009B7368">
      <w:pPr>
        <w:rPr>
          <w:lang w:val="ga-IE"/>
        </w:rPr>
      </w:pPr>
      <w:r w:rsidRPr="004918E0">
        <w:rPr>
          <w:lang w:val="ga-IE"/>
        </w:rPr>
        <w:t>Tá dliteanais phinsin in ionannas le luach reatha na n-íocaíochtaí pinsin don todhchaí atá tuillte ag baill foirne anuas go dtí seo. Tá cistiú pinsin iarchurtha in ionannas leis an tsócmhainn chomhfhreagrach le haisghabháil i dtréimhsí amach anseo ón Roinn Dlí agus Cirt agus Comhionannais.</w:t>
      </w:r>
    </w:p>
    <w:p w:rsidR="009B7368" w:rsidRPr="004918E0" w:rsidRDefault="009B7368" w:rsidP="009B7368">
      <w:pPr>
        <w:pStyle w:val="Heading2"/>
        <w:rPr>
          <w:lang w:val="ga-IE" w:eastAsia="en-GB"/>
        </w:rPr>
      </w:pPr>
      <w:r w:rsidRPr="004918E0">
        <w:rPr>
          <w:lang w:val="ga-IE"/>
        </w:rPr>
        <w:br w:type="page"/>
        <w:t xml:space="preserve">Cuntas Ioncaim agus Caiteachais don bhliain dar chríoch </w:t>
      </w:r>
      <w:r w:rsidRPr="004918E0">
        <w:rPr>
          <w:lang w:val="ga-IE" w:eastAsia="en-GB"/>
        </w:rPr>
        <w:t>31 Nollaig 2012</w:t>
      </w: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5328"/>
        <w:gridCol w:w="1254"/>
        <w:gridCol w:w="1323"/>
        <w:gridCol w:w="1417"/>
      </w:tblGrid>
      <w:tr w:rsidR="009B7368" w:rsidRPr="004918E0" w:rsidTr="00790853">
        <w:trPr>
          <w:tblHeader/>
        </w:trPr>
        <w:tc>
          <w:tcPr>
            <w:tcW w:w="5328" w:type="dxa"/>
            <w:tcBorders>
              <w:top w:val="single" w:sz="12" w:space="0" w:color="000000"/>
              <w:bottom w:val="single" w:sz="12" w:space="0" w:color="000000"/>
            </w:tcBorders>
            <w:vAlign w:val="bottom"/>
          </w:tcPr>
          <w:p w:rsidR="009B7368" w:rsidRPr="004918E0" w:rsidRDefault="009B7368" w:rsidP="00790853">
            <w:pPr>
              <w:spacing w:after="0"/>
              <w:rPr>
                <w:rFonts w:cs="Arial"/>
                <w:sz w:val="24"/>
                <w:lang w:val="ga-IE" w:eastAsia="en-GB"/>
              </w:rPr>
            </w:pPr>
          </w:p>
        </w:tc>
        <w:tc>
          <w:tcPr>
            <w:tcW w:w="1254" w:type="dxa"/>
            <w:tcBorders>
              <w:top w:val="single" w:sz="12" w:space="0" w:color="000000"/>
              <w:bottom w:val="single" w:sz="12" w:space="0" w:color="000000"/>
            </w:tcBorders>
          </w:tcPr>
          <w:p w:rsidR="009B7368" w:rsidRPr="004918E0" w:rsidRDefault="009B7368" w:rsidP="00790853">
            <w:pPr>
              <w:pStyle w:val="TableHead"/>
              <w:jc w:val="right"/>
              <w:rPr>
                <w:sz w:val="24"/>
                <w:lang w:val="ga-IE"/>
              </w:rPr>
            </w:pPr>
            <w:r w:rsidRPr="004918E0">
              <w:rPr>
                <w:sz w:val="24"/>
                <w:lang w:val="ga-IE"/>
              </w:rPr>
              <w:t>Nótaí</w:t>
            </w:r>
          </w:p>
        </w:tc>
        <w:tc>
          <w:tcPr>
            <w:tcW w:w="1323" w:type="dxa"/>
            <w:tcBorders>
              <w:top w:val="single" w:sz="12" w:space="0" w:color="000000"/>
              <w:bottom w:val="single" w:sz="12" w:space="0" w:color="000000"/>
            </w:tcBorders>
            <w:vAlign w:val="bottom"/>
          </w:tcPr>
          <w:p w:rsidR="009B7368" w:rsidRPr="004918E0" w:rsidRDefault="009B7368" w:rsidP="00790853">
            <w:pPr>
              <w:pStyle w:val="TableHead"/>
              <w:rPr>
                <w:sz w:val="24"/>
                <w:lang w:val="ga-IE" w:eastAsia="en-GB"/>
              </w:rPr>
            </w:pPr>
            <w:r w:rsidRPr="004918E0">
              <w:rPr>
                <w:sz w:val="24"/>
                <w:lang w:val="ga-IE" w:eastAsia="en-GB"/>
              </w:rPr>
              <w:t>2012</w:t>
            </w:r>
          </w:p>
        </w:tc>
        <w:tc>
          <w:tcPr>
            <w:tcW w:w="1417" w:type="dxa"/>
            <w:tcBorders>
              <w:top w:val="single" w:sz="12" w:space="0" w:color="000000"/>
              <w:bottom w:val="single" w:sz="12" w:space="0" w:color="000000"/>
            </w:tcBorders>
            <w:vAlign w:val="bottom"/>
          </w:tcPr>
          <w:p w:rsidR="009B7368" w:rsidRPr="004918E0" w:rsidRDefault="009B7368" w:rsidP="00790853">
            <w:pPr>
              <w:pStyle w:val="TableHead"/>
              <w:rPr>
                <w:sz w:val="24"/>
                <w:lang w:val="ga-IE" w:eastAsia="en-GB"/>
              </w:rPr>
            </w:pPr>
            <w:r w:rsidRPr="004918E0">
              <w:rPr>
                <w:sz w:val="24"/>
                <w:lang w:val="ga-IE" w:eastAsia="en-GB"/>
              </w:rPr>
              <w:t>2011</w:t>
            </w:r>
          </w:p>
        </w:tc>
      </w:tr>
      <w:tr w:rsidR="009B7368" w:rsidRPr="004918E0" w:rsidTr="00790853">
        <w:tc>
          <w:tcPr>
            <w:tcW w:w="9322" w:type="dxa"/>
            <w:gridSpan w:val="4"/>
            <w:tcBorders>
              <w:top w:val="single" w:sz="12" w:space="0" w:color="000000"/>
            </w:tcBorders>
            <w:vAlign w:val="bottom"/>
          </w:tcPr>
          <w:p w:rsidR="009B7368" w:rsidRPr="004918E0" w:rsidRDefault="009B7368" w:rsidP="00790853">
            <w:pPr>
              <w:pStyle w:val="TableHead"/>
              <w:jc w:val="center"/>
              <w:rPr>
                <w:rFonts w:cs="Arial"/>
                <w:bCs/>
                <w:sz w:val="24"/>
                <w:lang w:val="ga-IE" w:eastAsia="en-GB"/>
              </w:rPr>
            </w:pPr>
            <w:r w:rsidRPr="004918E0">
              <w:rPr>
                <w:sz w:val="24"/>
                <w:lang w:val="ga-IE" w:eastAsia="en-GB"/>
              </w:rPr>
              <w:t>Ioncam</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p>
        </w:tc>
        <w:tc>
          <w:tcPr>
            <w:tcW w:w="1254" w:type="dxa"/>
            <w:vAlign w:val="bottom"/>
          </w:tcPr>
          <w:p w:rsidR="009B7368" w:rsidRPr="004918E0" w:rsidRDefault="009B7368" w:rsidP="00790853">
            <w:pPr>
              <w:spacing w:after="0"/>
              <w:jc w:val="center"/>
              <w:rPr>
                <w:rFonts w:cs="Arial"/>
                <w:lang w:val="ga-IE" w:eastAsia="en-GB"/>
              </w:rPr>
            </w:pPr>
          </w:p>
        </w:tc>
        <w:tc>
          <w:tcPr>
            <w:tcW w:w="1323" w:type="dxa"/>
            <w:vAlign w:val="bottom"/>
          </w:tcPr>
          <w:p w:rsidR="009B7368" w:rsidRPr="004918E0" w:rsidRDefault="009B7368" w:rsidP="00790853">
            <w:pPr>
              <w:pStyle w:val="TableCell"/>
              <w:rPr>
                <w:lang w:val="ga-IE" w:eastAsia="en-GB"/>
              </w:rPr>
            </w:pPr>
            <w:r w:rsidRPr="004918E0">
              <w:rPr>
                <w:lang w:val="ga-IE" w:eastAsia="en-GB"/>
              </w:rPr>
              <w:t>€</w:t>
            </w:r>
          </w:p>
        </w:tc>
        <w:tc>
          <w:tcPr>
            <w:tcW w:w="1417" w:type="dxa"/>
            <w:vAlign w:val="bottom"/>
          </w:tcPr>
          <w:p w:rsidR="009B7368" w:rsidRPr="004918E0" w:rsidRDefault="009B7368" w:rsidP="00790853">
            <w:pPr>
              <w:pStyle w:val="TableCell"/>
              <w:rPr>
                <w:lang w:val="ga-IE" w:eastAsia="en-GB"/>
              </w:rPr>
            </w:pPr>
            <w:r w:rsidRPr="004918E0">
              <w:rPr>
                <w:lang w:val="ga-IE" w:eastAsia="en-GB"/>
              </w:rPr>
              <w:t>€</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Ioncam deontais</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2(a)</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3,770,470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4,170,382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Glanchistiú Iarchurtha le haghaidh Pinsean </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10(b)</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830,000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860,000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p>
        </w:tc>
        <w:tc>
          <w:tcPr>
            <w:tcW w:w="1254" w:type="dxa"/>
            <w:vAlign w:val="bottom"/>
          </w:tcPr>
          <w:p w:rsidR="009B7368" w:rsidRPr="004918E0" w:rsidRDefault="009B7368" w:rsidP="00790853">
            <w:pPr>
              <w:pStyle w:val="TableCell"/>
              <w:rPr>
                <w:sz w:val="24"/>
                <w:lang w:val="ga-IE" w:eastAsia="en-GB"/>
              </w:rPr>
            </w:pPr>
          </w:p>
        </w:tc>
        <w:tc>
          <w:tcPr>
            <w:tcW w:w="1323" w:type="dxa"/>
            <w:vAlign w:val="bottom"/>
          </w:tcPr>
          <w:p w:rsidR="009B7368" w:rsidRPr="004918E0" w:rsidRDefault="009B7368" w:rsidP="00790853">
            <w:pPr>
              <w:pStyle w:val="TableCell"/>
              <w:rPr>
                <w:sz w:val="24"/>
                <w:lang w:val="ga-IE" w:eastAsia="en-GB"/>
              </w:rPr>
            </w:pPr>
          </w:p>
        </w:tc>
        <w:tc>
          <w:tcPr>
            <w:tcW w:w="1417" w:type="dxa"/>
            <w:vAlign w:val="bottom"/>
          </w:tcPr>
          <w:p w:rsidR="009B7368" w:rsidRPr="004918E0" w:rsidRDefault="009B7368" w:rsidP="00790853">
            <w:pPr>
              <w:pStyle w:val="TableCell"/>
              <w:rPr>
                <w:sz w:val="24"/>
                <w:lang w:val="ga-IE" w:eastAsia="en-GB"/>
              </w:rPr>
            </w:pP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Ioncam Eile</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2(b)</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20,048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18,870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p>
        </w:tc>
        <w:tc>
          <w:tcPr>
            <w:tcW w:w="1254" w:type="dxa"/>
            <w:vAlign w:val="bottom"/>
          </w:tcPr>
          <w:p w:rsidR="009B7368" w:rsidRPr="004918E0" w:rsidRDefault="009B7368" w:rsidP="00790853">
            <w:pPr>
              <w:pStyle w:val="TableCell"/>
              <w:rPr>
                <w:sz w:val="24"/>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4,620,518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5,049,252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Aistriú chuig / (ó) Cuntas Caipitil </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8</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83,924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84,099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Iomlán an ioncaim</w:t>
            </w:r>
          </w:p>
        </w:tc>
        <w:tc>
          <w:tcPr>
            <w:tcW w:w="1254" w:type="dxa"/>
            <w:vAlign w:val="bottom"/>
          </w:tcPr>
          <w:p w:rsidR="009B7368" w:rsidRPr="004918E0" w:rsidRDefault="009B7368" w:rsidP="00790853">
            <w:pPr>
              <w:pStyle w:val="TableCell"/>
              <w:rPr>
                <w:sz w:val="24"/>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4,704,442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5,133,351 </w:t>
            </w:r>
          </w:p>
        </w:tc>
      </w:tr>
      <w:tr w:rsidR="009B7368" w:rsidRPr="004918E0" w:rsidTr="00790853">
        <w:tc>
          <w:tcPr>
            <w:tcW w:w="5328" w:type="dxa"/>
            <w:vAlign w:val="bottom"/>
          </w:tcPr>
          <w:p w:rsidR="009B7368" w:rsidRPr="004918E0" w:rsidRDefault="009B7368" w:rsidP="00790853">
            <w:pPr>
              <w:spacing w:after="0"/>
              <w:rPr>
                <w:rFonts w:cs="Arial"/>
                <w:b/>
                <w:bCs/>
                <w:sz w:val="24"/>
                <w:lang w:val="ga-IE" w:eastAsia="en-GB"/>
              </w:rPr>
            </w:pPr>
          </w:p>
        </w:tc>
        <w:tc>
          <w:tcPr>
            <w:tcW w:w="1254" w:type="dxa"/>
            <w:vAlign w:val="bottom"/>
          </w:tcPr>
          <w:p w:rsidR="009B7368" w:rsidRPr="004918E0" w:rsidRDefault="009B7368" w:rsidP="00790853">
            <w:pPr>
              <w:pStyle w:val="TableCell"/>
              <w:rPr>
                <w:sz w:val="24"/>
                <w:lang w:val="ga-IE" w:eastAsia="en-GB"/>
              </w:rPr>
            </w:pPr>
          </w:p>
        </w:tc>
        <w:tc>
          <w:tcPr>
            <w:tcW w:w="1323" w:type="dxa"/>
            <w:vAlign w:val="bottom"/>
          </w:tcPr>
          <w:p w:rsidR="009B7368" w:rsidRPr="004918E0" w:rsidRDefault="009B7368" w:rsidP="00790853">
            <w:pPr>
              <w:pStyle w:val="TableCell"/>
              <w:rPr>
                <w:sz w:val="24"/>
                <w:lang w:val="ga-IE" w:eastAsia="en-GB"/>
              </w:rPr>
            </w:pPr>
          </w:p>
        </w:tc>
        <w:tc>
          <w:tcPr>
            <w:tcW w:w="1417" w:type="dxa"/>
            <w:vAlign w:val="bottom"/>
          </w:tcPr>
          <w:p w:rsidR="009B7368" w:rsidRPr="004918E0" w:rsidRDefault="009B7368" w:rsidP="00790853">
            <w:pPr>
              <w:pStyle w:val="TableCell"/>
              <w:rPr>
                <w:sz w:val="24"/>
                <w:lang w:val="ga-IE" w:eastAsia="en-GB"/>
              </w:rPr>
            </w:pPr>
          </w:p>
        </w:tc>
      </w:tr>
      <w:tr w:rsidR="009B7368" w:rsidRPr="004918E0" w:rsidTr="00790853">
        <w:tc>
          <w:tcPr>
            <w:tcW w:w="9322" w:type="dxa"/>
            <w:gridSpan w:val="4"/>
            <w:vAlign w:val="bottom"/>
          </w:tcPr>
          <w:p w:rsidR="009B7368" w:rsidRPr="004918E0" w:rsidRDefault="009B7368" w:rsidP="00790853">
            <w:pPr>
              <w:pStyle w:val="TableHead"/>
              <w:jc w:val="center"/>
              <w:rPr>
                <w:sz w:val="24"/>
                <w:lang w:val="ga-IE" w:eastAsia="en-GB"/>
              </w:rPr>
            </w:pPr>
            <w:r w:rsidRPr="004918E0">
              <w:rPr>
                <w:sz w:val="24"/>
                <w:lang w:val="ga-IE" w:eastAsia="en-GB"/>
              </w:rPr>
              <w:t>Caiteachas</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Tionscadail agus obair Choimisiúnaithe </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3</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650,418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968,216 </w:t>
            </w:r>
          </w:p>
        </w:tc>
      </w:tr>
      <w:tr w:rsidR="009B7368" w:rsidRPr="004918E0" w:rsidTr="00790853">
        <w:tc>
          <w:tcPr>
            <w:tcW w:w="5328" w:type="dxa"/>
            <w:vAlign w:val="bottom"/>
          </w:tcPr>
          <w:p w:rsidR="009B7368" w:rsidRPr="004918E0" w:rsidRDefault="009B7368" w:rsidP="00790853">
            <w:pPr>
              <w:spacing w:after="0"/>
              <w:rPr>
                <w:rFonts w:cs="Arial"/>
                <w:sz w:val="24"/>
                <w:lang w:val="ga-IE" w:eastAsia="en-GB"/>
              </w:rPr>
            </w:pPr>
          </w:p>
        </w:tc>
        <w:tc>
          <w:tcPr>
            <w:tcW w:w="1254" w:type="dxa"/>
            <w:vAlign w:val="bottom"/>
          </w:tcPr>
          <w:p w:rsidR="009B7368" w:rsidRPr="004918E0" w:rsidRDefault="009B7368" w:rsidP="00790853">
            <w:pPr>
              <w:pStyle w:val="TableCell"/>
              <w:rPr>
                <w:sz w:val="24"/>
                <w:lang w:val="ga-IE" w:eastAsia="en-GB"/>
              </w:rPr>
            </w:pPr>
          </w:p>
        </w:tc>
        <w:tc>
          <w:tcPr>
            <w:tcW w:w="1323" w:type="dxa"/>
            <w:vAlign w:val="bottom"/>
          </w:tcPr>
          <w:p w:rsidR="009B7368" w:rsidRPr="004918E0" w:rsidRDefault="009B7368" w:rsidP="00790853">
            <w:pPr>
              <w:pStyle w:val="TableCell"/>
              <w:rPr>
                <w:sz w:val="24"/>
                <w:lang w:val="ga-IE" w:eastAsia="en-GB"/>
              </w:rPr>
            </w:pPr>
          </w:p>
        </w:tc>
        <w:tc>
          <w:tcPr>
            <w:tcW w:w="1417" w:type="dxa"/>
            <w:vAlign w:val="bottom"/>
          </w:tcPr>
          <w:p w:rsidR="009B7368" w:rsidRPr="004918E0" w:rsidRDefault="009B7368" w:rsidP="00790853">
            <w:pPr>
              <w:pStyle w:val="TableCell"/>
              <w:rPr>
                <w:sz w:val="24"/>
                <w:lang w:val="ga-IE" w:eastAsia="en-GB"/>
              </w:rPr>
            </w:pPr>
          </w:p>
        </w:tc>
      </w:tr>
      <w:tr w:rsidR="009B7368" w:rsidRPr="004918E0" w:rsidTr="00790853">
        <w:tc>
          <w:tcPr>
            <w:tcW w:w="9322" w:type="dxa"/>
            <w:gridSpan w:val="4"/>
            <w:vAlign w:val="bottom"/>
          </w:tcPr>
          <w:p w:rsidR="009B7368" w:rsidRPr="004918E0" w:rsidRDefault="009B7368" w:rsidP="00790853">
            <w:pPr>
              <w:pStyle w:val="TableHead"/>
              <w:jc w:val="center"/>
              <w:rPr>
                <w:sz w:val="24"/>
                <w:lang w:val="ga-IE" w:eastAsia="en-GB"/>
              </w:rPr>
            </w:pPr>
            <w:r w:rsidRPr="004918E0">
              <w:rPr>
                <w:sz w:val="24"/>
                <w:lang w:val="ga-IE" w:eastAsia="en-GB"/>
              </w:rPr>
              <w:t xml:space="preserve">Costais Fhorbartha, Tacaíochta agus Riaracháin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Párolla</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4</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2,004,919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2,099,230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Costais Phinsin</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10(c)</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1,255,877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1,312,002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Costais Riaracháin</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5</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569,312</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677,175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Dímheas</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7</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79,681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93,334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p>
        </w:tc>
        <w:tc>
          <w:tcPr>
            <w:tcW w:w="1254" w:type="dxa"/>
            <w:vAlign w:val="bottom"/>
          </w:tcPr>
          <w:p w:rsidR="009B7368" w:rsidRPr="004918E0" w:rsidRDefault="009B7368" w:rsidP="00790853">
            <w:pPr>
              <w:pStyle w:val="TableCell"/>
              <w:rPr>
                <w:sz w:val="24"/>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3,909,789</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4,181,741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Iomlán an Chaiteachais</w:t>
            </w:r>
          </w:p>
        </w:tc>
        <w:tc>
          <w:tcPr>
            <w:tcW w:w="1254" w:type="dxa"/>
            <w:vAlign w:val="bottom"/>
          </w:tcPr>
          <w:p w:rsidR="009B7368" w:rsidRPr="004918E0" w:rsidRDefault="009B7368" w:rsidP="00790853">
            <w:pPr>
              <w:pStyle w:val="TableCell"/>
              <w:rPr>
                <w:sz w:val="24"/>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4,560,207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5,149,957 </w:t>
            </w:r>
          </w:p>
        </w:tc>
      </w:tr>
      <w:tr w:rsidR="009B7368" w:rsidRPr="004918E0" w:rsidTr="00790853">
        <w:tc>
          <w:tcPr>
            <w:tcW w:w="5328" w:type="dxa"/>
            <w:vAlign w:val="bottom"/>
          </w:tcPr>
          <w:p w:rsidR="009B7368" w:rsidRPr="004918E0" w:rsidRDefault="009B7368" w:rsidP="00790853">
            <w:pPr>
              <w:spacing w:after="0"/>
              <w:rPr>
                <w:rFonts w:cs="Arial"/>
                <w:b/>
                <w:bCs/>
                <w:sz w:val="24"/>
                <w:lang w:val="ga-IE" w:eastAsia="en-GB"/>
              </w:rPr>
            </w:pPr>
            <w:r w:rsidRPr="004918E0">
              <w:rPr>
                <w:rFonts w:cs="Arial"/>
                <w:b/>
                <w:bCs/>
                <w:sz w:val="24"/>
                <w:lang w:val="ga-IE" w:eastAsia="en-GB"/>
              </w:rPr>
              <w:t>Barrachas / Easnamh don bhliain</w:t>
            </w:r>
          </w:p>
        </w:tc>
        <w:tc>
          <w:tcPr>
            <w:tcW w:w="1254" w:type="dxa"/>
            <w:vAlign w:val="bottom"/>
          </w:tcPr>
          <w:p w:rsidR="009B7368" w:rsidRPr="004918E0" w:rsidRDefault="009B7368" w:rsidP="00790853">
            <w:pPr>
              <w:pStyle w:val="TableCell"/>
              <w:rPr>
                <w:b/>
                <w:bCs/>
                <w:sz w:val="24"/>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144,235</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(16,606)</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Barrachas (Easnamh) Coimeádta ar an 1 Eanáir </w:t>
            </w:r>
          </w:p>
        </w:tc>
        <w:tc>
          <w:tcPr>
            <w:tcW w:w="1254" w:type="dxa"/>
            <w:vAlign w:val="bottom"/>
          </w:tcPr>
          <w:p w:rsidR="009B7368" w:rsidRPr="004918E0" w:rsidRDefault="009B7368" w:rsidP="00790853">
            <w:pPr>
              <w:pStyle w:val="TableCell"/>
              <w:rPr>
                <w:sz w:val="24"/>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29,413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46,019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Barrachas/ (Easnamh) Coimeádta ar an 31 Nollaig </w:t>
            </w:r>
          </w:p>
        </w:tc>
        <w:tc>
          <w:tcPr>
            <w:tcW w:w="1254" w:type="dxa"/>
            <w:vAlign w:val="bottom"/>
          </w:tcPr>
          <w:p w:rsidR="009B7368" w:rsidRPr="004918E0" w:rsidRDefault="009B7368" w:rsidP="00790853">
            <w:pPr>
              <w:pStyle w:val="TableCell"/>
              <w:rPr>
                <w:b/>
                <w:bCs/>
                <w:sz w:val="24"/>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173,648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29,413 </w:t>
            </w:r>
          </w:p>
        </w:tc>
      </w:tr>
      <w:tr w:rsidR="009B7368" w:rsidRPr="004918E0" w:rsidTr="00790853">
        <w:tc>
          <w:tcPr>
            <w:tcW w:w="9322" w:type="dxa"/>
            <w:gridSpan w:val="4"/>
            <w:vAlign w:val="bottom"/>
          </w:tcPr>
          <w:p w:rsidR="009B7368" w:rsidRPr="004918E0" w:rsidRDefault="009B7368" w:rsidP="00790853">
            <w:pPr>
              <w:spacing w:after="0"/>
              <w:jc w:val="center"/>
              <w:rPr>
                <w:rFonts w:cs="Arial"/>
                <w:sz w:val="24"/>
                <w:lang w:val="ga-IE" w:eastAsia="en-GB"/>
              </w:rPr>
            </w:pPr>
            <w:r w:rsidRPr="004918E0">
              <w:rPr>
                <w:b/>
                <w:bCs/>
                <w:sz w:val="24"/>
                <w:lang w:val="ga-IE" w:eastAsia="en-GB"/>
              </w:rPr>
              <w:t xml:space="preserve">Ráiteas faoi Iomlán na nGnóthachan agus na gCaillteanas Aitheanta </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Barrachas /(Easnamh) don bhliain</w:t>
            </w:r>
          </w:p>
        </w:tc>
        <w:tc>
          <w:tcPr>
            <w:tcW w:w="1254" w:type="dxa"/>
            <w:vAlign w:val="bottom"/>
          </w:tcPr>
          <w:p w:rsidR="009B7368" w:rsidRPr="004918E0" w:rsidRDefault="009B7368" w:rsidP="00790853">
            <w:pPr>
              <w:spacing w:after="0"/>
              <w:jc w:val="center"/>
              <w:rPr>
                <w:rFonts w:cs="Arial"/>
                <w:b/>
                <w:bCs/>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144,235</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(16,606)</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(Gnóthachan) / Caillteanas Achtúireach ar Dhliteanais Phinsin </w:t>
            </w:r>
          </w:p>
        </w:tc>
        <w:tc>
          <w:tcPr>
            <w:tcW w:w="1254" w:type="dxa"/>
            <w:vAlign w:val="bottom"/>
          </w:tcPr>
          <w:p w:rsidR="009B7368" w:rsidRPr="004918E0" w:rsidRDefault="009B7368" w:rsidP="00790853">
            <w:pPr>
              <w:pStyle w:val="TableCell"/>
              <w:rPr>
                <w:sz w:val="24"/>
                <w:lang w:val="ga-IE" w:eastAsia="en-GB"/>
              </w:rPr>
            </w:pPr>
            <w:r w:rsidRPr="004918E0">
              <w:rPr>
                <w:sz w:val="24"/>
                <w:lang w:val="ga-IE" w:eastAsia="en-GB"/>
              </w:rPr>
              <w:t>10(e)</w:t>
            </w: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(1,030,000)</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(1,260,000)</w:t>
            </w:r>
          </w:p>
        </w:tc>
      </w:tr>
      <w:tr w:rsidR="009B7368" w:rsidRPr="004918E0" w:rsidTr="00790853">
        <w:tc>
          <w:tcPr>
            <w:tcW w:w="532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Leasú ar Chistiú Pinsin Iarchurtha </w:t>
            </w:r>
          </w:p>
        </w:tc>
        <w:tc>
          <w:tcPr>
            <w:tcW w:w="1254" w:type="dxa"/>
            <w:vAlign w:val="bottom"/>
          </w:tcPr>
          <w:p w:rsidR="009B7368" w:rsidRPr="004918E0" w:rsidRDefault="009B7368" w:rsidP="00790853">
            <w:pPr>
              <w:spacing w:after="0"/>
              <w:jc w:val="center"/>
              <w:rPr>
                <w:rFonts w:cs="Arial"/>
                <w:b/>
                <w:bCs/>
                <w:lang w:val="ga-IE" w:eastAsia="en-GB"/>
              </w:rPr>
            </w:pPr>
          </w:p>
        </w:tc>
        <w:tc>
          <w:tcPr>
            <w:tcW w:w="1323" w:type="dxa"/>
            <w:vAlign w:val="bottom"/>
          </w:tcPr>
          <w:p w:rsidR="009B7368" w:rsidRPr="004918E0" w:rsidRDefault="009B7368" w:rsidP="00790853">
            <w:pPr>
              <w:pStyle w:val="TableCell"/>
              <w:rPr>
                <w:sz w:val="24"/>
                <w:lang w:val="ga-IE" w:eastAsia="en-GB"/>
              </w:rPr>
            </w:pPr>
            <w:r w:rsidRPr="004918E0">
              <w:rPr>
                <w:sz w:val="24"/>
                <w:lang w:val="ga-IE" w:eastAsia="en-GB"/>
              </w:rPr>
              <w:t xml:space="preserve">1,030,000 </w:t>
            </w:r>
          </w:p>
        </w:tc>
        <w:tc>
          <w:tcPr>
            <w:tcW w:w="1417" w:type="dxa"/>
            <w:vAlign w:val="bottom"/>
          </w:tcPr>
          <w:p w:rsidR="009B7368" w:rsidRPr="004918E0" w:rsidRDefault="009B7368" w:rsidP="00790853">
            <w:pPr>
              <w:pStyle w:val="TableCell"/>
              <w:rPr>
                <w:sz w:val="24"/>
                <w:lang w:val="ga-IE" w:eastAsia="en-GB"/>
              </w:rPr>
            </w:pPr>
            <w:r w:rsidRPr="004918E0">
              <w:rPr>
                <w:sz w:val="24"/>
                <w:lang w:val="ga-IE" w:eastAsia="en-GB"/>
              </w:rPr>
              <w:t xml:space="preserve">1,260,000 </w:t>
            </w:r>
          </w:p>
        </w:tc>
      </w:tr>
      <w:tr w:rsidR="009B7368" w:rsidRPr="004918E0" w:rsidTr="00790853">
        <w:tc>
          <w:tcPr>
            <w:tcW w:w="5328" w:type="dxa"/>
            <w:tcBorders>
              <w:bottom w:val="single" w:sz="12" w:space="0" w:color="000000"/>
            </w:tcBorders>
            <w:vAlign w:val="bottom"/>
          </w:tcPr>
          <w:p w:rsidR="009B7368" w:rsidRPr="004918E0" w:rsidRDefault="009B7368" w:rsidP="00790853">
            <w:pPr>
              <w:pStyle w:val="TableRowHead"/>
              <w:rPr>
                <w:rFonts w:ascii="Gill Sans" w:hAnsi="Gill Sans"/>
                <w:bCs/>
                <w:sz w:val="24"/>
                <w:lang w:val="ga-IE" w:eastAsia="en-GB"/>
              </w:rPr>
            </w:pPr>
            <w:r w:rsidRPr="004918E0">
              <w:rPr>
                <w:rFonts w:ascii="Gill Sans" w:hAnsi="Gill Sans"/>
                <w:bCs/>
                <w:sz w:val="24"/>
                <w:lang w:val="ga-IE" w:eastAsia="en-GB"/>
              </w:rPr>
              <w:t xml:space="preserve">Iomlán na nGnóthachan / (na gCaillteanas) aitheanta don bhliain </w:t>
            </w:r>
          </w:p>
        </w:tc>
        <w:tc>
          <w:tcPr>
            <w:tcW w:w="1254" w:type="dxa"/>
            <w:tcBorders>
              <w:bottom w:val="single" w:sz="12" w:space="0" w:color="000000"/>
            </w:tcBorders>
            <w:vAlign w:val="bottom"/>
          </w:tcPr>
          <w:p w:rsidR="009B7368" w:rsidRPr="004918E0" w:rsidRDefault="009B7368" w:rsidP="00790853">
            <w:pPr>
              <w:spacing w:after="0"/>
              <w:jc w:val="center"/>
              <w:rPr>
                <w:rFonts w:cs="Arial"/>
                <w:b/>
                <w:bCs/>
                <w:lang w:val="ga-IE" w:eastAsia="en-GB"/>
              </w:rPr>
            </w:pPr>
          </w:p>
        </w:tc>
        <w:tc>
          <w:tcPr>
            <w:tcW w:w="1323" w:type="dxa"/>
            <w:tcBorders>
              <w:bottom w:val="single" w:sz="12" w:space="0" w:color="000000"/>
            </w:tcBorders>
            <w:vAlign w:val="bottom"/>
          </w:tcPr>
          <w:p w:rsidR="009B7368" w:rsidRPr="004918E0" w:rsidRDefault="009B7368" w:rsidP="00790853">
            <w:pPr>
              <w:pStyle w:val="TableCell"/>
              <w:rPr>
                <w:b/>
                <w:bCs/>
                <w:sz w:val="24"/>
                <w:lang w:val="ga-IE" w:eastAsia="en-GB"/>
              </w:rPr>
            </w:pPr>
            <w:r w:rsidRPr="004918E0">
              <w:rPr>
                <w:b/>
                <w:bCs/>
                <w:sz w:val="24"/>
                <w:lang w:val="ga-IE" w:eastAsia="en-GB"/>
              </w:rPr>
              <w:t>144,235</w:t>
            </w:r>
          </w:p>
        </w:tc>
        <w:tc>
          <w:tcPr>
            <w:tcW w:w="1417" w:type="dxa"/>
            <w:tcBorders>
              <w:bottom w:val="single" w:sz="12" w:space="0" w:color="000000"/>
            </w:tcBorders>
            <w:vAlign w:val="bottom"/>
          </w:tcPr>
          <w:p w:rsidR="009B7368" w:rsidRPr="004918E0" w:rsidRDefault="009B7368" w:rsidP="00790853">
            <w:pPr>
              <w:pStyle w:val="TableCell"/>
              <w:rPr>
                <w:b/>
                <w:bCs/>
                <w:sz w:val="24"/>
                <w:lang w:val="ga-IE" w:eastAsia="en-GB"/>
              </w:rPr>
            </w:pPr>
            <w:r w:rsidRPr="004918E0">
              <w:rPr>
                <w:b/>
                <w:bCs/>
                <w:sz w:val="24"/>
                <w:lang w:val="ga-IE" w:eastAsia="en-GB"/>
              </w:rPr>
              <w:t>(16,606)</w:t>
            </w:r>
          </w:p>
        </w:tc>
      </w:tr>
    </w:tbl>
    <w:p w:rsidR="009B7368" w:rsidRPr="004918E0" w:rsidRDefault="009B7368" w:rsidP="009B7368">
      <w:pPr>
        <w:spacing w:after="120"/>
        <w:rPr>
          <w:lang w:val="ga-IE" w:eastAsia="en-GB"/>
        </w:rPr>
      </w:pPr>
      <w:r w:rsidRPr="004918E0">
        <w:rPr>
          <w:lang w:val="ga-IE" w:eastAsia="en-GB"/>
        </w:rPr>
        <w:t>Baineann na torthaí don bhliain le hoibríochtaí leantacha.</w:t>
      </w:r>
    </w:p>
    <w:p w:rsidR="009B7368" w:rsidRPr="004918E0" w:rsidRDefault="009B7368" w:rsidP="009B7368">
      <w:pPr>
        <w:rPr>
          <w:lang w:val="ga-IE" w:eastAsia="en-GB"/>
        </w:rPr>
      </w:pPr>
      <w:r w:rsidRPr="004918E0">
        <w:rPr>
          <w:lang w:val="ga-IE" w:eastAsia="en-GB"/>
        </w:rPr>
        <w:t>Tá an Ráiteas faoi Pholasaithe Cuntasaíochta, an Ráiteas faoi Shreabhadh Airgid agus Nóta 1 go 16 mar chuid de na Ráitis Airgeadais.</w:t>
      </w:r>
    </w:p>
    <w:p w:rsidR="009B7368" w:rsidRPr="004918E0" w:rsidRDefault="009B7368" w:rsidP="009B7368">
      <w:pPr>
        <w:spacing w:after="0"/>
        <w:rPr>
          <w:b/>
          <w:lang w:val="ga-IE" w:eastAsia="en-GB"/>
        </w:rPr>
      </w:pPr>
      <w:r w:rsidRPr="004918E0">
        <w:rPr>
          <w:b/>
          <w:lang w:val="ga-IE" w:eastAsia="en-GB"/>
        </w:rPr>
        <w:t>Sínithe:</w:t>
      </w:r>
      <w:r w:rsidRPr="004918E0">
        <w:rPr>
          <w:b/>
          <w:lang w:val="ga-IE" w:eastAsia="en-GB"/>
        </w:rPr>
        <w:tab/>
      </w:r>
    </w:p>
    <w:p w:rsidR="009B7368" w:rsidRPr="004918E0" w:rsidRDefault="00DD51CC" w:rsidP="009B7368">
      <w:pPr>
        <w:spacing w:after="0"/>
        <w:rPr>
          <w:b/>
          <w:bCs/>
          <w:sz w:val="8"/>
          <w:szCs w:val="6"/>
          <w:lang w:val="ga-IE" w:eastAsia="en-GB"/>
        </w:rPr>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40640</wp:posOffset>
                </wp:positionV>
                <wp:extent cx="1943100" cy="0"/>
                <wp:effectExtent l="9525" t="12065" r="9525" b="698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3D080"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pt" to="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0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"/>
            </w:pict>
          </mc:Fallback>
        </mc:AlternateContent>
      </w:r>
    </w:p>
    <w:p w:rsidR="009B7368" w:rsidRPr="004918E0" w:rsidRDefault="009B7368" w:rsidP="009B7368">
      <w:pPr>
        <w:spacing w:after="0"/>
        <w:ind w:left="720" w:firstLine="720"/>
        <w:rPr>
          <w:b/>
          <w:lang w:val="ga-IE" w:eastAsia="en-GB"/>
        </w:rPr>
      </w:pPr>
      <w:r w:rsidRPr="004918E0">
        <w:rPr>
          <w:b/>
          <w:lang w:val="ga-IE" w:eastAsia="en-GB"/>
        </w:rPr>
        <w:t>Peter McKevitt</w:t>
      </w:r>
    </w:p>
    <w:p w:rsidR="009B7368" w:rsidRPr="004918E0" w:rsidRDefault="009B7368" w:rsidP="009B7368">
      <w:pPr>
        <w:spacing w:after="0"/>
        <w:ind w:left="720" w:firstLine="720"/>
        <w:rPr>
          <w:b/>
          <w:lang w:val="ga-IE" w:eastAsia="en-GB"/>
        </w:rPr>
      </w:pPr>
      <w:r w:rsidRPr="004918E0">
        <w:rPr>
          <w:b/>
          <w:lang w:val="ga-IE" w:eastAsia="en-GB"/>
        </w:rPr>
        <w:t>Cathaoirleach</w:t>
      </w:r>
    </w:p>
    <w:p w:rsidR="009B7368" w:rsidRPr="004918E0" w:rsidRDefault="009B7368" w:rsidP="009B7368">
      <w:pPr>
        <w:spacing w:after="0"/>
        <w:ind w:left="720" w:firstLine="720"/>
        <w:rPr>
          <w:b/>
          <w:sz w:val="8"/>
          <w:szCs w:val="8"/>
          <w:lang w:val="ga-IE" w:eastAsia="en-GB"/>
        </w:rPr>
      </w:pPr>
    </w:p>
    <w:p w:rsidR="009B7368" w:rsidRPr="004918E0" w:rsidRDefault="00DD51CC" w:rsidP="009B7368">
      <w:pPr>
        <w:spacing w:after="0"/>
        <w:ind w:left="720" w:hanging="720"/>
        <w:rPr>
          <w:b/>
          <w:lang w:val="ga-IE" w:eastAsia="en-GB"/>
        </w:rPr>
      </w:pP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159385</wp:posOffset>
                </wp:positionV>
                <wp:extent cx="1943100" cy="0"/>
                <wp:effectExtent l="9525" t="6985" r="9525" b="12065"/>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006"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5pt" to="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cLEwIAACo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"/>
            </w:pict>
          </mc:Fallback>
        </mc:AlternateContent>
      </w:r>
      <w:r w:rsidR="009B7368" w:rsidRPr="004918E0">
        <w:rPr>
          <w:b/>
          <w:lang w:val="ga-IE" w:eastAsia="en-GB"/>
        </w:rPr>
        <w:t xml:space="preserve">Sínithe: </w:t>
      </w:r>
      <w:r w:rsidR="009B7368" w:rsidRPr="004918E0">
        <w:rPr>
          <w:b/>
          <w:lang w:val="ga-IE" w:eastAsia="en-GB"/>
        </w:rPr>
        <w:tab/>
      </w:r>
    </w:p>
    <w:p w:rsidR="009B7368" w:rsidRPr="004918E0" w:rsidRDefault="009B7368" w:rsidP="009B7368">
      <w:pPr>
        <w:spacing w:after="0"/>
        <w:ind w:left="720" w:hanging="720"/>
        <w:rPr>
          <w:b/>
          <w:sz w:val="6"/>
          <w:szCs w:val="6"/>
          <w:lang w:val="ga-IE" w:eastAsia="en-GB"/>
        </w:rPr>
      </w:pPr>
    </w:p>
    <w:p w:rsidR="009B7368" w:rsidRPr="004918E0" w:rsidRDefault="009B7368" w:rsidP="009B7368">
      <w:pPr>
        <w:spacing w:after="0"/>
        <w:ind w:left="720" w:firstLine="720"/>
        <w:rPr>
          <w:b/>
          <w:lang w:val="ga-IE" w:eastAsia="en-GB"/>
        </w:rPr>
      </w:pPr>
      <w:r w:rsidRPr="004918E0">
        <w:rPr>
          <w:b/>
          <w:lang w:val="ga-IE" w:eastAsia="en-GB"/>
        </w:rPr>
        <w:t>Frank Cuneen</w:t>
      </w:r>
    </w:p>
    <w:p w:rsidR="009B7368" w:rsidRPr="004918E0" w:rsidRDefault="009B7368" w:rsidP="009B7368">
      <w:pPr>
        <w:spacing w:after="0"/>
        <w:ind w:left="720" w:firstLine="720"/>
        <w:rPr>
          <w:b/>
          <w:lang w:val="ga-IE" w:eastAsia="en-GB"/>
        </w:rPr>
      </w:pPr>
      <w:r w:rsidRPr="004918E0">
        <w:rPr>
          <w:b/>
          <w:lang w:val="ga-IE" w:eastAsia="en-GB"/>
        </w:rPr>
        <w:t>Comhalta Údaráis</w:t>
      </w:r>
    </w:p>
    <w:p w:rsidR="009B7368" w:rsidRPr="004918E0" w:rsidRDefault="009B7368" w:rsidP="009B7368">
      <w:pPr>
        <w:spacing w:after="0"/>
        <w:rPr>
          <w:b/>
          <w:sz w:val="8"/>
          <w:szCs w:val="8"/>
          <w:lang w:val="ga-IE" w:eastAsia="en-GB"/>
        </w:rPr>
      </w:pPr>
    </w:p>
    <w:p w:rsidR="009B7368" w:rsidRPr="004918E0" w:rsidRDefault="00DD51CC" w:rsidP="009B7368">
      <w:pPr>
        <w:spacing w:after="0"/>
        <w:rPr>
          <w:b/>
          <w:sz w:val="6"/>
          <w:szCs w:val="6"/>
          <w:lang w:val="ga-IE" w:eastAsia="en-GB"/>
        </w:rPr>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187960</wp:posOffset>
                </wp:positionV>
                <wp:extent cx="1943100" cy="0"/>
                <wp:effectExtent l="9525" t="6985" r="9525" b="1206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8A66"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2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Sb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"/>
            </w:pict>
          </mc:Fallback>
        </mc:AlternateContent>
      </w:r>
      <w:r w:rsidR="009B7368" w:rsidRPr="004918E0">
        <w:rPr>
          <w:b/>
          <w:lang w:val="ga-IE" w:eastAsia="en-GB"/>
        </w:rPr>
        <w:t>Sínithe:</w:t>
      </w:r>
      <w:r w:rsidR="009B7368" w:rsidRPr="004918E0">
        <w:rPr>
          <w:b/>
          <w:lang w:val="ga-IE" w:eastAsia="en-GB"/>
        </w:rPr>
        <w:tab/>
      </w:r>
      <w:r w:rsidR="009B7368" w:rsidRPr="004918E0">
        <w:rPr>
          <w:b/>
          <w:lang w:val="ga-IE" w:eastAsia="en-GB"/>
        </w:rPr>
        <w:br/>
      </w:r>
    </w:p>
    <w:p w:rsidR="009B7368" w:rsidRPr="004918E0" w:rsidRDefault="009B7368" w:rsidP="009B7368">
      <w:pPr>
        <w:spacing w:after="0"/>
        <w:ind w:left="1440"/>
        <w:rPr>
          <w:b/>
          <w:lang w:val="ga-IE" w:eastAsia="en-GB"/>
        </w:rPr>
      </w:pPr>
      <w:r w:rsidRPr="004918E0">
        <w:rPr>
          <w:b/>
          <w:lang w:val="ga-IE" w:eastAsia="en-GB"/>
        </w:rPr>
        <w:t>Siobhán Barron</w:t>
      </w:r>
    </w:p>
    <w:p w:rsidR="009B7368" w:rsidRPr="004918E0" w:rsidRDefault="009B7368" w:rsidP="009B7368">
      <w:pPr>
        <w:spacing w:after="0"/>
        <w:rPr>
          <w:b/>
          <w:lang w:val="ga-IE" w:eastAsia="en-GB"/>
        </w:rPr>
      </w:pPr>
      <w:r w:rsidRPr="004918E0">
        <w:rPr>
          <w:b/>
          <w:lang w:val="ga-IE" w:eastAsia="en-GB"/>
        </w:rPr>
        <w:tab/>
      </w:r>
      <w:r w:rsidRPr="004918E0">
        <w:rPr>
          <w:b/>
          <w:lang w:val="ga-IE" w:eastAsia="en-GB"/>
        </w:rPr>
        <w:tab/>
        <w:t>Director</w:t>
      </w:r>
    </w:p>
    <w:p w:rsidR="009B7368" w:rsidRPr="004918E0" w:rsidRDefault="009B7368" w:rsidP="009B7368">
      <w:pPr>
        <w:spacing w:after="0"/>
        <w:rPr>
          <w:b/>
          <w:sz w:val="12"/>
          <w:szCs w:val="12"/>
          <w:lang w:val="ga-IE" w:eastAsia="en-GB"/>
        </w:rPr>
      </w:pPr>
    </w:p>
    <w:p w:rsidR="009B7368" w:rsidRPr="004918E0" w:rsidRDefault="009B7368" w:rsidP="009B7368">
      <w:pPr>
        <w:spacing w:after="0"/>
        <w:rPr>
          <w:b/>
          <w:lang w:val="ga-IE" w:eastAsia="en-GB"/>
        </w:rPr>
      </w:pPr>
      <w:r w:rsidRPr="004918E0">
        <w:rPr>
          <w:b/>
          <w:lang w:val="ga-IE" w:eastAsia="en-GB"/>
        </w:rPr>
        <w:t>Dáta:</w:t>
      </w:r>
      <w:r w:rsidRPr="004918E0">
        <w:rPr>
          <w:b/>
          <w:lang w:val="ga-IE" w:eastAsia="en-GB"/>
        </w:rPr>
        <w:tab/>
      </w:r>
      <w:r w:rsidRPr="004918E0">
        <w:rPr>
          <w:b/>
          <w:lang w:val="ga-IE" w:eastAsia="en-GB"/>
        </w:rPr>
        <w:tab/>
      </w:r>
      <w:r w:rsidRPr="004918E0">
        <w:rPr>
          <w:lang w:val="ga-IE" w:eastAsia="en-GB"/>
        </w:rPr>
        <w:t>14 Lúnasa 2013</w:t>
      </w:r>
    </w:p>
    <w:p w:rsidR="009B7368" w:rsidRPr="004918E0" w:rsidRDefault="009B7368" w:rsidP="009B7368">
      <w:pPr>
        <w:pStyle w:val="Heading2"/>
        <w:rPr>
          <w:lang w:val="ga-IE" w:eastAsia="en-GB"/>
        </w:rPr>
      </w:pPr>
      <w:r w:rsidRPr="004918E0">
        <w:rPr>
          <w:lang w:val="ga-IE" w:eastAsia="en-GB"/>
        </w:rPr>
        <w:br w:type="page"/>
        <w:t>Clár Comhardaithe amhail an 31 Nollaig 2012</w:t>
      </w:r>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788"/>
        <w:gridCol w:w="1116"/>
        <w:gridCol w:w="1476"/>
        <w:gridCol w:w="1476"/>
      </w:tblGrid>
      <w:tr w:rsidR="009B7368" w:rsidRPr="004918E0" w:rsidTr="00790853">
        <w:tc>
          <w:tcPr>
            <w:tcW w:w="4788" w:type="dxa"/>
            <w:tcBorders>
              <w:top w:val="single" w:sz="12" w:space="0" w:color="000000"/>
            </w:tcBorders>
          </w:tcPr>
          <w:p w:rsidR="009B7368" w:rsidRPr="004918E0" w:rsidRDefault="009B7368" w:rsidP="00790853">
            <w:pPr>
              <w:pStyle w:val="TableRowHead"/>
              <w:rPr>
                <w:rFonts w:ascii="Gill Sans" w:hAnsi="Gill Sans"/>
                <w:sz w:val="24"/>
                <w:lang w:val="ga-IE"/>
              </w:rPr>
            </w:pPr>
          </w:p>
        </w:tc>
        <w:tc>
          <w:tcPr>
            <w:tcW w:w="1116" w:type="dxa"/>
            <w:tcBorders>
              <w:top w:val="single" w:sz="12" w:space="0" w:color="000000"/>
            </w:tcBorders>
            <w:vAlign w:val="bottom"/>
          </w:tcPr>
          <w:p w:rsidR="009B7368" w:rsidRPr="004918E0" w:rsidRDefault="009B7368" w:rsidP="00790853">
            <w:pPr>
              <w:spacing w:after="0"/>
              <w:jc w:val="center"/>
              <w:rPr>
                <w:rFonts w:cs="Arial"/>
                <w:b/>
                <w:sz w:val="24"/>
                <w:lang w:val="ga-IE" w:eastAsia="en-GB"/>
              </w:rPr>
            </w:pPr>
            <w:r w:rsidRPr="004918E0">
              <w:rPr>
                <w:rFonts w:cs="Arial"/>
                <w:b/>
                <w:sz w:val="24"/>
                <w:lang w:val="ga-IE" w:eastAsia="en-GB"/>
              </w:rPr>
              <w:t xml:space="preserve">Nótaí </w:t>
            </w:r>
          </w:p>
        </w:tc>
        <w:tc>
          <w:tcPr>
            <w:tcW w:w="1476" w:type="dxa"/>
            <w:tcBorders>
              <w:top w:val="single" w:sz="12" w:space="0" w:color="000000"/>
            </w:tcBorders>
            <w:vAlign w:val="bottom"/>
          </w:tcPr>
          <w:p w:rsidR="009B7368" w:rsidRPr="004918E0" w:rsidRDefault="009B7368" w:rsidP="00790853">
            <w:pPr>
              <w:spacing w:after="0"/>
              <w:jc w:val="right"/>
              <w:rPr>
                <w:rFonts w:ascii="Arial" w:hAnsi="Arial" w:cs="Arial"/>
                <w:b/>
                <w:bCs/>
                <w:sz w:val="24"/>
                <w:lang w:val="ga-IE" w:eastAsia="en-GB"/>
              </w:rPr>
            </w:pPr>
            <w:r w:rsidRPr="004918E0">
              <w:rPr>
                <w:rFonts w:ascii="Arial" w:hAnsi="Arial" w:cs="Arial"/>
                <w:b/>
                <w:bCs/>
                <w:sz w:val="24"/>
                <w:lang w:val="ga-IE" w:eastAsia="en-GB"/>
              </w:rPr>
              <w:t>2012</w:t>
            </w:r>
          </w:p>
        </w:tc>
        <w:tc>
          <w:tcPr>
            <w:tcW w:w="1476" w:type="dxa"/>
            <w:tcBorders>
              <w:top w:val="single" w:sz="12" w:space="0" w:color="000000"/>
            </w:tcBorders>
            <w:vAlign w:val="bottom"/>
          </w:tcPr>
          <w:p w:rsidR="009B7368" w:rsidRPr="004918E0" w:rsidRDefault="009B7368" w:rsidP="00790853">
            <w:pPr>
              <w:spacing w:after="0"/>
              <w:jc w:val="right"/>
              <w:rPr>
                <w:rFonts w:ascii="Arial" w:hAnsi="Arial" w:cs="Arial"/>
                <w:b/>
                <w:bCs/>
                <w:sz w:val="24"/>
                <w:lang w:val="ga-IE" w:eastAsia="en-GB"/>
              </w:rPr>
            </w:pPr>
            <w:r w:rsidRPr="004918E0">
              <w:rPr>
                <w:rFonts w:ascii="Arial" w:hAnsi="Arial" w:cs="Arial"/>
                <w:b/>
                <w:bCs/>
                <w:sz w:val="24"/>
                <w:lang w:val="ga-IE" w:eastAsia="en-GB"/>
              </w:rPr>
              <w:t>2011</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p>
        </w:tc>
        <w:tc>
          <w:tcPr>
            <w:tcW w:w="1116" w:type="dxa"/>
            <w:vAlign w:val="bottom"/>
          </w:tcPr>
          <w:p w:rsidR="009B7368" w:rsidRPr="004918E0" w:rsidRDefault="009B7368" w:rsidP="00790853">
            <w:pPr>
              <w:spacing w:after="0"/>
              <w:jc w:val="center"/>
              <w:rPr>
                <w:rFonts w:cs="Arial"/>
                <w:lang w:val="ga-IE" w:eastAsia="en-GB"/>
              </w:rPr>
            </w:pPr>
          </w:p>
        </w:tc>
        <w:tc>
          <w:tcPr>
            <w:tcW w:w="1476" w:type="dxa"/>
            <w:vAlign w:val="bottom"/>
          </w:tcPr>
          <w:p w:rsidR="009B7368" w:rsidRPr="004918E0" w:rsidRDefault="009B7368" w:rsidP="00790853">
            <w:pPr>
              <w:spacing w:after="0"/>
              <w:jc w:val="right"/>
              <w:rPr>
                <w:rFonts w:cs="Arial"/>
                <w:bCs/>
                <w:lang w:val="ga-IE" w:eastAsia="en-GB"/>
              </w:rPr>
            </w:pPr>
            <w:r w:rsidRPr="004918E0">
              <w:rPr>
                <w:rFonts w:cs="Arial"/>
                <w:bCs/>
                <w:lang w:val="ga-IE" w:eastAsia="en-GB"/>
              </w:rPr>
              <w:t>€</w:t>
            </w:r>
          </w:p>
        </w:tc>
        <w:tc>
          <w:tcPr>
            <w:tcW w:w="1476" w:type="dxa"/>
            <w:vAlign w:val="bottom"/>
          </w:tcPr>
          <w:p w:rsidR="009B7368" w:rsidRPr="004918E0" w:rsidRDefault="009B7368" w:rsidP="00790853">
            <w:pPr>
              <w:spacing w:after="0"/>
              <w:jc w:val="right"/>
              <w:rPr>
                <w:rFonts w:cs="Arial"/>
                <w:bCs/>
                <w:lang w:val="ga-IE" w:eastAsia="en-GB"/>
              </w:rPr>
            </w:pPr>
            <w:r w:rsidRPr="004918E0">
              <w:rPr>
                <w:rFonts w:cs="Arial"/>
                <w:bCs/>
                <w:lang w:val="ga-IE" w:eastAsia="en-GB"/>
              </w:rPr>
              <w:t>€</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Sócmhainní Seasta</w:t>
            </w: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7</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2,943,942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3,027,866 </w:t>
            </w:r>
          </w:p>
        </w:tc>
      </w:tr>
      <w:tr w:rsidR="009B7368" w:rsidRPr="004918E0" w:rsidTr="00790853">
        <w:tc>
          <w:tcPr>
            <w:tcW w:w="8856" w:type="dxa"/>
            <w:gridSpan w:val="4"/>
            <w:vAlign w:val="bottom"/>
          </w:tcPr>
          <w:p w:rsidR="009B7368" w:rsidRPr="004918E0" w:rsidRDefault="009B7368" w:rsidP="00790853">
            <w:pPr>
              <w:pStyle w:val="TableHead"/>
              <w:jc w:val="center"/>
              <w:rPr>
                <w:sz w:val="24"/>
                <w:lang w:val="ga-IE" w:eastAsia="en-GB"/>
              </w:rPr>
            </w:pPr>
            <w:r w:rsidRPr="004918E0">
              <w:rPr>
                <w:sz w:val="24"/>
                <w:lang w:val="ga-IE" w:eastAsia="en-GB"/>
              </w:rPr>
              <w:t>Sócmhainní Reatha</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Féichiúnaithe agus Réamhíocaíochtaí </w:t>
            </w: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12</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204,370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151,608 </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Airgead sa Bhanc agus ar Láimh </w:t>
            </w: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9(b)</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8,360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114 </w:t>
            </w:r>
          </w:p>
        </w:tc>
      </w:tr>
      <w:tr w:rsidR="009B7368" w:rsidRPr="004918E0" w:rsidTr="00790853">
        <w:tc>
          <w:tcPr>
            <w:tcW w:w="4788" w:type="dxa"/>
            <w:vAlign w:val="bottom"/>
          </w:tcPr>
          <w:p w:rsidR="009B7368" w:rsidRPr="004918E0" w:rsidRDefault="009B7368" w:rsidP="00790853">
            <w:pPr>
              <w:spacing w:after="0"/>
              <w:rPr>
                <w:rFonts w:cs="Arial"/>
                <w:sz w:val="24"/>
                <w:lang w:val="ga-IE" w:eastAsia="en-GB"/>
              </w:rPr>
            </w:pPr>
          </w:p>
        </w:tc>
        <w:tc>
          <w:tcPr>
            <w:tcW w:w="1116" w:type="dxa"/>
            <w:vAlign w:val="bottom"/>
          </w:tcPr>
          <w:p w:rsidR="009B7368" w:rsidRPr="004918E0" w:rsidRDefault="009B7368" w:rsidP="00790853">
            <w:pPr>
              <w:spacing w:after="0"/>
              <w:jc w:val="center"/>
              <w:rPr>
                <w:rFonts w:cs="Arial"/>
                <w:lang w:val="ga-IE" w:eastAsia="en-GB"/>
              </w:rPr>
            </w:pP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212,730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151,722 </w:t>
            </w:r>
          </w:p>
        </w:tc>
      </w:tr>
      <w:tr w:rsidR="009B7368" w:rsidRPr="004918E0" w:rsidTr="00790853">
        <w:tc>
          <w:tcPr>
            <w:tcW w:w="8856" w:type="dxa"/>
            <w:gridSpan w:val="4"/>
            <w:vAlign w:val="bottom"/>
          </w:tcPr>
          <w:p w:rsidR="009B7368" w:rsidRPr="004918E0" w:rsidRDefault="009B7368" w:rsidP="00790853">
            <w:pPr>
              <w:pStyle w:val="TableHead"/>
              <w:jc w:val="center"/>
              <w:rPr>
                <w:sz w:val="24"/>
                <w:lang w:val="ga-IE" w:eastAsia="en-GB"/>
              </w:rPr>
            </w:pPr>
            <w:r w:rsidRPr="004918E0">
              <w:rPr>
                <w:sz w:val="24"/>
                <w:lang w:val="ga-IE" w:eastAsia="en-GB"/>
              </w:rPr>
              <w:t>Dliteanais Reatha</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Creidiúnaithe agus Fabhruithe</w:t>
            </w: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11</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39,082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122,309 </w:t>
            </w:r>
          </w:p>
        </w:tc>
      </w:tr>
      <w:tr w:rsidR="009B7368" w:rsidRPr="004918E0" w:rsidTr="00790853">
        <w:tc>
          <w:tcPr>
            <w:tcW w:w="4788" w:type="dxa"/>
            <w:vAlign w:val="bottom"/>
          </w:tcPr>
          <w:p w:rsidR="009B7368" w:rsidRPr="004918E0" w:rsidRDefault="009B7368" w:rsidP="00790853">
            <w:pPr>
              <w:spacing w:after="0"/>
              <w:rPr>
                <w:rFonts w:cs="Arial"/>
                <w:sz w:val="24"/>
                <w:lang w:val="ga-IE" w:eastAsia="en-GB"/>
              </w:rPr>
            </w:pP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 xml:space="preserve">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39,082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122,309 </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Glansócmhainní Reatha</w:t>
            </w: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 xml:space="preserve">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173,648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29,413 </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Iomlán na Sócmhainní Lúide Dliteanais Reatha Roimh Phinsin </w:t>
            </w:r>
          </w:p>
        </w:tc>
        <w:tc>
          <w:tcPr>
            <w:tcW w:w="1116" w:type="dxa"/>
            <w:vAlign w:val="bottom"/>
          </w:tcPr>
          <w:p w:rsidR="009B7368" w:rsidRPr="004918E0" w:rsidRDefault="009B7368" w:rsidP="00790853">
            <w:pPr>
              <w:spacing w:after="0"/>
              <w:jc w:val="center"/>
              <w:rPr>
                <w:rFonts w:cs="Arial"/>
                <w:lang w:val="ga-IE" w:eastAsia="en-GB"/>
              </w:rPr>
            </w:pP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3,117,590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3,057,279 </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Sócmhainn Cistithe Iarchurtha le haghaidh Pinsean </w:t>
            </w: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10(d)</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(16,500,000)</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(16,700,000)</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Dliteanais Phinsin</w:t>
            </w: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10(e)</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16,500,000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16,700,000 </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p>
        </w:tc>
        <w:tc>
          <w:tcPr>
            <w:tcW w:w="1116" w:type="dxa"/>
            <w:vAlign w:val="bottom"/>
          </w:tcPr>
          <w:p w:rsidR="009B7368" w:rsidRPr="004918E0" w:rsidRDefault="009B7368" w:rsidP="00790853">
            <w:pPr>
              <w:spacing w:after="0"/>
              <w:jc w:val="center"/>
              <w:rPr>
                <w:rFonts w:cs="Arial"/>
                <w:lang w:val="ga-IE" w:eastAsia="en-GB"/>
              </w:rPr>
            </w:pP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3,117,590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3,057,279 </w:t>
            </w:r>
          </w:p>
        </w:tc>
      </w:tr>
      <w:tr w:rsidR="009B7368" w:rsidRPr="004918E0" w:rsidTr="00790853">
        <w:tc>
          <w:tcPr>
            <w:tcW w:w="8856" w:type="dxa"/>
            <w:gridSpan w:val="4"/>
            <w:vAlign w:val="bottom"/>
          </w:tcPr>
          <w:p w:rsidR="009B7368" w:rsidRPr="004918E0" w:rsidRDefault="009B7368" w:rsidP="00790853">
            <w:pPr>
              <w:pStyle w:val="TableHead"/>
              <w:jc w:val="center"/>
              <w:rPr>
                <w:rFonts w:cs="Arial"/>
                <w:sz w:val="24"/>
                <w:lang w:val="ga-IE" w:eastAsia="en-GB"/>
              </w:rPr>
            </w:pPr>
            <w:r w:rsidRPr="004918E0">
              <w:rPr>
                <w:sz w:val="24"/>
                <w:lang w:val="ga-IE" w:eastAsia="en-GB"/>
              </w:rPr>
              <w:t>Léirithe Ag:</w:t>
            </w:r>
          </w:p>
        </w:tc>
      </w:tr>
      <w:tr w:rsidR="009B7368" w:rsidRPr="004918E0" w:rsidTr="00790853">
        <w:tc>
          <w:tcPr>
            <w:tcW w:w="478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Cuntas Caipitil</w:t>
            </w:r>
          </w:p>
        </w:tc>
        <w:tc>
          <w:tcPr>
            <w:tcW w:w="1116" w:type="dxa"/>
            <w:vAlign w:val="bottom"/>
          </w:tcPr>
          <w:p w:rsidR="009B7368" w:rsidRPr="004918E0" w:rsidRDefault="009B7368" w:rsidP="00790853">
            <w:pPr>
              <w:spacing w:after="0"/>
              <w:jc w:val="center"/>
              <w:rPr>
                <w:rFonts w:cs="Arial"/>
                <w:lang w:val="ga-IE" w:eastAsia="en-GB"/>
              </w:rPr>
            </w:pPr>
            <w:r w:rsidRPr="004918E0">
              <w:rPr>
                <w:rFonts w:cs="Arial"/>
                <w:lang w:val="ga-IE" w:eastAsia="en-GB"/>
              </w:rPr>
              <w:t>8</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2,943,942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3,027,866 </w:t>
            </w:r>
          </w:p>
        </w:tc>
      </w:tr>
      <w:tr w:rsidR="009B7368" w:rsidRPr="004918E0" w:rsidTr="00790853">
        <w:tc>
          <w:tcPr>
            <w:tcW w:w="4788" w:type="dxa"/>
          </w:tcPr>
          <w:p w:rsidR="009B7368" w:rsidRPr="004918E0" w:rsidRDefault="009B7368" w:rsidP="00790853">
            <w:pPr>
              <w:pStyle w:val="TableRowHead"/>
              <w:rPr>
                <w:rFonts w:ascii="Gill Sans" w:hAnsi="Gill Sans"/>
                <w:sz w:val="24"/>
                <w:lang w:val="ga-IE"/>
              </w:rPr>
            </w:pPr>
            <w:r w:rsidRPr="004918E0">
              <w:rPr>
                <w:rFonts w:ascii="Gill Sans" w:hAnsi="Gill Sans"/>
                <w:sz w:val="24"/>
                <w:lang w:val="ga-IE" w:eastAsia="en-GB"/>
              </w:rPr>
              <w:t xml:space="preserve">Barrachas / (Easnamh) Coimeádta ar Chuntas Ioncaim agus Caiteachais </w:t>
            </w:r>
          </w:p>
        </w:tc>
        <w:tc>
          <w:tcPr>
            <w:tcW w:w="1116" w:type="dxa"/>
            <w:vAlign w:val="bottom"/>
          </w:tcPr>
          <w:p w:rsidR="009B7368" w:rsidRPr="004918E0" w:rsidRDefault="009B7368" w:rsidP="00790853">
            <w:pPr>
              <w:spacing w:after="0"/>
              <w:rPr>
                <w:rFonts w:cs="Arial"/>
                <w:lang w:val="ga-IE" w:eastAsia="en-GB"/>
              </w:rPr>
            </w:pP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173,648 </w:t>
            </w:r>
          </w:p>
        </w:tc>
        <w:tc>
          <w:tcPr>
            <w:tcW w:w="1476"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29,413 </w:t>
            </w:r>
          </w:p>
        </w:tc>
      </w:tr>
      <w:tr w:rsidR="009B7368" w:rsidRPr="004918E0" w:rsidTr="00790853">
        <w:tc>
          <w:tcPr>
            <w:tcW w:w="4788" w:type="dxa"/>
            <w:tcBorders>
              <w:bottom w:val="single" w:sz="12" w:space="0" w:color="000000"/>
            </w:tcBorders>
          </w:tcPr>
          <w:p w:rsidR="009B7368" w:rsidRPr="004918E0" w:rsidRDefault="009B7368" w:rsidP="00790853">
            <w:pPr>
              <w:pStyle w:val="TableRowHead"/>
              <w:rPr>
                <w:rFonts w:ascii="Gill Sans" w:hAnsi="Gill Sans"/>
                <w:sz w:val="24"/>
                <w:lang w:val="ga-IE"/>
              </w:rPr>
            </w:pPr>
          </w:p>
        </w:tc>
        <w:tc>
          <w:tcPr>
            <w:tcW w:w="1116" w:type="dxa"/>
            <w:tcBorders>
              <w:bottom w:val="single" w:sz="12" w:space="0" w:color="000000"/>
            </w:tcBorders>
            <w:vAlign w:val="bottom"/>
          </w:tcPr>
          <w:p w:rsidR="009B7368" w:rsidRPr="004918E0" w:rsidRDefault="009B7368" w:rsidP="00790853">
            <w:pPr>
              <w:spacing w:after="0"/>
              <w:jc w:val="center"/>
              <w:rPr>
                <w:rFonts w:cs="Arial"/>
                <w:lang w:val="ga-IE" w:eastAsia="en-GB"/>
              </w:rPr>
            </w:pPr>
          </w:p>
        </w:tc>
        <w:tc>
          <w:tcPr>
            <w:tcW w:w="1476" w:type="dxa"/>
            <w:tcBorders>
              <w:bottom w:val="single" w:sz="12" w:space="0" w:color="000000"/>
            </w:tcBorders>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3,117,590 </w:t>
            </w:r>
          </w:p>
        </w:tc>
        <w:tc>
          <w:tcPr>
            <w:tcW w:w="1476" w:type="dxa"/>
            <w:tcBorders>
              <w:bottom w:val="single" w:sz="12" w:space="0" w:color="000000"/>
            </w:tcBorders>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3,057,279 </w:t>
            </w:r>
          </w:p>
        </w:tc>
      </w:tr>
    </w:tbl>
    <w:p w:rsidR="009B7368" w:rsidRPr="004918E0" w:rsidRDefault="009B7368" w:rsidP="009B7368">
      <w:pPr>
        <w:rPr>
          <w:lang w:val="ga-IE" w:eastAsia="en-GB"/>
        </w:rPr>
      </w:pPr>
      <w:r w:rsidRPr="004918E0">
        <w:rPr>
          <w:lang w:val="ga-IE" w:eastAsia="en-GB"/>
        </w:rPr>
        <w:br/>
        <w:t>Tá an Ráiteas faoi Pholasaithe Cuntasaíochta, an Ráiteas faoi Shreabhadh Airgid, agus Nótaí 1 go 16 mar chuid de na Ráitis Airgeadais seo.</w:t>
      </w:r>
    </w:p>
    <w:p w:rsidR="009B7368" w:rsidRPr="004918E0" w:rsidRDefault="009B7368" w:rsidP="009B7368">
      <w:pPr>
        <w:spacing w:after="0"/>
        <w:rPr>
          <w:b/>
          <w:lang w:val="ga-IE" w:eastAsia="en-GB"/>
        </w:rPr>
      </w:pPr>
      <w:r w:rsidRPr="004918E0">
        <w:rPr>
          <w:b/>
          <w:lang w:val="ga-IE" w:eastAsia="en-GB"/>
        </w:rPr>
        <w:t>Sínithe:</w:t>
      </w:r>
      <w:r w:rsidRPr="004918E0">
        <w:rPr>
          <w:b/>
          <w:lang w:val="ga-IE" w:eastAsia="en-GB"/>
        </w:rPr>
        <w:tab/>
      </w:r>
    </w:p>
    <w:p w:rsidR="009B7368" w:rsidRPr="004918E0" w:rsidRDefault="00DD51CC" w:rsidP="009B7368">
      <w:pPr>
        <w:spacing w:after="0"/>
        <w:rPr>
          <w:b/>
          <w:bCs/>
          <w:sz w:val="8"/>
          <w:szCs w:val="6"/>
          <w:lang w:val="ga-IE" w:eastAsia="en-GB"/>
        </w:rPr>
      </w:pPr>
      <w:r>
        <w:rPr>
          <w:noProof/>
          <w:lang w:eastAsia="en-IE"/>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40640</wp:posOffset>
                </wp:positionV>
                <wp:extent cx="1943100" cy="0"/>
                <wp:effectExtent l="9525" t="12065" r="9525" b="698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6481D"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pt" to="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6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"/>
            </w:pict>
          </mc:Fallback>
        </mc:AlternateContent>
      </w:r>
    </w:p>
    <w:p w:rsidR="009B7368" w:rsidRPr="004918E0" w:rsidRDefault="009B7368" w:rsidP="009B7368">
      <w:pPr>
        <w:spacing w:after="0"/>
        <w:ind w:left="720" w:firstLine="720"/>
        <w:rPr>
          <w:b/>
          <w:lang w:val="ga-IE" w:eastAsia="en-GB"/>
        </w:rPr>
      </w:pPr>
      <w:r w:rsidRPr="004918E0">
        <w:rPr>
          <w:b/>
          <w:lang w:val="ga-IE" w:eastAsia="en-GB"/>
        </w:rPr>
        <w:t>Peter McKevitt</w:t>
      </w:r>
    </w:p>
    <w:p w:rsidR="009B7368" w:rsidRPr="004918E0" w:rsidRDefault="009B7368" w:rsidP="009B7368">
      <w:pPr>
        <w:spacing w:after="0"/>
        <w:ind w:left="720" w:firstLine="720"/>
        <w:rPr>
          <w:b/>
          <w:lang w:val="ga-IE" w:eastAsia="en-GB"/>
        </w:rPr>
      </w:pPr>
      <w:r w:rsidRPr="004918E0">
        <w:rPr>
          <w:b/>
          <w:lang w:val="ga-IE" w:eastAsia="en-GB"/>
        </w:rPr>
        <w:t>Cathaoirleach</w:t>
      </w:r>
    </w:p>
    <w:p w:rsidR="009B7368" w:rsidRPr="004918E0" w:rsidRDefault="009B7368" w:rsidP="009B7368">
      <w:pPr>
        <w:spacing w:after="0"/>
        <w:ind w:left="720" w:firstLine="720"/>
        <w:rPr>
          <w:b/>
          <w:sz w:val="8"/>
          <w:szCs w:val="8"/>
          <w:lang w:val="ga-IE" w:eastAsia="en-GB"/>
        </w:rPr>
      </w:pPr>
    </w:p>
    <w:p w:rsidR="009B7368" w:rsidRPr="004918E0" w:rsidRDefault="00DD51CC" w:rsidP="009B7368">
      <w:pPr>
        <w:spacing w:after="0"/>
        <w:ind w:left="720" w:hanging="720"/>
        <w:rPr>
          <w:b/>
          <w:lang w:val="ga-IE" w:eastAsia="en-GB"/>
        </w:r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159385</wp:posOffset>
                </wp:positionV>
                <wp:extent cx="1943100" cy="0"/>
                <wp:effectExtent l="9525" t="6985" r="9525" b="12065"/>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3D3B"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5pt" to="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n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"/>
            </w:pict>
          </mc:Fallback>
        </mc:AlternateContent>
      </w:r>
      <w:r w:rsidR="009B7368" w:rsidRPr="004918E0">
        <w:rPr>
          <w:b/>
          <w:lang w:val="ga-IE" w:eastAsia="en-GB"/>
        </w:rPr>
        <w:t xml:space="preserve">Sínithe: </w:t>
      </w:r>
      <w:r w:rsidR="009B7368" w:rsidRPr="004918E0">
        <w:rPr>
          <w:b/>
          <w:lang w:val="ga-IE" w:eastAsia="en-GB"/>
        </w:rPr>
        <w:tab/>
      </w:r>
    </w:p>
    <w:p w:rsidR="009B7368" w:rsidRPr="004918E0" w:rsidRDefault="009B7368" w:rsidP="009B7368">
      <w:pPr>
        <w:spacing w:after="0"/>
        <w:ind w:left="720" w:hanging="720"/>
        <w:rPr>
          <w:b/>
          <w:sz w:val="6"/>
          <w:szCs w:val="6"/>
          <w:lang w:val="ga-IE" w:eastAsia="en-GB"/>
        </w:rPr>
      </w:pPr>
    </w:p>
    <w:p w:rsidR="009B7368" w:rsidRPr="004918E0" w:rsidRDefault="009B7368" w:rsidP="009B7368">
      <w:pPr>
        <w:spacing w:after="0"/>
        <w:ind w:left="720" w:firstLine="720"/>
        <w:rPr>
          <w:b/>
          <w:lang w:val="ga-IE" w:eastAsia="en-GB"/>
        </w:rPr>
      </w:pPr>
      <w:r w:rsidRPr="004918E0">
        <w:rPr>
          <w:b/>
          <w:lang w:val="ga-IE" w:eastAsia="en-GB"/>
        </w:rPr>
        <w:t>Frank Cuneen</w:t>
      </w:r>
    </w:p>
    <w:p w:rsidR="009B7368" w:rsidRPr="004918E0" w:rsidRDefault="009B7368" w:rsidP="009B7368">
      <w:pPr>
        <w:spacing w:after="0"/>
        <w:ind w:left="720" w:firstLine="720"/>
        <w:rPr>
          <w:b/>
          <w:lang w:val="ga-IE" w:eastAsia="en-GB"/>
        </w:rPr>
      </w:pPr>
      <w:r w:rsidRPr="004918E0">
        <w:rPr>
          <w:b/>
          <w:lang w:val="ga-IE" w:eastAsia="en-GB"/>
        </w:rPr>
        <w:t>Comhalta Údaráis</w:t>
      </w:r>
    </w:p>
    <w:p w:rsidR="009B7368" w:rsidRPr="004918E0" w:rsidRDefault="009B7368" w:rsidP="009B7368">
      <w:pPr>
        <w:spacing w:after="0"/>
        <w:rPr>
          <w:b/>
          <w:sz w:val="8"/>
          <w:szCs w:val="8"/>
          <w:lang w:val="ga-IE" w:eastAsia="en-GB"/>
        </w:rPr>
      </w:pPr>
    </w:p>
    <w:p w:rsidR="009B7368" w:rsidRPr="004918E0" w:rsidRDefault="00DD51CC" w:rsidP="009B7368">
      <w:pPr>
        <w:spacing w:after="0"/>
        <w:rPr>
          <w:b/>
          <w:sz w:val="6"/>
          <w:szCs w:val="6"/>
          <w:lang w:val="ga-IE" w:eastAsia="en-GB"/>
        </w:r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914400</wp:posOffset>
                </wp:positionH>
                <wp:positionV relativeFrom="paragraph">
                  <wp:posOffset>187960</wp:posOffset>
                </wp:positionV>
                <wp:extent cx="1943100" cy="0"/>
                <wp:effectExtent l="9525" t="6985" r="9525" b="120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F0A3" id="Line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2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eZ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H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"/>
            </w:pict>
          </mc:Fallback>
        </mc:AlternateContent>
      </w:r>
      <w:r w:rsidR="009B7368" w:rsidRPr="004918E0">
        <w:rPr>
          <w:b/>
          <w:lang w:val="ga-IE" w:eastAsia="en-GB"/>
        </w:rPr>
        <w:t>Sínithe:</w:t>
      </w:r>
      <w:r w:rsidR="009B7368" w:rsidRPr="004918E0">
        <w:rPr>
          <w:b/>
          <w:lang w:val="ga-IE" w:eastAsia="en-GB"/>
        </w:rPr>
        <w:tab/>
      </w:r>
      <w:r w:rsidR="009B7368" w:rsidRPr="004918E0">
        <w:rPr>
          <w:b/>
          <w:lang w:val="ga-IE" w:eastAsia="en-GB"/>
        </w:rPr>
        <w:br/>
      </w:r>
    </w:p>
    <w:p w:rsidR="009B7368" w:rsidRPr="004918E0" w:rsidRDefault="009B7368" w:rsidP="009B7368">
      <w:pPr>
        <w:spacing w:after="0"/>
        <w:ind w:left="1440"/>
        <w:rPr>
          <w:b/>
          <w:lang w:val="ga-IE" w:eastAsia="en-GB"/>
        </w:rPr>
      </w:pPr>
      <w:r w:rsidRPr="004918E0">
        <w:rPr>
          <w:b/>
          <w:lang w:val="ga-IE" w:eastAsia="en-GB"/>
        </w:rPr>
        <w:t>Siobhán Barron</w:t>
      </w:r>
    </w:p>
    <w:p w:rsidR="009B7368" w:rsidRPr="004918E0" w:rsidRDefault="009B7368" w:rsidP="009B7368">
      <w:pPr>
        <w:spacing w:after="0"/>
        <w:rPr>
          <w:b/>
          <w:lang w:val="ga-IE" w:eastAsia="en-GB"/>
        </w:rPr>
      </w:pPr>
      <w:r w:rsidRPr="004918E0">
        <w:rPr>
          <w:b/>
          <w:lang w:val="ga-IE" w:eastAsia="en-GB"/>
        </w:rPr>
        <w:tab/>
      </w:r>
      <w:r w:rsidRPr="004918E0">
        <w:rPr>
          <w:b/>
          <w:lang w:val="ga-IE" w:eastAsia="en-GB"/>
        </w:rPr>
        <w:tab/>
        <w:t>Stiúrthóir</w:t>
      </w:r>
    </w:p>
    <w:p w:rsidR="009B7368" w:rsidRPr="004918E0" w:rsidRDefault="009B7368" w:rsidP="009B7368">
      <w:pPr>
        <w:spacing w:after="0"/>
        <w:rPr>
          <w:b/>
          <w:sz w:val="12"/>
          <w:szCs w:val="12"/>
          <w:lang w:val="ga-IE" w:eastAsia="en-GB"/>
        </w:rPr>
      </w:pPr>
    </w:p>
    <w:p w:rsidR="009B7368" w:rsidRPr="004918E0" w:rsidRDefault="009B7368" w:rsidP="009B7368">
      <w:pPr>
        <w:spacing w:after="0"/>
        <w:rPr>
          <w:b/>
          <w:lang w:val="ga-IE" w:eastAsia="en-GB"/>
        </w:rPr>
      </w:pPr>
      <w:r w:rsidRPr="004918E0">
        <w:rPr>
          <w:b/>
          <w:lang w:val="ga-IE" w:eastAsia="en-GB"/>
        </w:rPr>
        <w:t>Dáta:</w:t>
      </w:r>
      <w:r w:rsidRPr="004918E0">
        <w:rPr>
          <w:b/>
          <w:lang w:val="ga-IE" w:eastAsia="en-GB"/>
        </w:rPr>
        <w:tab/>
      </w:r>
      <w:r w:rsidRPr="004918E0">
        <w:rPr>
          <w:b/>
          <w:lang w:val="ga-IE" w:eastAsia="en-GB"/>
        </w:rPr>
        <w:tab/>
      </w:r>
      <w:r w:rsidRPr="004918E0">
        <w:rPr>
          <w:lang w:val="ga-IE" w:eastAsia="en-GB"/>
        </w:rPr>
        <w:t>14 Lúnasa 2013</w:t>
      </w:r>
    </w:p>
    <w:p w:rsidR="009B7368" w:rsidRPr="004918E0" w:rsidRDefault="009B7368" w:rsidP="009B7368">
      <w:pPr>
        <w:pStyle w:val="Heading2"/>
        <w:rPr>
          <w:lang w:val="ga-IE" w:eastAsia="en-GB"/>
        </w:rPr>
      </w:pPr>
      <w:r w:rsidRPr="004918E0">
        <w:rPr>
          <w:lang w:val="ga-IE" w:eastAsia="en-GB"/>
        </w:rPr>
        <w:br w:type="page"/>
        <w:t>Ráiteas faoi Shreabhadh Airgid don Bhliain dar Chríoch an 31 Nollaig 2012</w:t>
      </w:r>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968"/>
        <w:gridCol w:w="1260"/>
        <w:gridCol w:w="1260"/>
        <w:gridCol w:w="1368"/>
      </w:tblGrid>
      <w:tr w:rsidR="009B7368" w:rsidRPr="004918E0" w:rsidTr="00790853">
        <w:trPr>
          <w:tblHeader/>
        </w:trPr>
        <w:tc>
          <w:tcPr>
            <w:tcW w:w="4968" w:type="dxa"/>
            <w:tcBorders>
              <w:top w:val="single" w:sz="12" w:space="0" w:color="000000"/>
              <w:bottom w:val="single" w:sz="12" w:space="0" w:color="000000"/>
            </w:tcBorders>
            <w:vAlign w:val="bottom"/>
          </w:tcPr>
          <w:p w:rsidR="009B7368" w:rsidRPr="004918E0" w:rsidRDefault="009B7368" w:rsidP="00790853">
            <w:pPr>
              <w:pStyle w:val="TableRowHead"/>
              <w:rPr>
                <w:rFonts w:ascii="Gill Sans" w:hAnsi="Gill Sans"/>
                <w:sz w:val="24"/>
                <w:lang w:val="ga-IE" w:eastAsia="en-GB"/>
              </w:rPr>
            </w:pPr>
          </w:p>
        </w:tc>
        <w:tc>
          <w:tcPr>
            <w:tcW w:w="1260" w:type="dxa"/>
            <w:tcBorders>
              <w:top w:val="single" w:sz="12" w:space="0" w:color="000000"/>
              <w:bottom w:val="single" w:sz="12" w:space="0" w:color="000000"/>
            </w:tcBorders>
            <w:vAlign w:val="bottom"/>
          </w:tcPr>
          <w:p w:rsidR="009B7368" w:rsidRPr="004918E0" w:rsidRDefault="009B7368" w:rsidP="00790853">
            <w:pPr>
              <w:pStyle w:val="TableHead"/>
              <w:jc w:val="right"/>
              <w:rPr>
                <w:sz w:val="24"/>
                <w:lang w:val="ga-IE" w:eastAsia="en-GB"/>
              </w:rPr>
            </w:pPr>
            <w:r w:rsidRPr="004918E0">
              <w:rPr>
                <w:sz w:val="24"/>
                <w:lang w:val="ga-IE" w:eastAsia="en-GB"/>
              </w:rPr>
              <w:t xml:space="preserve">Nótaí </w:t>
            </w:r>
          </w:p>
        </w:tc>
        <w:tc>
          <w:tcPr>
            <w:tcW w:w="1260" w:type="dxa"/>
            <w:tcBorders>
              <w:top w:val="single" w:sz="12" w:space="0" w:color="000000"/>
              <w:bottom w:val="single" w:sz="12" w:space="0" w:color="000000"/>
            </w:tcBorders>
            <w:vAlign w:val="bottom"/>
          </w:tcPr>
          <w:p w:rsidR="009B7368" w:rsidRPr="004918E0" w:rsidRDefault="009B7368" w:rsidP="00790853">
            <w:pPr>
              <w:pStyle w:val="TableHead"/>
              <w:jc w:val="right"/>
              <w:rPr>
                <w:bCs/>
                <w:sz w:val="24"/>
                <w:lang w:val="ga-IE" w:eastAsia="en-GB"/>
              </w:rPr>
            </w:pPr>
            <w:r w:rsidRPr="004918E0">
              <w:rPr>
                <w:bCs/>
                <w:sz w:val="24"/>
                <w:lang w:val="ga-IE" w:eastAsia="en-GB"/>
              </w:rPr>
              <w:t xml:space="preserve">2012 </w:t>
            </w:r>
          </w:p>
        </w:tc>
        <w:tc>
          <w:tcPr>
            <w:tcW w:w="1368" w:type="dxa"/>
            <w:tcBorders>
              <w:top w:val="single" w:sz="12" w:space="0" w:color="000000"/>
              <w:bottom w:val="single" w:sz="12" w:space="0" w:color="000000"/>
            </w:tcBorders>
            <w:vAlign w:val="bottom"/>
          </w:tcPr>
          <w:p w:rsidR="009B7368" w:rsidRPr="004918E0" w:rsidRDefault="009B7368" w:rsidP="00790853">
            <w:pPr>
              <w:pStyle w:val="TableHead"/>
              <w:jc w:val="right"/>
              <w:rPr>
                <w:bCs/>
                <w:sz w:val="24"/>
                <w:lang w:val="ga-IE" w:eastAsia="en-GB"/>
              </w:rPr>
            </w:pPr>
            <w:r w:rsidRPr="004918E0">
              <w:rPr>
                <w:bCs/>
                <w:sz w:val="24"/>
                <w:lang w:val="ga-IE" w:eastAsia="en-GB"/>
              </w:rPr>
              <w:t>2011</w:t>
            </w:r>
          </w:p>
        </w:tc>
      </w:tr>
      <w:tr w:rsidR="009B7368" w:rsidRPr="004918E0" w:rsidTr="00790853">
        <w:tc>
          <w:tcPr>
            <w:tcW w:w="4968" w:type="dxa"/>
            <w:tcBorders>
              <w:top w:val="single" w:sz="12" w:space="0" w:color="000000"/>
            </w:tcBorders>
            <w:vAlign w:val="bottom"/>
          </w:tcPr>
          <w:p w:rsidR="009B7368" w:rsidRPr="004918E0" w:rsidRDefault="009B7368" w:rsidP="00790853">
            <w:pPr>
              <w:pStyle w:val="TableRowHead"/>
              <w:rPr>
                <w:rFonts w:ascii="Gill Sans" w:hAnsi="Gill Sans"/>
                <w:sz w:val="24"/>
                <w:lang w:val="ga-IE" w:eastAsia="en-GB"/>
              </w:rPr>
            </w:pPr>
          </w:p>
        </w:tc>
        <w:tc>
          <w:tcPr>
            <w:tcW w:w="1260" w:type="dxa"/>
            <w:tcBorders>
              <w:top w:val="single" w:sz="12" w:space="0" w:color="000000"/>
            </w:tcBorders>
            <w:vAlign w:val="bottom"/>
          </w:tcPr>
          <w:p w:rsidR="009B7368" w:rsidRPr="004918E0" w:rsidRDefault="009B7368" w:rsidP="00790853">
            <w:pPr>
              <w:spacing w:after="0"/>
              <w:jc w:val="center"/>
              <w:rPr>
                <w:rFonts w:cs="Arial"/>
                <w:lang w:val="ga-IE" w:eastAsia="en-GB"/>
              </w:rPr>
            </w:pPr>
          </w:p>
        </w:tc>
        <w:tc>
          <w:tcPr>
            <w:tcW w:w="1260" w:type="dxa"/>
            <w:tcBorders>
              <w:top w:val="single" w:sz="12" w:space="0" w:color="000000"/>
            </w:tcBorders>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c>
          <w:tcPr>
            <w:tcW w:w="1368" w:type="dxa"/>
            <w:tcBorders>
              <w:top w:val="single" w:sz="12" w:space="0" w:color="000000"/>
            </w:tcBorders>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r>
      <w:tr w:rsidR="009B7368" w:rsidRPr="004918E0" w:rsidTr="00790853">
        <w:tc>
          <w:tcPr>
            <w:tcW w:w="49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Eis-sreabhadh Glan Airgid ó Ghníomhaíochtaí Oibriúcháin </w:t>
            </w:r>
          </w:p>
        </w:tc>
        <w:tc>
          <w:tcPr>
            <w:tcW w:w="1260" w:type="dxa"/>
            <w:vAlign w:val="bottom"/>
          </w:tcPr>
          <w:p w:rsidR="009B7368" w:rsidRPr="004918E0" w:rsidRDefault="009B7368" w:rsidP="00790853">
            <w:pPr>
              <w:pStyle w:val="TableCell"/>
              <w:rPr>
                <w:sz w:val="24"/>
                <w:lang w:val="ga-IE" w:eastAsia="en-GB"/>
              </w:rPr>
            </w:pPr>
            <w:r w:rsidRPr="004918E0">
              <w:rPr>
                <w:sz w:val="24"/>
                <w:lang w:val="ga-IE" w:eastAsia="en-GB"/>
              </w:rPr>
              <w:t>9a</w:t>
            </w:r>
          </w:p>
        </w:tc>
        <w:tc>
          <w:tcPr>
            <w:tcW w:w="12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9,674 </w:t>
            </w:r>
          </w:p>
        </w:tc>
        <w:tc>
          <w:tcPr>
            <w:tcW w:w="1368" w:type="dxa"/>
            <w:vAlign w:val="bottom"/>
          </w:tcPr>
          <w:p w:rsidR="009B7368" w:rsidRPr="004918E0" w:rsidRDefault="009B7368" w:rsidP="00790853">
            <w:pPr>
              <w:pStyle w:val="TableCell"/>
              <w:rPr>
                <w:sz w:val="24"/>
                <w:lang w:val="ga-IE" w:eastAsia="en-GB"/>
              </w:rPr>
            </w:pPr>
            <w:r w:rsidRPr="004918E0">
              <w:rPr>
                <w:sz w:val="24"/>
                <w:lang w:val="ga-IE" w:eastAsia="en-GB"/>
              </w:rPr>
              <w:t xml:space="preserve">9,048 </w:t>
            </w:r>
          </w:p>
        </w:tc>
      </w:tr>
      <w:tr w:rsidR="009B7368" w:rsidRPr="004918E0" w:rsidTr="00790853">
        <w:tc>
          <w:tcPr>
            <w:tcW w:w="8856" w:type="dxa"/>
            <w:gridSpan w:val="4"/>
            <w:vAlign w:val="bottom"/>
          </w:tcPr>
          <w:p w:rsidR="009B7368" w:rsidRPr="004918E0" w:rsidRDefault="009B7368" w:rsidP="00790853">
            <w:pPr>
              <w:pStyle w:val="TableCell"/>
              <w:jc w:val="center"/>
              <w:rPr>
                <w:sz w:val="24"/>
                <w:lang w:val="ga-IE" w:eastAsia="en-GB"/>
              </w:rPr>
            </w:pPr>
            <w:r w:rsidRPr="004918E0">
              <w:rPr>
                <w:b/>
                <w:sz w:val="24"/>
                <w:lang w:val="ga-IE" w:eastAsia="en-GB"/>
              </w:rPr>
              <w:t xml:space="preserve">Tuairisceáin ar Infheistíochtaí agus ar Fhónamh a Dhéanamh ar Airgeadas </w:t>
            </w:r>
          </w:p>
        </w:tc>
      </w:tr>
      <w:tr w:rsidR="009B7368" w:rsidRPr="004918E0" w:rsidTr="00790853">
        <w:tc>
          <w:tcPr>
            <w:tcW w:w="49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Ús Faighte</w:t>
            </w:r>
          </w:p>
        </w:tc>
        <w:tc>
          <w:tcPr>
            <w:tcW w:w="1260" w:type="dxa"/>
            <w:vAlign w:val="bottom"/>
          </w:tcPr>
          <w:p w:rsidR="009B7368" w:rsidRPr="004918E0" w:rsidRDefault="009B7368" w:rsidP="00790853">
            <w:pPr>
              <w:pStyle w:val="TableCell"/>
              <w:rPr>
                <w:sz w:val="24"/>
                <w:lang w:val="ga-IE" w:eastAsia="en-GB"/>
              </w:rPr>
            </w:pPr>
          </w:p>
        </w:tc>
        <w:tc>
          <w:tcPr>
            <w:tcW w:w="12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c>
          <w:tcPr>
            <w:tcW w:w="1368"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r>
      <w:tr w:rsidR="009B7368" w:rsidRPr="004918E0" w:rsidTr="00790853">
        <w:tc>
          <w:tcPr>
            <w:tcW w:w="49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Insreabhadh Glan Airgid ó Thuairisceáin ar Infheistíochtaí agus ó Fhónamh a Dhéanamh ar Airgeadas </w:t>
            </w:r>
          </w:p>
        </w:tc>
        <w:tc>
          <w:tcPr>
            <w:tcW w:w="1260" w:type="dxa"/>
            <w:vAlign w:val="bottom"/>
          </w:tcPr>
          <w:p w:rsidR="009B7368" w:rsidRPr="004918E0" w:rsidRDefault="009B7368" w:rsidP="00790853">
            <w:pPr>
              <w:pStyle w:val="TableCell"/>
              <w:rPr>
                <w:sz w:val="24"/>
                <w:lang w:val="ga-IE" w:eastAsia="en-GB"/>
              </w:rPr>
            </w:pPr>
          </w:p>
        </w:tc>
        <w:tc>
          <w:tcPr>
            <w:tcW w:w="12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c>
          <w:tcPr>
            <w:tcW w:w="1368"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r>
      <w:tr w:rsidR="009B7368" w:rsidRPr="004918E0" w:rsidTr="00790853">
        <w:tc>
          <w:tcPr>
            <w:tcW w:w="8856" w:type="dxa"/>
            <w:gridSpan w:val="4"/>
            <w:vAlign w:val="bottom"/>
          </w:tcPr>
          <w:p w:rsidR="009B7368" w:rsidRPr="004918E0" w:rsidRDefault="009B7368" w:rsidP="00790853">
            <w:pPr>
              <w:pStyle w:val="TableCell"/>
              <w:jc w:val="center"/>
              <w:rPr>
                <w:sz w:val="24"/>
                <w:lang w:val="ga-IE" w:eastAsia="en-GB"/>
              </w:rPr>
            </w:pPr>
            <w:r w:rsidRPr="004918E0">
              <w:rPr>
                <w:b/>
                <w:bCs/>
                <w:sz w:val="24"/>
                <w:lang w:val="ga-IE" w:eastAsia="en-GB"/>
              </w:rPr>
              <w:t>Gníomhaíochtaí Infheistithe</w:t>
            </w:r>
          </w:p>
        </w:tc>
      </w:tr>
      <w:tr w:rsidR="009B7368" w:rsidRPr="004918E0" w:rsidTr="00790853">
        <w:tc>
          <w:tcPr>
            <w:tcW w:w="49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Ceannach Sócmhainní Seasta </w:t>
            </w:r>
          </w:p>
        </w:tc>
        <w:tc>
          <w:tcPr>
            <w:tcW w:w="1260" w:type="dxa"/>
            <w:vAlign w:val="bottom"/>
          </w:tcPr>
          <w:p w:rsidR="009B7368" w:rsidRPr="004918E0" w:rsidRDefault="009B7368" w:rsidP="00790853">
            <w:pPr>
              <w:pStyle w:val="TableCell"/>
              <w:rPr>
                <w:sz w:val="24"/>
                <w:lang w:val="ga-IE" w:eastAsia="en-GB"/>
              </w:rPr>
            </w:pPr>
            <w:r w:rsidRPr="004918E0">
              <w:rPr>
                <w:sz w:val="24"/>
                <w:lang w:val="ga-IE" w:eastAsia="en-GB"/>
              </w:rPr>
              <w:t>7</w:t>
            </w:r>
          </w:p>
        </w:tc>
        <w:tc>
          <w:tcPr>
            <w:tcW w:w="1260" w:type="dxa"/>
            <w:vAlign w:val="bottom"/>
          </w:tcPr>
          <w:p w:rsidR="009B7368" w:rsidRPr="004918E0" w:rsidRDefault="009B7368" w:rsidP="00790853">
            <w:pPr>
              <w:pStyle w:val="TableCell"/>
              <w:rPr>
                <w:sz w:val="24"/>
                <w:lang w:val="ga-IE" w:eastAsia="en-GB"/>
              </w:rPr>
            </w:pPr>
            <w:r w:rsidRPr="004918E0">
              <w:rPr>
                <w:sz w:val="24"/>
                <w:lang w:val="ga-IE" w:eastAsia="en-GB"/>
              </w:rPr>
              <w:t>(1,428)</w:t>
            </w:r>
          </w:p>
        </w:tc>
        <w:tc>
          <w:tcPr>
            <w:tcW w:w="1368" w:type="dxa"/>
            <w:vAlign w:val="bottom"/>
          </w:tcPr>
          <w:p w:rsidR="009B7368" w:rsidRPr="004918E0" w:rsidRDefault="009B7368" w:rsidP="00790853">
            <w:pPr>
              <w:pStyle w:val="TableCell"/>
              <w:rPr>
                <w:sz w:val="24"/>
                <w:lang w:val="ga-IE" w:eastAsia="en-GB"/>
              </w:rPr>
            </w:pPr>
            <w:r w:rsidRPr="004918E0">
              <w:rPr>
                <w:sz w:val="24"/>
                <w:lang w:val="ga-IE" w:eastAsia="en-GB"/>
              </w:rPr>
              <w:t>(9,235)</w:t>
            </w:r>
          </w:p>
        </w:tc>
      </w:tr>
      <w:tr w:rsidR="009B7368" w:rsidRPr="004918E0" w:rsidTr="00790853">
        <w:tc>
          <w:tcPr>
            <w:tcW w:w="49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Fáltais ar Dhiúscairt Sócmhainní Seasta </w:t>
            </w:r>
          </w:p>
        </w:tc>
        <w:tc>
          <w:tcPr>
            <w:tcW w:w="1260" w:type="dxa"/>
            <w:vAlign w:val="bottom"/>
          </w:tcPr>
          <w:p w:rsidR="009B7368" w:rsidRPr="004918E0" w:rsidRDefault="009B7368" w:rsidP="00790853">
            <w:pPr>
              <w:pStyle w:val="TableCell"/>
              <w:rPr>
                <w:sz w:val="24"/>
                <w:lang w:val="ga-IE" w:eastAsia="en-GB"/>
              </w:rPr>
            </w:pPr>
          </w:p>
        </w:tc>
        <w:tc>
          <w:tcPr>
            <w:tcW w:w="12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c>
          <w:tcPr>
            <w:tcW w:w="1368"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r>
      <w:tr w:rsidR="009B7368" w:rsidRPr="004918E0" w:rsidTr="00790853">
        <w:tc>
          <w:tcPr>
            <w:tcW w:w="49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Insreabhadh Glan Airgid ó Ghníomhaíochtaí Infheistithe </w:t>
            </w:r>
          </w:p>
        </w:tc>
        <w:tc>
          <w:tcPr>
            <w:tcW w:w="1260" w:type="dxa"/>
            <w:vAlign w:val="bottom"/>
          </w:tcPr>
          <w:p w:rsidR="009B7368" w:rsidRPr="004918E0" w:rsidRDefault="009B7368" w:rsidP="00790853">
            <w:pPr>
              <w:pStyle w:val="TableCell"/>
              <w:rPr>
                <w:sz w:val="24"/>
                <w:lang w:val="ga-IE" w:eastAsia="en-GB"/>
              </w:rPr>
            </w:pPr>
          </w:p>
        </w:tc>
        <w:tc>
          <w:tcPr>
            <w:tcW w:w="1260" w:type="dxa"/>
            <w:vAlign w:val="bottom"/>
          </w:tcPr>
          <w:p w:rsidR="009B7368" w:rsidRPr="004918E0" w:rsidRDefault="009B7368" w:rsidP="00790853">
            <w:pPr>
              <w:pStyle w:val="TableCell"/>
              <w:rPr>
                <w:sz w:val="24"/>
                <w:lang w:val="ga-IE" w:eastAsia="en-GB"/>
              </w:rPr>
            </w:pPr>
            <w:r w:rsidRPr="004918E0">
              <w:rPr>
                <w:sz w:val="24"/>
                <w:lang w:val="ga-IE" w:eastAsia="en-GB"/>
              </w:rPr>
              <w:t>(1,428)</w:t>
            </w:r>
          </w:p>
        </w:tc>
        <w:tc>
          <w:tcPr>
            <w:tcW w:w="1368" w:type="dxa"/>
            <w:vAlign w:val="bottom"/>
          </w:tcPr>
          <w:p w:rsidR="009B7368" w:rsidRPr="004918E0" w:rsidRDefault="009B7368" w:rsidP="00790853">
            <w:pPr>
              <w:pStyle w:val="TableCell"/>
              <w:rPr>
                <w:sz w:val="24"/>
                <w:lang w:val="ga-IE" w:eastAsia="en-GB"/>
              </w:rPr>
            </w:pPr>
            <w:r w:rsidRPr="004918E0">
              <w:rPr>
                <w:sz w:val="24"/>
                <w:lang w:val="ga-IE" w:eastAsia="en-GB"/>
              </w:rPr>
              <w:t>(9,235)</w:t>
            </w:r>
          </w:p>
        </w:tc>
      </w:tr>
      <w:tr w:rsidR="009B7368" w:rsidRPr="004918E0" w:rsidTr="00790853">
        <w:tc>
          <w:tcPr>
            <w:tcW w:w="8856" w:type="dxa"/>
            <w:gridSpan w:val="4"/>
            <w:vAlign w:val="bottom"/>
          </w:tcPr>
          <w:p w:rsidR="009B7368" w:rsidRPr="004918E0" w:rsidRDefault="009B7368" w:rsidP="00790853">
            <w:pPr>
              <w:pStyle w:val="TableCell"/>
              <w:rPr>
                <w:sz w:val="24"/>
                <w:lang w:val="ga-IE" w:eastAsia="en-GB"/>
              </w:rPr>
            </w:pPr>
          </w:p>
        </w:tc>
      </w:tr>
      <w:tr w:rsidR="009B7368" w:rsidRPr="004918E0" w:rsidTr="00790853">
        <w:tc>
          <w:tcPr>
            <w:tcW w:w="4968" w:type="dxa"/>
            <w:tcBorders>
              <w:bottom w:val="single" w:sz="12" w:space="0" w:color="000000"/>
            </w:tcBorders>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Méadú/(Laghdú) ar Airgead sa Bhanc agus ar Láimh </w:t>
            </w:r>
          </w:p>
        </w:tc>
        <w:tc>
          <w:tcPr>
            <w:tcW w:w="1260" w:type="dxa"/>
            <w:tcBorders>
              <w:bottom w:val="single" w:sz="12" w:space="0" w:color="000000"/>
            </w:tcBorders>
            <w:vAlign w:val="bottom"/>
          </w:tcPr>
          <w:p w:rsidR="009B7368" w:rsidRPr="004918E0" w:rsidRDefault="009B7368" w:rsidP="00790853">
            <w:pPr>
              <w:pStyle w:val="TableCell"/>
              <w:rPr>
                <w:sz w:val="24"/>
                <w:lang w:val="ga-IE" w:eastAsia="en-GB"/>
              </w:rPr>
            </w:pPr>
          </w:p>
        </w:tc>
        <w:tc>
          <w:tcPr>
            <w:tcW w:w="1260" w:type="dxa"/>
            <w:tcBorders>
              <w:bottom w:val="single" w:sz="12" w:space="0" w:color="000000"/>
            </w:tcBorders>
            <w:vAlign w:val="bottom"/>
          </w:tcPr>
          <w:p w:rsidR="009B7368" w:rsidRPr="004918E0" w:rsidRDefault="009B7368" w:rsidP="00790853">
            <w:pPr>
              <w:pStyle w:val="TableCell"/>
              <w:rPr>
                <w:sz w:val="24"/>
                <w:lang w:val="ga-IE" w:eastAsia="en-GB"/>
              </w:rPr>
            </w:pPr>
            <w:r w:rsidRPr="004918E0">
              <w:rPr>
                <w:sz w:val="24"/>
                <w:lang w:val="ga-IE" w:eastAsia="en-GB"/>
              </w:rPr>
              <w:t>8,246</w:t>
            </w:r>
          </w:p>
        </w:tc>
        <w:tc>
          <w:tcPr>
            <w:tcW w:w="1368" w:type="dxa"/>
            <w:tcBorders>
              <w:bottom w:val="single" w:sz="12" w:space="0" w:color="000000"/>
            </w:tcBorders>
            <w:vAlign w:val="bottom"/>
          </w:tcPr>
          <w:p w:rsidR="009B7368" w:rsidRPr="004918E0" w:rsidRDefault="009B7368" w:rsidP="00790853">
            <w:pPr>
              <w:pStyle w:val="TableCell"/>
              <w:rPr>
                <w:sz w:val="24"/>
                <w:lang w:val="ga-IE" w:eastAsia="en-GB"/>
              </w:rPr>
            </w:pPr>
            <w:r w:rsidRPr="004918E0">
              <w:rPr>
                <w:sz w:val="24"/>
                <w:lang w:val="ga-IE" w:eastAsia="en-GB"/>
              </w:rPr>
              <w:t>(187)</w:t>
            </w:r>
          </w:p>
        </w:tc>
      </w:tr>
    </w:tbl>
    <w:p w:rsidR="009B7368" w:rsidRPr="004918E0" w:rsidRDefault="009B7368" w:rsidP="009B7368">
      <w:pPr>
        <w:rPr>
          <w:lang w:val="ga-IE" w:eastAsia="en-GB"/>
        </w:rPr>
      </w:pPr>
      <w:r w:rsidRPr="004918E0">
        <w:rPr>
          <w:lang w:val="ga-IE" w:eastAsia="en-GB"/>
        </w:rPr>
        <w:t>Tá an Ráiteas faoi Pholasaithe Cuntasaíochta, an Ráiteas faoi Shreabhadh Airgid agus Nóta 1 go 16 mar chuid de na Ráitis Airgeadais seo.</w:t>
      </w:r>
    </w:p>
    <w:p w:rsidR="009B7368" w:rsidRPr="004918E0" w:rsidRDefault="009B7368" w:rsidP="009B7368">
      <w:pPr>
        <w:spacing w:after="0"/>
        <w:rPr>
          <w:b/>
          <w:lang w:val="ga-IE" w:eastAsia="en-GB"/>
        </w:rPr>
      </w:pPr>
      <w:r w:rsidRPr="004918E0">
        <w:rPr>
          <w:b/>
          <w:lang w:val="ga-IE" w:eastAsia="en-GB"/>
        </w:rPr>
        <w:t>Sínithe:</w:t>
      </w:r>
      <w:r w:rsidRPr="004918E0">
        <w:rPr>
          <w:b/>
          <w:lang w:val="ga-IE" w:eastAsia="en-GB"/>
        </w:rPr>
        <w:tab/>
      </w:r>
    </w:p>
    <w:p w:rsidR="009B7368" w:rsidRPr="004918E0" w:rsidRDefault="00DD51CC" w:rsidP="009B7368">
      <w:pPr>
        <w:spacing w:after="0"/>
        <w:rPr>
          <w:b/>
          <w:bCs/>
          <w:sz w:val="8"/>
          <w:szCs w:val="6"/>
          <w:lang w:val="ga-IE" w:eastAsia="en-GB"/>
        </w:r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40640</wp:posOffset>
                </wp:positionV>
                <wp:extent cx="1943100" cy="0"/>
                <wp:effectExtent l="9525" t="12065" r="9525" b="698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1BCC6" id="Line 2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2pt" to="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0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"/>
            </w:pict>
          </mc:Fallback>
        </mc:AlternateContent>
      </w:r>
    </w:p>
    <w:p w:rsidR="009B7368" w:rsidRPr="004918E0" w:rsidRDefault="009B7368" w:rsidP="009B7368">
      <w:pPr>
        <w:spacing w:after="0"/>
        <w:ind w:left="720" w:firstLine="720"/>
        <w:rPr>
          <w:b/>
          <w:lang w:val="ga-IE" w:eastAsia="en-GB"/>
        </w:rPr>
      </w:pPr>
      <w:r w:rsidRPr="004918E0">
        <w:rPr>
          <w:b/>
          <w:lang w:val="ga-IE" w:eastAsia="en-GB"/>
        </w:rPr>
        <w:t>Peter McKevitt</w:t>
      </w:r>
    </w:p>
    <w:p w:rsidR="009B7368" w:rsidRPr="004918E0" w:rsidRDefault="009B7368" w:rsidP="009B7368">
      <w:pPr>
        <w:spacing w:after="0"/>
        <w:ind w:left="720" w:firstLine="720"/>
        <w:rPr>
          <w:b/>
          <w:lang w:val="ga-IE" w:eastAsia="en-GB"/>
        </w:rPr>
      </w:pPr>
      <w:r w:rsidRPr="004918E0">
        <w:rPr>
          <w:b/>
          <w:lang w:val="ga-IE" w:eastAsia="en-GB"/>
        </w:rPr>
        <w:t>Cathaoirleach</w:t>
      </w:r>
    </w:p>
    <w:p w:rsidR="009B7368" w:rsidRPr="004918E0" w:rsidRDefault="009B7368" w:rsidP="009B7368">
      <w:pPr>
        <w:spacing w:after="0"/>
        <w:ind w:left="720" w:firstLine="720"/>
        <w:rPr>
          <w:b/>
          <w:sz w:val="8"/>
          <w:szCs w:val="8"/>
          <w:lang w:val="ga-IE" w:eastAsia="en-GB"/>
        </w:rPr>
      </w:pPr>
    </w:p>
    <w:p w:rsidR="009B7368" w:rsidRPr="004918E0" w:rsidRDefault="00DD51CC" w:rsidP="009B7368">
      <w:pPr>
        <w:spacing w:after="0"/>
        <w:ind w:left="720" w:hanging="720"/>
        <w:rPr>
          <w:b/>
          <w:lang w:val="ga-IE" w:eastAsia="en-GB"/>
        </w:rPr>
      </w:pP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159385</wp:posOffset>
                </wp:positionV>
                <wp:extent cx="1943100" cy="0"/>
                <wp:effectExtent l="9525" t="6985" r="9525" b="120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E3994" id="Line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55pt" to="2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k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"/>
            </w:pict>
          </mc:Fallback>
        </mc:AlternateContent>
      </w:r>
      <w:r w:rsidR="009B7368" w:rsidRPr="004918E0">
        <w:rPr>
          <w:b/>
          <w:lang w:val="ga-IE" w:eastAsia="en-GB"/>
        </w:rPr>
        <w:t xml:space="preserve">Sínithe: </w:t>
      </w:r>
      <w:r w:rsidR="009B7368" w:rsidRPr="004918E0">
        <w:rPr>
          <w:b/>
          <w:lang w:val="ga-IE" w:eastAsia="en-GB"/>
        </w:rPr>
        <w:tab/>
      </w:r>
    </w:p>
    <w:p w:rsidR="009B7368" w:rsidRPr="004918E0" w:rsidRDefault="009B7368" w:rsidP="009B7368">
      <w:pPr>
        <w:spacing w:after="0"/>
        <w:ind w:left="720" w:hanging="720"/>
        <w:rPr>
          <w:b/>
          <w:sz w:val="6"/>
          <w:szCs w:val="6"/>
          <w:lang w:val="ga-IE" w:eastAsia="en-GB"/>
        </w:rPr>
      </w:pPr>
    </w:p>
    <w:p w:rsidR="009B7368" w:rsidRPr="004918E0" w:rsidRDefault="009B7368" w:rsidP="009B7368">
      <w:pPr>
        <w:spacing w:after="0"/>
        <w:ind w:left="720" w:firstLine="720"/>
        <w:rPr>
          <w:b/>
          <w:lang w:val="ga-IE" w:eastAsia="en-GB"/>
        </w:rPr>
      </w:pPr>
      <w:r w:rsidRPr="004918E0">
        <w:rPr>
          <w:b/>
          <w:lang w:val="ga-IE" w:eastAsia="en-GB"/>
        </w:rPr>
        <w:t>Frank Cuneen</w:t>
      </w:r>
    </w:p>
    <w:p w:rsidR="009B7368" w:rsidRPr="004918E0" w:rsidRDefault="009B7368" w:rsidP="009B7368">
      <w:pPr>
        <w:spacing w:after="0"/>
        <w:ind w:left="720" w:firstLine="720"/>
        <w:rPr>
          <w:b/>
          <w:lang w:val="ga-IE" w:eastAsia="en-GB"/>
        </w:rPr>
      </w:pPr>
      <w:r w:rsidRPr="004918E0">
        <w:rPr>
          <w:b/>
          <w:lang w:val="ga-IE" w:eastAsia="en-GB"/>
        </w:rPr>
        <w:t>Comhalta Údaráis</w:t>
      </w:r>
    </w:p>
    <w:p w:rsidR="009B7368" w:rsidRPr="004918E0" w:rsidRDefault="009B7368" w:rsidP="009B7368">
      <w:pPr>
        <w:spacing w:after="0"/>
        <w:rPr>
          <w:b/>
          <w:sz w:val="8"/>
          <w:szCs w:val="8"/>
          <w:lang w:val="ga-IE" w:eastAsia="en-GB"/>
        </w:rPr>
      </w:pPr>
    </w:p>
    <w:p w:rsidR="009B7368" w:rsidRPr="004918E0" w:rsidRDefault="00DD51CC" w:rsidP="009B7368">
      <w:pPr>
        <w:spacing w:after="0"/>
        <w:rPr>
          <w:b/>
          <w:sz w:val="6"/>
          <w:szCs w:val="6"/>
          <w:lang w:val="ga-IE" w:eastAsia="en-GB"/>
        </w:r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187960</wp:posOffset>
                </wp:positionV>
                <wp:extent cx="1943100" cy="0"/>
                <wp:effectExtent l="9525" t="6985" r="9525" b="1206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480B6" id="Line 2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8pt" to="2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N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"/>
            </w:pict>
          </mc:Fallback>
        </mc:AlternateContent>
      </w:r>
      <w:r w:rsidR="009B7368" w:rsidRPr="004918E0">
        <w:rPr>
          <w:b/>
          <w:lang w:val="ga-IE" w:eastAsia="en-GB"/>
        </w:rPr>
        <w:t>Sínithe:</w:t>
      </w:r>
      <w:r w:rsidR="009B7368" w:rsidRPr="004918E0">
        <w:rPr>
          <w:b/>
          <w:lang w:val="ga-IE" w:eastAsia="en-GB"/>
        </w:rPr>
        <w:tab/>
      </w:r>
      <w:r w:rsidR="009B7368" w:rsidRPr="004918E0">
        <w:rPr>
          <w:b/>
          <w:lang w:val="ga-IE" w:eastAsia="en-GB"/>
        </w:rPr>
        <w:br/>
      </w:r>
    </w:p>
    <w:p w:rsidR="009B7368" w:rsidRPr="004918E0" w:rsidRDefault="009B7368" w:rsidP="009B7368">
      <w:pPr>
        <w:spacing w:after="0"/>
        <w:ind w:left="1440"/>
        <w:rPr>
          <w:b/>
          <w:lang w:val="ga-IE" w:eastAsia="en-GB"/>
        </w:rPr>
      </w:pPr>
      <w:r w:rsidRPr="004918E0">
        <w:rPr>
          <w:b/>
          <w:lang w:val="ga-IE" w:eastAsia="en-GB"/>
        </w:rPr>
        <w:t>Siobhán Barron</w:t>
      </w:r>
    </w:p>
    <w:p w:rsidR="009B7368" w:rsidRPr="004918E0" w:rsidRDefault="009B7368" w:rsidP="009B7368">
      <w:pPr>
        <w:spacing w:after="0"/>
        <w:rPr>
          <w:b/>
          <w:lang w:val="ga-IE" w:eastAsia="en-GB"/>
        </w:rPr>
      </w:pPr>
      <w:r w:rsidRPr="004918E0">
        <w:rPr>
          <w:b/>
          <w:lang w:val="ga-IE" w:eastAsia="en-GB"/>
        </w:rPr>
        <w:tab/>
      </w:r>
      <w:r w:rsidRPr="004918E0">
        <w:rPr>
          <w:b/>
          <w:lang w:val="ga-IE" w:eastAsia="en-GB"/>
        </w:rPr>
        <w:tab/>
        <w:t>Stiúrthóir</w:t>
      </w:r>
    </w:p>
    <w:p w:rsidR="009B7368" w:rsidRPr="004918E0" w:rsidRDefault="009B7368" w:rsidP="009B7368">
      <w:pPr>
        <w:spacing w:after="0"/>
        <w:rPr>
          <w:b/>
          <w:sz w:val="12"/>
          <w:szCs w:val="12"/>
          <w:lang w:val="ga-IE" w:eastAsia="en-GB"/>
        </w:rPr>
      </w:pPr>
    </w:p>
    <w:p w:rsidR="009B7368" w:rsidRPr="004918E0" w:rsidRDefault="009B7368" w:rsidP="009B7368">
      <w:pPr>
        <w:spacing w:after="0"/>
        <w:rPr>
          <w:b/>
          <w:lang w:val="ga-IE" w:eastAsia="en-GB"/>
        </w:rPr>
      </w:pPr>
      <w:r w:rsidRPr="004918E0">
        <w:rPr>
          <w:b/>
          <w:lang w:val="ga-IE" w:eastAsia="en-GB"/>
        </w:rPr>
        <w:t>Dáta:</w:t>
      </w:r>
      <w:r w:rsidRPr="004918E0">
        <w:rPr>
          <w:b/>
          <w:lang w:val="ga-IE" w:eastAsia="en-GB"/>
        </w:rPr>
        <w:tab/>
      </w:r>
      <w:r w:rsidRPr="004918E0">
        <w:rPr>
          <w:b/>
          <w:lang w:val="ga-IE" w:eastAsia="en-GB"/>
        </w:rPr>
        <w:tab/>
      </w:r>
      <w:r w:rsidRPr="004918E0">
        <w:rPr>
          <w:lang w:val="ga-IE" w:eastAsia="en-GB"/>
        </w:rPr>
        <w:t>14 Lúnasa 2013</w:t>
      </w:r>
    </w:p>
    <w:p w:rsidR="009B7368" w:rsidRPr="004918E0" w:rsidRDefault="009B7368" w:rsidP="009B7368">
      <w:pPr>
        <w:pStyle w:val="Heading2"/>
        <w:rPr>
          <w:lang w:val="ga-IE" w:eastAsia="en-GB"/>
        </w:rPr>
      </w:pPr>
      <w:r w:rsidRPr="004918E0">
        <w:rPr>
          <w:lang w:val="ga-IE" w:eastAsia="en-GB"/>
        </w:rPr>
        <w:br w:type="page"/>
        <w:t>Nótaí leis na Ráitis Airgeadais don bhliain dar chríoch an 31 Nollaig, 2012</w:t>
      </w:r>
    </w:p>
    <w:p w:rsidR="009B7368" w:rsidRPr="004918E0" w:rsidRDefault="009B7368" w:rsidP="009B7368">
      <w:pPr>
        <w:pStyle w:val="Heading3"/>
        <w:rPr>
          <w:lang w:val="ga-IE" w:eastAsia="en-GB"/>
        </w:rPr>
      </w:pPr>
      <w:r w:rsidRPr="004918E0">
        <w:rPr>
          <w:lang w:val="ga-IE" w:eastAsia="en-GB"/>
        </w:rPr>
        <w:t>1. Clúdaíonn na Ráitis Airgeadais seo an bhliain dar chríoch an 31 Nollaig 2012</w:t>
      </w:r>
    </w:p>
    <w:p w:rsidR="009B7368" w:rsidRPr="004918E0" w:rsidRDefault="009B7368" w:rsidP="009B7368">
      <w:pPr>
        <w:pStyle w:val="Heading3"/>
        <w:rPr>
          <w:lang w:val="ga-IE" w:eastAsia="en-GB"/>
        </w:rPr>
      </w:pPr>
      <w:r w:rsidRPr="004918E0">
        <w:rPr>
          <w:lang w:val="ga-IE" w:eastAsia="en-GB"/>
        </w:rPr>
        <w:t>2. Ioncam</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3F" w:firstRow="1" w:lastRow="0" w:firstColumn="0" w:lastColumn="0" w:noHBand="0" w:noVBand="0"/>
      </w:tblPr>
      <w:tblGrid>
        <w:gridCol w:w="5484"/>
        <w:gridCol w:w="1436"/>
        <w:gridCol w:w="1233"/>
      </w:tblGrid>
      <w:tr w:rsidR="009B7368" w:rsidRPr="004918E0" w:rsidTr="00790853">
        <w:trPr>
          <w:tblHeader/>
        </w:trPr>
        <w:tc>
          <w:tcPr>
            <w:tcW w:w="5820" w:type="dxa"/>
            <w:vAlign w:val="bottom"/>
          </w:tcPr>
          <w:p w:rsidR="009B7368" w:rsidRPr="004918E0" w:rsidRDefault="009B7368" w:rsidP="00790853">
            <w:pPr>
              <w:pStyle w:val="TableRowHead"/>
              <w:rPr>
                <w:rFonts w:ascii="Gill Sans" w:hAnsi="Gill Sans"/>
                <w:sz w:val="24"/>
                <w:lang w:val="ga-IE" w:eastAsia="en-GB"/>
              </w:rPr>
            </w:pPr>
          </w:p>
        </w:tc>
        <w:tc>
          <w:tcPr>
            <w:tcW w:w="1462" w:type="dxa"/>
            <w:vAlign w:val="bottom"/>
          </w:tcPr>
          <w:p w:rsidR="009B7368" w:rsidRPr="004918E0" w:rsidRDefault="009B7368" w:rsidP="00790853">
            <w:pPr>
              <w:pStyle w:val="TableHead"/>
              <w:jc w:val="right"/>
              <w:rPr>
                <w:lang w:val="ga-IE" w:eastAsia="en-GB"/>
              </w:rPr>
            </w:pPr>
            <w:r w:rsidRPr="004918E0">
              <w:rPr>
                <w:lang w:val="ga-IE" w:eastAsia="en-GB"/>
              </w:rPr>
              <w:t>2012</w:t>
            </w:r>
          </w:p>
        </w:tc>
        <w:tc>
          <w:tcPr>
            <w:tcW w:w="1240" w:type="dxa"/>
            <w:vAlign w:val="bottom"/>
          </w:tcPr>
          <w:p w:rsidR="009B7368" w:rsidRPr="004918E0" w:rsidRDefault="009B7368" w:rsidP="00790853">
            <w:pPr>
              <w:pStyle w:val="TableHead"/>
              <w:jc w:val="right"/>
              <w:rPr>
                <w:lang w:val="ga-IE" w:eastAsia="en-GB"/>
              </w:rPr>
            </w:pPr>
            <w:r w:rsidRPr="004918E0">
              <w:rPr>
                <w:lang w:val="ga-IE" w:eastAsia="en-GB"/>
              </w:rPr>
              <w:t>2011</w:t>
            </w:r>
          </w:p>
        </w:tc>
      </w:tr>
      <w:tr w:rsidR="009B7368" w:rsidRPr="004918E0" w:rsidTr="00790853">
        <w:tc>
          <w:tcPr>
            <w:tcW w:w="5820" w:type="dxa"/>
            <w:vAlign w:val="bottom"/>
          </w:tcPr>
          <w:p w:rsidR="009B7368" w:rsidRPr="004918E0" w:rsidRDefault="009B7368" w:rsidP="00790853">
            <w:pPr>
              <w:pStyle w:val="TableRowHead"/>
              <w:rPr>
                <w:rFonts w:ascii="Gill Sans" w:hAnsi="Gill Sans"/>
                <w:bCs/>
                <w:sz w:val="24"/>
                <w:lang w:val="ga-IE" w:eastAsia="en-GB"/>
              </w:rPr>
            </w:pPr>
          </w:p>
        </w:tc>
        <w:tc>
          <w:tcPr>
            <w:tcW w:w="1462"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c>
          <w:tcPr>
            <w:tcW w:w="1240"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r>
      <w:tr w:rsidR="009B7368" w:rsidRPr="004918E0" w:rsidTr="00790853">
        <w:tc>
          <w:tcPr>
            <w:tcW w:w="8522" w:type="dxa"/>
            <w:gridSpan w:val="3"/>
            <w:vAlign w:val="bottom"/>
          </w:tcPr>
          <w:p w:rsidR="009B7368" w:rsidRPr="004918E0" w:rsidRDefault="009B7368" w:rsidP="00790853">
            <w:pPr>
              <w:spacing w:after="0"/>
              <w:jc w:val="center"/>
              <w:rPr>
                <w:rFonts w:cs="Arial"/>
                <w:lang w:val="ga-IE" w:eastAsia="en-GB"/>
              </w:rPr>
            </w:pPr>
            <w:r w:rsidRPr="004918E0">
              <w:rPr>
                <w:b/>
                <w:lang w:val="ga-IE" w:eastAsia="en-GB"/>
              </w:rPr>
              <w:t>2 (a) Ioncam Deontais</w:t>
            </w:r>
          </w:p>
        </w:tc>
      </w:tr>
      <w:tr w:rsidR="009B7368" w:rsidRPr="004918E0" w:rsidTr="00790853">
        <w:tc>
          <w:tcPr>
            <w:tcW w:w="582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Méid Iomlán íoctha ag an Roinn Dlí agus Cirt agus Comhionannais thar ceann an NDA</w:t>
            </w:r>
          </w:p>
        </w:tc>
        <w:tc>
          <w:tcPr>
            <w:tcW w:w="1462" w:type="dxa"/>
            <w:vAlign w:val="bottom"/>
          </w:tcPr>
          <w:p w:rsidR="009B7368" w:rsidRPr="004918E0" w:rsidRDefault="009B7368" w:rsidP="00790853">
            <w:pPr>
              <w:pStyle w:val="TableCell"/>
              <w:rPr>
                <w:sz w:val="24"/>
                <w:lang w:val="ga-IE" w:eastAsia="en-GB"/>
              </w:rPr>
            </w:pPr>
            <w:r w:rsidRPr="004918E0">
              <w:rPr>
                <w:sz w:val="24"/>
                <w:lang w:val="ga-IE" w:eastAsia="en-GB"/>
              </w:rPr>
              <w:t xml:space="preserve">3,770,470 </w:t>
            </w:r>
          </w:p>
        </w:tc>
        <w:tc>
          <w:tcPr>
            <w:tcW w:w="1240" w:type="dxa"/>
            <w:vAlign w:val="bottom"/>
          </w:tcPr>
          <w:p w:rsidR="009B7368" w:rsidRPr="004918E0" w:rsidRDefault="009B7368" w:rsidP="00790853">
            <w:pPr>
              <w:pStyle w:val="TableCell"/>
              <w:rPr>
                <w:sz w:val="24"/>
                <w:lang w:val="ga-IE" w:eastAsia="en-GB"/>
              </w:rPr>
            </w:pPr>
            <w:r w:rsidRPr="004918E0">
              <w:rPr>
                <w:sz w:val="24"/>
                <w:lang w:val="ga-IE" w:eastAsia="en-GB"/>
              </w:rPr>
              <w:t xml:space="preserve">3,334,862 </w:t>
            </w:r>
          </w:p>
        </w:tc>
      </w:tr>
      <w:tr w:rsidR="009B7368" w:rsidRPr="004918E0" w:rsidTr="00790853">
        <w:tc>
          <w:tcPr>
            <w:tcW w:w="582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Méid Iomlán íoctha ag an Roinn Gnóthaí Pobail, Tuaithe agus Gaeltachta thar ceann an NDA </w:t>
            </w:r>
          </w:p>
        </w:tc>
        <w:tc>
          <w:tcPr>
            <w:tcW w:w="1462"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c>
          <w:tcPr>
            <w:tcW w:w="1240" w:type="dxa"/>
            <w:vAlign w:val="bottom"/>
          </w:tcPr>
          <w:p w:rsidR="009B7368" w:rsidRPr="004918E0" w:rsidRDefault="009B7368" w:rsidP="00790853">
            <w:pPr>
              <w:pStyle w:val="TableCell"/>
              <w:rPr>
                <w:sz w:val="24"/>
                <w:lang w:val="ga-IE" w:eastAsia="en-GB"/>
              </w:rPr>
            </w:pPr>
            <w:r w:rsidRPr="004918E0">
              <w:rPr>
                <w:sz w:val="24"/>
                <w:lang w:val="ga-IE" w:eastAsia="en-GB"/>
              </w:rPr>
              <w:t xml:space="preserve">835,520 </w:t>
            </w:r>
          </w:p>
        </w:tc>
      </w:tr>
      <w:tr w:rsidR="009B7368" w:rsidRPr="004918E0" w:rsidTr="00790853">
        <w:tc>
          <w:tcPr>
            <w:tcW w:w="5820" w:type="dxa"/>
            <w:vAlign w:val="bottom"/>
          </w:tcPr>
          <w:p w:rsidR="009B7368" w:rsidRPr="004918E0" w:rsidRDefault="009B7368" w:rsidP="00790853">
            <w:pPr>
              <w:pStyle w:val="TableRowHead"/>
              <w:rPr>
                <w:rFonts w:ascii="Gill Sans" w:hAnsi="Gill Sans"/>
                <w:sz w:val="24"/>
                <w:lang w:val="ga-IE" w:eastAsia="en-GB"/>
              </w:rPr>
            </w:pPr>
          </w:p>
        </w:tc>
        <w:tc>
          <w:tcPr>
            <w:tcW w:w="1462" w:type="dxa"/>
            <w:vAlign w:val="bottom"/>
          </w:tcPr>
          <w:p w:rsidR="009B7368" w:rsidRPr="004918E0" w:rsidRDefault="009B7368" w:rsidP="00790853">
            <w:pPr>
              <w:pStyle w:val="TableCell"/>
              <w:rPr>
                <w:sz w:val="24"/>
                <w:lang w:val="ga-IE" w:eastAsia="en-GB"/>
              </w:rPr>
            </w:pPr>
            <w:r w:rsidRPr="004918E0">
              <w:rPr>
                <w:sz w:val="24"/>
                <w:lang w:val="ga-IE" w:eastAsia="en-GB"/>
              </w:rPr>
              <w:t xml:space="preserve">3,770,470 </w:t>
            </w:r>
          </w:p>
        </w:tc>
        <w:tc>
          <w:tcPr>
            <w:tcW w:w="1240" w:type="dxa"/>
            <w:vAlign w:val="bottom"/>
          </w:tcPr>
          <w:p w:rsidR="009B7368" w:rsidRPr="004918E0" w:rsidRDefault="009B7368" w:rsidP="00790853">
            <w:pPr>
              <w:pStyle w:val="TableCell"/>
              <w:rPr>
                <w:sz w:val="24"/>
                <w:lang w:val="ga-IE" w:eastAsia="en-GB"/>
              </w:rPr>
            </w:pPr>
            <w:r w:rsidRPr="004918E0">
              <w:rPr>
                <w:sz w:val="24"/>
                <w:lang w:val="ga-IE" w:eastAsia="en-GB"/>
              </w:rPr>
              <w:t xml:space="preserve">4,170,382 </w:t>
            </w:r>
          </w:p>
        </w:tc>
      </w:tr>
      <w:tr w:rsidR="009B7368" w:rsidRPr="004918E0" w:rsidTr="00790853">
        <w:tc>
          <w:tcPr>
            <w:tcW w:w="8522" w:type="dxa"/>
            <w:gridSpan w:val="3"/>
            <w:vAlign w:val="bottom"/>
          </w:tcPr>
          <w:p w:rsidR="009B7368" w:rsidRPr="004918E0" w:rsidRDefault="009B7368" w:rsidP="00790853">
            <w:pPr>
              <w:pStyle w:val="TableCell"/>
              <w:jc w:val="center"/>
              <w:rPr>
                <w:sz w:val="24"/>
                <w:lang w:val="ga-IE" w:eastAsia="en-GB"/>
              </w:rPr>
            </w:pPr>
            <w:r w:rsidRPr="004918E0">
              <w:rPr>
                <w:b/>
                <w:sz w:val="24"/>
                <w:lang w:val="ga-IE" w:eastAsia="en-GB"/>
              </w:rPr>
              <w:t>2 (b) Ioncam Eile</w:t>
            </w:r>
          </w:p>
        </w:tc>
      </w:tr>
      <w:tr w:rsidR="009B7368" w:rsidRPr="004918E0" w:rsidTr="00790853">
        <w:tc>
          <w:tcPr>
            <w:tcW w:w="582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Ús Bainc</w:t>
            </w:r>
          </w:p>
        </w:tc>
        <w:tc>
          <w:tcPr>
            <w:tcW w:w="1462"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c>
          <w:tcPr>
            <w:tcW w:w="1240"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r>
      <w:tr w:rsidR="009B7368" w:rsidRPr="004918E0" w:rsidTr="00790853">
        <w:tc>
          <w:tcPr>
            <w:tcW w:w="582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Fáltais ón Roinn Gnóthaí Sóisialacha agus Teaghlaigh</w:t>
            </w:r>
          </w:p>
        </w:tc>
        <w:tc>
          <w:tcPr>
            <w:tcW w:w="1462" w:type="dxa"/>
            <w:vAlign w:val="bottom"/>
          </w:tcPr>
          <w:p w:rsidR="009B7368" w:rsidRPr="004918E0" w:rsidRDefault="009B7368" w:rsidP="00790853">
            <w:pPr>
              <w:pStyle w:val="TableCell"/>
              <w:rPr>
                <w:sz w:val="24"/>
                <w:lang w:val="ga-IE" w:eastAsia="en-GB"/>
              </w:rPr>
            </w:pPr>
            <w:r w:rsidRPr="004918E0">
              <w:rPr>
                <w:sz w:val="24"/>
                <w:lang w:val="ga-IE" w:eastAsia="en-GB"/>
              </w:rPr>
              <w:t xml:space="preserve">7,037 </w:t>
            </w:r>
          </w:p>
        </w:tc>
        <w:tc>
          <w:tcPr>
            <w:tcW w:w="1240" w:type="dxa"/>
            <w:vAlign w:val="bottom"/>
          </w:tcPr>
          <w:p w:rsidR="009B7368" w:rsidRPr="004918E0" w:rsidRDefault="009B7368" w:rsidP="00790853">
            <w:pPr>
              <w:pStyle w:val="TableCell"/>
              <w:rPr>
                <w:sz w:val="24"/>
                <w:lang w:val="ga-IE" w:eastAsia="en-GB"/>
              </w:rPr>
            </w:pPr>
            <w:r w:rsidRPr="004918E0">
              <w:rPr>
                <w:sz w:val="24"/>
                <w:lang w:val="ga-IE" w:eastAsia="en-GB"/>
              </w:rPr>
              <w:t xml:space="preserve">18,440 </w:t>
            </w:r>
          </w:p>
        </w:tc>
      </w:tr>
      <w:tr w:rsidR="009B7368" w:rsidRPr="004918E0" w:rsidTr="00790853">
        <w:tc>
          <w:tcPr>
            <w:tcW w:w="582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Éagsúil</w:t>
            </w:r>
          </w:p>
        </w:tc>
        <w:tc>
          <w:tcPr>
            <w:tcW w:w="1462" w:type="dxa"/>
            <w:vAlign w:val="bottom"/>
          </w:tcPr>
          <w:p w:rsidR="009B7368" w:rsidRPr="004918E0" w:rsidRDefault="009B7368" w:rsidP="00790853">
            <w:pPr>
              <w:pStyle w:val="TableCell"/>
              <w:rPr>
                <w:sz w:val="24"/>
                <w:lang w:val="ga-IE" w:eastAsia="en-GB"/>
              </w:rPr>
            </w:pPr>
            <w:r w:rsidRPr="004918E0">
              <w:rPr>
                <w:sz w:val="24"/>
                <w:lang w:val="ga-IE" w:eastAsia="en-GB"/>
              </w:rPr>
              <w:t xml:space="preserve">13,011 </w:t>
            </w:r>
          </w:p>
        </w:tc>
        <w:tc>
          <w:tcPr>
            <w:tcW w:w="1240" w:type="dxa"/>
            <w:vAlign w:val="bottom"/>
          </w:tcPr>
          <w:p w:rsidR="009B7368" w:rsidRPr="004918E0" w:rsidRDefault="009B7368" w:rsidP="00790853">
            <w:pPr>
              <w:pStyle w:val="TableCell"/>
              <w:rPr>
                <w:sz w:val="24"/>
                <w:lang w:val="ga-IE" w:eastAsia="en-GB"/>
              </w:rPr>
            </w:pPr>
            <w:r w:rsidRPr="004918E0">
              <w:rPr>
                <w:sz w:val="24"/>
                <w:lang w:val="ga-IE" w:eastAsia="en-GB"/>
              </w:rPr>
              <w:t xml:space="preserve">430 </w:t>
            </w:r>
          </w:p>
        </w:tc>
      </w:tr>
      <w:tr w:rsidR="009B7368" w:rsidRPr="004918E0" w:rsidTr="00790853">
        <w:tc>
          <w:tcPr>
            <w:tcW w:w="5820" w:type="dxa"/>
            <w:vAlign w:val="bottom"/>
          </w:tcPr>
          <w:p w:rsidR="009B7368" w:rsidRPr="004918E0" w:rsidRDefault="009B7368" w:rsidP="00790853">
            <w:pPr>
              <w:pStyle w:val="TableRowHead"/>
              <w:rPr>
                <w:rFonts w:ascii="Gill Sans" w:hAnsi="Gill Sans"/>
                <w:sz w:val="24"/>
                <w:lang w:val="ga-IE" w:eastAsia="en-GB"/>
              </w:rPr>
            </w:pPr>
          </w:p>
        </w:tc>
        <w:tc>
          <w:tcPr>
            <w:tcW w:w="1462" w:type="dxa"/>
            <w:vAlign w:val="bottom"/>
          </w:tcPr>
          <w:p w:rsidR="009B7368" w:rsidRPr="004918E0" w:rsidRDefault="009B7368" w:rsidP="00790853">
            <w:pPr>
              <w:pStyle w:val="TableCell"/>
              <w:rPr>
                <w:sz w:val="24"/>
                <w:lang w:val="ga-IE" w:eastAsia="en-GB"/>
              </w:rPr>
            </w:pPr>
            <w:r w:rsidRPr="004918E0">
              <w:rPr>
                <w:sz w:val="24"/>
                <w:lang w:val="ga-IE" w:eastAsia="en-GB"/>
              </w:rPr>
              <w:t xml:space="preserve">20,048 </w:t>
            </w:r>
          </w:p>
        </w:tc>
        <w:tc>
          <w:tcPr>
            <w:tcW w:w="1240" w:type="dxa"/>
            <w:vAlign w:val="bottom"/>
          </w:tcPr>
          <w:p w:rsidR="009B7368" w:rsidRPr="004918E0" w:rsidRDefault="009B7368" w:rsidP="00790853">
            <w:pPr>
              <w:pStyle w:val="TableCell"/>
              <w:rPr>
                <w:sz w:val="24"/>
                <w:lang w:val="ga-IE" w:eastAsia="en-GB"/>
              </w:rPr>
            </w:pPr>
            <w:r w:rsidRPr="004918E0">
              <w:rPr>
                <w:sz w:val="24"/>
                <w:lang w:val="ga-IE" w:eastAsia="en-GB"/>
              </w:rPr>
              <w:t xml:space="preserve">18,870 </w:t>
            </w:r>
          </w:p>
        </w:tc>
      </w:tr>
    </w:tbl>
    <w:p w:rsidR="009B7368" w:rsidRPr="004918E0" w:rsidRDefault="009B7368" w:rsidP="009B7368">
      <w:pPr>
        <w:pStyle w:val="Heading2"/>
        <w:rPr>
          <w:lang w:val="ga-IE"/>
        </w:rPr>
      </w:pPr>
    </w:p>
    <w:p w:rsidR="009B7368" w:rsidRPr="004918E0" w:rsidRDefault="009B7368" w:rsidP="009B7368">
      <w:pPr>
        <w:pStyle w:val="Heading3"/>
        <w:rPr>
          <w:lang w:val="ga-IE"/>
        </w:rPr>
      </w:pPr>
      <w:r w:rsidRPr="004918E0">
        <w:rPr>
          <w:lang w:val="ga-IE"/>
        </w:rPr>
        <w:br w:type="page"/>
        <w:t>3. Tionscadail agus Obair Choimisiúnaithe</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578"/>
        <w:gridCol w:w="1372"/>
        <w:gridCol w:w="1203"/>
      </w:tblGrid>
      <w:tr w:rsidR="009B7368" w:rsidRPr="004918E0" w:rsidTr="00790853">
        <w:trPr>
          <w:tblHeader/>
        </w:trPr>
        <w:tc>
          <w:tcPr>
            <w:tcW w:w="5843" w:type="dxa"/>
            <w:vAlign w:val="bottom"/>
          </w:tcPr>
          <w:p w:rsidR="009B7368" w:rsidRPr="004918E0" w:rsidRDefault="009B7368" w:rsidP="00790853">
            <w:pPr>
              <w:spacing w:after="0"/>
              <w:rPr>
                <w:rFonts w:cs="Arial"/>
                <w:b/>
                <w:bCs/>
                <w:lang w:val="ga-IE" w:eastAsia="en-GB"/>
              </w:rPr>
            </w:pPr>
          </w:p>
        </w:tc>
        <w:tc>
          <w:tcPr>
            <w:tcW w:w="1428" w:type="dxa"/>
            <w:vAlign w:val="bottom"/>
          </w:tcPr>
          <w:p w:rsidR="009B7368" w:rsidRPr="004918E0" w:rsidRDefault="009B7368" w:rsidP="00790853">
            <w:pPr>
              <w:spacing w:after="0"/>
              <w:jc w:val="right"/>
              <w:rPr>
                <w:rFonts w:cs="Arial"/>
                <w:b/>
                <w:bCs/>
                <w:lang w:val="ga-IE" w:eastAsia="en-GB"/>
              </w:rPr>
            </w:pPr>
            <w:r w:rsidRPr="004918E0">
              <w:rPr>
                <w:rFonts w:cs="Arial"/>
                <w:b/>
                <w:bCs/>
                <w:lang w:val="ga-IE" w:eastAsia="en-GB"/>
              </w:rPr>
              <w:t>2012</w:t>
            </w:r>
          </w:p>
        </w:tc>
        <w:tc>
          <w:tcPr>
            <w:tcW w:w="1251" w:type="dxa"/>
            <w:vAlign w:val="bottom"/>
          </w:tcPr>
          <w:p w:rsidR="009B7368" w:rsidRPr="004918E0" w:rsidRDefault="009B7368" w:rsidP="00790853">
            <w:pPr>
              <w:spacing w:after="0"/>
              <w:jc w:val="right"/>
              <w:rPr>
                <w:rFonts w:cs="Arial"/>
                <w:b/>
                <w:bCs/>
                <w:lang w:val="ga-IE" w:eastAsia="en-GB"/>
              </w:rPr>
            </w:pPr>
            <w:r w:rsidRPr="004918E0">
              <w:rPr>
                <w:rFonts w:cs="Arial"/>
                <w:b/>
                <w:bCs/>
                <w:lang w:val="ga-IE" w:eastAsia="en-GB"/>
              </w:rPr>
              <w:t>2011</w:t>
            </w:r>
          </w:p>
        </w:tc>
      </w:tr>
      <w:tr w:rsidR="009B7368" w:rsidRPr="004918E0" w:rsidTr="00790853">
        <w:trPr>
          <w:tblHeader/>
        </w:trPr>
        <w:tc>
          <w:tcPr>
            <w:tcW w:w="5843" w:type="dxa"/>
            <w:vAlign w:val="bottom"/>
          </w:tcPr>
          <w:p w:rsidR="009B7368" w:rsidRPr="004918E0" w:rsidRDefault="009B7368" w:rsidP="00790853">
            <w:pPr>
              <w:spacing w:after="0"/>
              <w:rPr>
                <w:rFonts w:cs="Arial"/>
                <w:b/>
                <w:bCs/>
                <w:lang w:val="ga-IE" w:eastAsia="en-GB"/>
              </w:rPr>
            </w:pP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Staidéar Indéantachta ar Leithdháileadh Acmhainní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38,647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25,227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Anailís ar an Suirbhé Náisiúnta ar Mhíchumas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35,613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Comhdháil Bhliantúil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29,430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24,185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Treoir staitistiúil/tacair sonraí Irish Size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28,557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56,187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Acmhainn Airgeadais</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27,350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rHeight w:val="380"/>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Íocaíochtaí Díreacha</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25,648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RÍOMHFHOGHLAIM</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25,478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81,663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Tionscadal maidir le hEolaíocht agus Gníomhú agus a nascann leis an mBliain Eorpach um Aosú Gníomhach agus Baile Átha Cliath mar Phríomhchathair Eolaíochta na hEorpa i 2012 (N)</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25,439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Teileashláinte/Teileachúram</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24,581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Moltaí Taighde agus Treoir Deartha um Néaltrú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24,395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Eolaí Crosmhapála ICF don ISO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24,231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Curaclam DU um dhaltaí atá á n-aistriú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23,598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36,755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Tionscadal le DCC chun cur chuige DU sa dearadh uilíoch a threorú (tairiscint)</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22,222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10,930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Taithí saoil daoine a úsáideann an t-idirlíon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22,158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Measúnú1</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20,785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Leanann tionscadal chun modúil churaclaim a fhorbairt le haghaidh 3ú leibhéil ar aghaidh ó 2011 le tar-rolladh an churaclaim i mBealtaine 2012. Measúnú agus comhairle faoi na chéad chéimeanna eile (C)</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20,588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Teicneolaíocht Chuiditheach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19,486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43,869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Liúntas Cúram Baile</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19,000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Leabharlann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18,517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45,222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Taighde ar Sheirbhísí Sláinte Inrochtana</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17,692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31,805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Athdhearadh an Láithreán Greásáin</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16,642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Taighde </w:t>
            </w:r>
            <w:r w:rsidRPr="004918E0">
              <w:rPr>
                <w:rFonts w:cs="Arial"/>
                <w:b/>
                <w:i/>
                <w:lang w:val="ga-IE" w:eastAsia="en-GB"/>
              </w:rPr>
              <w:t>See Change</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15,700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Foireann Acmhainní DU le haghaidh Swift 9</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12,995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Forbairt treoracha sonracha ar Thithe Fadsaoil (tairiscint)</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12,956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12,745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Forbairt treoirlínte DU i dtimpeallacht uirbeach champas 3ú leibhéil (tairiscint)</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12,915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Your Voice Your Choice</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12,370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Seimineár ar Choinbhinsiún na NA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9,590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Críochnú Tógáil do Chách-Cur chuige Dearaidh Uilíoch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9,581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84,027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Seimineár ar an Tuarascáil Dhomhanda ar Mhíchumas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9,406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1,900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Comhdháil Oifigeach Rochtana</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8,992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Caighdeáin DU ag eascairt ó obair leantach le NSAI srl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7,878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471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Forbairt Phlean Straitéiseach 2013-2015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7,203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Caighdeáin NSAI le haghaidh seirbhísí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6,000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6,001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Tacaí Pobail Nádúrtha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5,858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An Scéim um Chur Chun Cinn na Taighde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5,007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79,732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Suirbhé ar Dhearcaí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4,230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42,961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Seimineáir &amp; ceardlanna chun leanúint ar aghaidh ag déanamh DU a chur chun cinn do pháirtithe leasmhara ábhartha (N)</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3,557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Athbhreithniú ar Rialuithe Inmheánacha Airgeadais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3,076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4,790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Nuachtlitir </w:t>
            </w:r>
            <w:r w:rsidRPr="004918E0">
              <w:rPr>
                <w:rFonts w:cs="Arial"/>
                <w:b/>
                <w:i/>
                <w:lang w:val="ga-IE" w:eastAsia="en-GB"/>
              </w:rPr>
              <w:t xml:space="preserve">Newsweaver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2,177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Dúshlán Deartha 2011</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1,869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Tuarascáil Bhliantúil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1,692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1,639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Rúnaíocht ar an DSG</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1,629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Cód Cleachtais Oidhreachta</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1,612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7,944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Treoirlínte um Scoileanna Inrochtana</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1,218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Seimineáir Fhostaíochta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1,032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701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Seimineár Spóirt</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1,028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Teilifís Trastíre Dhigiteach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861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20,500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Gradaim Ríomhsheirbhísí an Rialtais</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720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Tionscadal BAI NDA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246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Cruinniú Comhchéime ar Theanga Chomharthaíochta</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232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Forbairt mhodúil churaclaim DU i 3 réimse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97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24,704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Taighde ar aosú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(360)</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Measúnú 2</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(4,230)</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Cur chun cinn an fhoireann acmhainní ríomhrochtana UN G3ICT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(7,923)</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Árachas Sláinte Uilechoiteann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(8,853)</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Tacaí Pobail Nádúrtha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101,695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Páipéar Staid Fianaise</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81,761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IRCSET</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39,125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Táscairí Míchumais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24,853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Inrochtaineacht an Idirlín</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24,502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Dúshlán 24 uair an chloig</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17,053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Leabhar ar Mhíchumas</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7,321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Athbhreithniú ar an Lámhleabhar Rialachais Chorparáidigh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4,800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An Gradam um Feabhas trí Inrochtaineacht &amp; an Scéim Mhonatóireachta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4,252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Scoláireachtaí Taighde</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4,087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Pleanáil Straitéiseach</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3,328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Treoirlínte ar Choimeád Post (Le Dearbhú)</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3,291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Taisteal Cainteoirí Ilghnéitheacha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2,894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Monatóireacht ar Chur i bhFeidhm na gCód Cleachtais ar Sheirbhísí Poiblí Inrochtana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2,054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Ríomh-nuachtlitir</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1,258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Cuid 5 An tAcht Míchumais – Tuarascáil Reachtúil</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685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Mandáit 376</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657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Seimineár ar Choimisiúnú</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553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r w:rsidRPr="004918E0">
              <w:rPr>
                <w:rFonts w:cs="Arial"/>
                <w:b/>
                <w:lang w:val="ga-IE" w:eastAsia="en-GB"/>
              </w:rPr>
              <w:t xml:space="preserve">Paca Acmhainní Míchumais Inrochtana </w:t>
            </w: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89 </w:t>
            </w: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p>
        </w:tc>
        <w:tc>
          <w:tcPr>
            <w:tcW w:w="1428" w:type="dxa"/>
            <w:vAlign w:val="bottom"/>
          </w:tcPr>
          <w:p w:rsidR="009B7368" w:rsidRPr="004918E0" w:rsidRDefault="009B7368" w:rsidP="00790853">
            <w:pPr>
              <w:spacing w:after="0"/>
              <w:jc w:val="right"/>
              <w:rPr>
                <w:rFonts w:cs="Arial"/>
                <w:lang w:val="ga-IE" w:eastAsia="en-GB"/>
              </w:rPr>
            </w:pPr>
          </w:p>
        </w:tc>
        <w:tc>
          <w:tcPr>
            <w:tcW w:w="1251" w:type="dxa"/>
            <w:vAlign w:val="bottom"/>
          </w:tcPr>
          <w:p w:rsidR="009B7368" w:rsidRPr="004918E0" w:rsidRDefault="009B7368" w:rsidP="00790853">
            <w:pPr>
              <w:spacing w:after="0"/>
              <w:jc w:val="right"/>
              <w:rPr>
                <w:rFonts w:cs="Arial"/>
                <w:lang w:val="ga-IE" w:eastAsia="en-GB"/>
              </w:rPr>
            </w:pPr>
          </w:p>
        </w:tc>
      </w:tr>
      <w:tr w:rsidR="009B7368" w:rsidRPr="004918E0" w:rsidTr="00790853">
        <w:trPr>
          <w:tblHeader/>
        </w:trPr>
        <w:tc>
          <w:tcPr>
            <w:tcW w:w="5843" w:type="dxa"/>
            <w:vAlign w:val="bottom"/>
          </w:tcPr>
          <w:p w:rsidR="009B7368" w:rsidRPr="004918E0" w:rsidRDefault="009B7368" w:rsidP="00790853">
            <w:pPr>
              <w:spacing w:after="0"/>
              <w:rPr>
                <w:rFonts w:cs="Arial"/>
                <w:b/>
                <w:lang w:val="ga-IE" w:eastAsia="en-GB"/>
              </w:rPr>
            </w:pPr>
          </w:p>
        </w:tc>
        <w:tc>
          <w:tcPr>
            <w:tcW w:w="142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650,418 </w:t>
            </w:r>
          </w:p>
        </w:tc>
        <w:tc>
          <w:tcPr>
            <w:tcW w:w="125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968,216 </w:t>
            </w:r>
          </w:p>
        </w:tc>
      </w:tr>
    </w:tbl>
    <w:p w:rsidR="009B7368" w:rsidRPr="004918E0" w:rsidRDefault="009B7368" w:rsidP="009B7368">
      <w:pPr>
        <w:pStyle w:val="Heading3"/>
        <w:rPr>
          <w:lang w:val="ga-IE" w:eastAsia="en-GB"/>
        </w:rPr>
      </w:pPr>
      <w:r w:rsidRPr="004918E0">
        <w:rPr>
          <w:lang w:val="ga-IE" w:eastAsia="en-GB"/>
        </w:rPr>
        <w:br w:type="page"/>
        <w:t>4. Costais Phárolla</w:t>
      </w:r>
    </w:p>
    <w:tbl>
      <w:tblPr>
        <w:tblW w:w="504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546"/>
        <w:gridCol w:w="1336"/>
        <w:gridCol w:w="1336"/>
      </w:tblGrid>
      <w:tr w:rsidR="009B7368" w:rsidRPr="004918E0" w:rsidTr="00790853">
        <w:trPr>
          <w:tblHeader/>
        </w:trPr>
        <w:tc>
          <w:tcPr>
            <w:tcW w:w="5809" w:type="dxa"/>
            <w:vAlign w:val="bottom"/>
          </w:tcPr>
          <w:p w:rsidR="009B7368" w:rsidRPr="004918E0" w:rsidRDefault="009B7368" w:rsidP="00790853">
            <w:pPr>
              <w:spacing w:after="0"/>
              <w:rPr>
                <w:rFonts w:cs="Arial"/>
                <w:lang w:val="ga-IE" w:eastAsia="en-GB"/>
              </w:rPr>
            </w:pPr>
          </w:p>
        </w:tc>
        <w:tc>
          <w:tcPr>
            <w:tcW w:w="1391" w:type="dxa"/>
            <w:vAlign w:val="bottom"/>
          </w:tcPr>
          <w:p w:rsidR="009B7368" w:rsidRPr="004918E0" w:rsidRDefault="009B7368" w:rsidP="00790853">
            <w:pPr>
              <w:pStyle w:val="TableHead"/>
              <w:jc w:val="right"/>
              <w:rPr>
                <w:lang w:val="ga-IE" w:eastAsia="en-GB"/>
              </w:rPr>
            </w:pPr>
            <w:r w:rsidRPr="004918E0">
              <w:rPr>
                <w:lang w:val="ga-IE" w:eastAsia="en-GB"/>
              </w:rPr>
              <w:t>2012</w:t>
            </w:r>
          </w:p>
        </w:tc>
        <w:tc>
          <w:tcPr>
            <w:tcW w:w="1391" w:type="dxa"/>
            <w:vAlign w:val="bottom"/>
          </w:tcPr>
          <w:p w:rsidR="009B7368" w:rsidRPr="004918E0" w:rsidRDefault="009B7368" w:rsidP="00790853">
            <w:pPr>
              <w:pStyle w:val="TableHead"/>
              <w:jc w:val="right"/>
              <w:rPr>
                <w:lang w:val="ga-IE" w:eastAsia="en-GB"/>
              </w:rPr>
            </w:pPr>
            <w:r w:rsidRPr="004918E0">
              <w:rPr>
                <w:lang w:val="ga-IE" w:eastAsia="en-GB"/>
              </w:rPr>
              <w:t>2011</w:t>
            </w:r>
          </w:p>
        </w:tc>
      </w:tr>
      <w:tr w:rsidR="009B7368" w:rsidRPr="004918E0" w:rsidTr="00790853">
        <w:tc>
          <w:tcPr>
            <w:tcW w:w="5809" w:type="dxa"/>
            <w:vAlign w:val="bottom"/>
          </w:tcPr>
          <w:p w:rsidR="009B7368" w:rsidRPr="004918E0" w:rsidRDefault="009B7368" w:rsidP="00790853">
            <w:pPr>
              <w:spacing w:after="0"/>
              <w:rPr>
                <w:rFonts w:cs="Arial"/>
                <w:lang w:val="ga-IE" w:eastAsia="en-GB"/>
              </w:rPr>
            </w:pPr>
          </w:p>
        </w:tc>
        <w:tc>
          <w:tcPr>
            <w:tcW w:w="139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c>
          <w:tcPr>
            <w:tcW w:w="1391"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r>
      <w:tr w:rsidR="009B7368" w:rsidRPr="004918E0" w:rsidTr="00790853">
        <w:tc>
          <w:tcPr>
            <w:tcW w:w="5809"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Pá Foirne NDA</w:t>
            </w:r>
          </w:p>
        </w:tc>
        <w:tc>
          <w:tcPr>
            <w:tcW w:w="1391" w:type="dxa"/>
            <w:vAlign w:val="bottom"/>
          </w:tcPr>
          <w:p w:rsidR="009B7368" w:rsidRPr="004918E0" w:rsidRDefault="009B7368" w:rsidP="00790853">
            <w:pPr>
              <w:pStyle w:val="TableCell"/>
              <w:rPr>
                <w:sz w:val="24"/>
                <w:lang w:val="ga-IE" w:eastAsia="en-GB"/>
              </w:rPr>
            </w:pPr>
            <w:r w:rsidRPr="004918E0">
              <w:rPr>
                <w:sz w:val="24"/>
                <w:lang w:val="ga-IE" w:eastAsia="en-GB"/>
              </w:rPr>
              <w:t>2,003,001</w:t>
            </w:r>
          </w:p>
        </w:tc>
        <w:tc>
          <w:tcPr>
            <w:tcW w:w="1391" w:type="dxa"/>
            <w:vAlign w:val="bottom"/>
          </w:tcPr>
          <w:p w:rsidR="009B7368" w:rsidRPr="004918E0" w:rsidRDefault="009B7368" w:rsidP="00790853">
            <w:pPr>
              <w:pStyle w:val="TableCell"/>
              <w:rPr>
                <w:sz w:val="24"/>
                <w:lang w:val="ga-IE" w:eastAsia="en-GB"/>
              </w:rPr>
            </w:pPr>
            <w:r w:rsidRPr="004918E0">
              <w:rPr>
                <w:sz w:val="24"/>
                <w:lang w:val="ga-IE" w:eastAsia="en-GB"/>
              </w:rPr>
              <w:t>2,097,591</w:t>
            </w:r>
          </w:p>
        </w:tc>
      </w:tr>
      <w:tr w:rsidR="009B7368" w:rsidRPr="004918E0" w:rsidTr="00790853">
        <w:tc>
          <w:tcPr>
            <w:tcW w:w="5809"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Baill Foirne na Gníomhaireachta</w:t>
            </w:r>
          </w:p>
        </w:tc>
        <w:tc>
          <w:tcPr>
            <w:tcW w:w="1391" w:type="dxa"/>
            <w:vAlign w:val="bottom"/>
          </w:tcPr>
          <w:p w:rsidR="009B7368" w:rsidRPr="004918E0" w:rsidRDefault="009B7368" w:rsidP="00790853">
            <w:pPr>
              <w:pStyle w:val="TableCell"/>
              <w:rPr>
                <w:sz w:val="24"/>
                <w:lang w:val="ga-IE" w:eastAsia="en-GB"/>
              </w:rPr>
            </w:pPr>
            <w:r w:rsidRPr="004918E0">
              <w:rPr>
                <w:sz w:val="24"/>
                <w:lang w:val="ga-IE" w:eastAsia="en-GB"/>
              </w:rPr>
              <w:t xml:space="preserve">1,918 </w:t>
            </w:r>
          </w:p>
        </w:tc>
        <w:tc>
          <w:tcPr>
            <w:tcW w:w="1391" w:type="dxa"/>
            <w:vAlign w:val="bottom"/>
          </w:tcPr>
          <w:p w:rsidR="009B7368" w:rsidRPr="004918E0" w:rsidRDefault="009B7368" w:rsidP="00790853">
            <w:pPr>
              <w:pStyle w:val="TableCell"/>
              <w:rPr>
                <w:sz w:val="24"/>
                <w:lang w:val="ga-IE" w:eastAsia="en-GB"/>
              </w:rPr>
            </w:pPr>
            <w:r w:rsidRPr="004918E0">
              <w:rPr>
                <w:sz w:val="24"/>
                <w:lang w:val="ga-IE" w:eastAsia="en-GB"/>
              </w:rPr>
              <w:t xml:space="preserve">1,639 </w:t>
            </w:r>
          </w:p>
        </w:tc>
      </w:tr>
      <w:tr w:rsidR="009B7368" w:rsidRPr="004918E0" w:rsidTr="00790853">
        <w:tc>
          <w:tcPr>
            <w:tcW w:w="5809" w:type="dxa"/>
            <w:vAlign w:val="bottom"/>
          </w:tcPr>
          <w:p w:rsidR="009B7368" w:rsidRPr="004918E0" w:rsidRDefault="009B7368" w:rsidP="00790853">
            <w:pPr>
              <w:spacing w:after="0"/>
              <w:rPr>
                <w:rFonts w:cs="Arial"/>
                <w:lang w:val="ga-IE" w:eastAsia="en-GB"/>
              </w:rPr>
            </w:pPr>
          </w:p>
        </w:tc>
        <w:tc>
          <w:tcPr>
            <w:tcW w:w="1391" w:type="dxa"/>
            <w:vAlign w:val="bottom"/>
          </w:tcPr>
          <w:p w:rsidR="009B7368" w:rsidRPr="004918E0" w:rsidRDefault="009B7368" w:rsidP="00790853">
            <w:pPr>
              <w:pStyle w:val="TableCell"/>
              <w:rPr>
                <w:b/>
                <w:sz w:val="24"/>
                <w:lang w:val="ga-IE" w:eastAsia="en-GB"/>
              </w:rPr>
            </w:pPr>
            <w:r w:rsidRPr="004918E0">
              <w:rPr>
                <w:b/>
                <w:sz w:val="24"/>
                <w:lang w:val="ga-IE" w:eastAsia="en-GB"/>
              </w:rPr>
              <w:t xml:space="preserve">2,004,919 </w:t>
            </w:r>
          </w:p>
        </w:tc>
        <w:tc>
          <w:tcPr>
            <w:tcW w:w="1391" w:type="dxa"/>
            <w:vAlign w:val="bottom"/>
          </w:tcPr>
          <w:p w:rsidR="009B7368" w:rsidRPr="004918E0" w:rsidRDefault="009B7368" w:rsidP="00790853">
            <w:pPr>
              <w:pStyle w:val="TableCell"/>
              <w:rPr>
                <w:b/>
                <w:sz w:val="24"/>
                <w:lang w:val="ga-IE" w:eastAsia="en-GB"/>
              </w:rPr>
            </w:pPr>
            <w:r w:rsidRPr="004918E0">
              <w:rPr>
                <w:b/>
                <w:sz w:val="24"/>
                <w:lang w:val="ga-IE" w:eastAsia="en-GB"/>
              </w:rPr>
              <w:t xml:space="preserve">2,099,230 </w:t>
            </w:r>
          </w:p>
        </w:tc>
      </w:tr>
    </w:tbl>
    <w:p w:rsidR="009B7368" w:rsidRPr="004918E0" w:rsidRDefault="009B7368" w:rsidP="009B7368">
      <w:pPr>
        <w:rPr>
          <w:lang w:val="ga-IE" w:eastAsia="en-GB"/>
        </w:rPr>
      </w:pPr>
      <w:r w:rsidRPr="004918E0">
        <w:rPr>
          <w:lang w:val="ga-IE" w:eastAsia="en-GB"/>
        </w:rPr>
        <w:t>Ba é meánlíon na mball foirne a bhí fostaithe ag an Údarás sa bhliain ná 33 (2011: 32.5)</w:t>
      </w:r>
    </w:p>
    <w:p w:rsidR="009B7368" w:rsidRPr="004918E0" w:rsidRDefault="009B7368" w:rsidP="009B7368">
      <w:pPr>
        <w:pStyle w:val="Heading3"/>
        <w:rPr>
          <w:lang w:val="ga-IE"/>
        </w:rPr>
      </w:pPr>
      <w:r w:rsidRPr="004918E0">
        <w:rPr>
          <w:lang w:val="ga-IE" w:eastAsia="en-GB"/>
        </w:rPr>
        <w:t>Luach Saothair an Stiúrthóra</w:t>
      </w:r>
    </w:p>
    <w:p w:rsidR="009B7368" w:rsidRPr="004918E0" w:rsidRDefault="009B7368" w:rsidP="009B7368">
      <w:pPr>
        <w:rPr>
          <w:lang w:val="ga-IE" w:eastAsia="en-GB"/>
        </w:rPr>
      </w:pPr>
      <w:r w:rsidRPr="004918E0">
        <w:rPr>
          <w:lang w:val="ga-IE"/>
        </w:rPr>
        <w:t xml:space="preserve">D’íocadh tuarastal de </w:t>
      </w:r>
      <w:r w:rsidRPr="004918E0">
        <w:rPr>
          <w:rFonts w:cs="Arial"/>
          <w:lang w:val="ga-IE"/>
        </w:rPr>
        <w:t>€</w:t>
      </w:r>
      <w:r w:rsidRPr="004918E0">
        <w:rPr>
          <w:rFonts w:cs="Gill Sans"/>
          <w:lang w:val="ga-IE"/>
        </w:rPr>
        <w:t xml:space="preserve">97,301 leis an Stiúrthóir i 2012 (2011: </w:t>
      </w:r>
      <w:r w:rsidRPr="004918E0">
        <w:rPr>
          <w:rFonts w:cs="Arial"/>
          <w:lang w:val="ga-IE"/>
        </w:rPr>
        <w:t>€</w:t>
      </w:r>
      <w:r w:rsidRPr="004918E0">
        <w:rPr>
          <w:rFonts w:cs="Gill Sans"/>
          <w:lang w:val="ga-IE"/>
        </w:rPr>
        <w:t xml:space="preserve">99,236) ar Scála Príomhoifigeach na Státseirbhíse. Ní dhearnadh aon íocaíocht eile de nádúr pá leis an Stiúrthóir sa bhliain sin. </w:t>
      </w:r>
      <w:r w:rsidRPr="004918E0">
        <w:rPr>
          <w:lang w:val="ga-IE" w:eastAsia="en-GB"/>
        </w:rPr>
        <w:t>Tá an Stiúrthóir ina comhalta de scéim sochar sainithe neamhchistithe de chuid na hearnála poiblí agus ní shíneann a cuid teidlíochtaí thar na teidlíochtaí caighdeánacha a bhíonn ar fáil do scéim den sórt sin.</w:t>
      </w:r>
    </w:p>
    <w:p w:rsidR="009B7368" w:rsidRPr="004918E0" w:rsidRDefault="009B7368" w:rsidP="009B7368">
      <w:pPr>
        <w:pStyle w:val="Heading3"/>
        <w:rPr>
          <w:lang w:val="ga-IE" w:eastAsia="en-GB"/>
        </w:rPr>
      </w:pPr>
      <w:r w:rsidRPr="004918E0">
        <w:rPr>
          <w:lang w:val="ga-IE" w:eastAsia="en-GB"/>
        </w:rPr>
        <w:br w:type="page"/>
        <w:t>5. Costais Riaracháin</w:t>
      </w:r>
    </w:p>
    <w:tbl>
      <w:tblPr>
        <w:tblW w:w="92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3F" w:firstRow="1" w:lastRow="0" w:firstColumn="0" w:lastColumn="0" w:noHBand="0" w:noVBand="0"/>
      </w:tblPr>
      <w:tblGrid>
        <w:gridCol w:w="4568"/>
        <w:gridCol w:w="1548"/>
        <w:gridCol w:w="1548"/>
        <w:gridCol w:w="1548"/>
      </w:tblGrid>
      <w:tr w:rsidR="009B7368" w:rsidRPr="004918E0" w:rsidTr="00790853">
        <w:tc>
          <w:tcPr>
            <w:tcW w:w="4568" w:type="dxa"/>
            <w:tcBorders>
              <w:top w:val="single" w:sz="12" w:space="0" w:color="000000"/>
            </w:tcBorders>
          </w:tcPr>
          <w:p w:rsidR="009B7368" w:rsidRPr="004918E0" w:rsidRDefault="009B7368" w:rsidP="00790853">
            <w:pPr>
              <w:pStyle w:val="TableRowHead"/>
              <w:rPr>
                <w:lang w:val="ga-IE"/>
              </w:rPr>
            </w:pPr>
          </w:p>
        </w:tc>
        <w:tc>
          <w:tcPr>
            <w:tcW w:w="1548" w:type="dxa"/>
            <w:tcBorders>
              <w:top w:val="single" w:sz="12" w:space="0" w:color="000000"/>
            </w:tcBorders>
          </w:tcPr>
          <w:p w:rsidR="009B7368" w:rsidRPr="004918E0" w:rsidRDefault="009B7368" w:rsidP="00790853">
            <w:pPr>
              <w:pStyle w:val="TableCell"/>
              <w:rPr>
                <w:b/>
                <w:lang w:val="ga-IE"/>
              </w:rPr>
            </w:pPr>
            <w:r w:rsidRPr="004918E0">
              <w:rPr>
                <w:b/>
                <w:lang w:val="ga-IE"/>
              </w:rPr>
              <w:t>Nótaí</w:t>
            </w:r>
          </w:p>
        </w:tc>
        <w:tc>
          <w:tcPr>
            <w:tcW w:w="1548" w:type="dxa"/>
            <w:tcBorders>
              <w:top w:val="single" w:sz="12" w:space="0" w:color="000000"/>
            </w:tcBorders>
            <w:vAlign w:val="bottom"/>
          </w:tcPr>
          <w:p w:rsidR="009B7368" w:rsidRPr="004918E0" w:rsidRDefault="009B7368" w:rsidP="00790853">
            <w:pPr>
              <w:pStyle w:val="TableHead"/>
              <w:jc w:val="right"/>
              <w:rPr>
                <w:rFonts w:cs="Arial"/>
                <w:bCs/>
                <w:sz w:val="24"/>
                <w:lang w:val="ga-IE" w:eastAsia="en-GB"/>
              </w:rPr>
            </w:pPr>
            <w:r w:rsidRPr="004918E0">
              <w:rPr>
                <w:rFonts w:cs="Arial"/>
                <w:bCs/>
                <w:sz w:val="24"/>
                <w:lang w:val="ga-IE" w:eastAsia="en-GB"/>
              </w:rPr>
              <w:t>2012</w:t>
            </w:r>
          </w:p>
        </w:tc>
        <w:tc>
          <w:tcPr>
            <w:tcW w:w="1548" w:type="dxa"/>
            <w:tcBorders>
              <w:top w:val="single" w:sz="12" w:space="0" w:color="000000"/>
            </w:tcBorders>
            <w:vAlign w:val="bottom"/>
          </w:tcPr>
          <w:p w:rsidR="009B7368" w:rsidRPr="004918E0" w:rsidRDefault="009B7368" w:rsidP="00790853">
            <w:pPr>
              <w:pStyle w:val="TableHead"/>
              <w:jc w:val="right"/>
              <w:rPr>
                <w:rFonts w:cs="Arial"/>
                <w:bCs/>
                <w:sz w:val="24"/>
                <w:lang w:val="ga-IE" w:eastAsia="en-GB"/>
              </w:rPr>
            </w:pPr>
            <w:r w:rsidRPr="004918E0">
              <w:rPr>
                <w:rFonts w:cs="Arial"/>
                <w:bCs/>
                <w:sz w:val="24"/>
                <w:lang w:val="ga-IE" w:eastAsia="en-GB"/>
              </w:rPr>
              <w:t>2011</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c>
          <w:tcPr>
            <w:tcW w:w="1548"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Taisteal</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19,347</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28,001</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Oiliúint</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25,760</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23,729</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Táillí Comhdhála / Seimineáir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7,191</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5,022</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Táillí &amp; Speansais an Údaráis </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6</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65,502</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85,721</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Táille Iniúchta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14,620</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17,240</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Ús / Muirir Bhainc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328</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585</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Bialann/béilí</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12,256</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59,563</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Glanadh / Tí</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53,786</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56,522</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Bogearraí Ríomhaire Neamhchaipitiúil</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4,203</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11,211</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Soláthairtí ríomhaire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1,198</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2,107</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Táillí comhairleachta</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1,491</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4,341</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Teachtairí</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2,582</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1,753</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Gás / leictreachas</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45,786</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39,002</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Sláinte &amp; Sábháilteacht</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2,291</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1,503</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Árachas</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11,366</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14,380</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Tacaíocht TF</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109,830</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80,483</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Ús as Íocaíocht Dheireanach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8</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66</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Táillí Dlí/Gairmiúla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7,258</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12,876</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Cothabháil</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30,121</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65,164</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Troscán/trealamh oifige Neamhchaipitiúil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412</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976</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Soláthairtí oifige</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414</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8,182</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Post agus Teileafóin</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23,815</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24,806</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Priontáil / fótachóipeáil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23,775</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20,362</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Bainistíocht Priontála</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0</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2,189</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Foilseacháin / Tréimhseacháin</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1,696</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60</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Rátaí </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68,839</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70,031</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Earcaíocht</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5,651</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0</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Uiríll</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433</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112</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Slándáil</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15,458</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17,531</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Síntiúis / Tabhartais</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4,260</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21,857</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Ilghnéitheach</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785</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-488</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Aistritheoirí / Ateangairí</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1,327</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181</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Cothabháil Teileafón</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1,852</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2,107</w:t>
            </w:r>
          </w:p>
        </w:tc>
      </w:tr>
      <w:tr w:rsidR="009B7368" w:rsidRPr="004918E0" w:rsidTr="00790853">
        <w:tc>
          <w:tcPr>
            <w:tcW w:w="4568"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Athaicmiú sócmhainní seasta</w:t>
            </w:r>
          </w:p>
        </w:tc>
        <w:tc>
          <w:tcPr>
            <w:tcW w:w="1548" w:type="dxa"/>
            <w:vAlign w:val="bottom"/>
          </w:tcPr>
          <w:p w:rsidR="009B7368" w:rsidRPr="004918E0" w:rsidRDefault="009B7368" w:rsidP="00790853">
            <w:pPr>
              <w:pStyle w:val="TableCell"/>
              <w:rPr>
                <w:sz w:val="24"/>
                <w:lang w:val="ga-IE" w:eastAsia="en-GB"/>
              </w:rPr>
            </w:pP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5,671</w:t>
            </w:r>
          </w:p>
        </w:tc>
        <w:tc>
          <w:tcPr>
            <w:tcW w:w="1548" w:type="dxa"/>
            <w:vAlign w:val="bottom"/>
          </w:tcPr>
          <w:p w:rsidR="009B7368" w:rsidRPr="004918E0" w:rsidRDefault="009B7368" w:rsidP="00790853">
            <w:pPr>
              <w:pStyle w:val="TableCell"/>
              <w:rPr>
                <w:sz w:val="24"/>
                <w:lang w:val="ga-IE" w:eastAsia="en-GB"/>
              </w:rPr>
            </w:pPr>
            <w:r w:rsidRPr="004918E0">
              <w:rPr>
                <w:sz w:val="24"/>
                <w:lang w:val="ga-IE" w:eastAsia="en-GB"/>
              </w:rPr>
              <w:t>0</w:t>
            </w:r>
          </w:p>
        </w:tc>
      </w:tr>
      <w:tr w:rsidR="009B7368" w:rsidRPr="004918E0" w:rsidTr="00790853">
        <w:tc>
          <w:tcPr>
            <w:tcW w:w="4568" w:type="dxa"/>
            <w:tcBorders>
              <w:bottom w:val="single" w:sz="12" w:space="0" w:color="000000"/>
            </w:tcBorders>
            <w:vAlign w:val="bottom"/>
          </w:tcPr>
          <w:p w:rsidR="009B7368" w:rsidRPr="004918E0" w:rsidRDefault="009B7368" w:rsidP="00790853">
            <w:pPr>
              <w:pStyle w:val="TableRowHead"/>
              <w:rPr>
                <w:rFonts w:ascii="Gill Sans" w:hAnsi="Gill Sans"/>
                <w:sz w:val="24"/>
                <w:lang w:val="ga-IE" w:eastAsia="en-GB"/>
              </w:rPr>
            </w:pPr>
          </w:p>
        </w:tc>
        <w:tc>
          <w:tcPr>
            <w:tcW w:w="1548" w:type="dxa"/>
            <w:tcBorders>
              <w:bottom w:val="single" w:sz="12" w:space="0" w:color="000000"/>
            </w:tcBorders>
            <w:vAlign w:val="bottom"/>
          </w:tcPr>
          <w:p w:rsidR="009B7368" w:rsidRPr="004918E0" w:rsidRDefault="009B7368" w:rsidP="00790853">
            <w:pPr>
              <w:pStyle w:val="TableCell"/>
              <w:rPr>
                <w:sz w:val="24"/>
                <w:lang w:val="ga-IE" w:eastAsia="en-GB"/>
              </w:rPr>
            </w:pPr>
          </w:p>
        </w:tc>
        <w:tc>
          <w:tcPr>
            <w:tcW w:w="1548" w:type="dxa"/>
            <w:tcBorders>
              <w:bottom w:val="single" w:sz="12" w:space="0" w:color="000000"/>
            </w:tcBorders>
            <w:vAlign w:val="bottom"/>
          </w:tcPr>
          <w:p w:rsidR="009B7368" w:rsidRPr="004918E0" w:rsidRDefault="009B7368" w:rsidP="00790853">
            <w:pPr>
              <w:pStyle w:val="TableCell"/>
              <w:rPr>
                <w:sz w:val="24"/>
                <w:lang w:val="ga-IE" w:eastAsia="en-GB"/>
              </w:rPr>
            </w:pPr>
            <w:r w:rsidRPr="004918E0">
              <w:rPr>
                <w:sz w:val="24"/>
                <w:lang w:val="ga-IE" w:eastAsia="en-GB"/>
              </w:rPr>
              <w:t>569,312</w:t>
            </w:r>
          </w:p>
        </w:tc>
        <w:tc>
          <w:tcPr>
            <w:tcW w:w="1548" w:type="dxa"/>
            <w:tcBorders>
              <w:bottom w:val="single" w:sz="12" w:space="0" w:color="000000"/>
            </w:tcBorders>
            <w:vAlign w:val="bottom"/>
          </w:tcPr>
          <w:p w:rsidR="009B7368" w:rsidRPr="004918E0" w:rsidRDefault="009B7368" w:rsidP="00790853">
            <w:pPr>
              <w:pStyle w:val="TableCell"/>
              <w:rPr>
                <w:sz w:val="24"/>
                <w:lang w:val="ga-IE" w:eastAsia="en-GB"/>
              </w:rPr>
            </w:pPr>
            <w:r w:rsidRPr="004918E0">
              <w:rPr>
                <w:sz w:val="24"/>
                <w:lang w:val="ga-IE" w:eastAsia="en-GB"/>
              </w:rPr>
              <w:t>677,175</w:t>
            </w:r>
          </w:p>
        </w:tc>
      </w:tr>
    </w:tbl>
    <w:p w:rsidR="009B7368" w:rsidRPr="004918E0" w:rsidRDefault="009B7368" w:rsidP="009B7368">
      <w:pPr>
        <w:pStyle w:val="Heading2"/>
        <w:rPr>
          <w:lang w:val="ga-IE"/>
        </w:rPr>
      </w:pPr>
    </w:p>
    <w:p w:rsidR="009B7368" w:rsidRPr="004918E0" w:rsidRDefault="009B7368" w:rsidP="009B7368">
      <w:pPr>
        <w:rPr>
          <w:lang w:val="ga-IE"/>
        </w:rPr>
      </w:pPr>
    </w:p>
    <w:p w:rsidR="009B7368" w:rsidRPr="004918E0" w:rsidRDefault="009B7368" w:rsidP="009B7368">
      <w:pPr>
        <w:rPr>
          <w:lang w:val="ga-IE"/>
        </w:rPr>
      </w:pPr>
    </w:p>
    <w:p w:rsidR="009B7368" w:rsidRPr="004918E0" w:rsidRDefault="009B7368" w:rsidP="009B7368">
      <w:pPr>
        <w:pStyle w:val="Heading3"/>
        <w:rPr>
          <w:lang w:val="ga-IE" w:eastAsia="en-GB"/>
        </w:rPr>
      </w:pPr>
      <w:r w:rsidRPr="004918E0">
        <w:rPr>
          <w:lang w:val="ga-IE" w:eastAsia="en-GB"/>
        </w:rPr>
        <w:t xml:space="preserve">6. Táillí agus Speansais an Údaráis </w:t>
      </w:r>
    </w:p>
    <w:p w:rsidR="009B7368" w:rsidRPr="004918E0" w:rsidRDefault="009B7368" w:rsidP="009B7368">
      <w:pPr>
        <w:rPr>
          <w:rFonts w:cs="Gill Sans"/>
          <w:lang w:val="ga-IE" w:eastAsia="en-GB"/>
        </w:rPr>
      </w:pPr>
      <w:r w:rsidRPr="004918E0">
        <w:rPr>
          <w:lang w:val="ga-IE" w:eastAsia="en-GB"/>
        </w:rPr>
        <w:t xml:space="preserve">D’íocadh caiteachas de </w:t>
      </w:r>
      <w:r w:rsidRPr="004918E0">
        <w:rPr>
          <w:rFonts w:cs="Arial"/>
          <w:lang w:val="ga-IE" w:eastAsia="en-GB"/>
        </w:rPr>
        <w:t>€</w:t>
      </w:r>
      <w:r w:rsidRPr="004918E0">
        <w:rPr>
          <w:lang w:val="ga-IE" w:eastAsia="en-GB"/>
        </w:rPr>
        <w:t>59,423 (</w:t>
      </w:r>
      <w:r w:rsidRPr="004918E0">
        <w:rPr>
          <w:rFonts w:cs="Arial"/>
          <w:lang w:val="ga-IE" w:eastAsia="en-GB"/>
        </w:rPr>
        <w:t>€</w:t>
      </w:r>
      <w:r w:rsidRPr="004918E0">
        <w:rPr>
          <w:rFonts w:cs="Gill Sans"/>
          <w:lang w:val="ga-IE" w:eastAsia="en-GB"/>
        </w:rPr>
        <w:t>73,317 i 2011) i dtaobh Tháillí an Údaráis.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906"/>
        <w:gridCol w:w="1749"/>
        <w:gridCol w:w="1749"/>
        <w:gridCol w:w="1749"/>
      </w:tblGrid>
      <w:tr w:rsidR="009B7368" w:rsidRPr="004918E0" w:rsidTr="00790853">
        <w:trPr>
          <w:tblHeader/>
        </w:trPr>
        <w:tc>
          <w:tcPr>
            <w:tcW w:w="3044" w:type="dxa"/>
          </w:tcPr>
          <w:p w:rsidR="009B7368" w:rsidRPr="004918E0" w:rsidRDefault="009B7368" w:rsidP="00790853">
            <w:pPr>
              <w:pStyle w:val="TableHead"/>
              <w:rPr>
                <w:lang w:val="ga-IE" w:eastAsia="en-GB"/>
              </w:rPr>
            </w:pPr>
            <w:r w:rsidRPr="004918E0">
              <w:rPr>
                <w:lang w:val="ga-IE" w:eastAsia="en-GB"/>
              </w:rPr>
              <w:t>Comhalta Údaráis</w:t>
            </w:r>
          </w:p>
        </w:tc>
        <w:tc>
          <w:tcPr>
            <w:tcW w:w="1826" w:type="dxa"/>
          </w:tcPr>
          <w:p w:rsidR="009B7368" w:rsidRPr="004918E0" w:rsidRDefault="009B7368" w:rsidP="00790853">
            <w:pPr>
              <w:pStyle w:val="TableHead"/>
              <w:rPr>
                <w:lang w:val="ga-IE" w:eastAsia="en-GB"/>
              </w:rPr>
            </w:pPr>
            <w:r w:rsidRPr="004918E0">
              <w:rPr>
                <w:lang w:val="ga-IE" w:eastAsia="en-GB"/>
              </w:rPr>
              <w:t xml:space="preserve">Táillí </w:t>
            </w:r>
          </w:p>
        </w:tc>
        <w:tc>
          <w:tcPr>
            <w:tcW w:w="1826" w:type="dxa"/>
          </w:tcPr>
          <w:p w:rsidR="009B7368" w:rsidRPr="004918E0" w:rsidRDefault="009B7368" w:rsidP="00790853">
            <w:pPr>
              <w:pStyle w:val="TableHead"/>
              <w:rPr>
                <w:lang w:val="ga-IE" w:eastAsia="en-GB"/>
              </w:rPr>
            </w:pPr>
            <w:r w:rsidRPr="004918E0">
              <w:rPr>
                <w:lang w:val="ga-IE" w:eastAsia="en-GB"/>
              </w:rPr>
              <w:t>Speansais a d’íocadh leis/léi nó thar a c(h)eann</w:t>
            </w:r>
          </w:p>
        </w:tc>
        <w:tc>
          <w:tcPr>
            <w:tcW w:w="1826" w:type="dxa"/>
          </w:tcPr>
          <w:p w:rsidR="009B7368" w:rsidRPr="004918E0" w:rsidRDefault="009B7368" w:rsidP="00790853">
            <w:pPr>
              <w:pStyle w:val="TableHead"/>
              <w:rPr>
                <w:lang w:val="ga-IE" w:eastAsia="en-GB"/>
              </w:rPr>
            </w:pPr>
            <w:r w:rsidRPr="004918E0">
              <w:rPr>
                <w:lang w:val="ga-IE" w:eastAsia="en-GB"/>
              </w:rPr>
              <w:t>Iomlán</w:t>
            </w: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Peter McKevitt</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8,978</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209</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Caroline Burrell</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5,985</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116</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Desmond Kenny</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5,985</w:t>
            </w:r>
          </w:p>
        </w:tc>
        <w:tc>
          <w:tcPr>
            <w:tcW w:w="1826" w:type="dxa"/>
          </w:tcPr>
          <w:p w:rsidR="009B7368" w:rsidRPr="004918E0" w:rsidRDefault="009B7368" w:rsidP="00790853">
            <w:pPr>
              <w:pStyle w:val="TableCell"/>
              <w:rPr>
                <w:sz w:val="24"/>
                <w:lang w:val="ga-IE" w:eastAsia="en-GB"/>
              </w:rPr>
            </w:pPr>
            <w:r w:rsidRPr="004918E0">
              <w:rPr>
                <w:sz w:val="24"/>
                <w:lang w:val="ga-IE" w:eastAsia="en-GB"/>
              </w:rPr>
              <w:t> </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Fiona Duignan</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0</w:t>
            </w:r>
          </w:p>
        </w:tc>
        <w:tc>
          <w:tcPr>
            <w:tcW w:w="1826" w:type="dxa"/>
          </w:tcPr>
          <w:p w:rsidR="009B7368" w:rsidRPr="004918E0" w:rsidRDefault="009B7368" w:rsidP="00790853">
            <w:pPr>
              <w:pStyle w:val="TableCell"/>
              <w:rPr>
                <w:sz w:val="24"/>
                <w:lang w:val="ga-IE" w:eastAsia="en-GB"/>
              </w:rPr>
            </w:pPr>
            <w:r w:rsidRPr="004918E0">
              <w:rPr>
                <w:sz w:val="24"/>
                <w:lang w:val="ga-IE" w:eastAsia="en-GB"/>
              </w:rPr>
              <w:t> </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Joanne McCarthy</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5,985</w:t>
            </w:r>
          </w:p>
        </w:tc>
        <w:tc>
          <w:tcPr>
            <w:tcW w:w="1826" w:type="dxa"/>
          </w:tcPr>
          <w:p w:rsidR="009B7368" w:rsidRPr="004918E0" w:rsidRDefault="009B7368" w:rsidP="00790853">
            <w:pPr>
              <w:pStyle w:val="TableCell"/>
              <w:rPr>
                <w:sz w:val="24"/>
                <w:lang w:val="ga-IE" w:eastAsia="en-GB"/>
              </w:rPr>
            </w:pPr>
            <w:r w:rsidRPr="004918E0">
              <w:rPr>
                <w:sz w:val="24"/>
                <w:lang w:val="ga-IE" w:eastAsia="en-GB"/>
              </w:rPr>
              <w:t> </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Mary Lavelle</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5,985</w:t>
            </w:r>
          </w:p>
        </w:tc>
        <w:tc>
          <w:tcPr>
            <w:tcW w:w="1826" w:type="dxa"/>
          </w:tcPr>
          <w:p w:rsidR="009B7368" w:rsidRPr="004918E0" w:rsidRDefault="009B7368" w:rsidP="00790853">
            <w:pPr>
              <w:pStyle w:val="TableCell"/>
              <w:rPr>
                <w:sz w:val="24"/>
                <w:lang w:val="ga-IE" w:eastAsia="en-GB"/>
              </w:rPr>
            </w:pPr>
            <w:r w:rsidRPr="004918E0">
              <w:rPr>
                <w:sz w:val="24"/>
                <w:lang w:val="ga-IE" w:eastAsia="en-GB"/>
              </w:rPr>
              <w:t> </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Tara Cunningham</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5,985</w:t>
            </w:r>
          </w:p>
        </w:tc>
        <w:tc>
          <w:tcPr>
            <w:tcW w:w="1826" w:type="dxa"/>
          </w:tcPr>
          <w:p w:rsidR="009B7368" w:rsidRPr="004918E0" w:rsidRDefault="009B7368" w:rsidP="00790853">
            <w:pPr>
              <w:pStyle w:val="TableCell"/>
              <w:rPr>
                <w:sz w:val="24"/>
                <w:lang w:val="ga-IE" w:eastAsia="en-GB"/>
              </w:rPr>
            </w:pP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Tony Bates</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0</w:t>
            </w:r>
          </w:p>
        </w:tc>
        <w:tc>
          <w:tcPr>
            <w:tcW w:w="1826" w:type="dxa"/>
          </w:tcPr>
          <w:p w:rsidR="009B7368" w:rsidRPr="004918E0" w:rsidRDefault="009B7368" w:rsidP="00790853">
            <w:pPr>
              <w:pStyle w:val="TableCell"/>
              <w:rPr>
                <w:sz w:val="24"/>
                <w:lang w:val="ga-IE" w:eastAsia="en-GB"/>
              </w:rPr>
            </w:pPr>
            <w:r w:rsidRPr="004918E0">
              <w:rPr>
                <w:sz w:val="24"/>
                <w:lang w:val="ga-IE" w:eastAsia="en-GB"/>
              </w:rPr>
              <w:t> </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Frank Cunneen</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5,985</w:t>
            </w:r>
          </w:p>
        </w:tc>
        <w:tc>
          <w:tcPr>
            <w:tcW w:w="1826" w:type="dxa"/>
          </w:tcPr>
          <w:p w:rsidR="009B7368" w:rsidRPr="004918E0" w:rsidRDefault="009B7368" w:rsidP="00790853">
            <w:pPr>
              <w:pStyle w:val="TableCell"/>
              <w:rPr>
                <w:sz w:val="24"/>
                <w:lang w:val="ga-IE" w:eastAsia="en-GB"/>
              </w:rPr>
            </w:pPr>
            <w:r w:rsidRPr="004918E0">
              <w:rPr>
                <w:sz w:val="24"/>
                <w:lang w:val="ga-IE" w:eastAsia="en-GB"/>
              </w:rPr>
              <w:t> </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David Joyce</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5,985</w:t>
            </w:r>
          </w:p>
        </w:tc>
        <w:tc>
          <w:tcPr>
            <w:tcW w:w="1826" w:type="dxa"/>
          </w:tcPr>
          <w:p w:rsidR="009B7368" w:rsidRPr="004918E0" w:rsidRDefault="009B7368" w:rsidP="00790853">
            <w:pPr>
              <w:pStyle w:val="TableCell"/>
              <w:rPr>
                <w:sz w:val="24"/>
                <w:lang w:val="ga-IE" w:eastAsia="en-GB"/>
              </w:rPr>
            </w:pPr>
            <w:r w:rsidRPr="004918E0">
              <w:rPr>
                <w:sz w:val="24"/>
                <w:lang w:val="ga-IE" w:eastAsia="en-GB"/>
              </w:rPr>
              <w:t> </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James O’Grady</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5,985</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4,087</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Linda Grealy</w:t>
            </w:r>
          </w:p>
        </w:tc>
        <w:tc>
          <w:tcPr>
            <w:tcW w:w="1826" w:type="dxa"/>
            <w:tcBorders>
              <w:bottom w:val="single" w:sz="2" w:space="0" w:color="000000"/>
            </w:tcBorders>
          </w:tcPr>
          <w:p w:rsidR="009B7368" w:rsidRPr="004918E0" w:rsidRDefault="009B7368" w:rsidP="00790853">
            <w:pPr>
              <w:pStyle w:val="TableCell"/>
              <w:rPr>
                <w:rFonts w:ascii="Arial" w:hAnsi="Arial" w:cs="Arial"/>
                <w:sz w:val="24"/>
                <w:lang w:val="ga-IE" w:eastAsia="en-GB"/>
              </w:rPr>
            </w:pPr>
            <w:r w:rsidRPr="004918E0">
              <w:rPr>
                <w:lang w:val="ga-IE"/>
              </w:rPr>
              <w:t>€</w:t>
            </w:r>
            <w:r w:rsidRPr="004918E0">
              <w:rPr>
                <w:sz w:val="24"/>
                <w:lang w:val="ga-IE" w:eastAsia="en-GB"/>
              </w:rPr>
              <w:t>0</w:t>
            </w:r>
          </w:p>
        </w:tc>
        <w:tc>
          <w:tcPr>
            <w:tcW w:w="1826" w:type="dxa"/>
            <w:tcBorders>
              <w:bottom w:val="single" w:sz="2" w:space="0" w:color="000000"/>
            </w:tcBorders>
          </w:tcPr>
          <w:p w:rsidR="009B7368" w:rsidRPr="004918E0" w:rsidRDefault="009B7368" w:rsidP="00790853">
            <w:pPr>
              <w:pStyle w:val="TableCell"/>
              <w:rPr>
                <w:sz w:val="24"/>
                <w:lang w:val="ga-IE" w:eastAsia="en-GB"/>
              </w:rPr>
            </w:pP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tcBorders>
              <w:right w:val="single" w:sz="2" w:space="0" w:color="000000"/>
            </w:tcBorders>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Shane Hogan</w:t>
            </w:r>
          </w:p>
        </w:tc>
        <w:tc>
          <w:tcPr>
            <w:tcW w:w="1826" w:type="dxa"/>
            <w:tcBorders>
              <w:top w:val="single" w:sz="2" w:space="0" w:color="000000"/>
              <w:left w:val="single" w:sz="2" w:space="0" w:color="000000"/>
              <w:bottom w:val="single" w:sz="18" w:space="0" w:color="000000"/>
              <w:right w:val="single" w:sz="2" w:space="0" w:color="000000"/>
            </w:tcBorders>
          </w:tcPr>
          <w:p w:rsidR="009B7368" w:rsidRPr="004918E0" w:rsidRDefault="009B7368" w:rsidP="00790853">
            <w:pPr>
              <w:pStyle w:val="TableCell"/>
              <w:rPr>
                <w:rFonts w:ascii="Arial" w:hAnsi="Arial" w:cs="Arial"/>
                <w:sz w:val="24"/>
                <w:lang w:val="ga-IE" w:eastAsia="en-GB"/>
              </w:rPr>
            </w:pPr>
            <w:r w:rsidRPr="004918E0">
              <w:rPr>
                <w:lang w:val="ga-IE"/>
              </w:rPr>
              <w:t>€</w:t>
            </w:r>
            <w:r w:rsidRPr="004918E0">
              <w:rPr>
                <w:sz w:val="24"/>
                <w:lang w:val="ga-IE" w:eastAsia="en-GB"/>
              </w:rPr>
              <w:t>0</w:t>
            </w:r>
          </w:p>
        </w:tc>
        <w:tc>
          <w:tcPr>
            <w:tcW w:w="1826" w:type="dxa"/>
            <w:tcBorders>
              <w:top w:val="single" w:sz="2" w:space="0" w:color="000000"/>
              <w:left w:val="single" w:sz="2" w:space="0" w:color="000000"/>
              <w:bottom w:val="single" w:sz="18" w:space="0" w:color="000000"/>
              <w:right w:val="single" w:sz="2" w:space="0" w:color="000000"/>
            </w:tcBorders>
          </w:tcPr>
          <w:p w:rsidR="009B7368" w:rsidRPr="004918E0" w:rsidRDefault="009B7368" w:rsidP="00790853">
            <w:pPr>
              <w:pStyle w:val="TableCell"/>
              <w:rPr>
                <w:sz w:val="24"/>
                <w:lang w:val="ga-IE" w:eastAsia="en-GB"/>
              </w:rPr>
            </w:pPr>
          </w:p>
        </w:tc>
        <w:tc>
          <w:tcPr>
            <w:tcW w:w="1826" w:type="dxa"/>
            <w:tcBorders>
              <w:left w:val="single" w:sz="2" w:space="0" w:color="000000"/>
            </w:tcBorders>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Fo-iomlán</w:t>
            </w:r>
          </w:p>
        </w:tc>
        <w:tc>
          <w:tcPr>
            <w:tcW w:w="1826" w:type="dxa"/>
            <w:tcBorders>
              <w:top w:val="single" w:sz="18" w:space="0" w:color="000000"/>
            </w:tcBorders>
          </w:tcPr>
          <w:p w:rsidR="009B7368" w:rsidRPr="004918E0" w:rsidRDefault="009B7368" w:rsidP="00790853">
            <w:pPr>
              <w:pStyle w:val="TableCell"/>
              <w:rPr>
                <w:rFonts w:ascii="Arial" w:hAnsi="Arial" w:cs="Arial"/>
                <w:sz w:val="24"/>
                <w:lang w:val="ga-IE" w:eastAsia="en-GB"/>
              </w:rPr>
            </w:pPr>
            <w:r w:rsidRPr="004918E0">
              <w:rPr>
                <w:lang w:val="ga-IE"/>
              </w:rPr>
              <w:t>€</w:t>
            </w:r>
            <w:r w:rsidRPr="004918E0">
              <w:rPr>
                <w:sz w:val="24"/>
                <w:lang w:val="ga-IE" w:eastAsia="en-GB"/>
              </w:rPr>
              <w:t>56,858</w:t>
            </w:r>
          </w:p>
        </w:tc>
        <w:tc>
          <w:tcPr>
            <w:tcW w:w="1826" w:type="dxa"/>
            <w:tcBorders>
              <w:top w:val="single" w:sz="18" w:space="0" w:color="000000"/>
            </w:tcBorders>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4,412</w:t>
            </w: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p>
        </w:tc>
        <w:tc>
          <w:tcPr>
            <w:tcW w:w="1826" w:type="dxa"/>
            <w:tcBorders>
              <w:bottom w:val="single" w:sz="2" w:space="0" w:color="000000"/>
            </w:tcBorders>
          </w:tcPr>
          <w:p w:rsidR="009B7368" w:rsidRPr="004918E0" w:rsidRDefault="009B7368" w:rsidP="00790853">
            <w:pPr>
              <w:pStyle w:val="TableCell"/>
              <w:rPr>
                <w:rFonts w:ascii="Arial" w:hAnsi="Arial" w:cs="Arial"/>
                <w:sz w:val="24"/>
                <w:lang w:val="ga-IE" w:eastAsia="en-GB"/>
              </w:rPr>
            </w:pPr>
          </w:p>
        </w:tc>
        <w:tc>
          <w:tcPr>
            <w:tcW w:w="1826" w:type="dxa"/>
            <w:tcBorders>
              <w:bottom w:val="single" w:sz="2" w:space="0" w:color="000000"/>
            </w:tcBorders>
          </w:tcPr>
          <w:p w:rsidR="009B7368" w:rsidRPr="004918E0" w:rsidRDefault="009B7368" w:rsidP="00790853">
            <w:pPr>
              <w:pStyle w:val="TableCell"/>
              <w:rPr>
                <w:sz w:val="24"/>
                <w:lang w:val="ga-IE" w:eastAsia="en-GB"/>
              </w:rPr>
            </w:pP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Comhalta Neamhúdaráis:</w:t>
            </w:r>
          </w:p>
        </w:tc>
        <w:tc>
          <w:tcPr>
            <w:tcW w:w="1826" w:type="dxa"/>
            <w:tcBorders>
              <w:bottom w:val="single" w:sz="2" w:space="0" w:color="000000"/>
            </w:tcBorders>
          </w:tcPr>
          <w:p w:rsidR="009B7368" w:rsidRPr="004918E0" w:rsidRDefault="009B7368" w:rsidP="00790853">
            <w:pPr>
              <w:pStyle w:val="TableCell"/>
              <w:rPr>
                <w:rFonts w:ascii="Arial" w:hAnsi="Arial" w:cs="Arial"/>
                <w:sz w:val="24"/>
                <w:lang w:val="ga-IE" w:eastAsia="en-GB"/>
              </w:rPr>
            </w:pPr>
          </w:p>
        </w:tc>
        <w:tc>
          <w:tcPr>
            <w:tcW w:w="1826" w:type="dxa"/>
            <w:tcBorders>
              <w:bottom w:val="single" w:sz="2" w:space="0" w:color="000000"/>
            </w:tcBorders>
          </w:tcPr>
          <w:p w:rsidR="009B7368" w:rsidRPr="004918E0" w:rsidRDefault="009B7368" w:rsidP="00790853">
            <w:pPr>
              <w:pStyle w:val="TableCell"/>
              <w:rPr>
                <w:sz w:val="24"/>
                <w:lang w:val="ga-IE" w:eastAsia="en-GB"/>
              </w:rPr>
            </w:pP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tcBorders>
              <w:right w:val="single" w:sz="2" w:space="0" w:color="000000"/>
            </w:tcBorders>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Donal Lawlor (Cathaoirleach an Choiste Iniúchta)</w:t>
            </w:r>
          </w:p>
        </w:tc>
        <w:tc>
          <w:tcPr>
            <w:tcW w:w="1826" w:type="dxa"/>
            <w:tcBorders>
              <w:top w:val="single" w:sz="2" w:space="0" w:color="000000"/>
              <w:left w:val="single" w:sz="2" w:space="0" w:color="000000"/>
              <w:bottom w:val="single" w:sz="18" w:space="0" w:color="000000"/>
              <w:right w:val="single" w:sz="2" w:space="0" w:color="000000"/>
            </w:tcBorders>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2,565</w:t>
            </w:r>
          </w:p>
        </w:tc>
        <w:tc>
          <w:tcPr>
            <w:tcW w:w="1826" w:type="dxa"/>
            <w:tcBorders>
              <w:top w:val="single" w:sz="2" w:space="0" w:color="000000"/>
              <w:left w:val="single" w:sz="2" w:space="0" w:color="000000"/>
              <w:bottom w:val="single" w:sz="18" w:space="0" w:color="000000"/>
              <w:right w:val="single" w:sz="2" w:space="0" w:color="000000"/>
            </w:tcBorders>
          </w:tcPr>
          <w:p w:rsidR="009B7368" w:rsidRPr="004918E0" w:rsidRDefault="009B7368" w:rsidP="00790853">
            <w:pPr>
              <w:pStyle w:val="TableCell"/>
              <w:rPr>
                <w:sz w:val="24"/>
                <w:lang w:val="ga-IE" w:eastAsia="en-GB"/>
              </w:rPr>
            </w:pPr>
            <w:r w:rsidRPr="004918E0">
              <w:rPr>
                <w:sz w:val="24"/>
                <w:lang w:val="ga-IE" w:eastAsia="en-GB"/>
              </w:rPr>
              <w:t> </w:t>
            </w:r>
          </w:p>
        </w:tc>
        <w:tc>
          <w:tcPr>
            <w:tcW w:w="1826" w:type="dxa"/>
            <w:tcBorders>
              <w:left w:val="single" w:sz="2" w:space="0" w:color="000000"/>
            </w:tcBorders>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Iomlán</w:t>
            </w:r>
          </w:p>
        </w:tc>
        <w:tc>
          <w:tcPr>
            <w:tcW w:w="1826" w:type="dxa"/>
            <w:tcBorders>
              <w:top w:val="single" w:sz="18" w:space="0" w:color="000000"/>
            </w:tcBorders>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59,423</w:t>
            </w:r>
          </w:p>
        </w:tc>
        <w:tc>
          <w:tcPr>
            <w:tcW w:w="1826" w:type="dxa"/>
            <w:tcBorders>
              <w:top w:val="single" w:sz="18" w:space="0" w:color="000000"/>
            </w:tcBorders>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4,412</w:t>
            </w:r>
          </w:p>
        </w:tc>
        <w:tc>
          <w:tcPr>
            <w:tcW w:w="1826" w:type="dxa"/>
          </w:tcPr>
          <w:p w:rsidR="009B7368" w:rsidRPr="004918E0" w:rsidRDefault="009B7368" w:rsidP="00790853">
            <w:pPr>
              <w:pStyle w:val="TableCell"/>
              <w:rPr>
                <w:sz w:val="24"/>
                <w:lang w:val="ga-IE" w:eastAsia="en-GB"/>
              </w:rPr>
            </w:pPr>
            <w:r w:rsidRPr="004918E0">
              <w:rPr>
                <w:lang w:val="ga-IE"/>
              </w:rPr>
              <w:t>€</w:t>
            </w:r>
            <w:r w:rsidRPr="004918E0">
              <w:rPr>
                <w:rFonts w:cs="Arial"/>
                <w:sz w:val="24"/>
                <w:lang w:val="ga-IE" w:eastAsia="en-GB"/>
              </w:rPr>
              <w:t>63</w:t>
            </w:r>
            <w:r w:rsidRPr="004918E0">
              <w:rPr>
                <w:sz w:val="24"/>
                <w:lang w:val="ga-IE" w:eastAsia="en-GB"/>
              </w:rPr>
              <w:t>,835</w:t>
            </w: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p>
        </w:tc>
        <w:tc>
          <w:tcPr>
            <w:tcW w:w="1826" w:type="dxa"/>
          </w:tcPr>
          <w:p w:rsidR="009B7368" w:rsidRPr="004918E0" w:rsidRDefault="009B7368" w:rsidP="00790853">
            <w:pPr>
              <w:pStyle w:val="TableCell"/>
              <w:rPr>
                <w:sz w:val="24"/>
                <w:lang w:val="ga-IE" w:eastAsia="en-GB"/>
              </w:rPr>
            </w:pPr>
          </w:p>
        </w:tc>
        <w:tc>
          <w:tcPr>
            <w:tcW w:w="1826" w:type="dxa"/>
          </w:tcPr>
          <w:p w:rsidR="009B7368" w:rsidRPr="004918E0" w:rsidRDefault="009B7368" w:rsidP="00790853">
            <w:pPr>
              <w:pStyle w:val="TableCell"/>
              <w:rPr>
                <w:sz w:val="24"/>
                <w:lang w:val="ga-IE" w:eastAsia="en-GB"/>
              </w:rPr>
            </w:pPr>
          </w:p>
        </w:tc>
        <w:tc>
          <w:tcPr>
            <w:tcW w:w="1826" w:type="dxa"/>
          </w:tcPr>
          <w:p w:rsidR="009B7368" w:rsidRPr="004918E0" w:rsidRDefault="009B7368" w:rsidP="00790853">
            <w:pPr>
              <w:pStyle w:val="TableCell"/>
              <w:rPr>
                <w:sz w:val="24"/>
                <w:lang w:val="ga-IE" w:eastAsia="en-GB"/>
              </w:rPr>
            </w:pP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ÁSPC Fostóra le haghaidh an Údaráis</w:t>
            </w:r>
          </w:p>
        </w:tc>
        <w:tc>
          <w:tcPr>
            <w:tcW w:w="1826" w:type="dxa"/>
          </w:tcPr>
          <w:p w:rsidR="009B7368" w:rsidRPr="004918E0" w:rsidRDefault="009B7368" w:rsidP="00790853">
            <w:pPr>
              <w:pStyle w:val="TableCell"/>
              <w:rPr>
                <w:sz w:val="24"/>
                <w:lang w:val="ga-IE" w:eastAsia="en-GB"/>
              </w:rPr>
            </w:pPr>
          </w:p>
        </w:tc>
        <w:tc>
          <w:tcPr>
            <w:tcW w:w="1826" w:type="dxa"/>
          </w:tcPr>
          <w:p w:rsidR="009B7368" w:rsidRPr="004918E0" w:rsidRDefault="009B7368" w:rsidP="00790853">
            <w:pPr>
              <w:pStyle w:val="TableCell"/>
              <w:rPr>
                <w:sz w:val="24"/>
                <w:lang w:val="ga-IE" w:eastAsia="en-GB"/>
              </w:rPr>
            </w:pPr>
          </w:p>
        </w:tc>
        <w:tc>
          <w:tcPr>
            <w:tcW w:w="1826" w:type="dxa"/>
            <w:tcBorders>
              <w:bottom w:val="single" w:sz="2" w:space="0" w:color="000000"/>
            </w:tcBorders>
          </w:tcPr>
          <w:p w:rsidR="009B7368" w:rsidRPr="004918E0" w:rsidRDefault="009B7368" w:rsidP="00790853">
            <w:pPr>
              <w:pStyle w:val="TableCell"/>
              <w:rPr>
                <w:sz w:val="24"/>
                <w:lang w:val="ga-IE" w:eastAsia="en-GB"/>
              </w:rPr>
            </w:pPr>
            <w:r w:rsidRPr="004918E0">
              <w:rPr>
                <w:lang w:val="ga-IE"/>
              </w:rPr>
              <w:t>€</w:t>
            </w:r>
            <w:r w:rsidRPr="004918E0">
              <w:rPr>
                <w:rFonts w:cs="Arial"/>
                <w:sz w:val="24"/>
                <w:lang w:val="ga-IE" w:eastAsia="en-GB"/>
              </w:rPr>
              <w:t>276</w:t>
            </w:r>
          </w:p>
        </w:tc>
      </w:tr>
      <w:tr w:rsidR="009B7368" w:rsidRPr="004918E0" w:rsidTr="00790853">
        <w:tc>
          <w:tcPr>
            <w:tcW w:w="3044"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Speansais Eile</w:t>
            </w:r>
          </w:p>
        </w:tc>
        <w:tc>
          <w:tcPr>
            <w:tcW w:w="1826" w:type="dxa"/>
          </w:tcPr>
          <w:p w:rsidR="009B7368" w:rsidRPr="004918E0" w:rsidRDefault="009B7368" w:rsidP="00790853">
            <w:pPr>
              <w:pStyle w:val="TableCell"/>
              <w:rPr>
                <w:sz w:val="24"/>
                <w:lang w:val="ga-IE" w:eastAsia="en-GB"/>
              </w:rPr>
            </w:pPr>
          </w:p>
        </w:tc>
        <w:tc>
          <w:tcPr>
            <w:tcW w:w="1826" w:type="dxa"/>
            <w:tcBorders>
              <w:right w:val="single" w:sz="2" w:space="0" w:color="000000"/>
            </w:tcBorders>
          </w:tcPr>
          <w:p w:rsidR="009B7368" w:rsidRPr="004918E0" w:rsidRDefault="009B7368" w:rsidP="00790853">
            <w:pPr>
              <w:pStyle w:val="TableCell"/>
              <w:rPr>
                <w:sz w:val="24"/>
                <w:lang w:val="ga-IE" w:eastAsia="en-GB"/>
              </w:rPr>
            </w:pPr>
          </w:p>
        </w:tc>
        <w:tc>
          <w:tcPr>
            <w:tcW w:w="1826" w:type="dxa"/>
            <w:tcBorders>
              <w:top w:val="single" w:sz="2" w:space="0" w:color="000000"/>
              <w:left w:val="single" w:sz="2" w:space="0" w:color="000000"/>
              <w:bottom w:val="single" w:sz="18" w:space="0" w:color="000000"/>
              <w:right w:val="single" w:sz="2" w:space="0" w:color="000000"/>
            </w:tcBorders>
          </w:tcPr>
          <w:p w:rsidR="009B7368" w:rsidRPr="004918E0" w:rsidRDefault="009B7368" w:rsidP="00790853">
            <w:pPr>
              <w:pStyle w:val="TableCell"/>
              <w:rPr>
                <w:sz w:val="24"/>
                <w:lang w:val="ga-IE" w:eastAsia="en-GB"/>
              </w:rPr>
            </w:pPr>
            <w:r w:rsidRPr="004918E0">
              <w:rPr>
                <w:lang w:val="ga-IE"/>
              </w:rPr>
              <w:t>€</w:t>
            </w:r>
            <w:r w:rsidRPr="004918E0">
              <w:rPr>
                <w:sz w:val="24"/>
                <w:lang w:val="ga-IE" w:eastAsia="en-GB"/>
              </w:rPr>
              <w:t>1,391</w:t>
            </w:r>
          </w:p>
        </w:tc>
      </w:tr>
      <w:tr w:rsidR="009B7368" w:rsidRPr="004918E0" w:rsidTr="00790853">
        <w:tc>
          <w:tcPr>
            <w:tcW w:w="3044" w:type="dxa"/>
            <w:vAlign w:val="bottom"/>
          </w:tcPr>
          <w:p w:rsidR="009B7368" w:rsidRPr="004918E0" w:rsidRDefault="009B7368" w:rsidP="00790853">
            <w:pPr>
              <w:spacing w:after="0"/>
              <w:rPr>
                <w:lang w:val="ga-IE" w:eastAsia="en-GB"/>
              </w:rPr>
            </w:pPr>
          </w:p>
        </w:tc>
        <w:tc>
          <w:tcPr>
            <w:tcW w:w="1826" w:type="dxa"/>
          </w:tcPr>
          <w:p w:rsidR="009B7368" w:rsidRPr="004918E0" w:rsidRDefault="009B7368" w:rsidP="00790853">
            <w:pPr>
              <w:pStyle w:val="TableCell"/>
              <w:rPr>
                <w:sz w:val="24"/>
                <w:lang w:val="ga-IE" w:eastAsia="en-GB"/>
              </w:rPr>
            </w:pPr>
          </w:p>
        </w:tc>
        <w:tc>
          <w:tcPr>
            <w:tcW w:w="1826" w:type="dxa"/>
          </w:tcPr>
          <w:p w:rsidR="009B7368" w:rsidRPr="004918E0" w:rsidRDefault="009B7368" w:rsidP="00790853">
            <w:pPr>
              <w:pStyle w:val="TableCell"/>
              <w:rPr>
                <w:sz w:val="24"/>
                <w:lang w:val="ga-IE" w:eastAsia="en-GB"/>
              </w:rPr>
            </w:pPr>
          </w:p>
        </w:tc>
        <w:tc>
          <w:tcPr>
            <w:tcW w:w="1826" w:type="dxa"/>
            <w:tcBorders>
              <w:top w:val="single" w:sz="18" w:space="0" w:color="000000"/>
            </w:tcBorders>
          </w:tcPr>
          <w:p w:rsidR="009B7368" w:rsidRPr="004918E0" w:rsidRDefault="009B7368" w:rsidP="00790853">
            <w:pPr>
              <w:pStyle w:val="TableCell"/>
              <w:rPr>
                <w:sz w:val="24"/>
                <w:lang w:val="ga-IE" w:eastAsia="en-GB"/>
              </w:rPr>
            </w:pPr>
            <w:r w:rsidRPr="004918E0">
              <w:rPr>
                <w:rFonts w:cs="Arial"/>
                <w:sz w:val="24"/>
                <w:lang w:val="ga-IE" w:eastAsia="en-GB"/>
              </w:rPr>
              <w:t>€</w:t>
            </w:r>
            <w:r w:rsidRPr="004918E0">
              <w:rPr>
                <w:sz w:val="24"/>
                <w:lang w:val="ga-IE" w:eastAsia="en-GB"/>
              </w:rPr>
              <w:t>65,502</w:t>
            </w:r>
          </w:p>
        </w:tc>
      </w:tr>
    </w:tbl>
    <w:p w:rsidR="009B7368" w:rsidRPr="004918E0" w:rsidRDefault="009B7368" w:rsidP="009B7368">
      <w:pPr>
        <w:rPr>
          <w:lang w:val="ga-IE"/>
        </w:rPr>
      </w:pPr>
    </w:p>
    <w:p w:rsidR="009B7368" w:rsidRPr="004918E0" w:rsidRDefault="009B7368" w:rsidP="009B7368">
      <w:pPr>
        <w:rPr>
          <w:lang w:val="ga-IE"/>
        </w:rPr>
      </w:pPr>
      <w:r w:rsidRPr="004918E0">
        <w:rPr>
          <w:lang w:val="ga-IE"/>
        </w:rPr>
        <w:t>Rinneadh íocaíochtaí leis na Coimisinéirí Ioncaim i dtaobh ÁSPC ar tháillí arna íoc le comhaltaí an údaráis. Chuaigh an NDA i gcomhairle leis na Coimisinéirí Ioncaim maidir leis na híocaíochtaí sin agus shoiléirigh na Coimisinéirí nárbh ceart ÁSPC a íoc ar tháillí chomhaltaí an údaráis. Aontaíodh go n-aisíocfaí an méid a d’íocadh leis na Coimisinéirí Ioncaim.</w:t>
      </w:r>
    </w:p>
    <w:p w:rsidR="009B7368" w:rsidRPr="004918E0" w:rsidRDefault="009B7368" w:rsidP="009B7368">
      <w:pPr>
        <w:pStyle w:val="Heading3"/>
        <w:rPr>
          <w:lang w:val="ga-IE"/>
        </w:rPr>
      </w:pPr>
      <w:r w:rsidRPr="004918E0">
        <w:rPr>
          <w:lang w:val="ga-IE"/>
        </w:rPr>
        <w:br w:type="page"/>
        <w:t>7. Sócmhainní Seasta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550"/>
        <w:gridCol w:w="1522"/>
        <w:gridCol w:w="1441"/>
        <w:gridCol w:w="1320"/>
        <w:gridCol w:w="1320"/>
      </w:tblGrid>
      <w:tr w:rsidR="009B7368" w:rsidRPr="004918E0" w:rsidTr="00790853">
        <w:trPr>
          <w:tblHeader/>
        </w:trPr>
        <w:tc>
          <w:tcPr>
            <w:tcW w:w="2673" w:type="dxa"/>
          </w:tcPr>
          <w:p w:rsidR="009B7368" w:rsidRPr="004918E0" w:rsidRDefault="009B7368" w:rsidP="00790853">
            <w:pPr>
              <w:pStyle w:val="TableHead"/>
              <w:jc w:val="right"/>
              <w:rPr>
                <w:lang w:val="ga-IE"/>
              </w:rPr>
            </w:pPr>
          </w:p>
        </w:tc>
        <w:tc>
          <w:tcPr>
            <w:tcW w:w="1590" w:type="dxa"/>
            <w:vAlign w:val="bottom"/>
          </w:tcPr>
          <w:p w:rsidR="009B7368" w:rsidRPr="004918E0" w:rsidRDefault="009B7368" w:rsidP="00790853">
            <w:pPr>
              <w:pStyle w:val="TableHead"/>
              <w:rPr>
                <w:lang w:val="ga-IE" w:eastAsia="en-GB"/>
              </w:rPr>
            </w:pPr>
            <w:r w:rsidRPr="004918E0">
              <w:rPr>
                <w:lang w:val="ga-IE" w:eastAsia="en-GB"/>
              </w:rPr>
              <w:t>Crua-earraí agus Bogearraí Ríomhaire</w:t>
            </w:r>
          </w:p>
        </w:tc>
        <w:tc>
          <w:tcPr>
            <w:tcW w:w="1505" w:type="dxa"/>
            <w:vAlign w:val="bottom"/>
          </w:tcPr>
          <w:p w:rsidR="009B7368" w:rsidRPr="004918E0" w:rsidRDefault="009B7368" w:rsidP="00790853">
            <w:pPr>
              <w:pStyle w:val="TableHead"/>
              <w:rPr>
                <w:lang w:val="ga-IE" w:eastAsia="en-GB"/>
              </w:rPr>
            </w:pPr>
            <w:r w:rsidRPr="004918E0">
              <w:rPr>
                <w:lang w:val="ga-IE" w:eastAsia="en-GB"/>
              </w:rPr>
              <w:t>Troscán agus Trealamh Oifige</w:t>
            </w:r>
          </w:p>
        </w:tc>
        <w:tc>
          <w:tcPr>
            <w:tcW w:w="1377" w:type="dxa"/>
            <w:vAlign w:val="bottom"/>
          </w:tcPr>
          <w:p w:rsidR="009B7368" w:rsidRPr="004918E0" w:rsidRDefault="009B7368" w:rsidP="00790853">
            <w:pPr>
              <w:pStyle w:val="TableHead"/>
              <w:rPr>
                <w:lang w:val="ga-IE" w:eastAsia="en-GB"/>
              </w:rPr>
            </w:pPr>
            <w:r w:rsidRPr="004918E0">
              <w:rPr>
                <w:lang w:val="ga-IE" w:eastAsia="en-GB"/>
              </w:rPr>
              <w:t>Áitreabh</w:t>
            </w:r>
          </w:p>
        </w:tc>
        <w:tc>
          <w:tcPr>
            <w:tcW w:w="1377" w:type="dxa"/>
            <w:vAlign w:val="bottom"/>
          </w:tcPr>
          <w:p w:rsidR="009B7368" w:rsidRPr="004918E0" w:rsidRDefault="009B7368" w:rsidP="00790853">
            <w:pPr>
              <w:pStyle w:val="TableHead"/>
              <w:rPr>
                <w:lang w:val="ga-IE" w:eastAsia="en-GB"/>
              </w:rPr>
            </w:pPr>
            <w:r w:rsidRPr="004918E0">
              <w:rPr>
                <w:lang w:val="ga-IE" w:eastAsia="en-GB"/>
              </w:rPr>
              <w:t>Iomlán</w:t>
            </w:r>
          </w:p>
        </w:tc>
      </w:tr>
      <w:tr w:rsidR="009B7368" w:rsidRPr="004918E0" w:rsidTr="00790853">
        <w:tc>
          <w:tcPr>
            <w:tcW w:w="2673" w:type="dxa"/>
          </w:tcPr>
          <w:p w:rsidR="009B7368" w:rsidRPr="004918E0" w:rsidRDefault="009B7368" w:rsidP="00790853">
            <w:pPr>
              <w:pStyle w:val="TableRowHead"/>
              <w:rPr>
                <w:lang w:val="ga-IE"/>
              </w:rPr>
            </w:pPr>
          </w:p>
        </w:tc>
        <w:tc>
          <w:tcPr>
            <w:tcW w:w="1590" w:type="dxa"/>
            <w:vAlign w:val="bottom"/>
          </w:tcPr>
          <w:p w:rsidR="009B7368" w:rsidRPr="004918E0" w:rsidRDefault="009B7368" w:rsidP="00790853">
            <w:pPr>
              <w:spacing w:after="0"/>
              <w:jc w:val="right"/>
              <w:rPr>
                <w:lang w:val="ga-IE" w:eastAsia="en-GB"/>
              </w:rPr>
            </w:pPr>
            <w:r w:rsidRPr="004918E0">
              <w:rPr>
                <w:lang w:val="ga-IE" w:eastAsia="en-GB"/>
              </w:rPr>
              <w:t>€</w:t>
            </w:r>
          </w:p>
        </w:tc>
        <w:tc>
          <w:tcPr>
            <w:tcW w:w="1505" w:type="dxa"/>
            <w:vAlign w:val="bottom"/>
          </w:tcPr>
          <w:p w:rsidR="009B7368" w:rsidRPr="004918E0" w:rsidRDefault="009B7368" w:rsidP="00790853">
            <w:pPr>
              <w:spacing w:after="0"/>
              <w:jc w:val="right"/>
              <w:rPr>
                <w:lang w:val="ga-IE" w:eastAsia="en-GB"/>
              </w:rPr>
            </w:pPr>
            <w:r w:rsidRPr="004918E0">
              <w:rPr>
                <w:lang w:val="ga-IE" w:eastAsia="en-GB"/>
              </w:rPr>
              <w:t>€</w:t>
            </w:r>
          </w:p>
        </w:tc>
        <w:tc>
          <w:tcPr>
            <w:tcW w:w="1377" w:type="dxa"/>
            <w:vAlign w:val="bottom"/>
          </w:tcPr>
          <w:p w:rsidR="009B7368" w:rsidRPr="004918E0" w:rsidRDefault="009B7368" w:rsidP="00790853">
            <w:pPr>
              <w:spacing w:after="0"/>
              <w:jc w:val="right"/>
              <w:rPr>
                <w:lang w:val="ga-IE" w:eastAsia="en-GB"/>
              </w:rPr>
            </w:pPr>
            <w:r w:rsidRPr="004918E0">
              <w:rPr>
                <w:lang w:val="ga-IE" w:eastAsia="en-GB"/>
              </w:rPr>
              <w:t>€</w:t>
            </w:r>
          </w:p>
        </w:tc>
        <w:tc>
          <w:tcPr>
            <w:tcW w:w="1377" w:type="dxa"/>
            <w:vAlign w:val="bottom"/>
          </w:tcPr>
          <w:p w:rsidR="009B7368" w:rsidRPr="004918E0" w:rsidRDefault="009B7368" w:rsidP="00790853">
            <w:pPr>
              <w:spacing w:after="0"/>
              <w:jc w:val="right"/>
              <w:rPr>
                <w:lang w:val="ga-IE" w:eastAsia="en-GB"/>
              </w:rPr>
            </w:pPr>
            <w:r w:rsidRPr="004918E0">
              <w:rPr>
                <w:lang w:val="ga-IE" w:eastAsia="en-GB"/>
              </w:rPr>
              <w:t>€</w:t>
            </w:r>
          </w:p>
        </w:tc>
      </w:tr>
      <w:tr w:rsidR="009B7368" w:rsidRPr="004918E0" w:rsidTr="00790853">
        <w:tc>
          <w:tcPr>
            <w:tcW w:w="8522" w:type="dxa"/>
            <w:gridSpan w:val="5"/>
          </w:tcPr>
          <w:p w:rsidR="009B7368" w:rsidRPr="004918E0" w:rsidRDefault="009B7368" w:rsidP="00790853">
            <w:pPr>
              <w:pStyle w:val="TableHead"/>
              <w:jc w:val="center"/>
              <w:rPr>
                <w:sz w:val="24"/>
                <w:lang w:val="ga-IE" w:eastAsia="en-GB"/>
              </w:rPr>
            </w:pPr>
            <w:r w:rsidRPr="004918E0">
              <w:rPr>
                <w:sz w:val="24"/>
                <w:lang w:val="ga-IE" w:eastAsia="en-GB"/>
              </w:rPr>
              <w:t>Costas nó Luacháil</w:t>
            </w:r>
          </w:p>
        </w:tc>
      </w:tr>
      <w:tr w:rsidR="009B7368" w:rsidRPr="004918E0" w:rsidTr="00790853">
        <w:trPr>
          <w:trHeight w:val="639"/>
        </w:trPr>
        <w:tc>
          <w:tcPr>
            <w:tcW w:w="2673"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Iarmhéid ar an 1 Eanáir 2012</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400,534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313,710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3,941,086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4,655,330 </w:t>
            </w:r>
          </w:p>
        </w:tc>
      </w:tr>
      <w:tr w:rsidR="009B7368" w:rsidRPr="004918E0" w:rsidTr="00790853">
        <w:tc>
          <w:tcPr>
            <w:tcW w:w="2673"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Sócmhainní Breise ag Costas </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1,428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1,428 </w:t>
            </w:r>
          </w:p>
        </w:tc>
      </w:tr>
      <w:tr w:rsidR="009B7368" w:rsidRPr="004918E0" w:rsidTr="00790853">
        <w:tc>
          <w:tcPr>
            <w:tcW w:w="2673"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Athaicmiú Sócmhainní</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9,816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(204,581)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47,518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(147,247) </w:t>
            </w:r>
          </w:p>
        </w:tc>
      </w:tr>
      <w:tr w:rsidR="009B7368" w:rsidRPr="004918E0" w:rsidTr="00790853">
        <w:tc>
          <w:tcPr>
            <w:tcW w:w="2673"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Iarmhéid ar an 31 Nollaig 2012</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411,778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109,129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3,988,604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4,509,511 </w:t>
            </w:r>
          </w:p>
        </w:tc>
      </w:tr>
      <w:tr w:rsidR="009B7368" w:rsidRPr="004918E0" w:rsidTr="00790853">
        <w:tc>
          <w:tcPr>
            <w:tcW w:w="8522" w:type="dxa"/>
            <w:gridSpan w:val="5"/>
            <w:vAlign w:val="bottom"/>
          </w:tcPr>
          <w:p w:rsidR="009B7368" w:rsidRPr="004918E0" w:rsidRDefault="009B7368" w:rsidP="00790853">
            <w:pPr>
              <w:pStyle w:val="TableHead"/>
              <w:jc w:val="center"/>
              <w:rPr>
                <w:sz w:val="24"/>
                <w:lang w:val="ga-IE" w:eastAsia="en-GB"/>
              </w:rPr>
            </w:pPr>
            <w:r w:rsidRPr="004918E0">
              <w:rPr>
                <w:sz w:val="24"/>
                <w:lang w:val="ga-IE" w:eastAsia="en-GB"/>
              </w:rPr>
              <w:t>Dímheas Carntha</w:t>
            </w:r>
          </w:p>
        </w:tc>
      </w:tr>
      <w:tr w:rsidR="009B7368" w:rsidRPr="004918E0" w:rsidTr="00790853">
        <w:tc>
          <w:tcPr>
            <w:tcW w:w="2673"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Iarmhéid ar an 1 Eanáir 2012</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393,314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308,506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925,644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1,627,464 </w:t>
            </w:r>
          </w:p>
        </w:tc>
      </w:tr>
      <w:tr w:rsidR="009B7368" w:rsidRPr="004918E0" w:rsidTr="00790853">
        <w:tc>
          <w:tcPr>
            <w:tcW w:w="2673"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Muirearaithe le linn na bliana</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3,725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570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75,386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79,681 </w:t>
            </w:r>
          </w:p>
        </w:tc>
      </w:tr>
      <w:tr w:rsidR="009B7368" w:rsidRPr="004918E0" w:rsidTr="00790853">
        <w:tc>
          <w:tcPr>
            <w:tcW w:w="2673"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Athaicmiú sócmhainní </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11,845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(200,939)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47,518</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(141,576) </w:t>
            </w:r>
          </w:p>
        </w:tc>
      </w:tr>
      <w:tr w:rsidR="009B7368" w:rsidRPr="004918E0" w:rsidTr="00790853">
        <w:tc>
          <w:tcPr>
            <w:tcW w:w="2673"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Iarmhéid ar an 31 Nollaig 2012</w:t>
            </w:r>
          </w:p>
        </w:tc>
        <w:tc>
          <w:tcPr>
            <w:tcW w:w="1590" w:type="dxa"/>
            <w:vAlign w:val="bottom"/>
          </w:tcPr>
          <w:p w:rsidR="009B7368" w:rsidRPr="004918E0" w:rsidRDefault="009B7368" w:rsidP="00790853">
            <w:pPr>
              <w:pStyle w:val="TableCell"/>
              <w:rPr>
                <w:b/>
                <w:sz w:val="24"/>
                <w:lang w:val="ga-IE" w:eastAsia="en-GB"/>
              </w:rPr>
            </w:pPr>
            <w:r w:rsidRPr="004918E0">
              <w:rPr>
                <w:b/>
                <w:sz w:val="24"/>
                <w:lang w:val="ga-IE" w:eastAsia="en-GB"/>
              </w:rPr>
              <w:t xml:space="preserve">408,884 </w:t>
            </w:r>
          </w:p>
        </w:tc>
        <w:tc>
          <w:tcPr>
            <w:tcW w:w="1505" w:type="dxa"/>
            <w:vAlign w:val="bottom"/>
          </w:tcPr>
          <w:p w:rsidR="009B7368" w:rsidRPr="004918E0" w:rsidRDefault="009B7368" w:rsidP="00790853">
            <w:pPr>
              <w:pStyle w:val="TableCell"/>
              <w:rPr>
                <w:b/>
                <w:sz w:val="24"/>
                <w:lang w:val="ga-IE" w:eastAsia="en-GB"/>
              </w:rPr>
            </w:pPr>
            <w:r w:rsidRPr="004918E0">
              <w:rPr>
                <w:b/>
                <w:sz w:val="24"/>
                <w:lang w:val="ga-IE" w:eastAsia="en-GB"/>
              </w:rPr>
              <w:t xml:space="preserve">108,137 </w:t>
            </w:r>
          </w:p>
        </w:tc>
        <w:tc>
          <w:tcPr>
            <w:tcW w:w="1377" w:type="dxa"/>
            <w:vAlign w:val="bottom"/>
          </w:tcPr>
          <w:p w:rsidR="009B7368" w:rsidRPr="004918E0" w:rsidRDefault="009B7368" w:rsidP="00790853">
            <w:pPr>
              <w:pStyle w:val="TableCell"/>
              <w:rPr>
                <w:b/>
                <w:sz w:val="24"/>
                <w:lang w:val="ga-IE" w:eastAsia="en-GB"/>
              </w:rPr>
            </w:pPr>
            <w:r w:rsidRPr="004918E0">
              <w:rPr>
                <w:b/>
                <w:sz w:val="24"/>
                <w:lang w:val="ga-IE" w:eastAsia="en-GB"/>
              </w:rPr>
              <w:t xml:space="preserve">1,048,548 </w:t>
            </w:r>
          </w:p>
        </w:tc>
        <w:tc>
          <w:tcPr>
            <w:tcW w:w="1377" w:type="dxa"/>
            <w:vAlign w:val="bottom"/>
          </w:tcPr>
          <w:p w:rsidR="009B7368" w:rsidRPr="004918E0" w:rsidRDefault="009B7368" w:rsidP="00790853">
            <w:pPr>
              <w:pStyle w:val="TableCell"/>
              <w:rPr>
                <w:b/>
                <w:sz w:val="24"/>
                <w:lang w:val="ga-IE" w:eastAsia="en-GB"/>
              </w:rPr>
            </w:pPr>
            <w:r w:rsidRPr="004918E0">
              <w:rPr>
                <w:b/>
                <w:sz w:val="24"/>
                <w:lang w:val="ga-IE" w:eastAsia="en-GB"/>
              </w:rPr>
              <w:t xml:space="preserve">1,565,569 </w:t>
            </w:r>
          </w:p>
        </w:tc>
      </w:tr>
      <w:tr w:rsidR="009B7368" w:rsidRPr="004918E0" w:rsidTr="00790853">
        <w:tc>
          <w:tcPr>
            <w:tcW w:w="2673" w:type="dxa"/>
            <w:vAlign w:val="bottom"/>
          </w:tcPr>
          <w:p w:rsidR="009B7368" w:rsidRPr="004918E0" w:rsidRDefault="009B7368" w:rsidP="00790853">
            <w:pPr>
              <w:pStyle w:val="TableRowHead"/>
              <w:rPr>
                <w:rFonts w:ascii="Gill Sans" w:hAnsi="Gill Sans"/>
                <w:bCs/>
                <w:sz w:val="24"/>
                <w:lang w:val="ga-IE" w:eastAsia="en-GB"/>
              </w:rPr>
            </w:pPr>
            <w:r w:rsidRPr="004918E0">
              <w:rPr>
                <w:rFonts w:ascii="Gill Sans" w:hAnsi="Gill Sans"/>
                <w:bCs/>
                <w:sz w:val="24"/>
                <w:lang w:val="ga-IE" w:eastAsia="en-GB"/>
              </w:rPr>
              <w:t>Glanluach Leabhair - 31 Nollaig 2012</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2,894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992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2,940,056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2,943,942 </w:t>
            </w:r>
          </w:p>
        </w:tc>
      </w:tr>
      <w:tr w:rsidR="009B7368" w:rsidRPr="004918E0" w:rsidTr="00790853">
        <w:tc>
          <w:tcPr>
            <w:tcW w:w="2673" w:type="dxa"/>
            <w:vAlign w:val="bottom"/>
          </w:tcPr>
          <w:p w:rsidR="009B7368" w:rsidRPr="004918E0" w:rsidRDefault="009B7368" w:rsidP="00790853">
            <w:pPr>
              <w:pStyle w:val="TableRowHead"/>
              <w:rPr>
                <w:rFonts w:ascii="Gill Sans" w:hAnsi="Gill Sans"/>
                <w:bCs/>
                <w:sz w:val="24"/>
                <w:lang w:val="ga-IE" w:eastAsia="en-GB"/>
              </w:rPr>
            </w:pPr>
            <w:r w:rsidRPr="004918E0">
              <w:rPr>
                <w:rFonts w:ascii="Gill Sans" w:hAnsi="Gill Sans"/>
                <w:bCs/>
                <w:sz w:val="24"/>
                <w:lang w:val="ga-IE" w:eastAsia="en-GB"/>
              </w:rPr>
              <w:t>Glanluach Leabhair - 31 Nollaig 2011</w:t>
            </w:r>
          </w:p>
        </w:tc>
        <w:tc>
          <w:tcPr>
            <w:tcW w:w="1590" w:type="dxa"/>
            <w:vAlign w:val="bottom"/>
          </w:tcPr>
          <w:p w:rsidR="009B7368" w:rsidRPr="004918E0" w:rsidRDefault="009B7368" w:rsidP="00790853">
            <w:pPr>
              <w:pStyle w:val="TableCell"/>
              <w:rPr>
                <w:sz w:val="24"/>
                <w:lang w:val="ga-IE" w:eastAsia="en-GB"/>
              </w:rPr>
            </w:pPr>
            <w:r w:rsidRPr="004918E0">
              <w:rPr>
                <w:sz w:val="24"/>
                <w:lang w:val="ga-IE" w:eastAsia="en-GB"/>
              </w:rPr>
              <w:t xml:space="preserve">7,220 </w:t>
            </w:r>
          </w:p>
        </w:tc>
        <w:tc>
          <w:tcPr>
            <w:tcW w:w="1505" w:type="dxa"/>
            <w:vAlign w:val="bottom"/>
          </w:tcPr>
          <w:p w:rsidR="009B7368" w:rsidRPr="004918E0" w:rsidRDefault="009B7368" w:rsidP="00790853">
            <w:pPr>
              <w:pStyle w:val="TableCell"/>
              <w:rPr>
                <w:sz w:val="24"/>
                <w:lang w:val="ga-IE" w:eastAsia="en-GB"/>
              </w:rPr>
            </w:pPr>
            <w:r w:rsidRPr="004918E0">
              <w:rPr>
                <w:sz w:val="24"/>
                <w:lang w:val="ga-IE" w:eastAsia="en-GB"/>
              </w:rPr>
              <w:t xml:space="preserve">5,204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3,015,442 </w:t>
            </w:r>
          </w:p>
        </w:tc>
        <w:tc>
          <w:tcPr>
            <w:tcW w:w="1377" w:type="dxa"/>
            <w:vAlign w:val="bottom"/>
          </w:tcPr>
          <w:p w:rsidR="009B7368" w:rsidRPr="004918E0" w:rsidRDefault="009B7368" w:rsidP="00790853">
            <w:pPr>
              <w:pStyle w:val="TableCell"/>
              <w:rPr>
                <w:sz w:val="24"/>
                <w:lang w:val="ga-IE" w:eastAsia="en-GB"/>
              </w:rPr>
            </w:pPr>
            <w:r w:rsidRPr="004918E0">
              <w:rPr>
                <w:sz w:val="24"/>
                <w:lang w:val="ga-IE" w:eastAsia="en-GB"/>
              </w:rPr>
              <w:t xml:space="preserve">3,027,866 </w:t>
            </w:r>
          </w:p>
        </w:tc>
      </w:tr>
    </w:tbl>
    <w:p w:rsidR="009B7368" w:rsidRPr="004918E0" w:rsidRDefault="009B7368" w:rsidP="009B7368">
      <w:pPr>
        <w:rPr>
          <w:lang w:val="ga-IE"/>
        </w:rPr>
      </w:pPr>
      <w:r w:rsidRPr="004918E0">
        <w:rPr>
          <w:lang w:val="ga-IE"/>
        </w:rPr>
        <w:br/>
        <w:t>Le linn na bliana rinne an tÚdarás socrú chun tabhairt faoi obair le clár cuimsitheach sócmhainní seasta a chinntiú, lena n-áirítear scrúdú a dhéanamh ar dhifríochtaí stairiúla idir na sócmhainní seasta de réir na ráiteas airgeadais agus an chlár sócmhainní seasta. Tá an clár réitithe go hiomlán anois. Mar thoradh ar an gcleachtas rinneadh roinnt sócmhainní a athaicmiú agus rinneadh roinnt trealaimh a bhí imithe as feidhm a dhíscríobh. Ba í an éifeacht fhoriomlán ná muirear breise de €5,671.</w:t>
      </w:r>
    </w:p>
    <w:p w:rsidR="009B7368" w:rsidRPr="004918E0" w:rsidRDefault="009B7368" w:rsidP="009B7368">
      <w:pPr>
        <w:rPr>
          <w:lang w:val="ga-IE"/>
        </w:rPr>
      </w:pPr>
      <w:r w:rsidRPr="004918E0">
        <w:rPr>
          <w:lang w:val="ga-IE"/>
        </w:rPr>
        <w:t xml:space="preserve">Oibríonn an Bord gnó óna áitreabh ar 25 Bóthar Bóthar Chluaidh, Droichead na Dothra, Baile Átha Cliath 4, a bhfuil sé ina úinéir air. Níl an Bord ina úinéir ar aon réadmhaoin eile agus ní léasaíonn sé aon réadmhaoin. </w:t>
      </w:r>
    </w:p>
    <w:p w:rsidR="009B7368" w:rsidRPr="004918E0" w:rsidRDefault="009B7368" w:rsidP="009B7368">
      <w:pPr>
        <w:pStyle w:val="Heading3"/>
        <w:rPr>
          <w:lang w:val="ga-IE"/>
        </w:rPr>
      </w:pPr>
      <w:r w:rsidRPr="004918E0">
        <w:rPr>
          <w:lang w:val="ga-IE"/>
        </w:rPr>
        <w:br w:type="page"/>
      </w:r>
      <w:r w:rsidRPr="004918E0">
        <w:rPr>
          <w:lang w:val="ga-IE" w:eastAsia="en-GB"/>
        </w:rPr>
        <w:t xml:space="preserve">8. Cuntas Caipitil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892"/>
        <w:gridCol w:w="1005"/>
        <w:gridCol w:w="1628"/>
        <w:gridCol w:w="1628"/>
      </w:tblGrid>
      <w:tr w:rsidR="009B7368" w:rsidRPr="004918E0" w:rsidTr="00790853">
        <w:trPr>
          <w:tblHeader/>
        </w:trPr>
        <w:tc>
          <w:tcPr>
            <w:tcW w:w="4080" w:type="dxa"/>
            <w:vAlign w:val="bottom"/>
          </w:tcPr>
          <w:p w:rsidR="009B7368" w:rsidRPr="004918E0" w:rsidRDefault="009B7368" w:rsidP="00790853">
            <w:pPr>
              <w:spacing w:after="0"/>
              <w:rPr>
                <w:rFonts w:cs="Arial"/>
                <w:lang w:val="ga-IE" w:eastAsia="en-GB"/>
              </w:rPr>
            </w:pPr>
          </w:p>
        </w:tc>
        <w:tc>
          <w:tcPr>
            <w:tcW w:w="1044" w:type="dxa"/>
            <w:vAlign w:val="bottom"/>
          </w:tcPr>
          <w:p w:rsidR="009B7368" w:rsidRPr="004918E0" w:rsidRDefault="009B7368" w:rsidP="00790853">
            <w:pPr>
              <w:pStyle w:val="TableHead"/>
              <w:rPr>
                <w:lang w:val="ga-IE" w:eastAsia="en-GB"/>
              </w:rPr>
            </w:pPr>
            <w:r w:rsidRPr="004918E0">
              <w:rPr>
                <w:lang w:val="ga-IE" w:eastAsia="en-GB"/>
              </w:rPr>
              <w:t>Nótaí</w:t>
            </w:r>
          </w:p>
        </w:tc>
        <w:tc>
          <w:tcPr>
            <w:tcW w:w="1699" w:type="dxa"/>
            <w:vAlign w:val="bottom"/>
          </w:tcPr>
          <w:p w:rsidR="009B7368" w:rsidRPr="004918E0" w:rsidRDefault="009B7368" w:rsidP="00790853">
            <w:pPr>
              <w:pStyle w:val="TableHead"/>
              <w:jc w:val="right"/>
              <w:rPr>
                <w:bCs/>
                <w:lang w:val="ga-IE" w:eastAsia="en-GB"/>
              </w:rPr>
            </w:pPr>
            <w:r w:rsidRPr="004918E0">
              <w:rPr>
                <w:bCs/>
                <w:lang w:val="ga-IE" w:eastAsia="en-GB"/>
              </w:rPr>
              <w:t>2012</w:t>
            </w:r>
          </w:p>
        </w:tc>
        <w:tc>
          <w:tcPr>
            <w:tcW w:w="1699" w:type="dxa"/>
            <w:vAlign w:val="bottom"/>
          </w:tcPr>
          <w:p w:rsidR="009B7368" w:rsidRPr="004918E0" w:rsidRDefault="009B7368" w:rsidP="00790853">
            <w:pPr>
              <w:pStyle w:val="TableHead"/>
              <w:jc w:val="right"/>
              <w:rPr>
                <w:bCs/>
                <w:lang w:val="ga-IE" w:eastAsia="en-GB"/>
              </w:rPr>
            </w:pPr>
            <w:r w:rsidRPr="004918E0">
              <w:rPr>
                <w:bCs/>
                <w:lang w:val="ga-IE" w:eastAsia="en-GB"/>
              </w:rPr>
              <w:t>2011</w:t>
            </w:r>
          </w:p>
        </w:tc>
      </w:tr>
      <w:tr w:rsidR="009B7368" w:rsidRPr="004918E0" w:rsidTr="00790853">
        <w:tc>
          <w:tcPr>
            <w:tcW w:w="4080" w:type="dxa"/>
            <w:vAlign w:val="bottom"/>
          </w:tcPr>
          <w:p w:rsidR="009B7368" w:rsidRPr="004918E0" w:rsidRDefault="009B7368" w:rsidP="00790853">
            <w:pPr>
              <w:spacing w:after="0"/>
              <w:rPr>
                <w:rFonts w:cs="Arial"/>
                <w:lang w:val="ga-IE" w:eastAsia="en-GB"/>
              </w:rPr>
            </w:pPr>
          </w:p>
        </w:tc>
        <w:tc>
          <w:tcPr>
            <w:tcW w:w="1044" w:type="dxa"/>
            <w:vAlign w:val="bottom"/>
          </w:tcPr>
          <w:p w:rsidR="009B7368" w:rsidRPr="004918E0" w:rsidRDefault="009B7368" w:rsidP="00790853">
            <w:pPr>
              <w:spacing w:after="0"/>
              <w:rPr>
                <w:rFonts w:cs="Arial"/>
                <w:lang w:val="ga-IE" w:eastAsia="en-GB"/>
              </w:rPr>
            </w:pP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r>
      <w:tr w:rsidR="009B7368" w:rsidRPr="004918E0" w:rsidTr="00790853">
        <w:tc>
          <w:tcPr>
            <w:tcW w:w="408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Iarmhéid ar an 1 Eanáir</w:t>
            </w:r>
          </w:p>
        </w:tc>
        <w:tc>
          <w:tcPr>
            <w:tcW w:w="1044" w:type="dxa"/>
            <w:vAlign w:val="bottom"/>
          </w:tcPr>
          <w:p w:rsidR="009B7368" w:rsidRPr="004918E0" w:rsidRDefault="009B7368" w:rsidP="00790853">
            <w:pPr>
              <w:spacing w:after="0"/>
              <w:rPr>
                <w:rFonts w:cs="Arial"/>
                <w:lang w:val="ga-IE" w:eastAsia="en-GB"/>
              </w:rPr>
            </w:pP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3,027,866 </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3,111,965 </w:t>
            </w:r>
          </w:p>
        </w:tc>
      </w:tr>
      <w:tr w:rsidR="009B7368" w:rsidRPr="004918E0" w:rsidTr="00790853">
        <w:tc>
          <w:tcPr>
            <w:tcW w:w="8522" w:type="dxa"/>
            <w:gridSpan w:val="4"/>
            <w:vAlign w:val="bottom"/>
          </w:tcPr>
          <w:p w:rsidR="009B7368" w:rsidRPr="004918E0" w:rsidRDefault="009B7368" w:rsidP="00790853">
            <w:pPr>
              <w:pStyle w:val="TableHead"/>
              <w:jc w:val="center"/>
              <w:rPr>
                <w:sz w:val="24"/>
                <w:lang w:val="ga-IE" w:eastAsia="en-GB"/>
              </w:rPr>
            </w:pPr>
            <w:r w:rsidRPr="004918E0">
              <w:rPr>
                <w:sz w:val="24"/>
                <w:lang w:val="ga-IE" w:eastAsia="en-GB"/>
              </w:rPr>
              <w:t xml:space="preserve">Aistriú (chuig) / ón gCuntas Ioncaim agus Caiteachais </w:t>
            </w:r>
          </w:p>
        </w:tc>
      </w:tr>
      <w:tr w:rsidR="009B7368" w:rsidRPr="004918E0" w:rsidTr="00790853">
        <w:tc>
          <w:tcPr>
            <w:tcW w:w="408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Ioncam curtha i bhfeidhm chun sócmhainní seasta a cheannach</w:t>
            </w:r>
          </w:p>
        </w:tc>
        <w:tc>
          <w:tcPr>
            <w:tcW w:w="1044"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 </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1,428 </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9,235 </w:t>
            </w:r>
          </w:p>
        </w:tc>
      </w:tr>
      <w:tr w:rsidR="009B7368" w:rsidRPr="004918E0" w:rsidTr="00790853">
        <w:tc>
          <w:tcPr>
            <w:tcW w:w="408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Amúchta le linn na bliana de réir dhímheas sócmhainní</w:t>
            </w:r>
          </w:p>
        </w:tc>
        <w:tc>
          <w:tcPr>
            <w:tcW w:w="1044"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 </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(79,681)</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(93,334)</w:t>
            </w:r>
          </w:p>
        </w:tc>
      </w:tr>
      <w:tr w:rsidR="009B7368" w:rsidRPr="004918E0" w:rsidTr="00790853">
        <w:tc>
          <w:tcPr>
            <w:tcW w:w="408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Athaicmiú Sócmhainní Seasta</w:t>
            </w:r>
          </w:p>
        </w:tc>
        <w:tc>
          <w:tcPr>
            <w:tcW w:w="1044"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7 </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(5,671) </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0 </w:t>
            </w:r>
          </w:p>
        </w:tc>
      </w:tr>
      <w:tr w:rsidR="009B7368" w:rsidRPr="004918E0" w:rsidTr="00790853">
        <w:tc>
          <w:tcPr>
            <w:tcW w:w="4080" w:type="dxa"/>
            <w:vAlign w:val="bottom"/>
          </w:tcPr>
          <w:p w:rsidR="009B7368" w:rsidRPr="004918E0" w:rsidRDefault="009B7368" w:rsidP="00790853">
            <w:pPr>
              <w:pStyle w:val="TableRowHead"/>
              <w:rPr>
                <w:rFonts w:ascii="Gill Sans" w:hAnsi="Gill Sans"/>
                <w:sz w:val="24"/>
                <w:lang w:val="ga-IE" w:eastAsia="en-GB"/>
              </w:rPr>
            </w:pPr>
          </w:p>
        </w:tc>
        <w:tc>
          <w:tcPr>
            <w:tcW w:w="1044" w:type="dxa"/>
            <w:vAlign w:val="bottom"/>
          </w:tcPr>
          <w:p w:rsidR="009B7368" w:rsidRPr="004918E0" w:rsidRDefault="009B7368" w:rsidP="00790853">
            <w:pPr>
              <w:spacing w:after="0"/>
              <w:rPr>
                <w:rFonts w:cs="Arial"/>
                <w:lang w:val="ga-IE" w:eastAsia="en-GB"/>
              </w:rPr>
            </w:pP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(83,924)</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(84,099)</w:t>
            </w:r>
          </w:p>
        </w:tc>
      </w:tr>
      <w:tr w:rsidR="009B7368" w:rsidRPr="004918E0" w:rsidTr="00790853">
        <w:tc>
          <w:tcPr>
            <w:tcW w:w="4080"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Iarmhéid ar an 31 Nollaig </w:t>
            </w:r>
          </w:p>
        </w:tc>
        <w:tc>
          <w:tcPr>
            <w:tcW w:w="1044" w:type="dxa"/>
            <w:vAlign w:val="bottom"/>
          </w:tcPr>
          <w:p w:rsidR="009B7368" w:rsidRPr="004918E0" w:rsidRDefault="009B7368" w:rsidP="00790853">
            <w:pPr>
              <w:spacing w:after="0"/>
              <w:rPr>
                <w:rFonts w:cs="Arial"/>
                <w:lang w:val="ga-IE" w:eastAsia="en-GB"/>
              </w:rPr>
            </w:pP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2,943,942 </w:t>
            </w:r>
          </w:p>
        </w:tc>
        <w:tc>
          <w:tcPr>
            <w:tcW w:w="1699"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 xml:space="preserve">3,027,866 </w:t>
            </w:r>
          </w:p>
        </w:tc>
      </w:tr>
    </w:tbl>
    <w:p w:rsidR="009B7368" w:rsidRPr="004918E0" w:rsidRDefault="009B7368" w:rsidP="009B7368">
      <w:pPr>
        <w:pStyle w:val="Heading3"/>
        <w:rPr>
          <w:lang w:val="ga-IE"/>
        </w:rPr>
      </w:pPr>
    </w:p>
    <w:p w:rsidR="009B7368" w:rsidRPr="004918E0" w:rsidRDefault="009B7368" w:rsidP="009B7368">
      <w:pPr>
        <w:pStyle w:val="Heading3"/>
        <w:rPr>
          <w:lang w:val="ga-IE"/>
        </w:rPr>
      </w:pPr>
      <w:r w:rsidRPr="004918E0">
        <w:rPr>
          <w:lang w:val="ga-IE"/>
        </w:rPr>
        <w:t xml:space="preserve">9. Réiteach Shreabhadh Airgid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395"/>
        <w:gridCol w:w="1879"/>
        <w:gridCol w:w="1879"/>
      </w:tblGrid>
      <w:tr w:rsidR="009B7368" w:rsidRPr="004918E0" w:rsidTr="00790853">
        <w:trPr>
          <w:tblHeader/>
        </w:trPr>
        <w:tc>
          <w:tcPr>
            <w:tcW w:w="4602" w:type="dxa"/>
          </w:tcPr>
          <w:p w:rsidR="009B7368" w:rsidRPr="004918E0" w:rsidRDefault="009B7368" w:rsidP="00790853">
            <w:pPr>
              <w:pStyle w:val="TableHead"/>
              <w:jc w:val="right"/>
              <w:rPr>
                <w:lang w:val="ga-IE"/>
              </w:rPr>
            </w:pPr>
          </w:p>
        </w:tc>
        <w:tc>
          <w:tcPr>
            <w:tcW w:w="1960" w:type="dxa"/>
            <w:vAlign w:val="bottom"/>
          </w:tcPr>
          <w:p w:rsidR="009B7368" w:rsidRPr="004918E0" w:rsidRDefault="009B7368" w:rsidP="00790853">
            <w:pPr>
              <w:pStyle w:val="TableHead"/>
              <w:jc w:val="right"/>
              <w:rPr>
                <w:bCs/>
                <w:lang w:val="ga-IE" w:eastAsia="en-GB"/>
              </w:rPr>
            </w:pPr>
            <w:r w:rsidRPr="004918E0">
              <w:rPr>
                <w:bCs/>
                <w:lang w:val="ga-IE" w:eastAsia="en-GB"/>
              </w:rPr>
              <w:t>2012</w:t>
            </w:r>
          </w:p>
        </w:tc>
        <w:tc>
          <w:tcPr>
            <w:tcW w:w="1960" w:type="dxa"/>
            <w:vAlign w:val="bottom"/>
          </w:tcPr>
          <w:p w:rsidR="009B7368" w:rsidRPr="004918E0" w:rsidRDefault="009B7368" w:rsidP="00790853">
            <w:pPr>
              <w:pStyle w:val="TableHead"/>
              <w:jc w:val="right"/>
              <w:rPr>
                <w:bCs/>
                <w:lang w:val="ga-IE" w:eastAsia="en-GB"/>
              </w:rPr>
            </w:pPr>
            <w:r w:rsidRPr="004918E0">
              <w:rPr>
                <w:bCs/>
                <w:lang w:val="ga-IE" w:eastAsia="en-GB"/>
              </w:rPr>
              <w:t>2011</w:t>
            </w:r>
          </w:p>
        </w:tc>
      </w:tr>
      <w:tr w:rsidR="009B7368" w:rsidRPr="004918E0" w:rsidTr="00790853">
        <w:tc>
          <w:tcPr>
            <w:tcW w:w="4602" w:type="dxa"/>
          </w:tcPr>
          <w:p w:rsidR="009B7368" w:rsidRPr="004918E0" w:rsidRDefault="009B7368" w:rsidP="00790853">
            <w:pPr>
              <w:pStyle w:val="TableRowHead"/>
              <w:rPr>
                <w:lang w:val="ga-IE"/>
              </w:rPr>
            </w:pPr>
          </w:p>
        </w:tc>
        <w:tc>
          <w:tcPr>
            <w:tcW w:w="1960"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c>
          <w:tcPr>
            <w:tcW w:w="1960"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r>
      <w:tr w:rsidR="009B7368" w:rsidRPr="004918E0" w:rsidTr="00790853">
        <w:tc>
          <w:tcPr>
            <w:tcW w:w="8522" w:type="dxa"/>
            <w:gridSpan w:val="3"/>
          </w:tcPr>
          <w:p w:rsidR="009B7368" w:rsidRPr="004918E0" w:rsidRDefault="009B7368" w:rsidP="00790853">
            <w:pPr>
              <w:pStyle w:val="TableHead"/>
              <w:jc w:val="center"/>
              <w:rPr>
                <w:lang w:val="ga-IE"/>
              </w:rPr>
            </w:pPr>
            <w:r w:rsidRPr="004918E0">
              <w:rPr>
                <w:lang w:val="ga-IE"/>
              </w:rPr>
              <w:t>9 (a) Réiteach an Easnaimh don Bhliain le Sreabhadh Airgid ó Ghníomhaíochtaí Oibriúcháin</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Barrachas / (Easnamh) don tréimhse</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144,235</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(16,606)</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Leasú le haghaidh míreanna neamhoibriúcháin</w:t>
            </w:r>
          </w:p>
        </w:tc>
        <w:tc>
          <w:tcPr>
            <w:tcW w:w="1960" w:type="dxa"/>
            <w:vAlign w:val="bottom"/>
          </w:tcPr>
          <w:p w:rsidR="009B7368" w:rsidRPr="004918E0" w:rsidRDefault="009B7368" w:rsidP="00790853">
            <w:pPr>
              <w:pStyle w:val="TableCell"/>
              <w:rPr>
                <w:sz w:val="24"/>
                <w:lang w:val="ga-IE" w:eastAsia="en-GB"/>
              </w:rPr>
            </w:pPr>
          </w:p>
        </w:tc>
        <w:tc>
          <w:tcPr>
            <w:tcW w:w="1960" w:type="dxa"/>
            <w:vAlign w:val="bottom"/>
          </w:tcPr>
          <w:p w:rsidR="009B7368" w:rsidRPr="004918E0" w:rsidRDefault="009B7368" w:rsidP="00790853">
            <w:pPr>
              <w:pStyle w:val="TableCell"/>
              <w:rPr>
                <w:sz w:val="24"/>
                <w:lang w:val="ga-IE" w:eastAsia="en-GB"/>
              </w:rPr>
            </w:pP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Ús Infhaighte</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0 </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Gluaiseacht ar Chuntas Caipitil</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(83,924)</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(84,099)</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Leasú le haghaidh míreanna neamhairgid</w:t>
            </w:r>
          </w:p>
        </w:tc>
        <w:tc>
          <w:tcPr>
            <w:tcW w:w="1960" w:type="dxa"/>
            <w:vAlign w:val="bottom"/>
          </w:tcPr>
          <w:p w:rsidR="009B7368" w:rsidRPr="004918E0" w:rsidRDefault="009B7368" w:rsidP="00790853">
            <w:pPr>
              <w:pStyle w:val="TableCell"/>
              <w:rPr>
                <w:sz w:val="24"/>
                <w:lang w:val="ga-IE" w:eastAsia="en-GB"/>
              </w:rPr>
            </w:pPr>
          </w:p>
        </w:tc>
        <w:tc>
          <w:tcPr>
            <w:tcW w:w="1960" w:type="dxa"/>
            <w:vAlign w:val="bottom"/>
          </w:tcPr>
          <w:p w:rsidR="009B7368" w:rsidRPr="004918E0" w:rsidRDefault="009B7368" w:rsidP="00790853">
            <w:pPr>
              <w:pStyle w:val="TableCell"/>
              <w:rPr>
                <w:sz w:val="24"/>
                <w:lang w:val="ga-IE" w:eastAsia="en-GB"/>
              </w:rPr>
            </w:pP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Dímheas</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79,681 </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93,334 </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Athaicmiú Sócmhainní Seasta</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5,671</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0</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Athrú ar Fhéichiúnaithe</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(52,762)</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(58,609)</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Athrú ar Chreidiúnaithe</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(83,227) </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75,028 </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Sreabhadh Airgid ó Ghníomhaíochtaí Oibriúcháin</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9,674 </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9,048 </w:t>
            </w:r>
          </w:p>
        </w:tc>
      </w:tr>
      <w:tr w:rsidR="009B7368" w:rsidRPr="004918E0" w:rsidTr="00790853">
        <w:tc>
          <w:tcPr>
            <w:tcW w:w="8522" w:type="dxa"/>
            <w:gridSpan w:val="3"/>
            <w:vAlign w:val="bottom"/>
          </w:tcPr>
          <w:p w:rsidR="009B7368" w:rsidRPr="004918E0" w:rsidRDefault="009B7368" w:rsidP="00790853">
            <w:pPr>
              <w:pStyle w:val="TableHead"/>
              <w:jc w:val="center"/>
              <w:rPr>
                <w:lang w:val="ga-IE" w:eastAsia="en-GB"/>
              </w:rPr>
            </w:pPr>
            <w:r w:rsidRPr="004918E0">
              <w:rPr>
                <w:lang w:val="ga-IE" w:eastAsia="en-GB"/>
              </w:rPr>
              <w:t>9(b) Réiteach Shreabhadh Airgid le Gluaiseacht i nGlanchistí</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Glanchistí ar an 31 Nollaig 2011</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114 </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301 </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Méadú / (Laghdú) ar Airgead</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8,246</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(187)</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Glanchistí ar an 31 Nollaig 2012</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8,360 </w:t>
            </w:r>
          </w:p>
        </w:tc>
        <w:tc>
          <w:tcPr>
            <w:tcW w:w="1960" w:type="dxa"/>
            <w:vAlign w:val="bottom"/>
          </w:tcPr>
          <w:p w:rsidR="009B7368" w:rsidRPr="004918E0" w:rsidRDefault="009B7368" w:rsidP="00790853">
            <w:pPr>
              <w:pStyle w:val="TableCell"/>
              <w:rPr>
                <w:sz w:val="24"/>
                <w:lang w:val="ga-IE" w:eastAsia="en-GB"/>
              </w:rPr>
            </w:pPr>
            <w:r w:rsidRPr="004918E0">
              <w:rPr>
                <w:sz w:val="24"/>
                <w:lang w:val="ga-IE" w:eastAsia="en-GB"/>
              </w:rPr>
              <w:t xml:space="preserve">114 </w:t>
            </w:r>
          </w:p>
        </w:tc>
      </w:tr>
    </w:tbl>
    <w:p w:rsidR="009B7368" w:rsidRPr="004918E0" w:rsidRDefault="009B7368" w:rsidP="009B7368">
      <w:pPr>
        <w:pStyle w:val="Heading3"/>
        <w:rPr>
          <w:lang w:val="ga-IE" w:eastAsia="en-GB"/>
        </w:rPr>
      </w:pPr>
      <w:r w:rsidRPr="004918E0">
        <w:rPr>
          <w:lang w:val="ga-IE"/>
        </w:rPr>
        <w:br/>
      </w:r>
      <w:r w:rsidRPr="004918E0">
        <w:rPr>
          <w:lang w:val="ga-IE" w:eastAsia="en-GB"/>
        </w:rPr>
        <w:t>10. Aoisliúntas</w:t>
      </w:r>
      <w:r w:rsidRPr="004918E0">
        <w:rPr>
          <w:lang w:val="ga-IE" w:eastAsia="en-GB"/>
        </w:rPr>
        <w:tab/>
      </w:r>
      <w:r w:rsidRPr="004918E0">
        <w:rPr>
          <w:lang w:val="ga-IE" w:eastAsia="en-GB"/>
        </w:rPr>
        <w:tab/>
      </w:r>
      <w:r w:rsidRPr="004918E0">
        <w:rPr>
          <w:lang w:val="ga-IE" w:eastAsia="en-GB"/>
        </w:rPr>
        <w:tab/>
      </w:r>
      <w:r w:rsidRPr="004918E0">
        <w:rPr>
          <w:lang w:val="ga-IE" w:eastAsia="en-GB"/>
        </w:rPr>
        <w:tab/>
      </w:r>
      <w:r w:rsidRPr="004918E0">
        <w:rPr>
          <w:lang w:val="ga-IE" w:eastAsia="en-GB"/>
        </w:rPr>
        <w:tab/>
      </w:r>
      <w:r w:rsidRPr="004918E0">
        <w:rPr>
          <w:lang w:val="ga-IE" w:eastAsia="en-GB"/>
        </w:rPr>
        <w:tab/>
      </w:r>
    </w:p>
    <w:p w:rsidR="009B7368" w:rsidRPr="004918E0" w:rsidRDefault="009B7368" w:rsidP="009B7368">
      <w:pPr>
        <w:rPr>
          <w:lang w:val="ga-IE" w:eastAsia="en-GB"/>
        </w:rPr>
      </w:pPr>
      <w:r w:rsidRPr="004918E0">
        <w:rPr>
          <w:lang w:val="ga-IE" w:eastAsia="en-GB"/>
        </w:rPr>
        <w:t>Faoin Acht um Údarás Náisiúnta Míchumais 1999, déanfaidh an tÚdarás le faomhadh an Aire Dlí agus Cirt, Comhionannais agus Athchóirithe Dlí scéim nó scéimeanna chun sochair aoisliúntais a dheonú do bhaill foirne, lena n-áirítear Stiúrthóir an Údaráis, nó i dtaobh na mball foirne sin.</w:t>
      </w:r>
    </w:p>
    <w:p w:rsidR="009B7368" w:rsidRPr="004918E0" w:rsidRDefault="009B7368" w:rsidP="009B7368">
      <w:pPr>
        <w:rPr>
          <w:lang w:val="ga-IE" w:eastAsia="en-GB"/>
        </w:rPr>
      </w:pPr>
      <w:r w:rsidRPr="004918E0">
        <w:rPr>
          <w:lang w:val="ga-IE" w:eastAsia="en-GB"/>
        </w:rPr>
        <w:t>Tá Samhailscéim dréachtaithe agus tá sí ar feitheamh faofa ón Roinn Dlí agus Cirt, Comhionannais agus Athchóirithe Dlí agus ón Roinn Caiteachais Phoiblí agus Athchóirithe.</w:t>
      </w:r>
    </w:p>
    <w:p w:rsidR="009B7368" w:rsidRPr="004918E0" w:rsidRDefault="009B7368" w:rsidP="009B7368">
      <w:pPr>
        <w:rPr>
          <w:lang w:val="ga-IE" w:eastAsia="en-GB"/>
        </w:rPr>
      </w:pPr>
      <w:r w:rsidRPr="004918E0">
        <w:rPr>
          <w:lang w:val="ga-IE" w:eastAsia="en-GB"/>
        </w:rPr>
        <w:t xml:space="preserve">Oibríonn an tÚdarás Náisiúnta Míchumais scéimeanna sochar sainithe neamhchistithe nó scéimeanna aoisliúntais le haghaidh ball foirne. Íoctar teidlíochtaí a eascraíonn faoi na scéimeanna as ioncam reatha agus déantar iad a mhuirearú ar an gCuntas Ioncaim agus Caiteachais, glan ó ranníocaíochtaí aoisliúntais fostaí, sa bhliain ina dtagann siad chun bheith iníoctha. </w:t>
      </w:r>
    </w:p>
    <w:p w:rsidR="009B7368" w:rsidRPr="004918E0" w:rsidRDefault="009B7368" w:rsidP="009B7368">
      <w:pPr>
        <w:rPr>
          <w:lang w:val="ga-IE" w:eastAsia="en-GB"/>
        </w:rPr>
      </w:pPr>
      <w:r w:rsidRPr="004918E0">
        <w:rPr>
          <w:lang w:val="ga-IE" w:eastAsia="en-GB"/>
        </w:rPr>
        <w:t>Is amhlaidh i láthair na huaire go bhfaigheann baill foirne a bhí ina gcomhaltaí den Bhord Náisiúnta Athshlánúcháin (NRB) agus a théann ar scor, sochair Aoisliúntais faoi théarmaí Scéim Aoisliúntais an Rialtais Áitiúil. Maidir le baill foirne a bhí fostaithe ag an NDA tar éis a bhunaithe agus a théann ar scor, faigheann siad sochair scoir de réir théarmaí Scéim Aoisliúntais na nGníomhaireachtaí Sláinte Ainmnithe.</w:t>
      </w:r>
    </w:p>
    <w:p w:rsidR="009B7368" w:rsidRPr="004918E0" w:rsidRDefault="009B7368" w:rsidP="009B7368">
      <w:pPr>
        <w:pStyle w:val="Heading4"/>
        <w:rPr>
          <w:lang w:val="ga-IE" w:eastAsia="en-GB"/>
        </w:rPr>
      </w:pPr>
      <w:r w:rsidRPr="004918E0">
        <w:rPr>
          <w:lang w:val="ga-IE" w:eastAsia="en-GB"/>
        </w:rPr>
        <w:t xml:space="preserve"> (a) Scéim Pinsean</w:t>
      </w:r>
    </w:p>
    <w:p w:rsidR="009B7368" w:rsidRPr="004918E0" w:rsidRDefault="009B7368" w:rsidP="009B7368">
      <w:pPr>
        <w:rPr>
          <w:lang w:val="ga-IE" w:eastAsia="en-GB"/>
        </w:rPr>
      </w:pPr>
      <w:r w:rsidRPr="004918E0">
        <w:rPr>
          <w:lang w:val="ga-IE" w:eastAsia="en-GB"/>
        </w:rPr>
        <w:t>Tá na torthaí atá leagtha amach thíos bunaithe ar luacháil achtúireach ar dhliteanais i dtaobh na mball foirne seirbheála, scortha agus éagtha de chuid an NDA amhail an 31 Nollaig 2012. Rinneadh an luacháil sin ag achtúire neamhspleách cáilithe chun críocha an chaighdeáin chuntasaíochta, Caighdeán Uimh. 17 um Thuairisciú Airgeadais (FRS 17).</w:t>
      </w:r>
    </w:p>
    <w:p w:rsidR="009B7368" w:rsidRPr="004918E0" w:rsidRDefault="009B7368" w:rsidP="009B7368">
      <w:pPr>
        <w:rPr>
          <w:lang w:val="ga-IE" w:eastAsia="en-GB"/>
        </w:rPr>
      </w:pPr>
      <w:r w:rsidRPr="004918E0">
        <w:rPr>
          <w:lang w:val="ga-IE" w:eastAsia="en-GB"/>
        </w:rPr>
        <w:t>Rinneadh an luacháil agus úsáid á baint as modh na n-aonad réamh-mheasta. Seo a leanas na toimhdí airgeadais a úsáideadh chun dliteanais scéime a ríomh:</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949"/>
        <w:gridCol w:w="2102"/>
        <w:gridCol w:w="2102"/>
      </w:tblGrid>
      <w:tr w:rsidR="009B7368" w:rsidRPr="004918E0" w:rsidTr="00790853">
        <w:trPr>
          <w:tblHeader/>
        </w:trPr>
        <w:tc>
          <w:tcPr>
            <w:tcW w:w="4132" w:type="dxa"/>
            <w:vAlign w:val="bottom"/>
          </w:tcPr>
          <w:p w:rsidR="009B7368" w:rsidRPr="004918E0" w:rsidRDefault="009B7368" w:rsidP="00790853">
            <w:pPr>
              <w:spacing w:after="0"/>
              <w:rPr>
                <w:rFonts w:cs="Arial"/>
                <w:b/>
                <w:bCs/>
                <w:lang w:val="ga-IE" w:eastAsia="en-GB"/>
              </w:rPr>
            </w:pPr>
          </w:p>
        </w:tc>
        <w:tc>
          <w:tcPr>
            <w:tcW w:w="2195" w:type="dxa"/>
            <w:vAlign w:val="bottom"/>
          </w:tcPr>
          <w:p w:rsidR="009B7368" w:rsidRPr="004918E0" w:rsidRDefault="009B7368" w:rsidP="00790853">
            <w:pPr>
              <w:pStyle w:val="TableHead"/>
              <w:jc w:val="right"/>
              <w:rPr>
                <w:lang w:val="ga-IE" w:eastAsia="en-GB"/>
              </w:rPr>
            </w:pPr>
            <w:r w:rsidRPr="004918E0">
              <w:rPr>
                <w:lang w:val="ga-IE" w:eastAsia="en-GB"/>
              </w:rPr>
              <w:t>2012</w:t>
            </w:r>
          </w:p>
        </w:tc>
        <w:tc>
          <w:tcPr>
            <w:tcW w:w="2195" w:type="dxa"/>
            <w:vAlign w:val="bottom"/>
          </w:tcPr>
          <w:p w:rsidR="009B7368" w:rsidRPr="004918E0" w:rsidRDefault="009B7368" w:rsidP="00790853">
            <w:pPr>
              <w:pStyle w:val="TableHead"/>
              <w:jc w:val="right"/>
              <w:rPr>
                <w:lang w:val="ga-IE" w:eastAsia="en-GB"/>
              </w:rPr>
            </w:pPr>
            <w:r w:rsidRPr="004918E0">
              <w:rPr>
                <w:lang w:val="ga-IE" w:eastAsia="en-GB"/>
              </w:rPr>
              <w:t>2011</w:t>
            </w:r>
          </w:p>
        </w:tc>
      </w:tr>
      <w:tr w:rsidR="009B7368" w:rsidRPr="004918E0" w:rsidTr="00790853">
        <w:tc>
          <w:tcPr>
            <w:tcW w:w="413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Ráta Lascaine</w:t>
            </w:r>
          </w:p>
        </w:tc>
        <w:tc>
          <w:tcPr>
            <w:tcW w:w="2195" w:type="dxa"/>
            <w:vAlign w:val="bottom"/>
          </w:tcPr>
          <w:p w:rsidR="009B7368" w:rsidRPr="004918E0" w:rsidRDefault="009B7368" w:rsidP="00790853">
            <w:pPr>
              <w:pStyle w:val="TableCell"/>
              <w:rPr>
                <w:sz w:val="24"/>
                <w:lang w:val="ga-IE" w:eastAsia="en-GB"/>
              </w:rPr>
            </w:pPr>
            <w:r w:rsidRPr="004918E0">
              <w:rPr>
                <w:sz w:val="24"/>
                <w:lang w:val="ga-IE" w:eastAsia="en-GB"/>
              </w:rPr>
              <w:t>5.5%</w:t>
            </w:r>
          </w:p>
        </w:tc>
        <w:tc>
          <w:tcPr>
            <w:tcW w:w="2195" w:type="dxa"/>
            <w:vAlign w:val="bottom"/>
          </w:tcPr>
          <w:p w:rsidR="009B7368" w:rsidRPr="004918E0" w:rsidRDefault="009B7368" w:rsidP="00790853">
            <w:pPr>
              <w:pStyle w:val="TableCell"/>
              <w:rPr>
                <w:sz w:val="24"/>
                <w:lang w:val="ga-IE" w:eastAsia="en-GB"/>
              </w:rPr>
            </w:pPr>
            <w:r w:rsidRPr="004918E0">
              <w:rPr>
                <w:sz w:val="24"/>
                <w:lang w:val="ga-IE" w:eastAsia="en-GB"/>
              </w:rPr>
              <w:t>5.5%</w:t>
            </w:r>
          </w:p>
        </w:tc>
      </w:tr>
      <w:tr w:rsidR="009B7368" w:rsidRPr="004918E0" w:rsidTr="00790853">
        <w:tc>
          <w:tcPr>
            <w:tcW w:w="413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Toimhde maidir le méadú ar thuarastail </w:t>
            </w:r>
          </w:p>
        </w:tc>
        <w:tc>
          <w:tcPr>
            <w:tcW w:w="2195" w:type="dxa"/>
            <w:vAlign w:val="bottom"/>
          </w:tcPr>
          <w:p w:rsidR="009B7368" w:rsidRPr="004918E0" w:rsidRDefault="009B7368" w:rsidP="00790853">
            <w:pPr>
              <w:pStyle w:val="TableCell"/>
              <w:rPr>
                <w:sz w:val="24"/>
                <w:lang w:val="ga-IE" w:eastAsia="en-GB"/>
              </w:rPr>
            </w:pPr>
            <w:r w:rsidRPr="004918E0">
              <w:rPr>
                <w:sz w:val="24"/>
                <w:lang w:val="ga-IE" w:eastAsia="en-GB"/>
              </w:rPr>
              <w:t>4%</w:t>
            </w:r>
          </w:p>
        </w:tc>
        <w:tc>
          <w:tcPr>
            <w:tcW w:w="2195" w:type="dxa"/>
            <w:vAlign w:val="bottom"/>
          </w:tcPr>
          <w:p w:rsidR="009B7368" w:rsidRPr="004918E0" w:rsidRDefault="009B7368" w:rsidP="00790853">
            <w:pPr>
              <w:pStyle w:val="TableCell"/>
              <w:rPr>
                <w:sz w:val="24"/>
                <w:lang w:val="ga-IE" w:eastAsia="en-GB"/>
              </w:rPr>
            </w:pPr>
            <w:r w:rsidRPr="004918E0">
              <w:rPr>
                <w:sz w:val="24"/>
                <w:lang w:val="ga-IE" w:eastAsia="en-GB"/>
              </w:rPr>
              <w:t>4%</w:t>
            </w:r>
          </w:p>
        </w:tc>
      </w:tr>
      <w:tr w:rsidR="009B7368" w:rsidRPr="004918E0" w:rsidTr="00790853">
        <w:tc>
          <w:tcPr>
            <w:tcW w:w="413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Toimhde maidir le méadú ar phinsin </w:t>
            </w:r>
          </w:p>
        </w:tc>
        <w:tc>
          <w:tcPr>
            <w:tcW w:w="2195" w:type="dxa"/>
            <w:vAlign w:val="bottom"/>
          </w:tcPr>
          <w:p w:rsidR="009B7368" w:rsidRPr="004918E0" w:rsidRDefault="009B7368" w:rsidP="00790853">
            <w:pPr>
              <w:pStyle w:val="TableCell"/>
              <w:rPr>
                <w:sz w:val="24"/>
                <w:lang w:val="ga-IE" w:eastAsia="en-GB"/>
              </w:rPr>
            </w:pPr>
            <w:r w:rsidRPr="004918E0">
              <w:rPr>
                <w:sz w:val="24"/>
                <w:lang w:val="ga-IE" w:eastAsia="en-GB"/>
              </w:rPr>
              <w:t>4%</w:t>
            </w:r>
          </w:p>
        </w:tc>
        <w:tc>
          <w:tcPr>
            <w:tcW w:w="2195" w:type="dxa"/>
            <w:vAlign w:val="bottom"/>
          </w:tcPr>
          <w:p w:rsidR="009B7368" w:rsidRPr="004918E0" w:rsidRDefault="009B7368" w:rsidP="00790853">
            <w:pPr>
              <w:pStyle w:val="TableCell"/>
              <w:rPr>
                <w:sz w:val="24"/>
                <w:lang w:val="ga-IE" w:eastAsia="en-GB"/>
              </w:rPr>
            </w:pPr>
            <w:r w:rsidRPr="004918E0">
              <w:rPr>
                <w:sz w:val="24"/>
                <w:lang w:val="ga-IE" w:eastAsia="en-GB"/>
              </w:rPr>
              <w:t>4%</w:t>
            </w:r>
          </w:p>
        </w:tc>
      </w:tr>
      <w:tr w:rsidR="009B7368" w:rsidRPr="004918E0" w:rsidTr="00790853">
        <w:tc>
          <w:tcPr>
            <w:tcW w:w="413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Boilsciú praghsanna</w:t>
            </w:r>
          </w:p>
        </w:tc>
        <w:tc>
          <w:tcPr>
            <w:tcW w:w="2195" w:type="dxa"/>
            <w:vAlign w:val="bottom"/>
          </w:tcPr>
          <w:p w:rsidR="009B7368" w:rsidRPr="004918E0" w:rsidRDefault="009B7368" w:rsidP="00790853">
            <w:pPr>
              <w:pStyle w:val="TableCell"/>
              <w:rPr>
                <w:sz w:val="24"/>
                <w:lang w:val="ga-IE" w:eastAsia="en-GB"/>
              </w:rPr>
            </w:pPr>
            <w:r w:rsidRPr="004918E0">
              <w:rPr>
                <w:sz w:val="24"/>
                <w:lang w:val="ga-IE" w:eastAsia="en-GB"/>
              </w:rPr>
              <w:t>2%</w:t>
            </w:r>
          </w:p>
        </w:tc>
        <w:tc>
          <w:tcPr>
            <w:tcW w:w="2195" w:type="dxa"/>
            <w:vAlign w:val="bottom"/>
          </w:tcPr>
          <w:p w:rsidR="009B7368" w:rsidRPr="004918E0" w:rsidRDefault="009B7368" w:rsidP="00790853">
            <w:pPr>
              <w:pStyle w:val="TableCell"/>
              <w:rPr>
                <w:sz w:val="24"/>
                <w:lang w:val="ga-IE" w:eastAsia="en-GB"/>
              </w:rPr>
            </w:pPr>
            <w:r w:rsidRPr="004918E0">
              <w:rPr>
                <w:sz w:val="24"/>
                <w:lang w:val="ga-IE" w:eastAsia="en-GB"/>
              </w:rPr>
              <w:t>2%</w:t>
            </w:r>
          </w:p>
        </w:tc>
      </w:tr>
    </w:tbl>
    <w:p w:rsidR="009B7368" w:rsidRPr="004918E0" w:rsidRDefault="009B7368" w:rsidP="009B7368">
      <w:pPr>
        <w:rPr>
          <w:lang w:val="ga-IE"/>
        </w:rPr>
      </w:pPr>
      <w:r w:rsidRPr="004918E0">
        <w:rPr>
          <w:lang w:val="ga-IE"/>
        </w:rPr>
        <w:br/>
      </w:r>
      <w:r w:rsidRPr="004918E0">
        <w:rPr>
          <w:lang w:val="ga-IE"/>
        </w:rPr>
        <w:br/>
        <w:t>Toisc go bhfuil na scéimeanna NDA neamhchistithe, ní choimeádtar aon sócmhainní i dtaobh dliteanas pinsean carntha de chuid bhaill foirne an NDA.</w:t>
      </w:r>
    </w:p>
    <w:p w:rsidR="009B7368" w:rsidRPr="004918E0" w:rsidRDefault="009B7368" w:rsidP="009B7368">
      <w:pPr>
        <w:rPr>
          <w:lang w:val="ga-IE"/>
        </w:rPr>
      </w:pPr>
    </w:p>
    <w:p w:rsidR="009B7368" w:rsidRPr="004918E0" w:rsidRDefault="009B7368" w:rsidP="009B7368">
      <w:pPr>
        <w:pStyle w:val="Heading4"/>
        <w:rPr>
          <w:lang w:val="ga-IE" w:eastAsia="en-GB"/>
        </w:rPr>
      </w:pPr>
      <w:r w:rsidRPr="004918E0">
        <w:rPr>
          <w:lang w:val="ga-IE" w:eastAsia="en-GB"/>
        </w:rPr>
        <w:t>(b) Glanchistiú Iarchurtha le haghaidh Pinsean i gCaitheamh na Bliana</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5868"/>
        <w:gridCol w:w="1494"/>
        <w:gridCol w:w="1494"/>
      </w:tblGrid>
      <w:tr w:rsidR="009B7368" w:rsidRPr="004918E0" w:rsidTr="00790853">
        <w:trPr>
          <w:tblHeader/>
        </w:trPr>
        <w:tc>
          <w:tcPr>
            <w:tcW w:w="5868" w:type="dxa"/>
          </w:tcPr>
          <w:p w:rsidR="009B7368" w:rsidRPr="004918E0" w:rsidRDefault="009B7368" w:rsidP="00790853">
            <w:pPr>
              <w:pStyle w:val="TableHead"/>
              <w:keepLines/>
              <w:jc w:val="right"/>
              <w:rPr>
                <w:lang w:val="ga-IE" w:eastAsia="en-GB"/>
              </w:rPr>
            </w:pPr>
          </w:p>
        </w:tc>
        <w:tc>
          <w:tcPr>
            <w:tcW w:w="1494" w:type="dxa"/>
          </w:tcPr>
          <w:p w:rsidR="009B7368" w:rsidRPr="004918E0" w:rsidRDefault="009B7368" w:rsidP="00790853">
            <w:pPr>
              <w:pStyle w:val="TableHead"/>
              <w:keepLines/>
              <w:jc w:val="right"/>
              <w:rPr>
                <w:sz w:val="24"/>
                <w:lang w:val="ga-IE"/>
              </w:rPr>
            </w:pPr>
            <w:r w:rsidRPr="004918E0">
              <w:rPr>
                <w:sz w:val="24"/>
                <w:lang w:val="ga-IE"/>
              </w:rPr>
              <w:t>2012</w:t>
            </w:r>
          </w:p>
        </w:tc>
        <w:tc>
          <w:tcPr>
            <w:tcW w:w="1494" w:type="dxa"/>
          </w:tcPr>
          <w:p w:rsidR="009B7368" w:rsidRPr="004918E0" w:rsidRDefault="009B7368" w:rsidP="00790853">
            <w:pPr>
              <w:pStyle w:val="TableHead"/>
              <w:keepLines/>
              <w:jc w:val="right"/>
              <w:rPr>
                <w:sz w:val="24"/>
                <w:lang w:val="ga-IE"/>
              </w:rPr>
            </w:pPr>
            <w:r w:rsidRPr="004918E0">
              <w:rPr>
                <w:sz w:val="24"/>
                <w:lang w:val="ga-IE"/>
              </w:rPr>
              <w:t>2011</w:t>
            </w:r>
          </w:p>
        </w:tc>
      </w:tr>
      <w:tr w:rsidR="009B7368" w:rsidRPr="004918E0" w:rsidTr="00790853">
        <w:tc>
          <w:tcPr>
            <w:tcW w:w="5868" w:type="dxa"/>
          </w:tcPr>
          <w:p w:rsidR="009B7368" w:rsidRPr="004918E0" w:rsidRDefault="009B7368" w:rsidP="00790853">
            <w:pPr>
              <w:pStyle w:val="TableRowHead"/>
              <w:keepNext w:val="0"/>
              <w:keepLines/>
              <w:rPr>
                <w:lang w:val="ga-IE" w:eastAsia="en-GB"/>
              </w:rPr>
            </w:pPr>
          </w:p>
        </w:tc>
        <w:tc>
          <w:tcPr>
            <w:tcW w:w="1494" w:type="dxa"/>
            <w:vAlign w:val="bottom"/>
          </w:tcPr>
          <w:p w:rsidR="009B7368" w:rsidRPr="004918E0" w:rsidRDefault="009B7368" w:rsidP="00790853">
            <w:pPr>
              <w:keepLines/>
              <w:spacing w:after="0"/>
              <w:jc w:val="right"/>
              <w:rPr>
                <w:rFonts w:cs="Arial"/>
                <w:bCs/>
                <w:sz w:val="22"/>
                <w:szCs w:val="22"/>
                <w:lang w:val="ga-IE" w:eastAsia="en-GB"/>
              </w:rPr>
            </w:pPr>
            <w:r w:rsidRPr="004918E0">
              <w:rPr>
                <w:rFonts w:cs="Arial"/>
                <w:bCs/>
                <w:sz w:val="22"/>
                <w:szCs w:val="22"/>
                <w:lang w:val="ga-IE" w:eastAsia="en-GB"/>
              </w:rPr>
              <w:t>€</w:t>
            </w:r>
          </w:p>
        </w:tc>
        <w:tc>
          <w:tcPr>
            <w:tcW w:w="1494" w:type="dxa"/>
            <w:vAlign w:val="bottom"/>
          </w:tcPr>
          <w:p w:rsidR="009B7368" w:rsidRPr="004918E0" w:rsidRDefault="009B7368" w:rsidP="00790853">
            <w:pPr>
              <w:keepLines/>
              <w:spacing w:after="0"/>
              <w:jc w:val="right"/>
              <w:rPr>
                <w:rFonts w:cs="Arial"/>
                <w:bCs/>
                <w:sz w:val="22"/>
                <w:szCs w:val="22"/>
                <w:lang w:val="ga-IE" w:eastAsia="en-GB"/>
              </w:rPr>
            </w:pPr>
            <w:r w:rsidRPr="004918E0">
              <w:rPr>
                <w:rFonts w:cs="Arial"/>
                <w:bCs/>
                <w:sz w:val="22"/>
                <w:szCs w:val="22"/>
                <w:lang w:val="ga-IE" w:eastAsia="en-GB"/>
              </w:rPr>
              <w:t>€</w:t>
            </w:r>
          </w:p>
        </w:tc>
      </w:tr>
      <w:tr w:rsidR="009B7368" w:rsidRPr="004918E0" w:rsidTr="00790853">
        <w:tc>
          <w:tcPr>
            <w:tcW w:w="5868" w:type="dxa"/>
            <w:vAlign w:val="bottom"/>
          </w:tcPr>
          <w:p w:rsidR="009B7368" w:rsidRPr="004918E0" w:rsidRDefault="009B7368" w:rsidP="00790853">
            <w:pPr>
              <w:pStyle w:val="TableRowHead"/>
              <w:keepNext w:val="0"/>
              <w:keepLines/>
              <w:rPr>
                <w:sz w:val="22"/>
                <w:szCs w:val="22"/>
                <w:lang w:val="ga-IE" w:eastAsia="en-GB"/>
              </w:rPr>
            </w:pPr>
            <w:r w:rsidRPr="004918E0">
              <w:rPr>
                <w:sz w:val="22"/>
                <w:szCs w:val="22"/>
                <w:lang w:val="ga-IE" w:eastAsia="en-GB"/>
              </w:rPr>
              <w:t xml:space="preserve">Cistiú inaisghabhála i dtaobh chostais phinsin na bliana reatha </w:t>
            </w:r>
          </w:p>
        </w:tc>
        <w:tc>
          <w:tcPr>
            <w:tcW w:w="1494" w:type="dxa"/>
            <w:vAlign w:val="bottom"/>
          </w:tcPr>
          <w:p w:rsidR="009B7368" w:rsidRPr="004918E0" w:rsidRDefault="009B7368" w:rsidP="00790853">
            <w:pPr>
              <w:pStyle w:val="TableCell"/>
              <w:rPr>
                <w:sz w:val="24"/>
                <w:lang w:val="ga-IE" w:eastAsia="en-GB"/>
              </w:rPr>
            </w:pPr>
            <w:r w:rsidRPr="004918E0">
              <w:rPr>
                <w:sz w:val="24"/>
                <w:lang w:val="ga-IE" w:eastAsia="en-GB"/>
              </w:rPr>
              <w:t xml:space="preserve">1,370,000 </w:t>
            </w:r>
          </w:p>
        </w:tc>
        <w:tc>
          <w:tcPr>
            <w:tcW w:w="1494" w:type="dxa"/>
            <w:vAlign w:val="bottom"/>
          </w:tcPr>
          <w:p w:rsidR="009B7368" w:rsidRPr="004918E0" w:rsidRDefault="009B7368" w:rsidP="00790853">
            <w:pPr>
              <w:pStyle w:val="TableCell"/>
              <w:rPr>
                <w:sz w:val="24"/>
                <w:lang w:val="ga-IE" w:eastAsia="en-GB"/>
              </w:rPr>
            </w:pPr>
            <w:r w:rsidRPr="004918E0">
              <w:rPr>
                <w:sz w:val="24"/>
                <w:lang w:val="ga-IE" w:eastAsia="en-GB"/>
              </w:rPr>
              <w:t xml:space="preserve">1,440,000 </w:t>
            </w:r>
          </w:p>
        </w:tc>
      </w:tr>
      <w:tr w:rsidR="009B7368" w:rsidRPr="004918E0" w:rsidTr="00790853">
        <w:tc>
          <w:tcPr>
            <w:tcW w:w="5868" w:type="dxa"/>
            <w:vAlign w:val="bottom"/>
          </w:tcPr>
          <w:p w:rsidR="009B7368" w:rsidRPr="004918E0" w:rsidRDefault="009B7368" w:rsidP="00790853">
            <w:pPr>
              <w:pStyle w:val="TableRowHead"/>
              <w:keepNext w:val="0"/>
              <w:keepLines/>
              <w:rPr>
                <w:sz w:val="22"/>
                <w:szCs w:val="22"/>
                <w:lang w:val="ga-IE" w:eastAsia="en-GB"/>
              </w:rPr>
            </w:pPr>
            <w:r w:rsidRPr="004918E0">
              <w:rPr>
                <w:sz w:val="22"/>
                <w:szCs w:val="22"/>
                <w:lang w:val="ga-IE" w:eastAsia="en-GB"/>
              </w:rPr>
              <w:t>Deontais Stáit curtha i bhfeidhm chun pinsinéirí a íoc</w:t>
            </w:r>
          </w:p>
        </w:tc>
        <w:tc>
          <w:tcPr>
            <w:tcW w:w="1494" w:type="dxa"/>
            <w:vAlign w:val="bottom"/>
          </w:tcPr>
          <w:p w:rsidR="009B7368" w:rsidRPr="004918E0" w:rsidRDefault="009B7368" w:rsidP="00790853">
            <w:pPr>
              <w:pStyle w:val="TableCell"/>
              <w:rPr>
                <w:sz w:val="24"/>
                <w:lang w:val="ga-IE" w:eastAsia="en-GB"/>
              </w:rPr>
            </w:pPr>
            <w:r w:rsidRPr="004918E0">
              <w:rPr>
                <w:sz w:val="24"/>
                <w:lang w:val="ga-IE" w:eastAsia="en-GB"/>
              </w:rPr>
              <w:t>(540,000)</w:t>
            </w:r>
          </w:p>
        </w:tc>
        <w:tc>
          <w:tcPr>
            <w:tcW w:w="1494" w:type="dxa"/>
            <w:vAlign w:val="bottom"/>
          </w:tcPr>
          <w:p w:rsidR="009B7368" w:rsidRPr="004918E0" w:rsidRDefault="009B7368" w:rsidP="00790853">
            <w:pPr>
              <w:pStyle w:val="TableCell"/>
              <w:rPr>
                <w:sz w:val="24"/>
                <w:lang w:val="ga-IE" w:eastAsia="en-GB"/>
              </w:rPr>
            </w:pPr>
            <w:r w:rsidRPr="004918E0">
              <w:rPr>
                <w:sz w:val="24"/>
                <w:lang w:val="ga-IE" w:eastAsia="en-GB"/>
              </w:rPr>
              <w:t>(580,000)</w:t>
            </w:r>
          </w:p>
        </w:tc>
      </w:tr>
      <w:tr w:rsidR="009B7368" w:rsidRPr="004918E0" w:rsidTr="00790853">
        <w:tc>
          <w:tcPr>
            <w:tcW w:w="5868" w:type="dxa"/>
          </w:tcPr>
          <w:p w:rsidR="009B7368" w:rsidRPr="004918E0" w:rsidRDefault="009B7368" w:rsidP="00790853">
            <w:pPr>
              <w:pStyle w:val="TableRowHead"/>
              <w:keepNext w:val="0"/>
              <w:keepLines/>
              <w:rPr>
                <w:lang w:val="ga-IE" w:eastAsia="en-GB"/>
              </w:rPr>
            </w:pPr>
          </w:p>
        </w:tc>
        <w:tc>
          <w:tcPr>
            <w:tcW w:w="1494" w:type="dxa"/>
            <w:vAlign w:val="bottom"/>
          </w:tcPr>
          <w:p w:rsidR="009B7368" w:rsidRPr="004918E0" w:rsidRDefault="009B7368" w:rsidP="00790853">
            <w:pPr>
              <w:pStyle w:val="TableCell"/>
              <w:rPr>
                <w:sz w:val="24"/>
                <w:lang w:val="ga-IE" w:eastAsia="en-GB"/>
              </w:rPr>
            </w:pPr>
            <w:r w:rsidRPr="004918E0">
              <w:rPr>
                <w:sz w:val="24"/>
                <w:lang w:val="ga-IE" w:eastAsia="en-GB"/>
              </w:rPr>
              <w:t xml:space="preserve">830,000 </w:t>
            </w:r>
          </w:p>
        </w:tc>
        <w:tc>
          <w:tcPr>
            <w:tcW w:w="1494" w:type="dxa"/>
            <w:vAlign w:val="bottom"/>
          </w:tcPr>
          <w:p w:rsidR="009B7368" w:rsidRPr="004918E0" w:rsidRDefault="009B7368" w:rsidP="00790853">
            <w:pPr>
              <w:pStyle w:val="TableCell"/>
              <w:rPr>
                <w:sz w:val="24"/>
                <w:lang w:val="ga-IE" w:eastAsia="en-GB"/>
              </w:rPr>
            </w:pPr>
            <w:r w:rsidRPr="004918E0">
              <w:rPr>
                <w:sz w:val="24"/>
                <w:lang w:val="ga-IE" w:eastAsia="en-GB"/>
              </w:rPr>
              <w:t xml:space="preserve">860,000 </w:t>
            </w:r>
          </w:p>
        </w:tc>
      </w:tr>
    </w:tbl>
    <w:p w:rsidR="009B7368" w:rsidRPr="004918E0" w:rsidRDefault="009B7368" w:rsidP="009B7368">
      <w:pPr>
        <w:rPr>
          <w:lang w:val="ga-IE" w:eastAsia="en-GB"/>
        </w:rPr>
      </w:pPr>
      <w:r w:rsidRPr="004918E0">
        <w:rPr>
          <w:lang w:val="ga-IE" w:eastAsia="en-GB"/>
        </w:rPr>
        <w:br/>
      </w:r>
    </w:p>
    <w:p w:rsidR="009B7368" w:rsidRPr="004918E0" w:rsidRDefault="009B7368" w:rsidP="009B7368">
      <w:pPr>
        <w:pStyle w:val="Heading4"/>
        <w:rPr>
          <w:lang w:val="ga-IE"/>
        </w:rPr>
      </w:pPr>
      <w:r w:rsidRPr="004918E0">
        <w:rPr>
          <w:lang w:val="ga-IE" w:eastAsia="en-GB"/>
        </w:rPr>
        <w:t>(c) Anailís ar an méid muirearaithe ar bhrabús oibriúcháin faoi FRS 17</w:t>
      </w:r>
    </w:p>
    <w:tbl>
      <w:tblPr>
        <w:tblW w:w="88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968"/>
        <w:gridCol w:w="1944"/>
        <w:gridCol w:w="1944"/>
      </w:tblGrid>
      <w:tr w:rsidR="009B7368" w:rsidRPr="004918E0" w:rsidTr="00790853">
        <w:tc>
          <w:tcPr>
            <w:tcW w:w="4968" w:type="dxa"/>
          </w:tcPr>
          <w:p w:rsidR="009B7368" w:rsidRPr="004918E0" w:rsidRDefault="009B7368" w:rsidP="00790853">
            <w:pPr>
              <w:pStyle w:val="TableRowHead"/>
              <w:rPr>
                <w:sz w:val="22"/>
                <w:szCs w:val="22"/>
                <w:lang w:val="ga-IE" w:eastAsia="en-GB"/>
              </w:rPr>
            </w:pPr>
          </w:p>
        </w:tc>
        <w:tc>
          <w:tcPr>
            <w:tcW w:w="1944" w:type="dxa"/>
          </w:tcPr>
          <w:p w:rsidR="009B7368" w:rsidRPr="004918E0" w:rsidRDefault="009B7368" w:rsidP="00790853">
            <w:pPr>
              <w:pStyle w:val="TableHead"/>
              <w:keepLines/>
              <w:jc w:val="right"/>
              <w:rPr>
                <w:sz w:val="24"/>
                <w:lang w:val="ga-IE"/>
              </w:rPr>
            </w:pPr>
            <w:r w:rsidRPr="004918E0">
              <w:rPr>
                <w:sz w:val="24"/>
                <w:lang w:val="ga-IE"/>
              </w:rPr>
              <w:t>2012</w:t>
            </w:r>
          </w:p>
        </w:tc>
        <w:tc>
          <w:tcPr>
            <w:tcW w:w="1944" w:type="dxa"/>
          </w:tcPr>
          <w:p w:rsidR="009B7368" w:rsidRPr="004918E0" w:rsidRDefault="009B7368" w:rsidP="00790853">
            <w:pPr>
              <w:pStyle w:val="TableHead"/>
              <w:keepLines/>
              <w:jc w:val="right"/>
              <w:rPr>
                <w:sz w:val="24"/>
                <w:lang w:val="ga-IE"/>
              </w:rPr>
            </w:pPr>
            <w:r w:rsidRPr="004918E0">
              <w:rPr>
                <w:sz w:val="24"/>
                <w:lang w:val="ga-IE"/>
              </w:rPr>
              <w:t>2011</w:t>
            </w:r>
          </w:p>
        </w:tc>
      </w:tr>
      <w:tr w:rsidR="009B7368" w:rsidRPr="004918E0" w:rsidTr="00790853">
        <w:tc>
          <w:tcPr>
            <w:tcW w:w="4968" w:type="dxa"/>
          </w:tcPr>
          <w:p w:rsidR="009B7368" w:rsidRPr="004918E0" w:rsidRDefault="009B7368" w:rsidP="00790853">
            <w:pPr>
              <w:pStyle w:val="TableRowHead"/>
              <w:rPr>
                <w:sz w:val="22"/>
                <w:szCs w:val="22"/>
                <w:lang w:val="ga-IE" w:eastAsia="en-GB"/>
              </w:rPr>
            </w:pPr>
          </w:p>
        </w:tc>
        <w:tc>
          <w:tcPr>
            <w:tcW w:w="1944" w:type="dxa"/>
            <w:vAlign w:val="bottom"/>
          </w:tcPr>
          <w:p w:rsidR="009B7368" w:rsidRPr="004918E0" w:rsidRDefault="009B7368" w:rsidP="00790853">
            <w:pPr>
              <w:spacing w:after="0"/>
              <w:jc w:val="right"/>
              <w:rPr>
                <w:rFonts w:cs="Arial"/>
                <w:bCs/>
                <w:sz w:val="22"/>
                <w:szCs w:val="22"/>
                <w:lang w:val="ga-IE" w:eastAsia="en-GB"/>
              </w:rPr>
            </w:pPr>
            <w:r w:rsidRPr="004918E0">
              <w:rPr>
                <w:rFonts w:cs="Arial"/>
                <w:bCs/>
                <w:sz w:val="22"/>
                <w:szCs w:val="22"/>
                <w:lang w:val="ga-IE" w:eastAsia="en-GB"/>
              </w:rPr>
              <w:t>€</w:t>
            </w:r>
          </w:p>
        </w:tc>
        <w:tc>
          <w:tcPr>
            <w:tcW w:w="1944" w:type="dxa"/>
            <w:vAlign w:val="bottom"/>
          </w:tcPr>
          <w:p w:rsidR="009B7368" w:rsidRPr="004918E0" w:rsidRDefault="009B7368" w:rsidP="00790853">
            <w:pPr>
              <w:spacing w:after="0"/>
              <w:jc w:val="right"/>
              <w:rPr>
                <w:rFonts w:cs="Arial"/>
                <w:bCs/>
                <w:sz w:val="22"/>
                <w:szCs w:val="22"/>
                <w:lang w:val="ga-IE" w:eastAsia="en-GB"/>
              </w:rPr>
            </w:pPr>
            <w:r w:rsidRPr="004918E0">
              <w:rPr>
                <w:rFonts w:cs="Arial"/>
                <w:bCs/>
                <w:sz w:val="22"/>
                <w:szCs w:val="22"/>
                <w:lang w:val="ga-IE" w:eastAsia="en-GB"/>
              </w:rPr>
              <w:t>€</w:t>
            </w:r>
          </w:p>
        </w:tc>
      </w:tr>
      <w:tr w:rsidR="009B7368" w:rsidRPr="004918E0" w:rsidTr="00790853">
        <w:tc>
          <w:tcPr>
            <w:tcW w:w="4968" w:type="dxa"/>
            <w:vAlign w:val="bottom"/>
          </w:tcPr>
          <w:p w:rsidR="009B7368" w:rsidRPr="004918E0" w:rsidRDefault="009B7368" w:rsidP="00790853">
            <w:pPr>
              <w:pStyle w:val="TableRowHead"/>
              <w:rPr>
                <w:sz w:val="22"/>
                <w:szCs w:val="22"/>
                <w:lang w:val="ga-IE" w:eastAsia="en-GB"/>
              </w:rPr>
            </w:pPr>
            <w:r w:rsidRPr="004918E0">
              <w:rPr>
                <w:sz w:val="22"/>
                <w:szCs w:val="22"/>
                <w:lang w:val="ga-IE" w:eastAsia="en-GB"/>
              </w:rPr>
              <w:t>Costas seirbhíse reatha</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 xml:space="preserve">450,000 </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 xml:space="preserve">500,000 </w:t>
            </w:r>
          </w:p>
        </w:tc>
      </w:tr>
      <w:tr w:rsidR="009B7368" w:rsidRPr="004918E0" w:rsidTr="00790853">
        <w:tc>
          <w:tcPr>
            <w:tcW w:w="4968" w:type="dxa"/>
            <w:vAlign w:val="bottom"/>
          </w:tcPr>
          <w:p w:rsidR="009B7368" w:rsidRPr="004918E0" w:rsidRDefault="009B7368" w:rsidP="00790853">
            <w:pPr>
              <w:pStyle w:val="TableRowHead"/>
              <w:rPr>
                <w:sz w:val="22"/>
                <w:szCs w:val="22"/>
                <w:lang w:val="ga-IE" w:eastAsia="en-GB"/>
              </w:rPr>
            </w:pPr>
            <w:r w:rsidRPr="004918E0">
              <w:rPr>
                <w:sz w:val="22"/>
                <w:szCs w:val="22"/>
                <w:lang w:val="ga-IE" w:eastAsia="en-GB"/>
              </w:rPr>
              <w:t xml:space="preserve">Méadú ar dhliteanais scéime pinsin </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 xml:space="preserve">920,000 </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 xml:space="preserve">940,000 </w:t>
            </w:r>
          </w:p>
        </w:tc>
      </w:tr>
      <w:tr w:rsidR="009B7368" w:rsidRPr="004918E0" w:rsidTr="00790853">
        <w:tc>
          <w:tcPr>
            <w:tcW w:w="4968" w:type="dxa"/>
            <w:vAlign w:val="bottom"/>
          </w:tcPr>
          <w:p w:rsidR="009B7368" w:rsidRPr="004918E0" w:rsidRDefault="009B7368" w:rsidP="00790853">
            <w:pPr>
              <w:pStyle w:val="TableRowHead"/>
              <w:rPr>
                <w:sz w:val="22"/>
                <w:szCs w:val="22"/>
                <w:lang w:val="ga-IE" w:eastAsia="en-GB"/>
              </w:rPr>
            </w:pPr>
            <w:r w:rsidRPr="004918E0">
              <w:rPr>
                <w:sz w:val="22"/>
                <w:szCs w:val="22"/>
                <w:lang w:val="ga-IE" w:eastAsia="en-GB"/>
              </w:rPr>
              <w:t>Ranníocaíocht fostaí</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(114,123)</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(127,998)</w:t>
            </w:r>
          </w:p>
        </w:tc>
      </w:tr>
      <w:tr w:rsidR="009B7368" w:rsidRPr="004918E0" w:rsidTr="00790853">
        <w:tc>
          <w:tcPr>
            <w:tcW w:w="4968" w:type="dxa"/>
            <w:vAlign w:val="bottom"/>
          </w:tcPr>
          <w:p w:rsidR="009B7368" w:rsidRPr="004918E0" w:rsidRDefault="009B7368" w:rsidP="00790853">
            <w:pPr>
              <w:pStyle w:val="TableRowHead"/>
              <w:rPr>
                <w:sz w:val="22"/>
                <w:szCs w:val="22"/>
                <w:lang w:val="ga-IE" w:eastAsia="en-GB"/>
              </w:rPr>
            </w:pPr>
            <w:r w:rsidRPr="004918E0">
              <w:rPr>
                <w:sz w:val="22"/>
                <w:szCs w:val="22"/>
                <w:lang w:val="ga-IE" w:eastAsia="en-GB"/>
              </w:rPr>
              <w:t xml:space="preserve">Costas iarsheirbhíse </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 xml:space="preserve">-    </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 xml:space="preserve">-     </w:t>
            </w:r>
          </w:p>
        </w:tc>
      </w:tr>
      <w:tr w:rsidR="009B7368" w:rsidRPr="004918E0" w:rsidTr="00790853">
        <w:tc>
          <w:tcPr>
            <w:tcW w:w="4968" w:type="dxa"/>
            <w:vAlign w:val="bottom"/>
          </w:tcPr>
          <w:p w:rsidR="009B7368" w:rsidRPr="004918E0" w:rsidRDefault="009B7368" w:rsidP="00790853">
            <w:pPr>
              <w:pStyle w:val="TableRowHead"/>
              <w:rPr>
                <w:sz w:val="22"/>
                <w:szCs w:val="22"/>
                <w:lang w:val="ga-IE" w:eastAsia="en-GB"/>
              </w:rPr>
            </w:pPr>
            <w:r w:rsidRPr="004918E0">
              <w:rPr>
                <w:sz w:val="22"/>
                <w:szCs w:val="22"/>
                <w:lang w:val="ga-IE" w:eastAsia="en-GB"/>
              </w:rPr>
              <w:t>Muirear oibriúcháin iomlán</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 xml:space="preserve">1,255,877 </w:t>
            </w:r>
          </w:p>
        </w:tc>
        <w:tc>
          <w:tcPr>
            <w:tcW w:w="1944" w:type="dxa"/>
            <w:vAlign w:val="bottom"/>
          </w:tcPr>
          <w:p w:rsidR="009B7368" w:rsidRPr="004918E0" w:rsidRDefault="009B7368" w:rsidP="00790853">
            <w:pPr>
              <w:pStyle w:val="TableCell"/>
              <w:rPr>
                <w:sz w:val="24"/>
                <w:lang w:val="ga-IE" w:eastAsia="en-GB"/>
              </w:rPr>
            </w:pPr>
            <w:r w:rsidRPr="004918E0">
              <w:rPr>
                <w:sz w:val="24"/>
                <w:lang w:val="ga-IE" w:eastAsia="en-GB"/>
              </w:rPr>
              <w:t xml:space="preserve">1,312,002 </w:t>
            </w:r>
          </w:p>
        </w:tc>
      </w:tr>
    </w:tbl>
    <w:p w:rsidR="009B7368" w:rsidRPr="004918E0" w:rsidRDefault="009B7368" w:rsidP="009B7368">
      <w:pPr>
        <w:pStyle w:val="Heading4"/>
        <w:rPr>
          <w:lang w:val="ga-IE" w:eastAsia="en-GB"/>
        </w:rPr>
      </w:pPr>
      <w:r w:rsidRPr="004918E0">
        <w:rPr>
          <w:lang w:val="ga-IE" w:eastAsia="en-GB"/>
        </w:rPr>
        <w:br/>
        <w:t xml:space="preserve">(d) Sócmhainn Cistithe Iarchurtha le haghaidh Pinsean </w:t>
      </w:r>
    </w:p>
    <w:p w:rsidR="009B7368" w:rsidRPr="004918E0" w:rsidRDefault="009B7368" w:rsidP="009B7368">
      <w:pPr>
        <w:rPr>
          <w:lang w:val="ga-IE" w:eastAsia="en-GB"/>
        </w:rPr>
      </w:pPr>
      <w:r w:rsidRPr="004918E0">
        <w:rPr>
          <w:lang w:val="ga-IE" w:eastAsia="en-GB"/>
        </w:rPr>
        <w:t xml:space="preserve">Aithníonn an tÚdarás Náisiúnta Míchumais na méideanna mar shócmhainn a chomhfhreagraíonn don dliteanas iarchurtha neamhchistithe le haghaidh pinsean ar bhunús na sraithe de thoimhdí a bhfuil cuntas tugtha uirthi thuas agus ar roinnt imeachtaí san am atá thart. Áirítear leis na himeachtaí sin an bunús reachtúil um bunú an scéim aoisliúntas, agus an cleachtas agus an beartas atá i bhfeidhm faoi láthair maidir le pinsin seirbhíse poiblí a chistiú lena n-áirítear ranníocaíochtaí ag fostaithe agus an próiseas bliantúil meastachán.  Cé nach bhfuil aon chomhaontú foirmiúil i bhfeidhm maidir leis na méideanna sonracha sin leis an Roinn Dlí agus Cirt, Comhionannais &amp; Athchóirithe Dlí, níl aon fhianaise ag an Údarás Náisiúnta Míchumais a thabharfadh nach fios nach leanfaidh an beartas cistithe sin ar aghaidh ag clúdach na suimeanna sin de réir an chleachtais reatha. Ba é méid an sócmhainn cistithe iarchurtha le haghaidh pinsean ar an 31 Nollaig 2012 ná €16.5 milliún (2011: €16.7 milliún). </w:t>
      </w:r>
    </w:p>
    <w:p w:rsidR="009B7368" w:rsidRPr="004918E0" w:rsidRDefault="009B7368" w:rsidP="009B7368">
      <w:pPr>
        <w:rPr>
          <w:lang w:val="ga-IE" w:eastAsia="en-GB"/>
        </w:rPr>
      </w:pPr>
    </w:p>
    <w:p w:rsidR="009B7368" w:rsidRPr="004918E0" w:rsidRDefault="009B7368" w:rsidP="009B7368">
      <w:pPr>
        <w:rPr>
          <w:lang w:val="ga-IE" w:eastAsia="en-GB"/>
        </w:rPr>
      </w:pPr>
    </w:p>
    <w:p w:rsidR="009B7368" w:rsidRPr="004918E0" w:rsidRDefault="009B7368" w:rsidP="009B7368">
      <w:pPr>
        <w:rPr>
          <w:lang w:val="ga-IE" w:eastAsia="en-GB"/>
        </w:rPr>
      </w:pPr>
    </w:p>
    <w:p w:rsidR="009B7368" w:rsidRPr="004918E0" w:rsidRDefault="009B7368" w:rsidP="009B7368">
      <w:pPr>
        <w:pStyle w:val="Heading4"/>
        <w:rPr>
          <w:lang w:val="ga-IE"/>
        </w:rPr>
      </w:pPr>
      <w:r w:rsidRPr="004918E0">
        <w:rPr>
          <w:lang w:val="ga-IE" w:eastAsia="en-GB"/>
        </w:rPr>
        <w:t>(e) Gluaiseacht ar easnamh le linn na bliana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3573"/>
        <w:gridCol w:w="2290"/>
        <w:gridCol w:w="2290"/>
      </w:tblGrid>
      <w:tr w:rsidR="009B7368" w:rsidRPr="004918E0" w:rsidTr="00790853">
        <w:trPr>
          <w:tblHeader/>
        </w:trPr>
        <w:tc>
          <w:tcPr>
            <w:tcW w:w="3738" w:type="dxa"/>
          </w:tcPr>
          <w:p w:rsidR="009B7368" w:rsidRPr="004918E0" w:rsidRDefault="009B7368" w:rsidP="00790853">
            <w:pPr>
              <w:pStyle w:val="TableHead"/>
              <w:widowControl w:val="0"/>
              <w:jc w:val="right"/>
              <w:rPr>
                <w:lang w:val="ga-IE"/>
              </w:rPr>
            </w:pPr>
          </w:p>
        </w:tc>
        <w:tc>
          <w:tcPr>
            <w:tcW w:w="2392" w:type="dxa"/>
            <w:vAlign w:val="bottom"/>
          </w:tcPr>
          <w:p w:rsidR="009B7368" w:rsidRPr="004918E0" w:rsidRDefault="009B7368" w:rsidP="00790853">
            <w:pPr>
              <w:spacing w:after="0"/>
              <w:jc w:val="right"/>
              <w:rPr>
                <w:rFonts w:cs="Arial"/>
                <w:b/>
                <w:bCs/>
                <w:lang w:val="ga-IE" w:eastAsia="en-GB"/>
              </w:rPr>
            </w:pPr>
            <w:r w:rsidRPr="004918E0">
              <w:rPr>
                <w:rFonts w:cs="Arial"/>
                <w:b/>
                <w:bCs/>
                <w:lang w:val="ga-IE" w:eastAsia="en-GB"/>
              </w:rPr>
              <w:t>2012</w:t>
            </w:r>
          </w:p>
        </w:tc>
        <w:tc>
          <w:tcPr>
            <w:tcW w:w="2392" w:type="dxa"/>
            <w:vAlign w:val="bottom"/>
          </w:tcPr>
          <w:p w:rsidR="009B7368" w:rsidRPr="004918E0" w:rsidRDefault="009B7368" w:rsidP="00790853">
            <w:pPr>
              <w:spacing w:after="0"/>
              <w:jc w:val="right"/>
              <w:rPr>
                <w:rFonts w:cs="Arial"/>
                <w:b/>
                <w:bCs/>
                <w:lang w:val="ga-IE" w:eastAsia="en-GB"/>
              </w:rPr>
            </w:pPr>
            <w:r w:rsidRPr="004918E0">
              <w:rPr>
                <w:rFonts w:cs="Arial"/>
                <w:b/>
                <w:bCs/>
                <w:lang w:val="ga-IE" w:eastAsia="en-GB"/>
              </w:rPr>
              <w:t>2011</w:t>
            </w:r>
          </w:p>
        </w:tc>
      </w:tr>
      <w:tr w:rsidR="009B7368" w:rsidRPr="004918E0" w:rsidTr="00790853">
        <w:tc>
          <w:tcPr>
            <w:tcW w:w="3738" w:type="dxa"/>
          </w:tcPr>
          <w:p w:rsidR="009B7368" w:rsidRPr="004918E0" w:rsidRDefault="009B7368" w:rsidP="00790853">
            <w:pPr>
              <w:pStyle w:val="TableRowHead"/>
              <w:keepNext w:val="0"/>
              <w:widowControl w:val="0"/>
              <w:rPr>
                <w:rFonts w:ascii="Gill Sans" w:hAnsi="Gill Sans"/>
                <w:lang w:val="ga-IE"/>
              </w:rPr>
            </w:pPr>
          </w:p>
        </w:tc>
        <w:tc>
          <w:tcPr>
            <w:tcW w:w="2392"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c>
          <w:tcPr>
            <w:tcW w:w="2392"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p>
        </w:tc>
      </w:tr>
      <w:tr w:rsidR="009B7368" w:rsidRPr="004918E0" w:rsidTr="00790853">
        <w:tc>
          <w:tcPr>
            <w:tcW w:w="3738" w:type="dxa"/>
            <w:vAlign w:val="bottom"/>
          </w:tcPr>
          <w:p w:rsidR="009B7368" w:rsidRPr="004918E0" w:rsidRDefault="009B7368" w:rsidP="00790853">
            <w:pPr>
              <w:pStyle w:val="TableRowHead"/>
              <w:keepNext w:val="0"/>
              <w:widowControl w:val="0"/>
              <w:rPr>
                <w:rFonts w:ascii="Gill Sans" w:hAnsi="Gill Sans"/>
                <w:sz w:val="24"/>
                <w:lang w:val="ga-IE" w:eastAsia="en-GB"/>
              </w:rPr>
            </w:pPr>
            <w:r w:rsidRPr="004918E0">
              <w:rPr>
                <w:rFonts w:ascii="Gill Sans" w:hAnsi="Gill Sans"/>
                <w:sz w:val="24"/>
                <w:lang w:val="ga-IE" w:eastAsia="en-GB"/>
              </w:rPr>
              <w:t>Dliteanas Scéime ar an 1 Eanáir</w:t>
            </w:r>
          </w:p>
        </w:tc>
        <w:tc>
          <w:tcPr>
            <w:tcW w:w="2392" w:type="dxa"/>
            <w:vAlign w:val="bottom"/>
          </w:tcPr>
          <w:p w:rsidR="009B7368" w:rsidRPr="004918E0" w:rsidRDefault="009B7368" w:rsidP="00790853">
            <w:pPr>
              <w:spacing w:after="0"/>
              <w:jc w:val="right"/>
              <w:rPr>
                <w:rFonts w:cs="Arial"/>
                <w:lang w:val="ga-IE" w:eastAsia="en-GB"/>
              </w:rPr>
            </w:pPr>
            <w:r w:rsidRPr="004918E0">
              <w:rPr>
                <w:rFonts w:cs="Gill Sans"/>
                <w:lang w:val="ga-IE" w:eastAsia="en-GB"/>
              </w:rPr>
              <w:t xml:space="preserve">16,700,000 </w:t>
            </w:r>
          </w:p>
        </w:tc>
        <w:tc>
          <w:tcPr>
            <w:tcW w:w="2392" w:type="dxa"/>
            <w:vAlign w:val="bottom"/>
          </w:tcPr>
          <w:p w:rsidR="009B7368" w:rsidRPr="004918E0" w:rsidRDefault="009B7368" w:rsidP="00790853">
            <w:pPr>
              <w:spacing w:after="0"/>
              <w:jc w:val="right"/>
              <w:rPr>
                <w:rFonts w:cs="Arial"/>
                <w:lang w:val="ga-IE" w:eastAsia="en-GB"/>
              </w:rPr>
            </w:pPr>
            <w:r w:rsidRPr="004918E0">
              <w:rPr>
                <w:rFonts w:cs="Gill Sans"/>
                <w:lang w:val="ga-IE" w:eastAsia="en-GB"/>
              </w:rPr>
              <w:t xml:space="preserve">17,100,000 </w:t>
            </w:r>
          </w:p>
        </w:tc>
      </w:tr>
      <w:tr w:rsidR="009B7368" w:rsidRPr="004918E0" w:rsidTr="00790853">
        <w:tc>
          <w:tcPr>
            <w:tcW w:w="3738" w:type="dxa"/>
            <w:vAlign w:val="bottom"/>
          </w:tcPr>
          <w:p w:rsidR="009B7368" w:rsidRPr="004918E0" w:rsidRDefault="009B7368" w:rsidP="00790853">
            <w:pPr>
              <w:pStyle w:val="TableRowHead"/>
              <w:keepNext w:val="0"/>
              <w:widowControl w:val="0"/>
              <w:rPr>
                <w:rFonts w:ascii="Gill Sans" w:hAnsi="Gill Sans"/>
                <w:sz w:val="24"/>
                <w:lang w:val="ga-IE" w:eastAsia="en-GB"/>
              </w:rPr>
            </w:pPr>
            <w:r w:rsidRPr="004918E0">
              <w:rPr>
                <w:rFonts w:ascii="Gill Sans" w:hAnsi="Gill Sans"/>
                <w:sz w:val="24"/>
                <w:lang w:val="ga-IE" w:eastAsia="en-GB"/>
              </w:rPr>
              <w:t>Costas seirbhíse reatha</w:t>
            </w:r>
          </w:p>
        </w:tc>
        <w:tc>
          <w:tcPr>
            <w:tcW w:w="2392" w:type="dxa"/>
            <w:vAlign w:val="bottom"/>
          </w:tcPr>
          <w:p w:rsidR="009B7368" w:rsidRPr="004918E0" w:rsidRDefault="009B7368" w:rsidP="00790853">
            <w:pPr>
              <w:spacing w:after="0"/>
              <w:jc w:val="right"/>
              <w:rPr>
                <w:rFonts w:cs="Arial"/>
                <w:lang w:val="ga-IE" w:eastAsia="en-GB"/>
              </w:rPr>
            </w:pPr>
            <w:r w:rsidRPr="004918E0">
              <w:rPr>
                <w:rFonts w:cs="Gill Sans"/>
                <w:lang w:val="ga-IE" w:eastAsia="en-GB"/>
              </w:rPr>
              <w:t xml:space="preserve">450,000 </w:t>
            </w:r>
          </w:p>
        </w:tc>
        <w:tc>
          <w:tcPr>
            <w:tcW w:w="2392" w:type="dxa"/>
            <w:vAlign w:val="bottom"/>
          </w:tcPr>
          <w:p w:rsidR="009B7368" w:rsidRPr="004918E0" w:rsidRDefault="009B7368" w:rsidP="00790853">
            <w:pPr>
              <w:spacing w:after="0"/>
              <w:jc w:val="right"/>
              <w:rPr>
                <w:rFonts w:cs="Arial"/>
                <w:lang w:val="ga-IE" w:eastAsia="en-GB"/>
              </w:rPr>
            </w:pPr>
            <w:r w:rsidRPr="004918E0">
              <w:rPr>
                <w:rFonts w:cs="Gill Sans"/>
                <w:lang w:val="ga-IE" w:eastAsia="en-GB"/>
              </w:rPr>
              <w:t xml:space="preserve">500,000 </w:t>
            </w:r>
          </w:p>
        </w:tc>
      </w:tr>
      <w:tr w:rsidR="009B7368" w:rsidRPr="004918E0" w:rsidTr="00790853">
        <w:tc>
          <w:tcPr>
            <w:tcW w:w="3738" w:type="dxa"/>
            <w:vAlign w:val="bottom"/>
          </w:tcPr>
          <w:p w:rsidR="009B7368" w:rsidRPr="004918E0" w:rsidRDefault="009B7368" w:rsidP="00790853">
            <w:pPr>
              <w:pStyle w:val="TableRowHead"/>
              <w:keepNext w:val="0"/>
              <w:widowControl w:val="0"/>
              <w:rPr>
                <w:rFonts w:ascii="Gill Sans" w:hAnsi="Gill Sans"/>
                <w:sz w:val="24"/>
                <w:lang w:val="ga-IE" w:eastAsia="en-GB"/>
              </w:rPr>
            </w:pPr>
            <w:r w:rsidRPr="004918E0">
              <w:rPr>
                <w:rFonts w:ascii="Gill Sans" w:hAnsi="Gill Sans"/>
                <w:sz w:val="24"/>
                <w:lang w:val="ga-IE" w:eastAsia="en-GB"/>
              </w:rPr>
              <w:t>Ús ar dhliteanais scéime</w:t>
            </w:r>
          </w:p>
        </w:tc>
        <w:tc>
          <w:tcPr>
            <w:tcW w:w="2392" w:type="dxa"/>
            <w:vAlign w:val="bottom"/>
          </w:tcPr>
          <w:p w:rsidR="009B7368" w:rsidRPr="004918E0" w:rsidRDefault="009B7368" w:rsidP="00790853">
            <w:pPr>
              <w:spacing w:after="0"/>
              <w:jc w:val="right"/>
              <w:rPr>
                <w:rFonts w:cs="Arial"/>
                <w:lang w:val="ga-IE" w:eastAsia="en-GB"/>
              </w:rPr>
            </w:pPr>
            <w:r w:rsidRPr="004918E0">
              <w:rPr>
                <w:rFonts w:cs="Gill Sans"/>
                <w:lang w:val="ga-IE" w:eastAsia="en-GB"/>
              </w:rPr>
              <w:t xml:space="preserve">920,000 </w:t>
            </w:r>
          </w:p>
        </w:tc>
        <w:tc>
          <w:tcPr>
            <w:tcW w:w="2392" w:type="dxa"/>
            <w:vAlign w:val="bottom"/>
          </w:tcPr>
          <w:p w:rsidR="009B7368" w:rsidRPr="004918E0" w:rsidRDefault="009B7368" w:rsidP="00790853">
            <w:pPr>
              <w:spacing w:after="0"/>
              <w:jc w:val="right"/>
              <w:rPr>
                <w:rFonts w:cs="Arial"/>
                <w:lang w:val="ga-IE" w:eastAsia="en-GB"/>
              </w:rPr>
            </w:pPr>
            <w:r w:rsidRPr="004918E0">
              <w:rPr>
                <w:rFonts w:cs="Gill Sans"/>
                <w:lang w:val="ga-IE" w:eastAsia="en-GB"/>
              </w:rPr>
              <w:t xml:space="preserve">940,000 </w:t>
            </w:r>
          </w:p>
        </w:tc>
      </w:tr>
      <w:tr w:rsidR="009B7368" w:rsidRPr="004918E0" w:rsidTr="00790853">
        <w:tc>
          <w:tcPr>
            <w:tcW w:w="3738" w:type="dxa"/>
            <w:vAlign w:val="bottom"/>
          </w:tcPr>
          <w:p w:rsidR="009B7368" w:rsidRPr="004918E0" w:rsidRDefault="009B7368" w:rsidP="00790853">
            <w:pPr>
              <w:pStyle w:val="TableRowHead"/>
              <w:keepNext w:val="0"/>
              <w:widowControl w:val="0"/>
              <w:rPr>
                <w:rFonts w:ascii="Gill Sans" w:hAnsi="Gill Sans"/>
                <w:sz w:val="24"/>
                <w:lang w:val="ga-IE" w:eastAsia="en-GB"/>
              </w:rPr>
            </w:pPr>
            <w:r w:rsidRPr="004918E0">
              <w:rPr>
                <w:rFonts w:ascii="Gill Sans" w:hAnsi="Gill Sans"/>
                <w:sz w:val="24"/>
                <w:lang w:val="ga-IE" w:eastAsia="en-GB"/>
              </w:rPr>
              <w:t>Sochair iníoctha</w:t>
            </w:r>
          </w:p>
        </w:tc>
        <w:tc>
          <w:tcPr>
            <w:tcW w:w="2392"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r w:rsidRPr="004918E0">
              <w:rPr>
                <w:rFonts w:cs="Gill Sans"/>
                <w:lang w:val="ga-IE" w:eastAsia="en-GB"/>
              </w:rPr>
              <w:t>540,000)</w:t>
            </w:r>
          </w:p>
        </w:tc>
        <w:tc>
          <w:tcPr>
            <w:tcW w:w="2392"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r w:rsidRPr="004918E0">
              <w:rPr>
                <w:rFonts w:cs="Gill Sans"/>
                <w:lang w:val="ga-IE" w:eastAsia="en-GB"/>
              </w:rPr>
              <w:t>580,000)</w:t>
            </w:r>
          </w:p>
        </w:tc>
      </w:tr>
      <w:tr w:rsidR="009B7368" w:rsidRPr="004918E0" w:rsidTr="00790853">
        <w:tc>
          <w:tcPr>
            <w:tcW w:w="3738" w:type="dxa"/>
            <w:vAlign w:val="bottom"/>
          </w:tcPr>
          <w:p w:rsidR="009B7368" w:rsidRPr="004918E0" w:rsidRDefault="009B7368" w:rsidP="00790853">
            <w:pPr>
              <w:pStyle w:val="TableRowHead"/>
              <w:keepNext w:val="0"/>
              <w:widowControl w:val="0"/>
              <w:rPr>
                <w:rFonts w:ascii="Gill Sans" w:hAnsi="Gill Sans"/>
                <w:sz w:val="24"/>
                <w:lang w:val="ga-IE" w:eastAsia="en-GB"/>
              </w:rPr>
            </w:pPr>
            <w:r w:rsidRPr="004918E0">
              <w:rPr>
                <w:rFonts w:ascii="Gill Sans" w:hAnsi="Gill Sans"/>
                <w:sz w:val="24"/>
                <w:lang w:val="ga-IE" w:eastAsia="en-GB"/>
              </w:rPr>
              <w:t>Caillteanas achtúireach aitheanta i STRGL</w:t>
            </w:r>
          </w:p>
        </w:tc>
        <w:tc>
          <w:tcPr>
            <w:tcW w:w="2392"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r w:rsidRPr="004918E0">
              <w:rPr>
                <w:rFonts w:cs="Gill Sans"/>
                <w:lang w:val="ga-IE" w:eastAsia="en-GB"/>
              </w:rPr>
              <w:t>1,030,000)</w:t>
            </w:r>
          </w:p>
        </w:tc>
        <w:tc>
          <w:tcPr>
            <w:tcW w:w="2392" w:type="dxa"/>
            <w:vAlign w:val="bottom"/>
          </w:tcPr>
          <w:p w:rsidR="009B7368" w:rsidRPr="004918E0" w:rsidRDefault="009B7368" w:rsidP="00790853">
            <w:pPr>
              <w:spacing w:after="0"/>
              <w:jc w:val="right"/>
              <w:rPr>
                <w:rFonts w:cs="Arial"/>
                <w:lang w:val="ga-IE" w:eastAsia="en-GB"/>
              </w:rPr>
            </w:pPr>
            <w:r w:rsidRPr="004918E0">
              <w:rPr>
                <w:rFonts w:cs="Arial"/>
                <w:lang w:val="ga-IE" w:eastAsia="en-GB"/>
              </w:rPr>
              <w:t>(</w:t>
            </w:r>
            <w:r w:rsidRPr="004918E0">
              <w:rPr>
                <w:rFonts w:cs="Gill Sans"/>
                <w:lang w:val="ga-IE" w:eastAsia="en-GB"/>
              </w:rPr>
              <w:t>1,260,000)</w:t>
            </w:r>
          </w:p>
        </w:tc>
      </w:tr>
      <w:tr w:rsidR="009B7368" w:rsidRPr="004918E0" w:rsidTr="00790853">
        <w:tc>
          <w:tcPr>
            <w:tcW w:w="3738" w:type="dxa"/>
            <w:vAlign w:val="bottom"/>
          </w:tcPr>
          <w:p w:rsidR="009B7368" w:rsidRPr="004918E0" w:rsidRDefault="009B7368" w:rsidP="00790853">
            <w:pPr>
              <w:pStyle w:val="TableRowHead"/>
              <w:keepNext w:val="0"/>
              <w:widowControl w:val="0"/>
              <w:rPr>
                <w:rFonts w:ascii="Gill Sans" w:hAnsi="Gill Sans"/>
                <w:sz w:val="24"/>
                <w:lang w:val="ga-IE" w:eastAsia="en-GB"/>
              </w:rPr>
            </w:pPr>
            <w:r w:rsidRPr="004918E0">
              <w:rPr>
                <w:rFonts w:ascii="Gill Sans" w:hAnsi="Gill Sans"/>
                <w:sz w:val="24"/>
                <w:lang w:val="ga-IE" w:eastAsia="en-GB"/>
              </w:rPr>
              <w:t>Dliteanas Pinsin</w:t>
            </w:r>
          </w:p>
        </w:tc>
        <w:tc>
          <w:tcPr>
            <w:tcW w:w="2392" w:type="dxa"/>
            <w:vAlign w:val="bottom"/>
          </w:tcPr>
          <w:p w:rsidR="009B7368" w:rsidRPr="004918E0" w:rsidRDefault="009B7368" w:rsidP="00790853">
            <w:pPr>
              <w:spacing w:after="0"/>
              <w:jc w:val="right"/>
              <w:rPr>
                <w:rFonts w:cs="Arial"/>
                <w:b/>
                <w:lang w:val="ga-IE" w:eastAsia="en-GB"/>
              </w:rPr>
            </w:pPr>
            <w:r w:rsidRPr="004918E0">
              <w:rPr>
                <w:rFonts w:cs="Gill Sans"/>
                <w:b/>
                <w:lang w:val="ga-IE" w:eastAsia="en-GB"/>
              </w:rPr>
              <w:t xml:space="preserve">16,500,000 </w:t>
            </w:r>
          </w:p>
        </w:tc>
        <w:tc>
          <w:tcPr>
            <w:tcW w:w="2392" w:type="dxa"/>
            <w:vAlign w:val="bottom"/>
          </w:tcPr>
          <w:p w:rsidR="009B7368" w:rsidRPr="004918E0" w:rsidRDefault="009B7368" w:rsidP="00790853">
            <w:pPr>
              <w:spacing w:after="0"/>
              <w:jc w:val="right"/>
              <w:rPr>
                <w:rFonts w:cs="Arial"/>
                <w:b/>
                <w:lang w:val="ga-IE" w:eastAsia="en-GB"/>
              </w:rPr>
            </w:pPr>
            <w:r w:rsidRPr="004918E0">
              <w:rPr>
                <w:rFonts w:cs="Gill Sans"/>
                <w:b/>
                <w:lang w:val="ga-IE" w:eastAsia="en-GB"/>
              </w:rPr>
              <w:t xml:space="preserve">16,700,000 </w:t>
            </w:r>
          </w:p>
        </w:tc>
      </w:tr>
    </w:tbl>
    <w:p w:rsidR="009B7368" w:rsidRPr="004918E0" w:rsidRDefault="009B7368" w:rsidP="009B7368">
      <w:pPr>
        <w:pStyle w:val="Heading4"/>
        <w:rPr>
          <w:lang w:val="ga-IE" w:eastAsia="en-GB"/>
        </w:rPr>
      </w:pPr>
      <w:r w:rsidRPr="004918E0">
        <w:rPr>
          <w:lang w:val="ga-IE"/>
        </w:rPr>
        <w:br/>
      </w:r>
      <w:r w:rsidRPr="004918E0">
        <w:rPr>
          <w:lang w:val="ga-IE" w:eastAsia="en-GB"/>
        </w:rPr>
        <w:t xml:space="preserve">Stair gnóthachan agus caillteanas ó thaithí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2713"/>
        <w:gridCol w:w="1360"/>
        <w:gridCol w:w="1360"/>
        <w:gridCol w:w="1360"/>
        <w:gridCol w:w="1360"/>
      </w:tblGrid>
      <w:tr w:rsidR="009B7368" w:rsidRPr="004918E0" w:rsidTr="00790853">
        <w:trPr>
          <w:tblHeader/>
        </w:trPr>
        <w:tc>
          <w:tcPr>
            <w:tcW w:w="8522" w:type="dxa"/>
            <w:gridSpan w:val="5"/>
          </w:tcPr>
          <w:p w:rsidR="009B7368" w:rsidRPr="004918E0" w:rsidRDefault="009B7368" w:rsidP="00790853">
            <w:pPr>
              <w:pStyle w:val="TableHead"/>
              <w:keepNext/>
              <w:widowControl w:val="0"/>
              <w:rPr>
                <w:sz w:val="24"/>
                <w:lang w:val="ga-IE" w:eastAsia="en-GB"/>
              </w:rPr>
            </w:pPr>
            <w:r w:rsidRPr="004918E0">
              <w:rPr>
                <w:sz w:val="24"/>
                <w:lang w:val="ga-IE" w:eastAsia="en-GB"/>
              </w:rPr>
              <w:t xml:space="preserve">(Gnóthachain) / caillteanais ó thaithí ar dhliteanais scéime </w:t>
            </w:r>
          </w:p>
        </w:tc>
      </w:tr>
      <w:tr w:rsidR="009B7368" w:rsidRPr="004918E0" w:rsidTr="00790853">
        <w:trPr>
          <w:tblHeader/>
        </w:trPr>
        <w:tc>
          <w:tcPr>
            <w:tcW w:w="2843" w:type="dxa"/>
          </w:tcPr>
          <w:p w:rsidR="009B7368" w:rsidRPr="004918E0" w:rsidRDefault="009B7368" w:rsidP="00790853">
            <w:pPr>
              <w:pStyle w:val="TableHead"/>
              <w:keepNext/>
              <w:widowControl w:val="0"/>
              <w:jc w:val="right"/>
              <w:rPr>
                <w:sz w:val="24"/>
                <w:lang w:val="ga-IE"/>
              </w:rPr>
            </w:pPr>
          </w:p>
        </w:tc>
        <w:tc>
          <w:tcPr>
            <w:tcW w:w="1419" w:type="dxa"/>
            <w:vAlign w:val="bottom"/>
          </w:tcPr>
          <w:p w:rsidR="009B7368" w:rsidRPr="004918E0" w:rsidRDefault="009B7368" w:rsidP="00790853">
            <w:pPr>
              <w:pStyle w:val="TableHead"/>
              <w:jc w:val="right"/>
              <w:rPr>
                <w:sz w:val="24"/>
                <w:lang w:val="ga-IE" w:eastAsia="en-GB"/>
              </w:rPr>
            </w:pPr>
            <w:r w:rsidRPr="004918E0">
              <w:rPr>
                <w:sz w:val="24"/>
                <w:lang w:val="ga-IE" w:eastAsia="en-GB"/>
              </w:rPr>
              <w:t>2012</w:t>
            </w:r>
          </w:p>
        </w:tc>
        <w:tc>
          <w:tcPr>
            <w:tcW w:w="1420" w:type="dxa"/>
            <w:vAlign w:val="bottom"/>
          </w:tcPr>
          <w:p w:rsidR="009B7368" w:rsidRPr="004918E0" w:rsidRDefault="009B7368" w:rsidP="00790853">
            <w:pPr>
              <w:pStyle w:val="TableHead"/>
              <w:jc w:val="right"/>
              <w:rPr>
                <w:sz w:val="24"/>
                <w:lang w:val="ga-IE" w:eastAsia="en-GB"/>
              </w:rPr>
            </w:pPr>
            <w:r w:rsidRPr="004918E0">
              <w:rPr>
                <w:sz w:val="24"/>
                <w:lang w:val="ga-IE" w:eastAsia="en-GB"/>
              </w:rPr>
              <w:t>2011</w:t>
            </w:r>
          </w:p>
        </w:tc>
        <w:tc>
          <w:tcPr>
            <w:tcW w:w="1420" w:type="dxa"/>
            <w:vAlign w:val="bottom"/>
          </w:tcPr>
          <w:p w:rsidR="009B7368" w:rsidRPr="004918E0" w:rsidRDefault="009B7368" w:rsidP="00790853">
            <w:pPr>
              <w:pStyle w:val="TableHead"/>
              <w:jc w:val="right"/>
              <w:rPr>
                <w:sz w:val="24"/>
                <w:lang w:val="ga-IE" w:eastAsia="en-GB"/>
              </w:rPr>
            </w:pPr>
            <w:r w:rsidRPr="004918E0">
              <w:rPr>
                <w:sz w:val="24"/>
                <w:lang w:val="ga-IE" w:eastAsia="en-GB"/>
              </w:rPr>
              <w:t>2010</w:t>
            </w:r>
          </w:p>
        </w:tc>
        <w:tc>
          <w:tcPr>
            <w:tcW w:w="1420" w:type="dxa"/>
            <w:vAlign w:val="bottom"/>
          </w:tcPr>
          <w:p w:rsidR="009B7368" w:rsidRPr="004918E0" w:rsidRDefault="009B7368" w:rsidP="00790853">
            <w:pPr>
              <w:pStyle w:val="TableHead"/>
              <w:jc w:val="right"/>
              <w:rPr>
                <w:sz w:val="24"/>
                <w:lang w:val="ga-IE" w:eastAsia="en-GB"/>
              </w:rPr>
            </w:pPr>
            <w:r w:rsidRPr="004918E0">
              <w:rPr>
                <w:sz w:val="24"/>
                <w:lang w:val="ga-IE" w:eastAsia="en-GB"/>
              </w:rPr>
              <w:t>2009</w:t>
            </w:r>
          </w:p>
        </w:tc>
      </w:tr>
      <w:tr w:rsidR="009B7368" w:rsidRPr="004918E0" w:rsidTr="00790853">
        <w:tc>
          <w:tcPr>
            <w:tcW w:w="2843" w:type="dxa"/>
            <w:vAlign w:val="bottom"/>
          </w:tcPr>
          <w:p w:rsidR="009B7368" w:rsidRPr="004918E0" w:rsidRDefault="009B7368" w:rsidP="00790853">
            <w:pPr>
              <w:pStyle w:val="TableRowHead"/>
              <w:widowControl w:val="0"/>
              <w:rPr>
                <w:rFonts w:ascii="Gill Sans" w:hAnsi="Gill Sans"/>
                <w:sz w:val="24"/>
                <w:lang w:val="ga-IE" w:eastAsia="en-GB"/>
              </w:rPr>
            </w:pPr>
            <w:r w:rsidRPr="004918E0">
              <w:rPr>
                <w:rFonts w:ascii="Gill Sans" w:hAnsi="Gill Sans"/>
                <w:sz w:val="24"/>
                <w:lang w:val="ga-IE" w:eastAsia="en-GB"/>
              </w:rPr>
              <w:t>Méid</w:t>
            </w:r>
          </w:p>
        </w:tc>
        <w:tc>
          <w:tcPr>
            <w:tcW w:w="1419" w:type="dxa"/>
            <w:vAlign w:val="bottom"/>
          </w:tcPr>
          <w:p w:rsidR="009B7368" w:rsidRPr="004918E0" w:rsidRDefault="009B7368" w:rsidP="00790853">
            <w:pPr>
              <w:pStyle w:val="TableCell"/>
              <w:rPr>
                <w:sz w:val="24"/>
                <w:lang w:val="ga-IE" w:eastAsia="en-GB"/>
              </w:rPr>
            </w:pPr>
            <w:r w:rsidRPr="004918E0">
              <w:rPr>
                <w:sz w:val="24"/>
                <w:lang w:val="ga-IE" w:eastAsia="en-GB"/>
              </w:rPr>
              <w:t>(€1,030,000)</w:t>
            </w:r>
          </w:p>
        </w:tc>
        <w:tc>
          <w:tcPr>
            <w:tcW w:w="1420" w:type="dxa"/>
            <w:vAlign w:val="bottom"/>
          </w:tcPr>
          <w:p w:rsidR="009B7368" w:rsidRPr="004918E0" w:rsidRDefault="009B7368" w:rsidP="00790853">
            <w:pPr>
              <w:pStyle w:val="TableCell"/>
              <w:rPr>
                <w:sz w:val="24"/>
                <w:lang w:val="ga-IE" w:eastAsia="en-GB"/>
              </w:rPr>
            </w:pPr>
            <w:r w:rsidRPr="004918E0">
              <w:rPr>
                <w:sz w:val="24"/>
                <w:lang w:val="ga-IE" w:eastAsia="en-GB"/>
              </w:rPr>
              <w:t>(€1,260,000)</w:t>
            </w:r>
          </w:p>
        </w:tc>
        <w:tc>
          <w:tcPr>
            <w:tcW w:w="1420" w:type="dxa"/>
            <w:vAlign w:val="bottom"/>
          </w:tcPr>
          <w:p w:rsidR="009B7368" w:rsidRPr="004918E0" w:rsidRDefault="009B7368" w:rsidP="00790853">
            <w:pPr>
              <w:pStyle w:val="TableCell"/>
              <w:rPr>
                <w:sz w:val="24"/>
                <w:lang w:val="ga-IE" w:eastAsia="en-GB"/>
              </w:rPr>
            </w:pPr>
            <w:r w:rsidRPr="004918E0">
              <w:rPr>
                <w:sz w:val="24"/>
                <w:lang w:val="ga-IE" w:eastAsia="en-GB"/>
              </w:rPr>
              <w:t>(</w:t>
            </w:r>
            <w:r w:rsidRPr="004918E0">
              <w:rPr>
                <w:rFonts w:cs="Arial"/>
                <w:sz w:val="24"/>
                <w:lang w:val="ga-IE" w:eastAsia="en-GB"/>
              </w:rPr>
              <w:t>€</w:t>
            </w:r>
            <w:r w:rsidRPr="004918E0">
              <w:rPr>
                <w:rFonts w:cs="Gill Sans"/>
                <w:sz w:val="24"/>
                <w:lang w:val="ga-IE" w:eastAsia="en-GB"/>
              </w:rPr>
              <w:t>2,419,000)</w:t>
            </w:r>
          </w:p>
        </w:tc>
        <w:tc>
          <w:tcPr>
            <w:tcW w:w="1420" w:type="dxa"/>
            <w:vAlign w:val="bottom"/>
          </w:tcPr>
          <w:p w:rsidR="009B7368" w:rsidRPr="004918E0" w:rsidRDefault="009B7368" w:rsidP="00790853">
            <w:pPr>
              <w:pStyle w:val="TableCell"/>
              <w:rPr>
                <w:sz w:val="24"/>
                <w:lang w:val="ga-IE" w:eastAsia="en-GB"/>
              </w:rPr>
            </w:pPr>
            <w:r w:rsidRPr="004918E0">
              <w:rPr>
                <w:sz w:val="24"/>
                <w:lang w:val="ga-IE" w:eastAsia="en-GB"/>
              </w:rPr>
              <w:t>(</w:t>
            </w:r>
            <w:r w:rsidRPr="004918E0">
              <w:rPr>
                <w:rFonts w:cs="Arial"/>
                <w:sz w:val="24"/>
                <w:lang w:val="ga-IE" w:eastAsia="en-GB"/>
              </w:rPr>
              <w:t>€</w:t>
            </w:r>
            <w:r w:rsidRPr="004918E0">
              <w:rPr>
                <w:rFonts w:cs="Gill Sans"/>
                <w:sz w:val="24"/>
                <w:lang w:val="ga-IE" w:eastAsia="en-GB"/>
              </w:rPr>
              <w:t>300,000)</w:t>
            </w:r>
          </w:p>
        </w:tc>
      </w:tr>
      <w:tr w:rsidR="009B7368" w:rsidRPr="004918E0" w:rsidTr="00790853">
        <w:tc>
          <w:tcPr>
            <w:tcW w:w="2843" w:type="dxa"/>
            <w:vAlign w:val="bottom"/>
          </w:tcPr>
          <w:p w:rsidR="009B7368" w:rsidRPr="004918E0" w:rsidRDefault="009B7368" w:rsidP="00790853">
            <w:pPr>
              <w:pStyle w:val="TableRowHead"/>
              <w:widowControl w:val="0"/>
              <w:rPr>
                <w:rFonts w:ascii="Gill Sans" w:hAnsi="Gill Sans"/>
                <w:sz w:val="24"/>
                <w:lang w:val="ga-IE" w:eastAsia="en-GB"/>
              </w:rPr>
            </w:pPr>
            <w:r w:rsidRPr="004918E0">
              <w:rPr>
                <w:rFonts w:ascii="Gill Sans" w:hAnsi="Gill Sans"/>
                <w:sz w:val="24"/>
                <w:lang w:val="ga-IE" w:eastAsia="en-GB"/>
              </w:rPr>
              <w:t xml:space="preserve">Céatadán de luach reatha na ndliteanas scéime </w:t>
            </w:r>
          </w:p>
        </w:tc>
        <w:tc>
          <w:tcPr>
            <w:tcW w:w="1419" w:type="dxa"/>
            <w:vAlign w:val="bottom"/>
          </w:tcPr>
          <w:p w:rsidR="009B7368" w:rsidRPr="004918E0" w:rsidRDefault="009B7368" w:rsidP="00790853">
            <w:pPr>
              <w:pStyle w:val="TableCell"/>
              <w:rPr>
                <w:sz w:val="24"/>
                <w:lang w:val="ga-IE" w:eastAsia="en-GB"/>
              </w:rPr>
            </w:pPr>
            <w:r w:rsidRPr="004918E0">
              <w:rPr>
                <w:sz w:val="24"/>
                <w:lang w:val="ga-IE" w:eastAsia="en-GB"/>
              </w:rPr>
              <w:t>(6%)</w:t>
            </w:r>
          </w:p>
        </w:tc>
        <w:tc>
          <w:tcPr>
            <w:tcW w:w="1420" w:type="dxa"/>
            <w:vAlign w:val="bottom"/>
          </w:tcPr>
          <w:p w:rsidR="009B7368" w:rsidRPr="004918E0" w:rsidRDefault="009B7368" w:rsidP="00790853">
            <w:pPr>
              <w:pStyle w:val="TableCell"/>
              <w:rPr>
                <w:sz w:val="24"/>
                <w:lang w:val="ga-IE" w:eastAsia="en-GB"/>
              </w:rPr>
            </w:pPr>
            <w:r w:rsidRPr="004918E0">
              <w:rPr>
                <w:sz w:val="24"/>
                <w:lang w:val="ga-IE" w:eastAsia="en-GB"/>
              </w:rPr>
              <w:t>(8%)</w:t>
            </w:r>
          </w:p>
        </w:tc>
        <w:tc>
          <w:tcPr>
            <w:tcW w:w="1420" w:type="dxa"/>
            <w:vAlign w:val="bottom"/>
          </w:tcPr>
          <w:p w:rsidR="009B7368" w:rsidRPr="004918E0" w:rsidRDefault="009B7368" w:rsidP="00790853">
            <w:pPr>
              <w:pStyle w:val="TableCell"/>
              <w:rPr>
                <w:sz w:val="24"/>
                <w:lang w:val="ga-IE" w:eastAsia="en-GB"/>
              </w:rPr>
            </w:pPr>
            <w:r w:rsidRPr="004918E0">
              <w:rPr>
                <w:sz w:val="24"/>
                <w:lang w:val="ga-IE" w:eastAsia="en-GB"/>
              </w:rPr>
              <w:t>(14%)</w:t>
            </w:r>
          </w:p>
        </w:tc>
        <w:tc>
          <w:tcPr>
            <w:tcW w:w="1420" w:type="dxa"/>
            <w:vAlign w:val="bottom"/>
          </w:tcPr>
          <w:p w:rsidR="009B7368" w:rsidRPr="004918E0" w:rsidRDefault="009B7368" w:rsidP="00790853">
            <w:pPr>
              <w:pStyle w:val="TableCell"/>
              <w:rPr>
                <w:sz w:val="24"/>
                <w:lang w:val="ga-IE" w:eastAsia="en-GB"/>
              </w:rPr>
            </w:pPr>
            <w:r w:rsidRPr="004918E0">
              <w:rPr>
                <w:sz w:val="24"/>
                <w:lang w:val="ga-IE" w:eastAsia="en-GB"/>
              </w:rPr>
              <w:t>(2%)</w:t>
            </w:r>
          </w:p>
        </w:tc>
      </w:tr>
    </w:tbl>
    <w:p w:rsidR="009B7368" w:rsidRPr="004918E0" w:rsidRDefault="009B7368" w:rsidP="009B7368">
      <w:pPr>
        <w:pStyle w:val="Heading4"/>
        <w:rPr>
          <w:lang w:val="ga-IE" w:eastAsia="en-GB"/>
        </w:rPr>
      </w:pPr>
      <w:r w:rsidRPr="004918E0">
        <w:rPr>
          <w:lang w:val="ga-IE" w:eastAsia="en-GB"/>
        </w:rPr>
        <w:br/>
        <w:t xml:space="preserve">Ranníocaíochtaí Thobhach Pinsin </w:t>
      </w:r>
    </w:p>
    <w:p w:rsidR="009B7368" w:rsidRPr="004918E0" w:rsidRDefault="009B7368" w:rsidP="009B7368">
      <w:pPr>
        <w:rPr>
          <w:lang w:val="ga-IE" w:eastAsia="en-GB"/>
        </w:rPr>
      </w:pPr>
      <w:r w:rsidRPr="004918E0">
        <w:rPr>
          <w:rFonts w:cs="Arial"/>
          <w:lang w:val="ga-IE"/>
        </w:rPr>
        <w:t>Asbhaineadh €</w:t>
      </w:r>
      <w:r w:rsidRPr="004918E0">
        <w:rPr>
          <w:rFonts w:cs="Gill Sans"/>
          <w:lang w:val="ga-IE"/>
        </w:rPr>
        <w:t>1</w:t>
      </w:r>
      <w:r w:rsidRPr="004918E0">
        <w:rPr>
          <w:lang w:val="ga-IE"/>
        </w:rPr>
        <w:t>22,272 ó bhaill foirne mar thobhach pinsin agus choimeád an Roinn Dlí agus Cirt agus Comhionannais é</w:t>
      </w:r>
      <w:r w:rsidRPr="004918E0">
        <w:rPr>
          <w:lang w:val="ga-IE" w:eastAsia="en-GB"/>
        </w:rPr>
        <w:t>.</w:t>
      </w:r>
    </w:p>
    <w:p w:rsidR="009B7368" w:rsidRPr="004918E0" w:rsidRDefault="009B7368" w:rsidP="009B7368">
      <w:pPr>
        <w:pStyle w:val="Heading3"/>
        <w:rPr>
          <w:lang w:val="ga-IE" w:eastAsia="en-GB"/>
        </w:rPr>
      </w:pPr>
      <w:r w:rsidRPr="004918E0">
        <w:rPr>
          <w:lang w:val="ga-IE" w:eastAsia="en-GB"/>
        </w:rPr>
        <w:t>11. Creidiúnaithe agus Fabhruithe</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395"/>
        <w:gridCol w:w="1879"/>
        <w:gridCol w:w="1879"/>
      </w:tblGrid>
      <w:tr w:rsidR="009B7368" w:rsidRPr="004918E0" w:rsidTr="00790853">
        <w:trPr>
          <w:tblHeader/>
        </w:trPr>
        <w:tc>
          <w:tcPr>
            <w:tcW w:w="4602" w:type="dxa"/>
          </w:tcPr>
          <w:p w:rsidR="009B7368" w:rsidRPr="004918E0" w:rsidRDefault="009B7368" w:rsidP="00790853">
            <w:pPr>
              <w:pStyle w:val="TableHead"/>
              <w:jc w:val="right"/>
              <w:rPr>
                <w:lang w:val="ga-IE"/>
              </w:rPr>
            </w:pPr>
          </w:p>
        </w:tc>
        <w:tc>
          <w:tcPr>
            <w:tcW w:w="1960" w:type="dxa"/>
            <w:vAlign w:val="bottom"/>
          </w:tcPr>
          <w:p w:rsidR="009B7368" w:rsidRPr="004918E0" w:rsidRDefault="009B7368" w:rsidP="00790853">
            <w:pPr>
              <w:pStyle w:val="TableHead"/>
              <w:jc w:val="right"/>
              <w:rPr>
                <w:sz w:val="24"/>
                <w:lang w:val="ga-IE" w:eastAsia="en-GB"/>
              </w:rPr>
            </w:pPr>
            <w:r w:rsidRPr="004918E0">
              <w:rPr>
                <w:sz w:val="24"/>
                <w:lang w:val="ga-IE" w:eastAsia="en-GB"/>
              </w:rPr>
              <w:t>2012</w:t>
            </w:r>
          </w:p>
        </w:tc>
        <w:tc>
          <w:tcPr>
            <w:tcW w:w="1960" w:type="dxa"/>
            <w:vAlign w:val="bottom"/>
          </w:tcPr>
          <w:p w:rsidR="009B7368" w:rsidRPr="004918E0" w:rsidRDefault="009B7368" w:rsidP="00790853">
            <w:pPr>
              <w:pStyle w:val="TableHead"/>
              <w:jc w:val="right"/>
              <w:rPr>
                <w:sz w:val="24"/>
                <w:lang w:val="ga-IE" w:eastAsia="en-GB"/>
              </w:rPr>
            </w:pPr>
            <w:r w:rsidRPr="004918E0">
              <w:rPr>
                <w:sz w:val="24"/>
                <w:lang w:val="ga-IE" w:eastAsia="en-GB"/>
              </w:rPr>
              <w:t>2011</w:t>
            </w:r>
          </w:p>
        </w:tc>
      </w:tr>
      <w:tr w:rsidR="009B7368" w:rsidRPr="004918E0" w:rsidTr="00790853">
        <w:tc>
          <w:tcPr>
            <w:tcW w:w="4602" w:type="dxa"/>
          </w:tcPr>
          <w:p w:rsidR="009B7368" w:rsidRPr="004918E0" w:rsidRDefault="009B7368" w:rsidP="00790853">
            <w:pPr>
              <w:pStyle w:val="TableRowHead"/>
              <w:rPr>
                <w:lang w:val="ga-IE"/>
              </w:rPr>
            </w:pPr>
          </w:p>
        </w:tc>
        <w:tc>
          <w:tcPr>
            <w:tcW w:w="1960" w:type="dxa"/>
            <w:vAlign w:val="bottom"/>
          </w:tcPr>
          <w:p w:rsidR="009B7368" w:rsidRPr="004918E0" w:rsidRDefault="009B7368" w:rsidP="00790853">
            <w:pPr>
              <w:spacing w:after="0"/>
              <w:jc w:val="right"/>
              <w:rPr>
                <w:rFonts w:cs="Arial"/>
                <w:bCs/>
                <w:sz w:val="22"/>
                <w:szCs w:val="22"/>
                <w:lang w:val="ga-IE" w:eastAsia="en-GB"/>
              </w:rPr>
            </w:pPr>
            <w:r w:rsidRPr="004918E0">
              <w:rPr>
                <w:rFonts w:cs="Arial"/>
                <w:bCs/>
                <w:sz w:val="22"/>
                <w:szCs w:val="22"/>
                <w:lang w:val="ga-IE" w:eastAsia="en-GB"/>
              </w:rPr>
              <w:t>€</w:t>
            </w:r>
          </w:p>
        </w:tc>
        <w:tc>
          <w:tcPr>
            <w:tcW w:w="1960" w:type="dxa"/>
            <w:vAlign w:val="bottom"/>
          </w:tcPr>
          <w:p w:rsidR="009B7368" w:rsidRPr="004918E0" w:rsidRDefault="009B7368" w:rsidP="00790853">
            <w:pPr>
              <w:spacing w:after="0"/>
              <w:jc w:val="right"/>
              <w:rPr>
                <w:rFonts w:cs="Arial"/>
                <w:bCs/>
                <w:sz w:val="22"/>
                <w:szCs w:val="22"/>
                <w:lang w:val="ga-IE" w:eastAsia="en-GB"/>
              </w:rPr>
            </w:pPr>
            <w:r w:rsidRPr="004918E0">
              <w:rPr>
                <w:rFonts w:cs="Arial"/>
                <w:bCs/>
                <w:sz w:val="22"/>
                <w:szCs w:val="22"/>
                <w:lang w:val="ga-IE" w:eastAsia="en-GB"/>
              </w:rPr>
              <w:t>€</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Fabhruithe</w:t>
            </w:r>
          </w:p>
        </w:tc>
        <w:tc>
          <w:tcPr>
            <w:tcW w:w="1960" w:type="dxa"/>
            <w:vAlign w:val="bottom"/>
          </w:tcPr>
          <w:p w:rsidR="009B7368" w:rsidRPr="004918E0" w:rsidRDefault="009B7368" w:rsidP="00790853">
            <w:pPr>
              <w:pStyle w:val="TableCell"/>
              <w:rPr>
                <w:rFonts w:cs="Gill Sans"/>
                <w:sz w:val="24"/>
                <w:lang w:val="ga-IE" w:eastAsia="en-GB"/>
              </w:rPr>
            </w:pPr>
            <w:r w:rsidRPr="004918E0">
              <w:rPr>
                <w:rFonts w:cs="Gill Sans"/>
                <w:sz w:val="24"/>
                <w:lang w:val="ga-IE" w:eastAsia="en-GB"/>
              </w:rPr>
              <w:t>39,082</w:t>
            </w:r>
          </w:p>
        </w:tc>
        <w:tc>
          <w:tcPr>
            <w:tcW w:w="1960" w:type="dxa"/>
            <w:vAlign w:val="bottom"/>
          </w:tcPr>
          <w:p w:rsidR="009B7368" w:rsidRPr="004918E0" w:rsidRDefault="009B7368" w:rsidP="00790853">
            <w:pPr>
              <w:pStyle w:val="TableCell"/>
              <w:rPr>
                <w:rFonts w:cs="Gill Sans"/>
                <w:sz w:val="24"/>
                <w:lang w:val="ga-IE" w:eastAsia="en-GB"/>
              </w:rPr>
            </w:pPr>
            <w:r w:rsidRPr="004918E0">
              <w:rPr>
                <w:rFonts w:cs="Gill Sans"/>
                <w:sz w:val="24"/>
                <w:lang w:val="ga-IE" w:eastAsia="en-GB"/>
              </w:rPr>
              <w:t>122,309</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Iomlán na gCreidiúnaithe</w:t>
            </w:r>
          </w:p>
        </w:tc>
        <w:tc>
          <w:tcPr>
            <w:tcW w:w="1960" w:type="dxa"/>
            <w:vAlign w:val="bottom"/>
          </w:tcPr>
          <w:p w:rsidR="009B7368" w:rsidRPr="004918E0" w:rsidRDefault="009B7368" w:rsidP="00790853">
            <w:pPr>
              <w:pStyle w:val="TableCell"/>
              <w:rPr>
                <w:sz w:val="24"/>
                <w:lang w:val="ga-IE" w:eastAsia="en-GB"/>
              </w:rPr>
            </w:pPr>
            <w:r w:rsidRPr="004918E0">
              <w:rPr>
                <w:rFonts w:cs="Gill Sans"/>
                <w:sz w:val="24"/>
                <w:lang w:val="ga-IE" w:eastAsia="en-GB"/>
              </w:rPr>
              <w:t>39,082</w:t>
            </w:r>
          </w:p>
        </w:tc>
        <w:tc>
          <w:tcPr>
            <w:tcW w:w="1960" w:type="dxa"/>
            <w:vAlign w:val="bottom"/>
          </w:tcPr>
          <w:p w:rsidR="009B7368" w:rsidRPr="004918E0" w:rsidRDefault="009B7368" w:rsidP="00790853">
            <w:pPr>
              <w:pStyle w:val="TableCell"/>
              <w:rPr>
                <w:sz w:val="24"/>
                <w:lang w:val="ga-IE" w:eastAsia="en-GB"/>
              </w:rPr>
            </w:pPr>
            <w:r w:rsidRPr="004918E0">
              <w:rPr>
                <w:rFonts w:cs="Gill Sans"/>
                <w:sz w:val="24"/>
                <w:lang w:val="ga-IE" w:eastAsia="en-GB"/>
              </w:rPr>
              <w:t>122,309</w:t>
            </w:r>
          </w:p>
        </w:tc>
      </w:tr>
    </w:tbl>
    <w:p w:rsidR="009B7368" w:rsidRPr="004918E0" w:rsidRDefault="009B7368" w:rsidP="009B7368">
      <w:pPr>
        <w:pStyle w:val="Heading3"/>
        <w:rPr>
          <w:lang w:val="ga-IE"/>
        </w:rPr>
      </w:pPr>
      <w:r w:rsidRPr="004918E0">
        <w:rPr>
          <w:lang w:val="ga-IE"/>
        </w:rPr>
        <w:br/>
        <w:t xml:space="preserve">12. Féichiúnaithe agus Réamhíocaíochtaí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3F" w:firstRow="1" w:lastRow="0" w:firstColumn="0" w:lastColumn="0" w:noHBand="0" w:noVBand="0"/>
      </w:tblPr>
      <w:tblGrid>
        <w:gridCol w:w="4395"/>
        <w:gridCol w:w="1879"/>
        <w:gridCol w:w="1879"/>
      </w:tblGrid>
      <w:tr w:rsidR="009B7368" w:rsidRPr="004918E0" w:rsidTr="00790853">
        <w:trPr>
          <w:tblHeader/>
        </w:trPr>
        <w:tc>
          <w:tcPr>
            <w:tcW w:w="4602" w:type="dxa"/>
          </w:tcPr>
          <w:p w:rsidR="009B7368" w:rsidRPr="004918E0" w:rsidRDefault="009B7368" w:rsidP="00790853">
            <w:pPr>
              <w:pStyle w:val="TableHead"/>
              <w:jc w:val="right"/>
              <w:rPr>
                <w:lang w:val="ga-IE"/>
              </w:rPr>
            </w:pPr>
          </w:p>
        </w:tc>
        <w:tc>
          <w:tcPr>
            <w:tcW w:w="1960" w:type="dxa"/>
            <w:vAlign w:val="bottom"/>
          </w:tcPr>
          <w:p w:rsidR="009B7368" w:rsidRPr="004918E0" w:rsidRDefault="009B7368" w:rsidP="00790853">
            <w:pPr>
              <w:pStyle w:val="TableHead"/>
              <w:jc w:val="right"/>
              <w:rPr>
                <w:lang w:val="ga-IE" w:eastAsia="en-GB"/>
              </w:rPr>
            </w:pPr>
            <w:r w:rsidRPr="004918E0">
              <w:rPr>
                <w:lang w:val="ga-IE" w:eastAsia="en-GB"/>
              </w:rPr>
              <w:t>2012</w:t>
            </w:r>
          </w:p>
        </w:tc>
        <w:tc>
          <w:tcPr>
            <w:tcW w:w="1960" w:type="dxa"/>
            <w:vAlign w:val="bottom"/>
          </w:tcPr>
          <w:p w:rsidR="009B7368" w:rsidRPr="004918E0" w:rsidRDefault="009B7368" w:rsidP="00790853">
            <w:pPr>
              <w:pStyle w:val="TableHead"/>
              <w:jc w:val="right"/>
              <w:rPr>
                <w:lang w:val="ga-IE" w:eastAsia="en-GB"/>
              </w:rPr>
            </w:pPr>
            <w:r w:rsidRPr="004918E0">
              <w:rPr>
                <w:lang w:val="ga-IE" w:eastAsia="en-GB"/>
              </w:rPr>
              <w:t>2011</w:t>
            </w:r>
          </w:p>
        </w:tc>
      </w:tr>
      <w:tr w:rsidR="009B7368" w:rsidRPr="004918E0" w:rsidTr="00790853">
        <w:trPr>
          <w:tblHeader/>
        </w:trPr>
        <w:tc>
          <w:tcPr>
            <w:tcW w:w="4602" w:type="dxa"/>
          </w:tcPr>
          <w:p w:rsidR="009B7368" w:rsidRPr="004918E0" w:rsidRDefault="009B7368" w:rsidP="00790853">
            <w:pPr>
              <w:pStyle w:val="TableHead"/>
              <w:jc w:val="right"/>
              <w:rPr>
                <w:lang w:val="ga-IE"/>
              </w:rPr>
            </w:pPr>
          </w:p>
        </w:tc>
        <w:tc>
          <w:tcPr>
            <w:tcW w:w="1960" w:type="dxa"/>
            <w:vAlign w:val="bottom"/>
          </w:tcPr>
          <w:p w:rsidR="009B7368" w:rsidRPr="004918E0" w:rsidRDefault="009B7368" w:rsidP="00790853">
            <w:pPr>
              <w:spacing w:after="0"/>
              <w:jc w:val="right"/>
              <w:rPr>
                <w:rFonts w:cs="Arial"/>
                <w:bCs/>
                <w:sz w:val="22"/>
                <w:szCs w:val="22"/>
                <w:lang w:val="ga-IE" w:eastAsia="en-GB"/>
              </w:rPr>
            </w:pPr>
            <w:r w:rsidRPr="004918E0">
              <w:rPr>
                <w:rFonts w:cs="Arial"/>
                <w:bCs/>
                <w:sz w:val="22"/>
                <w:szCs w:val="22"/>
                <w:lang w:val="ga-IE" w:eastAsia="en-GB"/>
              </w:rPr>
              <w:t>€</w:t>
            </w:r>
          </w:p>
        </w:tc>
        <w:tc>
          <w:tcPr>
            <w:tcW w:w="1960" w:type="dxa"/>
            <w:vAlign w:val="bottom"/>
          </w:tcPr>
          <w:p w:rsidR="009B7368" w:rsidRPr="004918E0" w:rsidRDefault="009B7368" w:rsidP="00790853">
            <w:pPr>
              <w:spacing w:after="0"/>
              <w:jc w:val="right"/>
              <w:rPr>
                <w:rFonts w:cs="Arial"/>
                <w:bCs/>
                <w:sz w:val="22"/>
                <w:szCs w:val="22"/>
                <w:lang w:val="ga-IE" w:eastAsia="en-GB"/>
              </w:rPr>
            </w:pPr>
            <w:r w:rsidRPr="004918E0">
              <w:rPr>
                <w:rFonts w:cs="Arial"/>
                <w:bCs/>
                <w:sz w:val="22"/>
                <w:szCs w:val="22"/>
                <w:lang w:val="ga-IE" w:eastAsia="en-GB"/>
              </w:rPr>
              <w:t>€</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Féichiúnaithe Ilchineálacha NDA </w:t>
            </w:r>
          </w:p>
        </w:tc>
        <w:tc>
          <w:tcPr>
            <w:tcW w:w="1960" w:type="dxa"/>
            <w:vAlign w:val="bottom"/>
          </w:tcPr>
          <w:p w:rsidR="009B7368" w:rsidRPr="004918E0" w:rsidRDefault="009B7368" w:rsidP="00790853">
            <w:pPr>
              <w:pStyle w:val="TableCell"/>
              <w:rPr>
                <w:sz w:val="24"/>
                <w:lang w:val="ga-IE" w:eastAsia="en-GB"/>
              </w:rPr>
            </w:pPr>
            <w:r w:rsidRPr="004918E0">
              <w:rPr>
                <w:rFonts w:cs="Gill Sans"/>
                <w:sz w:val="24"/>
                <w:lang w:val="ga-IE" w:eastAsia="en-GB"/>
              </w:rPr>
              <w:t>173,806</w:t>
            </w:r>
          </w:p>
        </w:tc>
        <w:tc>
          <w:tcPr>
            <w:tcW w:w="1960" w:type="dxa"/>
            <w:vAlign w:val="bottom"/>
          </w:tcPr>
          <w:p w:rsidR="009B7368" w:rsidRPr="004918E0" w:rsidRDefault="009B7368" w:rsidP="00790853">
            <w:pPr>
              <w:pStyle w:val="TableCell"/>
              <w:rPr>
                <w:sz w:val="24"/>
                <w:lang w:val="ga-IE" w:eastAsia="en-GB"/>
              </w:rPr>
            </w:pPr>
            <w:r w:rsidRPr="004918E0">
              <w:rPr>
                <w:rFonts w:cs="Gill Sans"/>
                <w:sz w:val="24"/>
                <w:lang w:val="ga-IE" w:eastAsia="en-GB"/>
              </w:rPr>
              <w:t>100,128</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 xml:space="preserve">Réamhíocaíochtaí </w:t>
            </w:r>
          </w:p>
        </w:tc>
        <w:tc>
          <w:tcPr>
            <w:tcW w:w="1960" w:type="dxa"/>
            <w:vAlign w:val="bottom"/>
          </w:tcPr>
          <w:p w:rsidR="009B7368" w:rsidRPr="004918E0" w:rsidRDefault="009B7368" w:rsidP="00790853">
            <w:pPr>
              <w:pStyle w:val="TableCell"/>
              <w:rPr>
                <w:sz w:val="24"/>
                <w:lang w:val="ga-IE" w:eastAsia="en-GB"/>
              </w:rPr>
            </w:pPr>
            <w:r w:rsidRPr="004918E0">
              <w:rPr>
                <w:rFonts w:cs="Gill Sans"/>
                <w:sz w:val="24"/>
                <w:lang w:val="ga-IE" w:eastAsia="en-GB"/>
              </w:rPr>
              <w:t>30,564</w:t>
            </w:r>
          </w:p>
        </w:tc>
        <w:tc>
          <w:tcPr>
            <w:tcW w:w="1960" w:type="dxa"/>
            <w:vAlign w:val="bottom"/>
          </w:tcPr>
          <w:p w:rsidR="009B7368" w:rsidRPr="004918E0" w:rsidRDefault="009B7368" w:rsidP="00790853">
            <w:pPr>
              <w:pStyle w:val="TableCell"/>
              <w:rPr>
                <w:sz w:val="24"/>
                <w:lang w:val="ga-IE" w:eastAsia="en-GB"/>
              </w:rPr>
            </w:pPr>
            <w:r w:rsidRPr="004918E0">
              <w:rPr>
                <w:rFonts w:cs="Gill Sans"/>
                <w:sz w:val="24"/>
                <w:lang w:val="ga-IE" w:eastAsia="en-GB"/>
              </w:rPr>
              <w:t>51,480</w:t>
            </w:r>
          </w:p>
        </w:tc>
      </w:tr>
      <w:tr w:rsidR="009B7368" w:rsidRPr="004918E0" w:rsidTr="00790853">
        <w:tc>
          <w:tcPr>
            <w:tcW w:w="4602" w:type="dxa"/>
            <w:vAlign w:val="bottom"/>
          </w:tcPr>
          <w:p w:rsidR="009B7368" w:rsidRPr="004918E0" w:rsidRDefault="009B7368" w:rsidP="00790853">
            <w:pPr>
              <w:pStyle w:val="TableRowHead"/>
              <w:rPr>
                <w:rFonts w:ascii="Gill Sans" w:hAnsi="Gill Sans"/>
                <w:sz w:val="24"/>
                <w:lang w:val="ga-IE" w:eastAsia="en-GB"/>
              </w:rPr>
            </w:pPr>
            <w:r w:rsidRPr="004918E0">
              <w:rPr>
                <w:rFonts w:ascii="Gill Sans" w:hAnsi="Gill Sans"/>
                <w:sz w:val="24"/>
                <w:lang w:val="ga-IE" w:eastAsia="en-GB"/>
              </w:rPr>
              <w:t>Iomlán na bhFéichiúnaithe</w:t>
            </w:r>
          </w:p>
        </w:tc>
        <w:tc>
          <w:tcPr>
            <w:tcW w:w="1960" w:type="dxa"/>
            <w:vAlign w:val="bottom"/>
          </w:tcPr>
          <w:p w:rsidR="009B7368" w:rsidRPr="004918E0" w:rsidRDefault="009B7368" w:rsidP="00790853">
            <w:pPr>
              <w:pStyle w:val="TableCell"/>
              <w:rPr>
                <w:sz w:val="24"/>
                <w:lang w:val="ga-IE" w:eastAsia="en-GB"/>
              </w:rPr>
            </w:pPr>
            <w:r w:rsidRPr="004918E0">
              <w:rPr>
                <w:rFonts w:cs="Gill Sans"/>
                <w:sz w:val="24"/>
                <w:lang w:val="ga-IE" w:eastAsia="en-GB"/>
              </w:rPr>
              <w:t>204,370</w:t>
            </w:r>
          </w:p>
        </w:tc>
        <w:tc>
          <w:tcPr>
            <w:tcW w:w="1960" w:type="dxa"/>
            <w:vAlign w:val="bottom"/>
          </w:tcPr>
          <w:p w:rsidR="009B7368" w:rsidRPr="004918E0" w:rsidRDefault="009B7368" w:rsidP="00790853">
            <w:pPr>
              <w:pStyle w:val="TableCell"/>
              <w:rPr>
                <w:sz w:val="24"/>
                <w:lang w:val="ga-IE" w:eastAsia="en-GB"/>
              </w:rPr>
            </w:pPr>
            <w:r w:rsidRPr="004918E0">
              <w:rPr>
                <w:rFonts w:cs="Gill Sans"/>
                <w:sz w:val="24"/>
                <w:lang w:val="ga-IE" w:eastAsia="en-GB"/>
              </w:rPr>
              <w:t>151,608</w:t>
            </w:r>
          </w:p>
        </w:tc>
      </w:tr>
    </w:tbl>
    <w:p w:rsidR="009B7368" w:rsidRPr="004918E0" w:rsidRDefault="009B7368" w:rsidP="009B7368">
      <w:pPr>
        <w:pStyle w:val="Heading3"/>
        <w:rPr>
          <w:lang w:val="ga-IE" w:eastAsia="en-GB"/>
        </w:rPr>
      </w:pPr>
      <w:r w:rsidRPr="004918E0">
        <w:rPr>
          <w:lang w:val="ga-IE" w:eastAsia="en-GB"/>
        </w:rPr>
        <w:br/>
        <w:t>13. Dliteanais Teagmhasacha</w:t>
      </w:r>
    </w:p>
    <w:p w:rsidR="009B7368" w:rsidRPr="004918E0" w:rsidRDefault="009B7368" w:rsidP="009B7368">
      <w:pPr>
        <w:rPr>
          <w:lang w:val="ga-IE"/>
        </w:rPr>
      </w:pPr>
      <w:r w:rsidRPr="004918E0">
        <w:rPr>
          <w:lang w:val="ga-IE" w:eastAsia="en-GB"/>
        </w:rPr>
        <w:t>Níl aon dliteanais teagmhasacha i gceist ar an 31 Nollaig 2012.</w:t>
      </w:r>
    </w:p>
    <w:p w:rsidR="009B7368" w:rsidRPr="004918E0" w:rsidRDefault="009B7368" w:rsidP="009B7368">
      <w:pPr>
        <w:pStyle w:val="Heading3"/>
        <w:rPr>
          <w:lang w:val="ga-IE"/>
        </w:rPr>
      </w:pPr>
      <w:r w:rsidRPr="004918E0">
        <w:rPr>
          <w:lang w:val="ga-IE" w:eastAsia="en-GB"/>
        </w:rPr>
        <w:t xml:space="preserve">14. Ceangaltais Chaipitil  </w:t>
      </w:r>
    </w:p>
    <w:p w:rsidR="009B7368" w:rsidRPr="004918E0" w:rsidRDefault="009B7368" w:rsidP="009B7368">
      <w:pPr>
        <w:rPr>
          <w:lang w:val="ga-IE" w:eastAsia="en-GB"/>
        </w:rPr>
      </w:pPr>
      <w:r w:rsidRPr="004918E0">
        <w:rPr>
          <w:lang w:val="ga-IE" w:eastAsia="en-GB"/>
        </w:rPr>
        <w:t>Ní raibh aon cheangaltais chaipitil ag an Údarás amhail an 31 Nollaig 2012.</w:t>
      </w:r>
    </w:p>
    <w:p w:rsidR="009B7368" w:rsidRPr="004918E0" w:rsidRDefault="009B7368" w:rsidP="009B7368">
      <w:pPr>
        <w:pStyle w:val="Heading3"/>
        <w:rPr>
          <w:lang w:val="ga-IE" w:eastAsia="en-GB"/>
        </w:rPr>
      </w:pPr>
      <w:r w:rsidRPr="004918E0">
        <w:rPr>
          <w:lang w:val="ga-IE" w:eastAsia="en-GB"/>
        </w:rPr>
        <w:t>15. Faomhadh na Ráiteas Airgeadais</w:t>
      </w:r>
    </w:p>
    <w:p w:rsidR="009B7368" w:rsidRPr="004918E0" w:rsidRDefault="009B7368" w:rsidP="009B7368">
      <w:pPr>
        <w:rPr>
          <w:lang w:val="ga-IE"/>
        </w:rPr>
      </w:pPr>
      <w:r w:rsidRPr="004918E0">
        <w:rPr>
          <w:lang w:val="ga-IE" w:eastAsia="en-GB"/>
        </w:rPr>
        <w:t>D’fhaomh an tÚdarás na Ráitis Airgeadais ar an 14 Lúnasa 2013.</w:t>
      </w:r>
    </w:p>
    <w:p w:rsidR="009B7368" w:rsidRPr="004918E0" w:rsidRDefault="009B7368" w:rsidP="009B7368">
      <w:pPr>
        <w:pStyle w:val="Heading1"/>
        <w:rPr>
          <w:lang w:val="ga-IE"/>
        </w:rPr>
      </w:pPr>
      <w:bookmarkStart w:id="89" w:name="_Toc367888634"/>
      <w:bookmarkStart w:id="90" w:name="_Toc368646744"/>
      <w:r w:rsidRPr="004918E0">
        <w:rPr>
          <w:lang w:val="ga-IE"/>
        </w:rPr>
        <w:t>Aguisín 1: Coistí an Údaráis agus coistí eile i 2012</w:t>
      </w:r>
      <w:bookmarkEnd w:id="89"/>
      <w:bookmarkEnd w:id="90"/>
    </w:p>
    <w:tbl>
      <w:tblPr>
        <w:tblW w:w="5018" w:type="pct"/>
        <w:tblCellSpacing w:w="1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36"/>
        <w:gridCol w:w="4520"/>
      </w:tblGrid>
      <w:tr w:rsidR="009B7368" w:rsidRPr="004918E0" w:rsidTr="00790853">
        <w:trPr>
          <w:tblHeader/>
          <w:tblCellSpacing w:w="15" w:type="dxa"/>
        </w:trPr>
        <w:tc>
          <w:tcPr>
            <w:tcW w:w="0" w:type="auto"/>
            <w:gridSpan w:val="2"/>
            <w:tcBorders>
              <w:top w:val="nil"/>
              <w:left w:val="nil"/>
              <w:bottom w:val="nil"/>
              <w:right w:val="nil"/>
            </w:tcBorders>
            <w:vAlign w:val="center"/>
          </w:tcPr>
          <w:p w:rsidR="009B7368" w:rsidRPr="004918E0" w:rsidRDefault="009B7368" w:rsidP="00790853">
            <w:pPr>
              <w:rPr>
                <w:b/>
                <w:bCs/>
                <w:lang w:val="ga-IE"/>
              </w:rPr>
            </w:pPr>
            <w:r w:rsidRPr="004918E0">
              <w:rPr>
                <w:b/>
                <w:bCs/>
                <w:lang w:val="ga-IE"/>
              </w:rPr>
              <w:t>Comhaltaí an Údarás Náisiúnta Míchumais i 2012</w:t>
            </w:r>
          </w:p>
        </w:tc>
      </w:tr>
      <w:tr w:rsidR="009B7368" w:rsidRPr="004918E0" w:rsidTr="00790853">
        <w:trPr>
          <w:tblHeade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pStyle w:val="TableHead"/>
              <w:rPr>
                <w:lang w:val="ga-IE"/>
              </w:rPr>
            </w:pPr>
            <w:r w:rsidRPr="004918E0">
              <w:rPr>
                <w:lang w:val="ga-IE"/>
              </w:rPr>
              <w:t>Comhalta</w:t>
            </w:r>
          </w:p>
        </w:tc>
        <w:tc>
          <w:tcPr>
            <w:tcW w:w="0" w:type="auto"/>
            <w:tcBorders>
              <w:top w:val="outset" w:sz="6" w:space="0" w:color="auto"/>
              <w:left w:val="outset" w:sz="6" w:space="0" w:color="auto"/>
              <w:bottom w:val="outset" w:sz="6" w:space="0" w:color="auto"/>
            </w:tcBorders>
          </w:tcPr>
          <w:p w:rsidR="009B7368" w:rsidRPr="004918E0" w:rsidRDefault="009B7368" w:rsidP="00790853">
            <w:pPr>
              <w:pStyle w:val="TableHead"/>
              <w:rPr>
                <w:bCs/>
                <w:lang w:val="ga-IE"/>
              </w:rPr>
            </w:pPr>
            <w:r w:rsidRPr="004918E0">
              <w:rPr>
                <w:bCs/>
                <w:lang w:val="ga-IE"/>
              </w:rPr>
              <w:t>Líon na gcruinnithe a freastalaíodh orthu (reáchtáladh 10 gcruinniú)</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Peter Mc Kevitt (Cathaoirleach)</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10</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Tony Bates (chuaigh sé ar scor ó Mheán Fómhair 2012)</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4</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Caroline Burrell</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9</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Frank Cunneen</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9</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Tara Cunningham</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8</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James O'Grady</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8</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Fiona Duignan</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7</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Linda Grealy</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6</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Shane Hogan</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10</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David Joyce</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7</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Des Kenny</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8</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Mary Lavelle</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8</w:t>
            </w:r>
          </w:p>
        </w:tc>
      </w:tr>
      <w:tr w:rsidR="009B7368" w:rsidRPr="004918E0" w:rsidTr="00790853">
        <w:trPr>
          <w:tblCellSpacing w:w="15" w:type="dxa"/>
        </w:trPr>
        <w:tc>
          <w:tcPr>
            <w:tcW w:w="0" w:type="auto"/>
            <w:tcBorders>
              <w:top w:val="outset" w:sz="6" w:space="0" w:color="auto"/>
              <w:bottom w:val="outset" w:sz="6" w:space="0" w:color="auto"/>
              <w:right w:val="outset" w:sz="6" w:space="0" w:color="auto"/>
            </w:tcBorders>
          </w:tcPr>
          <w:p w:rsidR="009B7368" w:rsidRPr="004918E0" w:rsidRDefault="009B7368" w:rsidP="00790853">
            <w:pPr>
              <w:rPr>
                <w:lang w:val="ga-IE"/>
              </w:rPr>
            </w:pPr>
            <w:r w:rsidRPr="004918E0">
              <w:rPr>
                <w:lang w:val="ga-IE"/>
              </w:rPr>
              <w:t>Joanne Mc Carthy</w:t>
            </w:r>
          </w:p>
        </w:tc>
        <w:tc>
          <w:tcPr>
            <w:tcW w:w="0" w:type="auto"/>
            <w:tcBorders>
              <w:top w:val="outset" w:sz="6" w:space="0" w:color="auto"/>
              <w:left w:val="outset" w:sz="6" w:space="0" w:color="auto"/>
              <w:bottom w:val="outset" w:sz="6" w:space="0" w:color="auto"/>
            </w:tcBorders>
          </w:tcPr>
          <w:p w:rsidR="009B7368" w:rsidRPr="004918E0" w:rsidRDefault="009B7368" w:rsidP="00790853">
            <w:pPr>
              <w:rPr>
                <w:lang w:val="ga-IE"/>
              </w:rPr>
            </w:pPr>
            <w:r w:rsidRPr="004918E0">
              <w:rPr>
                <w:lang w:val="ga-IE"/>
              </w:rPr>
              <w:t>9</w:t>
            </w:r>
          </w:p>
        </w:tc>
      </w:tr>
    </w:tbl>
    <w:p w:rsidR="009B7368" w:rsidRPr="004918E0" w:rsidRDefault="009B7368" w:rsidP="009B7368">
      <w:pPr>
        <w:pStyle w:val="Heading2"/>
        <w:rPr>
          <w:lang w:val="ga-IE"/>
        </w:rPr>
      </w:pPr>
      <w:r w:rsidRPr="004918E0">
        <w:rPr>
          <w:lang w:val="ga-IE"/>
        </w:rPr>
        <w:t xml:space="preserve">An Coiste Iniúchta </w:t>
      </w:r>
    </w:p>
    <w:p w:rsidR="009B7368" w:rsidRPr="004918E0" w:rsidRDefault="009B7368" w:rsidP="009B7368">
      <w:pPr>
        <w:pStyle w:val="ListBullet"/>
        <w:rPr>
          <w:lang w:val="ga-IE"/>
        </w:rPr>
      </w:pPr>
      <w:r w:rsidRPr="004918E0">
        <w:rPr>
          <w:lang w:val="ga-IE"/>
        </w:rPr>
        <w:t xml:space="preserve">Donal Lawlor (Cathaoirleach) </w:t>
      </w:r>
    </w:p>
    <w:p w:rsidR="009B7368" w:rsidRPr="004918E0" w:rsidRDefault="009B7368" w:rsidP="009B7368">
      <w:pPr>
        <w:pStyle w:val="ListBullet"/>
        <w:rPr>
          <w:lang w:val="ga-IE"/>
        </w:rPr>
      </w:pPr>
      <w:r w:rsidRPr="004918E0">
        <w:rPr>
          <w:lang w:val="ga-IE"/>
        </w:rPr>
        <w:t>Robert Cashell</w:t>
      </w:r>
    </w:p>
    <w:p w:rsidR="009B7368" w:rsidRPr="004918E0" w:rsidRDefault="009B7368" w:rsidP="009B7368">
      <w:pPr>
        <w:pStyle w:val="ListBullet"/>
        <w:rPr>
          <w:lang w:val="ga-IE"/>
        </w:rPr>
      </w:pPr>
      <w:r w:rsidRPr="004918E0">
        <w:rPr>
          <w:lang w:val="ga-IE"/>
        </w:rPr>
        <w:t>Frank Cunneen</w:t>
      </w:r>
    </w:p>
    <w:p w:rsidR="009B7368" w:rsidRPr="004918E0" w:rsidRDefault="009B7368" w:rsidP="009B7368">
      <w:pPr>
        <w:pStyle w:val="ListBullet"/>
        <w:rPr>
          <w:lang w:val="ga-IE"/>
        </w:rPr>
      </w:pPr>
      <w:r w:rsidRPr="004918E0">
        <w:rPr>
          <w:lang w:val="ga-IE"/>
        </w:rPr>
        <w:t>Des Kenny</w:t>
      </w:r>
    </w:p>
    <w:p w:rsidR="009B7368" w:rsidRPr="004918E0" w:rsidRDefault="009B7368" w:rsidP="009B7368">
      <w:pPr>
        <w:pStyle w:val="Heading2"/>
        <w:rPr>
          <w:lang w:val="ga-IE"/>
        </w:rPr>
      </w:pPr>
      <w:r w:rsidRPr="004918E0">
        <w:rPr>
          <w:lang w:val="ga-IE"/>
        </w:rPr>
        <w:t>An Coiste Airgeadais</w:t>
      </w:r>
    </w:p>
    <w:p w:rsidR="009B7368" w:rsidRPr="004918E0" w:rsidRDefault="009B7368" w:rsidP="009B7368">
      <w:pPr>
        <w:pStyle w:val="ListBullet"/>
        <w:rPr>
          <w:lang w:val="ga-IE"/>
        </w:rPr>
      </w:pPr>
      <w:r w:rsidRPr="004918E0">
        <w:rPr>
          <w:lang w:val="ga-IE"/>
        </w:rPr>
        <w:t>Frank Cunneen (Cathaoirleach)</w:t>
      </w:r>
    </w:p>
    <w:p w:rsidR="009B7368" w:rsidRPr="004918E0" w:rsidRDefault="009B7368" w:rsidP="009B7368">
      <w:pPr>
        <w:pStyle w:val="ListBullet"/>
        <w:rPr>
          <w:lang w:val="ga-IE"/>
        </w:rPr>
      </w:pPr>
      <w:r w:rsidRPr="004918E0">
        <w:rPr>
          <w:lang w:val="ga-IE"/>
        </w:rPr>
        <w:t>Caroline Burrell</w:t>
      </w:r>
    </w:p>
    <w:p w:rsidR="009B7368" w:rsidRPr="004918E0" w:rsidRDefault="009B7368" w:rsidP="009B7368">
      <w:pPr>
        <w:pStyle w:val="ListBullet"/>
        <w:rPr>
          <w:lang w:val="ga-IE"/>
        </w:rPr>
      </w:pPr>
      <w:r w:rsidRPr="004918E0">
        <w:rPr>
          <w:lang w:val="ga-IE"/>
        </w:rPr>
        <w:t>David Joyce</w:t>
      </w:r>
    </w:p>
    <w:p w:rsidR="009B7368" w:rsidRPr="004918E0" w:rsidRDefault="009B7368" w:rsidP="009B7368">
      <w:pPr>
        <w:pStyle w:val="ListBullet"/>
        <w:rPr>
          <w:lang w:val="ga-IE"/>
        </w:rPr>
      </w:pPr>
      <w:r w:rsidRPr="004918E0">
        <w:rPr>
          <w:lang w:val="ga-IE"/>
        </w:rPr>
        <w:t>Des Kenny</w:t>
      </w:r>
    </w:p>
    <w:p w:rsidR="009B7368" w:rsidRPr="004918E0" w:rsidRDefault="009B7368" w:rsidP="009B7368">
      <w:pPr>
        <w:pStyle w:val="ListBullet"/>
        <w:rPr>
          <w:lang w:val="ga-IE"/>
        </w:rPr>
      </w:pPr>
      <w:r w:rsidRPr="004918E0">
        <w:rPr>
          <w:lang w:val="ga-IE"/>
        </w:rPr>
        <w:t>David Scott</w:t>
      </w:r>
    </w:p>
    <w:p w:rsidR="009B7368" w:rsidRPr="004918E0" w:rsidRDefault="009B7368" w:rsidP="009B7368">
      <w:pPr>
        <w:pStyle w:val="ListBullet"/>
        <w:rPr>
          <w:lang w:val="ga-IE"/>
        </w:rPr>
      </w:pPr>
      <w:r w:rsidRPr="004918E0">
        <w:rPr>
          <w:lang w:val="ga-IE"/>
        </w:rPr>
        <w:t>Pat Fitzsimons (ceapadh i Márta 2012 é)</w:t>
      </w:r>
    </w:p>
    <w:p w:rsidR="009B7368" w:rsidRPr="004918E0" w:rsidRDefault="009B7368" w:rsidP="009B7368">
      <w:pPr>
        <w:pStyle w:val="Heading2"/>
        <w:rPr>
          <w:lang w:val="ga-IE"/>
        </w:rPr>
      </w:pPr>
      <w:r w:rsidRPr="004918E0">
        <w:rPr>
          <w:lang w:val="ga-IE"/>
        </w:rPr>
        <w:t>Fochoiste ar an Straitéis Náisiúnta Míchumais</w:t>
      </w:r>
    </w:p>
    <w:p w:rsidR="009B7368" w:rsidRPr="004918E0" w:rsidRDefault="009B7368" w:rsidP="009B7368">
      <w:pPr>
        <w:pStyle w:val="ListBullet"/>
        <w:rPr>
          <w:lang w:val="ga-IE"/>
        </w:rPr>
      </w:pPr>
      <w:r w:rsidRPr="004918E0">
        <w:rPr>
          <w:lang w:val="ga-IE"/>
        </w:rPr>
        <w:t>Shane Hogan (Cathaoirleach)</w:t>
      </w:r>
    </w:p>
    <w:p w:rsidR="009B7368" w:rsidRPr="004918E0" w:rsidRDefault="009B7368" w:rsidP="009B7368">
      <w:pPr>
        <w:pStyle w:val="ListBullet"/>
        <w:rPr>
          <w:lang w:val="ga-IE"/>
        </w:rPr>
      </w:pPr>
      <w:r w:rsidRPr="004918E0">
        <w:rPr>
          <w:lang w:val="ga-IE"/>
        </w:rPr>
        <w:t xml:space="preserve">Tara Cunningham </w:t>
      </w:r>
    </w:p>
    <w:p w:rsidR="009B7368" w:rsidRPr="004918E0" w:rsidRDefault="009B7368" w:rsidP="009B7368">
      <w:pPr>
        <w:pStyle w:val="ListBullet"/>
        <w:rPr>
          <w:lang w:val="ga-IE"/>
        </w:rPr>
      </w:pPr>
      <w:r w:rsidRPr="004918E0">
        <w:rPr>
          <w:lang w:val="ga-IE"/>
        </w:rPr>
        <w:t>James O'Grady</w:t>
      </w:r>
    </w:p>
    <w:p w:rsidR="009B7368" w:rsidRPr="004918E0" w:rsidRDefault="009B7368" w:rsidP="009B7368">
      <w:pPr>
        <w:pStyle w:val="ListBullet"/>
        <w:rPr>
          <w:lang w:val="ga-IE"/>
        </w:rPr>
      </w:pPr>
      <w:r w:rsidRPr="004918E0">
        <w:rPr>
          <w:lang w:val="ga-IE"/>
        </w:rPr>
        <w:t xml:space="preserve">David Joyce </w:t>
      </w:r>
    </w:p>
    <w:p w:rsidR="009B7368" w:rsidRPr="004918E0" w:rsidRDefault="009B7368" w:rsidP="009B7368">
      <w:pPr>
        <w:pStyle w:val="ListBullet"/>
        <w:rPr>
          <w:lang w:val="ga-IE"/>
        </w:rPr>
      </w:pPr>
      <w:r w:rsidRPr="004918E0">
        <w:rPr>
          <w:lang w:val="ga-IE"/>
        </w:rPr>
        <w:t>Mary Lavelle</w:t>
      </w:r>
    </w:p>
    <w:p w:rsidR="009B7368" w:rsidRPr="004918E0" w:rsidRDefault="009B7368" w:rsidP="009B7368">
      <w:pPr>
        <w:pStyle w:val="ListBullet"/>
        <w:rPr>
          <w:lang w:val="ga-IE"/>
        </w:rPr>
      </w:pPr>
      <w:r w:rsidRPr="004918E0">
        <w:rPr>
          <w:lang w:val="ga-IE"/>
        </w:rPr>
        <w:t>Joanne McCarthy</w:t>
      </w:r>
    </w:p>
    <w:p w:rsidR="009B7368" w:rsidRPr="004918E0" w:rsidRDefault="009B7368" w:rsidP="009B7368">
      <w:pPr>
        <w:rPr>
          <w:lang w:val="ga-IE"/>
        </w:rPr>
      </w:pPr>
    </w:p>
    <w:p w:rsidR="009B7368" w:rsidRPr="004918E0" w:rsidRDefault="009B7368" w:rsidP="009B7368">
      <w:pPr>
        <w:rPr>
          <w:lang w:val="ga-IE"/>
        </w:rPr>
      </w:pPr>
    </w:p>
    <w:p w:rsidR="009B7368" w:rsidRPr="004918E0" w:rsidRDefault="009B7368" w:rsidP="009B7368">
      <w:pPr>
        <w:pStyle w:val="Heading1"/>
        <w:rPr>
          <w:lang w:val="ga-IE"/>
        </w:rPr>
      </w:pPr>
      <w:bookmarkStart w:id="91" w:name="_Toc368646745"/>
      <w:r w:rsidRPr="004918E0">
        <w:rPr>
          <w:lang w:val="ga-IE"/>
        </w:rPr>
        <w:t>Aguisín 2: Ionadaíocht ar chomhlachtaí seachtracha i 2012</w:t>
      </w:r>
      <w:bookmarkEnd w:id="91"/>
      <w:r w:rsidRPr="004918E0">
        <w:rPr>
          <w:lang w:val="ga-IE"/>
        </w:rPr>
        <w:t xml:space="preserve"> </w:t>
      </w:r>
    </w:p>
    <w:p w:rsidR="009B7368" w:rsidRPr="004918E0" w:rsidRDefault="009B7368" w:rsidP="009B7368">
      <w:pPr>
        <w:pStyle w:val="Heading2"/>
        <w:rPr>
          <w:lang w:val="ga-IE"/>
        </w:rPr>
      </w:pPr>
      <w:r w:rsidRPr="004918E0">
        <w:rPr>
          <w:lang w:val="ga-IE"/>
        </w:rPr>
        <w:t>An earnáil phoiblí:</w:t>
      </w:r>
    </w:p>
    <w:p w:rsidR="009B7368" w:rsidRPr="004918E0" w:rsidRDefault="009B7368" w:rsidP="009B7368">
      <w:pPr>
        <w:pStyle w:val="Heading2"/>
        <w:rPr>
          <w:lang w:val="ga-IE"/>
        </w:rPr>
      </w:pPr>
      <w:r w:rsidRPr="004918E0">
        <w:rPr>
          <w:lang w:val="ga-IE"/>
        </w:rPr>
        <w:t xml:space="preserve">An Roinn Leanaí agus Gnóthaí Óige </w:t>
      </w:r>
    </w:p>
    <w:p w:rsidR="009B7368" w:rsidRPr="004918E0" w:rsidRDefault="009B7368" w:rsidP="009B7368">
      <w:pPr>
        <w:pStyle w:val="ListBullet"/>
        <w:spacing w:after="240"/>
        <w:rPr>
          <w:lang w:val="ga-IE"/>
        </w:rPr>
      </w:pPr>
      <w:r w:rsidRPr="004918E0">
        <w:rPr>
          <w:lang w:val="ga-IE"/>
        </w:rPr>
        <w:t xml:space="preserve">An Coiste Comhairleach Náisiúnta um Leanaí </w:t>
      </w:r>
    </w:p>
    <w:p w:rsidR="009B7368" w:rsidRPr="004918E0" w:rsidRDefault="009B7368" w:rsidP="009B7368">
      <w:pPr>
        <w:pStyle w:val="Heading2"/>
        <w:rPr>
          <w:lang w:val="ga-IE"/>
        </w:rPr>
      </w:pPr>
      <w:r w:rsidRPr="004918E0">
        <w:rPr>
          <w:lang w:val="ga-IE"/>
        </w:rPr>
        <w:t xml:space="preserve">An Roinn Cumarsáide, Fuinnimh agus Acmhainní Nádúrtha </w:t>
      </w:r>
    </w:p>
    <w:p w:rsidR="009B7368" w:rsidRPr="004918E0" w:rsidRDefault="009B7368" w:rsidP="009B7368">
      <w:pPr>
        <w:pStyle w:val="ListBullet"/>
        <w:rPr>
          <w:lang w:val="ga-IE"/>
        </w:rPr>
      </w:pPr>
      <w:r w:rsidRPr="004918E0">
        <w:rPr>
          <w:lang w:val="ga-IE"/>
        </w:rPr>
        <w:t xml:space="preserve">An Coiste Monatóireachta ar an bPlean Earnála agus Cuid 5 </w:t>
      </w:r>
    </w:p>
    <w:p w:rsidR="009B7368" w:rsidRPr="004918E0" w:rsidRDefault="009B7368" w:rsidP="009B7368">
      <w:pPr>
        <w:pStyle w:val="Heading3"/>
        <w:rPr>
          <w:lang w:val="ga-IE"/>
        </w:rPr>
      </w:pPr>
      <w:r w:rsidRPr="004918E0">
        <w:rPr>
          <w:lang w:val="ga-IE"/>
        </w:rPr>
        <w:t xml:space="preserve">An Coimisiún um Rialáil Cumarsáide </w:t>
      </w:r>
    </w:p>
    <w:p w:rsidR="009B7368" w:rsidRPr="004918E0" w:rsidRDefault="009B7368" w:rsidP="009B7368">
      <w:pPr>
        <w:pStyle w:val="Heading3"/>
        <w:rPr>
          <w:lang w:val="ga-IE"/>
        </w:rPr>
      </w:pPr>
      <w:r w:rsidRPr="004918E0">
        <w:rPr>
          <w:lang w:val="ga-IE"/>
        </w:rPr>
        <w:t xml:space="preserve">Painéal Comhairleach Tomhaltóirí </w:t>
      </w:r>
    </w:p>
    <w:p w:rsidR="009B7368" w:rsidRPr="004918E0" w:rsidRDefault="009B7368" w:rsidP="009B7368">
      <w:pPr>
        <w:pStyle w:val="ListBullet"/>
        <w:spacing w:after="240"/>
        <w:rPr>
          <w:lang w:val="ga-IE"/>
        </w:rPr>
      </w:pPr>
      <w:r w:rsidRPr="004918E0">
        <w:rPr>
          <w:lang w:val="ga-IE"/>
        </w:rPr>
        <w:t xml:space="preserve">Fóram Tionscail ar Sheirbhísí do Dhaoine faoi Mhíchumas </w:t>
      </w:r>
    </w:p>
    <w:p w:rsidR="009B7368" w:rsidRPr="004918E0" w:rsidRDefault="009B7368" w:rsidP="009B7368">
      <w:pPr>
        <w:pStyle w:val="Heading2"/>
        <w:rPr>
          <w:lang w:val="ga-IE"/>
        </w:rPr>
      </w:pPr>
      <w:r w:rsidRPr="004918E0">
        <w:rPr>
          <w:lang w:val="ga-IE"/>
        </w:rPr>
        <w:t xml:space="preserve">An Roinn Oideachais agus Scileanna </w:t>
      </w:r>
    </w:p>
    <w:p w:rsidR="009B7368" w:rsidRPr="004918E0" w:rsidRDefault="009B7368" w:rsidP="009B7368">
      <w:pPr>
        <w:pStyle w:val="Heading3"/>
        <w:rPr>
          <w:lang w:val="ga-IE"/>
        </w:rPr>
      </w:pPr>
      <w:r w:rsidRPr="004918E0">
        <w:rPr>
          <w:lang w:val="ga-IE"/>
        </w:rPr>
        <w:t xml:space="preserve">An Chomhairle Náisiúnta um Oideachas Speisialta </w:t>
      </w:r>
    </w:p>
    <w:p w:rsidR="009B7368" w:rsidRPr="004918E0" w:rsidRDefault="009B7368" w:rsidP="009B7368">
      <w:pPr>
        <w:pStyle w:val="ListBullet"/>
        <w:rPr>
          <w:lang w:val="ga-IE"/>
        </w:rPr>
      </w:pPr>
      <w:r w:rsidRPr="004918E0">
        <w:rPr>
          <w:lang w:val="ga-IE"/>
        </w:rPr>
        <w:t xml:space="preserve">Bhí Stiúrthóir an Údarás Náisiúnta Míchumas ina comhalta den Chomhairle  agus dá Coiste Iniúchóireachta </w:t>
      </w:r>
    </w:p>
    <w:p w:rsidR="009B7368" w:rsidRPr="004918E0" w:rsidRDefault="009B7368" w:rsidP="009B7368">
      <w:pPr>
        <w:pStyle w:val="ListBullet"/>
        <w:rPr>
          <w:lang w:val="ga-IE"/>
        </w:rPr>
      </w:pPr>
      <w:r w:rsidRPr="004918E0">
        <w:rPr>
          <w:lang w:val="ga-IE"/>
        </w:rPr>
        <w:t>Grúpa Comhairleach ar Thuarascáil Taighde — “Continuum of Education</w:t>
      </w:r>
      <w:r w:rsidRPr="004918E0">
        <w:rPr>
          <w:rStyle w:val="StyleListBulletItalicChar"/>
          <w:lang w:val="ga-IE"/>
        </w:rPr>
        <w:t xml:space="preserve"> Provision for Children with Special Educational Needs: Review of International Policies and Practices</w:t>
      </w:r>
      <w:r w:rsidRPr="004918E0">
        <w:rPr>
          <w:lang w:val="ga-IE"/>
        </w:rPr>
        <w:t>”</w:t>
      </w:r>
    </w:p>
    <w:p w:rsidR="009B7368" w:rsidRPr="004918E0" w:rsidRDefault="009B7368" w:rsidP="009B7368">
      <w:pPr>
        <w:pStyle w:val="ListBullet"/>
        <w:spacing w:after="240"/>
        <w:rPr>
          <w:lang w:val="ga-IE"/>
        </w:rPr>
      </w:pPr>
      <w:r w:rsidRPr="004918E0">
        <w:rPr>
          <w:lang w:val="ga-IE"/>
        </w:rPr>
        <w:t>Fóram Comhairleach</w:t>
      </w:r>
    </w:p>
    <w:p w:rsidR="009B7368" w:rsidRPr="004918E0" w:rsidRDefault="009B7368" w:rsidP="009B7368">
      <w:pPr>
        <w:pStyle w:val="ListBullet"/>
        <w:spacing w:after="240"/>
        <w:rPr>
          <w:lang w:val="ga-IE"/>
        </w:rPr>
      </w:pPr>
      <w:r w:rsidRPr="004918E0">
        <w:rPr>
          <w:lang w:val="ga-IE"/>
        </w:rPr>
        <w:t xml:space="preserve">Coistí comhairleacha ar phíosaí sonracha taighde </w:t>
      </w:r>
    </w:p>
    <w:p w:rsidR="009B7368" w:rsidRPr="004918E0" w:rsidRDefault="009B7368" w:rsidP="009B7368">
      <w:pPr>
        <w:pStyle w:val="Heading2"/>
        <w:rPr>
          <w:lang w:val="ga-IE"/>
        </w:rPr>
      </w:pPr>
      <w:r w:rsidRPr="004918E0">
        <w:rPr>
          <w:lang w:val="ga-IE"/>
        </w:rPr>
        <w:t xml:space="preserve">An Roinn Comhshaoil, Pobail agus Rialtais Áitiúil </w:t>
      </w:r>
    </w:p>
    <w:p w:rsidR="009B7368" w:rsidRPr="004918E0" w:rsidRDefault="009B7368" w:rsidP="009B7368">
      <w:pPr>
        <w:pStyle w:val="ListBullet"/>
        <w:rPr>
          <w:lang w:val="ga-IE"/>
        </w:rPr>
      </w:pPr>
      <w:r w:rsidRPr="004918E0">
        <w:rPr>
          <w:lang w:val="ga-IE"/>
        </w:rPr>
        <w:t xml:space="preserve">Straitéis Tithíochta Náisiúnta do Dhaoine faoi Mhíchumas — Grúpa Monatóireachta Feidhmithe agus Foghrúpa ar Thithíocht </w:t>
      </w:r>
    </w:p>
    <w:p w:rsidR="009B7368" w:rsidRPr="004918E0" w:rsidRDefault="009B7368" w:rsidP="009B7368">
      <w:pPr>
        <w:pStyle w:val="ListBullet"/>
        <w:rPr>
          <w:lang w:val="ga-IE"/>
        </w:rPr>
      </w:pPr>
      <w:r w:rsidRPr="004918E0">
        <w:rPr>
          <w:lang w:val="ga-IE"/>
        </w:rPr>
        <w:t xml:space="preserve">Coiste Comhairle ar an bPlean Earnála faoin Acht Míchumais </w:t>
      </w:r>
    </w:p>
    <w:p w:rsidR="009B7368" w:rsidRPr="004918E0" w:rsidRDefault="009B7368" w:rsidP="009B7368">
      <w:pPr>
        <w:pStyle w:val="Heading3"/>
        <w:rPr>
          <w:lang w:val="ga-IE"/>
        </w:rPr>
      </w:pPr>
      <w:r w:rsidRPr="004918E0">
        <w:rPr>
          <w:lang w:val="ga-IE"/>
        </w:rPr>
        <w:t xml:space="preserve">An Ghníomhaireacht Bainistíochta Rialtais Áitiúil </w:t>
      </w:r>
    </w:p>
    <w:p w:rsidR="009B7368" w:rsidRPr="004918E0" w:rsidRDefault="009B7368" w:rsidP="009B7368">
      <w:pPr>
        <w:pStyle w:val="ListBullet"/>
        <w:rPr>
          <w:lang w:val="ga-IE"/>
        </w:rPr>
      </w:pPr>
      <w:r w:rsidRPr="004918E0">
        <w:rPr>
          <w:lang w:val="ga-IE"/>
        </w:rPr>
        <w:t xml:space="preserve">Grúpa Stiúrtha ar an Acht um Míchumas </w:t>
      </w:r>
    </w:p>
    <w:p w:rsidR="009B7368" w:rsidRPr="004918E0" w:rsidRDefault="009B7368" w:rsidP="009B7368">
      <w:pPr>
        <w:pStyle w:val="ListBullet"/>
        <w:rPr>
          <w:lang w:val="ga-IE"/>
        </w:rPr>
      </w:pPr>
      <w:r w:rsidRPr="004918E0">
        <w:rPr>
          <w:lang w:val="ga-IE"/>
        </w:rPr>
        <w:t xml:space="preserve">Fochoiste ar an Teastas Rochtana do Dhaoine faoi Mhíchumas </w:t>
      </w:r>
    </w:p>
    <w:p w:rsidR="009B7368" w:rsidRPr="004918E0" w:rsidRDefault="009B7368" w:rsidP="009B7368">
      <w:pPr>
        <w:pStyle w:val="Heading2"/>
        <w:rPr>
          <w:lang w:val="ga-IE"/>
        </w:rPr>
      </w:pPr>
      <w:r w:rsidRPr="004918E0">
        <w:rPr>
          <w:lang w:val="ga-IE"/>
        </w:rPr>
        <w:t>An Roinn Sláinte</w:t>
      </w:r>
    </w:p>
    <w:p w:rsidR="009B7368" w:rsidRPr="004918E0" w:rsidRDefault="009B7368" w:rsidP="009B7368">
      <w:pPr>
        <w:pStyle w:val="ListBullet"/>
        <w:rPr>
          <w:lang w:val="ga-IE"/>
        </w:rPr>
      </w:pPr>
      <w:r w:rsidRPr="004918E0">
        <w:rPr>
          <w:lang w:val="ga-IE"/>
        </w:rPr>
        <w:t xml:space="preserve">Grúpa comhairleach ar an mBunachar Náisiúnta ar Mhíchumais Fhisiceacha agus Chéadfacha </w:t>
      </w:r>
    </w:p>
    <w:p w:rsidR="009B7368" w:rsidRPr="004918E0" w:rsidRDefault="009B7368" w:rsidP="009B7368">
      <w:pPr>
        <w:pStyle w:val="ListBullet"/>
        <w:rPr>
          <w:lang w:val="ga-IE"/>
        </w:rPr>
      </w:pPr>
      <w:r w:rsidRPr="004918E0">
        <w:rPr>
          <w:lang w:val="ga-IE"/>
        </w:rPr>
        <w:t xml:space="preserve">Grúpa Monatóireachta Neamhspleách— Fís don Athrú </w:t>
      </w:r>
    </w:p>
    <w:p w:rsidR="009B7368" w:rsidRPr="004918E0" w:rsidRDefault="009B7368" w:rsidP="009B7368">
      <w:pPr>
        <w:pStyle w:val="ListBullet"/>
        <w:numPr>
          <w:ilvl w:val="0"/>
          <w:numId w:val="0"/>
        </w:numPr>
        <w:rPr>
          <w:lang w:val="ga-IE"/>
        </w:rPr>
      </w:pPr>
    </w:p>
    <w:p w:rsidR="009B7368" w:rsidRPr="004918E0" w:rsidRDefault="009B7368" w:rsidP="009B7368">
      <w:pPr>
        <w:pStyle w:val="Heading3"/>
        <w:rPr>
          <w:lang w:val="ga-IE"/>
        </w:rPr>
      </w:pPr>
      <w:r w:rsidRPr="004918E0">
        <w:rPr>
          <w:lang w:val="ga-IE"/>
        </w:rPr>
        <w:t xml:space="preserve">Feidhmeannacht na Seirbhíse Sláinte </w:t>
      </w:r>
    </w:p>
    <w:p w:rsidR="009B7368" w:rsidRPr="004918E0" w:rsidRDefault="009B7368" w:rsidP="009B7368">
      <w:pPr>
        <w:pStyle w:val="ListBullet"/>
        <w:rPr>
          <w:lang w:val="ga-IE"/>
        </w:rPr>
      </w:pPr>
      <w:r w:rsidRPr="004918E0">
        <w:rPr>
          <w:lang w:val="ga-IE"/>
        </w:rPr>
        <w:t>Grúpa Feidhmithe Náisiúnta le haghaidh “Time to Move on from Congregated Settings”</w:t>
      </w:r>
    </w:p>
    <w:p w:rsidR="009B7368" w:rsidRPr="004918E0" w:rsidRDefault="009B7368" w:rsidP="009B7368">
      <w:pPr>
        <w:pStyle w:val="ListBullet"/>
        <w:rPr>
          <w:lang w:val="ga-IE"/>
        </w:rPr>
      </w:pPr>
      <w:r w:rsidRPr="004918E0">
        <w:rPr>
          <w:lang w:val="ga-IE"/>
        </w:rPr>
        <w:t xml:space="preserve">Grúpa feidhmithe náisiúnta le haghaidh “New Directions”, agus a Fhoghrúpa Caighdeán </w:t>
      </w:r>
    </w:p>
    <w:p w:rsidR="009B7368" w:rsidRPr="004918E0" w:rsidRDefault="009B7368" w:rsidP="009B7368">
      <w:pPr>
        <w:pStyle w:val="ListBullet"/>
        <w:rPr>
          <w:lang w:val="ga-IE"/>
        </w:rPr>
      </w:pPr>
      <w:r w:rsidRPr="004918E0">
        <w:rPr>
          <w:lang w:val="ga-IE"/>
        </w:rPr>
        <w:t xml:space="preserve">Fóram Comhairliúcháin Náisiúnta </w:t>
      </w:r>
    </w:p>
    <w:p w:rsidR="009B7368" w:rsidRPr="004918E0" w:rsidRDefault="009B7368" w:rsidP="009B7368">
      <w:pPr>
        <w:pStyle w:val="ListBullet"/>
        <w:rPr>
          <w:lang w:val="ga-IE"/>
        </w:rPr>
      </w:pPr>
      <w:r w:rsidRPr="004918E0">
        <w:rPr>
          <w:lang w:val="ga-IE"/>
        </w:rPr>
        <w:t xml:space="preserve">Coiste Stiúrtha ar Rochtain Uilíoch </w:t>
      </w:r>
    </w:p>
    <w:p w:rsidR="009B7368" w:rsidRPr="004918E0" w:rsidRDefault="009B7368" w:rsidP="009B7368">
      <w:pPr>
        <w:pStyle w:val="Heading3"/>
        <w:rPr>
          <w:lang w:val="ga-IE"/>
        </w:rPr>
      </w:pPr>
      <w:r w:rsidRPr="004918E0">
        <w:rPr>
          <w:lang w:val="ga-IE"/>
        </w:rPr>
        <w:t xml:space="preserve">An tÚdarás um Fhaisnéis agus Cháilíocht Sláinte </w:t>
      </w:r>
    </w:p>
    <w:p w:rsidR="009B7368" w:rsidRPr="004918E0" w:rsidRDefault="009B7368" w:rsidP="009B7368">
      <w:pPr>
        <w:pStyle w:val="ListBullet"/>
        <w:spacing w:after="240"/>
        <w:rPr>
          <w:lang w:val="ga-IE"/>
        </w:rPr>
      </w:pPr>
      <w:r w:rsidRPr="004918E0">
        <w:rPr>
          <w:lang w:val="ga-IE"/>
        </w:rPr>
        <w:t xml:space="preserve">Grúpa Comhairleach ar Chaighdeáin le haghaidh Caighdeán Náisiúnta um Sheirbhísí Cónaitheacha do Leanaí agus Dhaoine Fásta faoi Mhíchumas </w:t>
      </w:r>
    </w:p>
    <w:p w:rsidR="009B7368" w:rsidRPr="004918E0" w:rsidRDefault="009B7368" w:rsidP="009B7368">
      <w:pPr>
        <w:pStyle w:val="Heading2"/>
        <w:rPr>
          <w:lang w:val="ga-IE"/>
        </w:rPr>
      </w:pPr>
      <w:r w:rsidRPr="004918E0">
        <w:rPr>
          <w:lang w:val="ga-IE"/>
        </w:rPr>
        <w:t xml:space="preserve">An Roinn Dlí agus Cirt agus Comhionannais </w:t>
      </w:r>
    </w:p>
    <w:p w:rsidR="009B7368" w:rsidRPr="004918E0" w:rsidRDefault="009B7368" w:rsidP="009B7368">
      <w:pPr>
        <w:pStyle w:val="ListBullet"/>
        <w:rPr>
          <w:lang w:val="ga-IE"/>
        </w:rPr>
      </w:pPr>
      <w:r w:rsidRPr="004918E0">
        <w:rPr>
          <w:rFonts w:cs="Gill Sans"/>
          <w:bCs/>
          <w:color w:val="000000"/>
          <w:szCs w:val="26"/>
          <w:lang w:val="ga-IE" w:eastAsia="en-GB"/>
        </w:rPr>
        <w:t xml:space="preserve">Grúpa Feidhmithe an Straitéis Náisiúnta Míchumais </w:t>
      </w:r>
    </w:p>
    <w:p w:rsidR="009B7368" w:rsidRPr="004918E0" w:rsidRDefault="009B7368" w:rsidP="009B7368">
      <w:pPr>
        <w:pStyle w:val="ListBullet"/>
        <w:spacing w:after="240"/>
        <w:rPr>
          <w:lang w:val="ga-IE"/>
        </w:rPr>
      </w:pPr>
      <w:r w:rsidRPr="004918E0">
        <w:rPr>
          <w:rFonts w:cs="Gill Sans"/>
          <w:bCs/>
          <w:color w:val="000000"/>
          <w:szCs w:val="26"/>
          <w:lang w:val="ga-IE" w:eastAsia="en-GB"/>
        </w:rPr>
        <w:t xml:space="preserve">Coiste Monatóireachta ar Chuid 5 </w:t>
      </w:r>
    </w:p>
    <w:p w:rsidR="009B7368" w:rsidRPr="004918E0" w:rsidRDefault="009B7368" w:rsidP="009B7368">
      <w:pPr>
        <w:pStyle w:val="ListBullet"/>
        <w:spacing w:after="240"/>
        <w:rPr>
          <w:lang w:val="ga-IE"/>
        </w:rPr>
      </w:pPr>
      <w:r w:rsidRPr="004918E0">
        <w:rPr>
          <w:lang w:val="ga-IE"/>
        </w:rPr>
        <w:t xml:space="preserve">An Coiste Stiúrtha Náisiúnta ar Fhoréigean i gcoinne Ban </w:t>
      </w:r>
    </w:p>
    <w:p w:rsidR="009B7368" w:rsidRPr="004918E0" w:rsidRDefault="009B7368" w:rsidP="009B7368">
      <w:pPr>
        <w:pStyle w:val="Heading3"/>
        <w:rPr>
          <w:lang w:val="ga-IE"/>
        </w:rPr>
      </w:pPr>
      <w:r w:rsidRPr="004918E0">
        <w:rPr>
          <w:lang w:val="ga-IE"/>
        </w:rPr>
        <w:t xml:space="preserve">An tÚdarás Comhionannais </w:t>
      </w:r>
    </w:p>
    <w:p w:rsidR="009B7368" w:rsidRPr="004918E0" w:rsidRDefault="009B7368" w:rsidP="009B7368">
      <w:pPr>
        <w:pStyle w:val="ListBullet"/>
        <w:spacing w:after="240"/>
        <w:rPr>
          <w:lang w:val="ga-IE"/>
        </w:rPr>
      </w:pPr>
      <w:r w:rsidRPr="004918E0">
        <w:rPr>
          <w:lang w:val="ga-IE"/>
        </w:rPr>
        <w:t>Public Sector Equality Learning Network</w:t>
      </w:r>
    </w:p>
    <w:p w:rsidR="009B7368" w:rsidRPr="004918E0" w:rsidRDefault="009B7368" w:rsidP="009B7368">
      <w:pPr>
        <w:pStyle w:val="Heading2"/>
        <w:rPr>
          <w:lang w:val="ga-IE"/>
        </w:rPr>
      </w:pPr>
      <w:r w:rsidRPr="004918E0">
        <w:rPr>
          <w:lang w:val="ga-IE"/>
        </w:rPr>
        <w:t xml:space="preserve">An Roinn Coimirce Sóisialaí </w:t>
      </w:r>
    </w:p>
    <w:p w:rsidR="009B7368" w:rsidRPr="004918E0" w:rsidRDefault="009B7368" w:rsidP="009B7368">
      <w:pPr>
        <w:pStyle w:val="ListBullet"/>
        <w:rPr>
          <w:lang w:val="ga-IE"/>
        </w:rPr>
      </w:pPr>
      <w:r w:rsidRPr="004918E0">
        <w:rPr>
          <w:lang w:val="ga-IE"/>
        </w:rPr>
        <w:t xml:space="preserve">Grúpa Athbhreithnithe an Liúntas Cúram Baile </w:t>
      </w:r>
    </w:p>
    <w:p w:rsidR="009B7368" w:rsidRPr="004918E0" w:rsidRDefault="009B7368" w:rsidP="009B7368">
      <w:pPr>
        <w:pStyle w:val="ListBullet"/>
        <w:rPr>
          <w:lang w:val="ga-IE"/>
        </w:rPr>
      </w:pPr>
      <w:r w:rsidRPr="004918E0">
        <w:rPr>
          <w:lang w:val="ga-IE"/>
        </w:rPr>
        <w:t xml:space="preserve">Fóram Comhairliúcháin ar Mhíchumas </w:t>
      </w:r>
    </w:p>
    <w:p w:rsidR="009B7368" w:rsidRPr="004918E0" w:rsidRDefault="009B7368" w:rsidP="009B7368">
      <w:pPr>
        <w:pStyle w:val="Heading3"/>
        <w:rPr>
          <w:lang w:val="ga-IE"/>
        </w:rPr>
      </w:pPr>
      <w:r w:rsidRPr="004918E0">
        <w:rPr>
          <w:lang w:val="ga-IE"/>
        </w:rPr>
        <w:t>An Bord um Fhaisnéis do Shaoránaigh</w:t>
      </w:r>
    </w:p>
    <w:p w:rsidR="009B7368" w:rsidRPr="004918E0" w:rsidRDefault="009B7368" w:rsidP="009B7368">
      <w:pPr>
        <w:pStyle w:val="ListBullet"/>
        <w:rPr>
          <w:lang w:val="ga-IE"/>
        </w:rPr>
      </w:pPr>
      <w:r w:rsidRPr="004918E0">
        <w:rPr>
          <w:lang w:val="ga-IE"/>
        </w:rPr>
        <w:t xml:space="preserve">An tSeirbhís Aighneachta Náisiúnta – an Grúpa Comhairleach Náisiúnta </w:t>
      </w:r>
    </w:p>
    <w:p w:rsidR="009B7368" w:rsidRPr="004918E0" w:rsidRDefault="009B7368" w:rsidP="009B7368">
      <w:pPr>
        <w:pStyle w:val="Heading2"/>
        <w:rPr>
          <w:lang w:val="ga-IE"/>
        </w:rPr>
      </w:pPr>
      <w:r w:rsidRPr="004918E0">
        <w:rPr>
          <w:lang w:val="ga-IE"/>
        </w:rPr>
        <w:t xml:space="preserve">An Roinn Iompair, Turasóireachta agus Spóirt </w:t>
      </w:r>
    </w:p>
    <w:p w:rsidR="009B7368" w:rsidRPr="004918E0" w:rsidRDefault="009B7368" w:rsidP="009B7368">
      <w:pPr>
        <w:pStyle w:val="ListBullet"/>
        <w:spacing w:after="240"/>
        <w:rPr>
          <w:lang w:val="ga-IE"/>
        </w:rPr>
      </w:pPr>
      <w:r w:rsidRPr="004918E0">
        <w:rPr>
          <w:lang w:val="ga-IE"/>
        </w:rPr>
        <w:t xml:space="preserve">Coiste um Inrochtaineacht Iompair Phoiblí </w:t>
      </w:r>
    </w:p>
    <w:p w:rsidR="009B7368" w:rsidRPr="004918E0" w:rsidRDefault="009B7368" w:rsidP="009B7368">
      <w:pPr>
        <w:pStyle w:val="Heading3"/>
        <w:rPr>
          <w:lang w:val="ga-IE"/>
        </w:rPr>
      </w:pPr>
      <w:r w:rsidRPr="004918E0">
        <w:rPr>
          <w:lang w:val="ga-IE"/>
        </w:rPr>
        <w:t xml:space="preserve">An tÚdarás Náisiúnta Iompair </w:t>
      </w:r>
    </w:p>
    <w:p w:rsidR="009B7368" w:rsidRPr="004918E0" w:rsidRDefault="009B7368" w:rsidP="009B7368">
      <w:pPr>
        <w:pStyle w:val="ListBullet"/>
        <w:spacing w:after="240"/>
        <w:rPr>
          <w:lang w:val="ga-IE"/>
        </w:rPr>
      </w:pPr>
      <w:r w:rsidRPr="004918E0">
        <w:rPr>
          <w:lang w:val="ga-IE"/>
        </w:rPr>
        <w:t xml:space="preserve">Coiste Comhairleach Tacsaithe </w:t>
      </w:r>
    </w:p>
    <w:p w:rsidR="009B7368" w:rsidRPr="004918E0" w:rsidRDefault="009B7368" w:rsidP="009B7368">
      <w:pPr>
        <w:pStyle w:val="Heading2"/>
        <w:rPr>
          <w:lang w:val="ga-IE"/>
        </w:rPr>
      </w:pPr>
      <w:r w:rsidRPr="004918E0">
        <w:rPr>
          <w:lang w:val="ga-IE"/>
        </w:rPr>
        <w:t>Eile</w:t>
      </w:r>
    </w:p>
    <w:p w:rsidR="009B7368" w:rsidRPr="004918E0" w:rsidRDefault="009B7368" w:rsidP="009B7368">
      <w:pPr>
        <w:pStyle w:val="ListBullet"/>
        <w:rPr>
          <w:lang w:val="ga-IE"/>
        </w:rPr>
      </w:pPr>
      <w:r w:rsidRPr="004918E0">
        <w:rPr>
          <w:lang w:val="ga-IE"/>
        </w:rPr>
        <w:t xml:space="preserve">Coiste Comhairleach don Fhorlíonadh ar Mhíchumas Intleachta i Staidéar Fadaimseartha na hÉireann ar Aosú </w:t>
      </w:r>
    </w:p>
    <w:p w:rsidR="009B7368" w:rsidRPr="004918E0" w:rsidRDefault="009B7368" w:rsidP="009B7368">
      <w:pPr>
        <w:pStyle w:val="ListBullet"/>
        <w:rPr>
          <w:lang w:val="ga-IE"/>
        </w:rPr>
      </w:pPr>
      <w:r w:rsidRPr="004918E0">
        <w:rPr>
          <w:lang w:val="ga-IE"/>
        </w:rPr>
        <w:t xml:space="preserve">Coiste Comhairleach Náisiúnta ar an líonra Age Well </w:t>
      </w:r>
    </w:p>
    <w:p w:rsidR="009B7368" w:rsidRPr="004918E0" w:rsidRDefault="009B7368" w:rsidP="009B7368">
      <w:pPr>
        <w:pStyle w:val="ListBullet"/>
        <w:rPr>
          <w:lang w:val="ga-IE"/>
        </w:rPr>
      </w:pPr>
      <w:r w:rsidRPr="004918E0">
        <w:rPr>
          <w:lang w:val="ga-IE"/>
        </w:rPr>
        <w:t xml:space="preserve">Coiste na hEorpa um Chaighdeánú (CEN) — Foireann Tionscadail do Mhandáit 376 </w:t>
      </w:r>
    </w:p>
    <w:p w:rsidR="009B7368" w:rsidRPr="004918E0" w:rsidRDefault="009B7368" w:rsidP="009B7368">
      <w:pPr>
        <w:pStyle w:val="Heading1"/>
        <w:rPr>
          <w:lang w:val="ga-IE"/>
        </w:rPr>
      </w:pPr>
      <w:bookmarkStart w:id="92" w:name="_Toc368646746"/>
      <w:r w:rsidRPr="004918E0">
        <w:rPr>
          <w:lang w:val="ga-IE"/>
        </w:rPr>
        <w:t>Aguisín 3: Foilseacháin i 2012</w:t>
      </w:r>
      <w:bookmarkEnd w:id="92"/>
    </w:p>
    <w:p w:rsidR="009B7368" w:rsidRPr="004918E0" w:rsidRDefault="009B7368" w:rsidP="009B7368">
      <w:pPr>
        <w:pStyle w:val="ListBullet"/>
        <w:rPr>
          <w:lang w:val="ga-IE"/>
        </w:rPr>
      </w:pPr>
      <w:r w:rsidRPr="004918E0">
        <w:rPr>
          <w:lang w:val="ga-IE"/>
        </w:rPr>
        <w:t>Tógáil do Chách: Cur Chuige Dearaidh Uilíoch</w:t>
      </w:r>
    </w:p>
    <w:p w:rsidR="009B7368" w:rsidRPr="004918E0" w:rsidRDefault="009B7368" w:rsidP="009B7368">
      <w:pPr>
        <w:pStyle w:val="ListBullet"/>
        <w:rPr>
          <w:lang w:val="ga-IE"/>
        </w:rPr>
      </w:pPr>
      <w:r w:rsidRPr="004918E0">
        <w:rPr>
          <w:lang w:val="ga-IE"/>
        </w:rPr>
        <w:t xml:space="preserve">Foireann Uirlisí Inrochtaineachta do bhaill foirne na hearnála poiblí </w:t>
      </w:r>
    </w:p>
    <w:p w:rsidR="009B7368" w:rsidRPr="004918E0" w:rsidRDefault="009B7368" w:rsidP="009B7368">
      <w:pPr>
        <w:pStyle w:val="ListBullet"/>
        <w:rPr>
          <w:lang w:val="ga-IE"/>
        </w:rPr>
      </w:pPr>
      <w:r w:rsidRPr="004918E0">
        <w:rPr>
          <w:lang w:val="ga-IE"/>
        </w:rPr>
        <w:t>Shared Space, Shared Surfaces and Home Zones from a Universal Design Approach for the Urban Environment in Ireland</w:t>
      </w:r>
    </w:p>
    <w:p w:rsidR="009B7368" w:rsidRPr="004918E0" w:rsidRDefault="009B7368" w:rsidP="009B7368">
      <w:pPr>
        <w:pStyle w:val="ListBullet"/>
        <w:rPr>
          <w:lang w:val="ga-IE"/>
        </w:rPr>
      </w:pPr>
      <w:r w:rsidRPr="004918E0">
        <w:rPr>
          <w:lang w:val="ga-IE"/>
        </w:rPr>
        <w:t>Access to Justice for People with Disabilities as Victims of Crime in Ireland</w:t>
      </w:r>
    </w:p>
    <w:p w:rsidR="009B7368" w:rsidRPr="004918E0" w:rsidRDefault="009B7368" w:rsidP="009B7368">
      <w:pPr>
        <w:pStyle w:val="ListBullet"/>
        <w:rPr>
          <w:lang w:val="ga-IE"/>
        </w:rPr>
      </w:pPr>
      <w:r w:rsidRPr="004918E0">
        <w:rPr>
          <w:lang w:val="ga-IE"/>
        </w:rPr>
        <w:t>Research on the provision of Assistive Technology in Ireland</w:t>
      </w:r>
    </w:p>
    <w:p w:rsidR="009B7368" w:rsidRPr="004918E0" w:rsidRDefault="009B7368" w:rsidP="009B7368">
      <w:pPr>
        <w:pStyle w:val="ListBullet"/>
        <w:rPr>
          <w:lang w:val="ga-IE"/>
        </w:rPr>
      </w:pPr>
      <w:r w:rsidRPr="004918E0">
        <w:rPr>
          <w:lang w:val="ga-IE"/>
        </w:rPr>
        <w:t>Universal Health Insurance systems and the provision of health services for people with disabilities</w:t>
      </w:r>
    </w:p>
    <w:p w:rsidR="009B7368" w:rsidRPr="004918E0" w:rsidRDefault="009B7368" w:rsidP="009B7368">
      <w:pPr>
        <w:pStyle w:val="ListBullet"/>
        <w:rPr>
          <w:lang w:val="ga-IE"/>
        </w:rPr>
      </w:pPr>
      <w:r w:rsidRPr="004918E0">
        <w:rPr>
          <w:lang w:val="ga-IE"/>
        </w:rPr>
        <w:t>Living in your own home with a disability</w:t>
      </w:r>
    </w:p>
    <w:p w:rsidR="009B7368" w:rsidRPr="004918E0" w:rsidRDefault="009B7368" w:rsidP="009B7368">
      <w:pPr>
        <w:pStyle w:val="ListBullet"/>
        <w:rPr>
          <w:lang w:val="ga-IE"/>
        </w:rPr>
      </w:pPr>
      <w:r w:rsidRPr="004918E0">
        <w:rPr>
          <w:lang w:val="ga-IE"/>
        </w:rPr>
        <w:t>Procurement and Accessibility</w:t>
      </w:r>
    </w:p>
    <w:p w:rsidR="009B7368" w:rsidRPr="004918E0" w:rsidRDefault="009B7368" w:rsidP="009B7368">
      <w:pPr>
        <w:pStyle w:val="ListBullet"/>
        <w:rPr>
          <w:lang w:val="ga-IE"/>
        </w:rPr>
      </w:pPr>
      <w:r w:rsidRPr="004918E0">
        <w:rPr>
          <w:lang w:val="ga-IE"/>
        </w:rPr>
        <w:t xml:space="preserve">Tuarascáil 2012 “Your Voice Your Choice” </w:t>
      </w:r>
    </w:p>
    <w:p w:rsidR="009B7368" w:rsidRPr="004918E0" w:rsidRDefault="009B7368" w:rsidP="009B7368">
      <w:pPr>
        <w:pStyle w:val="ListBullet"/>
        <w:rPr>
          <w:lang w:val="ga-IE"/>
        </w:rPr>
      </w:pPr>
      <w:r w:rsidRPr="004918E0">
        <w:rPr>
          <w:lang w:val="ga-IE"/>
        </w:rPr>
        <w:t xml:space="preserve">Tuarascáil 2011 ar Chomhlíonadh Cuid 5 den Acht um Míchumas ar Fhostú Daoine faoi Mhíchumas san Earnáil Phoiblí </w:t>
      </w:r>
    </w:p>
    <w:p w:rsidR="009B7368" w:rsidRPr="004918E0" w:rsidRDefault="009B7368" w:rsidP="009B7368">
      <w:pPr>
        <w:pStyle w:val="ListBullet"/>
        <w:rPr>
          <w:lang w:val="ga-IE"/>
        </w:rPr>
      </w:pPr>
      <w:r w:rsidRPr="004918E0">
        <w:rPr>
          <w:lang w:val="ga-IE"/>
        </w:rPr>
        <w:t xml:space="preserve">Nuachtlitreacha an Údarás Náisiúnta Míchumais </w:t>
      </w:r>
    </w:p>
    <w:p w:rsidR="009B7368" w:rsidRPr="004918E0" w:rsidRDefault="009B7368" w:rsidP="009B7368">
      <w:pPr>
        <w:pStyle w:val="ListBullet"/>
        <w:rPr>
          <w:lang w:val="ga-IE"/>
        </w:rPr>
      </w:pPr>
      <w:r w:rsidRPr="004918E0">
        <w:rPr>
          <w:lang w:val="ga-IE"/>
        </w:rPr>
        <w:t>Tuarascáil Bhliantúil 2011</w:t>
      </w:r>
    </w:p>
    <w:p w:rsidR="009B7368" w:rsidRPr="004918E0" w:rsidRDefault="009B7368" w:rsidP="009B7368">
      <w:pPr>
        <w:pStyle w:val="ListBullet"/>
        <w:rPr>
          <w:lang w:val="ga-IE"/>
        </w:rPr>
      </w:pPr>
      <w:r w:rsidRPr="004918E0">
        <w:rPr>
          <w:lang w:val="ga-IE"/>
        </w:rPr>
        <w:t>Universal Design guidelines for digital television</w:t>
      </w:r>
    </w:p>
    <w:p w:rsidR="009B7368" w:rsidRPr="004918E0" w:rsidRDefault="009B7368" w:rsidP="009B7368">
      <w:pPr>
        <w:pStyle w:val="ListBullet"/>
        <w:rPr>
          <w:lang w:val="ga-IE"/>
        </w:rPr>
      </w:pPr>
      <w:r w:rsidRPr="004918E0">
        <w:rPr>
          <w:lang w:val="ga-IE"/>
        </w:rPr>
        <w:t>Sexual violence against people with disabilities</w:t>
      </w:r>
    </w:p>
    <w:p w:rsidR="009B7368" w:rsidRPr="004918E0" w:rsidRDefault="009B7368" w:rsidP="009B7368">
      <w:pPr>
        <w:pStyle w:val="ListBullet"/>
        <w:rPr>
          <w:lang w:val="ga-IE"/>
        </w:rPr>
      </w:pPr>
      <w:r w:rsidRPr="004918E0">
        <w:rPr>
          <w:lang w:val="ga-IE"/>
        </w:rPr>
        <w:t xml:space="preserve">Preventing bullying of people with intellectual disabilities (Tionscadal Taighde Frithbhulaíochta) </w:t>
      </w:r>
    </w:p>
    <w:p w:rsidR="009B7368" w:rsidRPr="004918E0" w:rsidRDefault="009B7368" w:rsidP="009B7368">
      <w:pPr>
        <w:pStyle w:val="ListBullet"/>
        <w:rPr>
          <w:lang w:val="ga-IE"/>
        </w:rPr>
      </w:pPr>
      <w:r w:rsidRPr="004918E0">
        <w:rPr>
          <w:lang w:val="ga-IE"/>
        </w:rPr>
        <w:t>Bullying Information Guide aimed at People with an Intellectual Disability (Tionscadal Taighde Frithbhulaíochta)</w:t>
      </w:r>
    </w:p>
    <w:p w:rsidR="009B7368" w:rsidRPr="004918E0" w:rsidRDefault="009B7368" w:rsidP="009B7368">
      <w:pPr>
        <w:pStyle w:val="ListBullet"/>
        <w:rPr>
          <w:lang w:val="ga-IE"/>
        </w:rPr>
      </w:pPr>
      <w:r w:rsidRPr="004918E0">
        <w:rPr>
          <w:lang w:val="ga-IE"/>
        </w:rPr>
        <w:t>Tuarascáil ar Chéim 1 den Staidéar Indéantachta ar Leithdháileadh Acmhainní</w:t>
      </w:r>
    </w:p>
    <w:p w:rsidR="009B7368" w:rsidRPr="004918E0" w:rsidRDefault="009B7368" w:rsidP="009B7368">
      <w:pPr>
        <w:pStyle w:val="ListBullet"/>
        <w:numPr>
          <w:ilvl w:val="0"/>
          <w:numId w:val="0"/>
        </w:numPr>
        <w:rPr>
          <w:lang w:val="ga-IE"/>
        </w:rPr>
      </w:pPr>
    </w:p>
    <w:p w:rsidR="009B7368" w:rsidRPr="004918E0" w:rsidRDefault="009B7368" w:rsidP="009B7368">
      <w:pPr>
        <w:pStyle w:val="ListBullet"/>
        <w:numPr>
          <w:ilvl w:val="0"/>
          <w:numId w:val="0"/>
        </w:numPr>
        <w:rPr>
          <w:lang w:val="ga-IE"/>
        </w:rPr>
      </w:pPr>
    </w:p>
    <w:p w:rsidR="009B7368" w:rsidRPr="004918E0" w:rsidRDefault="009B7368" w:rsidP="009B7368">
      <w:pPr>
        <w:pStyle w:val="Heading1"/>
        <w:rPr>
          <w:lang w:val="ga-IE"/>
        </w:rPr>
      </w:pPr>
      <w:bookmarkStart w:id="93" w:name="_Toc368646747"/>
      <w:r w:rsidRPr="004918E0">
        <w:rPr>
          <w:lang w:val="ga-IE"/>
        </w:rPr>
        <w:t>Aguisín 4: Páipéir comhairle beartais i 2012</w:t>
      </w:r>
      <w:bookmarkEnd w:id="93"/>
      <w:r w:rsidRPr="004918E0">
        <w:rPr>
          <w:lang w:val="ga-IE"/>
        </w:rPr>
        <w:t xml:space="preserve"> </w:t>
      </w:r>
    </w:p>
    <w:p w:rsidR="009B7368" w:rsidRPr="004918E0" w:rsidRDefault="009B7368" w:rsidP="009B7368">
      <w:pPr>
        <w:pStyle w:val="NormalBeforeList"/>
        <w:spacing w:after="120"/>
        <w:rPr>
          <w:lang w:val="ga-IE"/>
        </w:rPr>
      </w:pPr>
      <w:r w:rsidRPr="004918E0">
        <w:rPr>
          <w:lang w:val="ga-IE"/>
        </w:rPr>
        <w:t>Páipéir comhairle beartais a cuireadh isteach:</w:t>
      </w:r>
    </w:p>
    <w:p w:rsidR="009B7368" w:rsidRPr="004918E0" w:rsidRDefault="009B7368" w:rsidP="009B7368">
      <w:pPr>
        <w:pStyle w:val="ListBullet"/>
        <w:rPr>
          <w:lang w:val="ga-IE"/>
        </w:rPr>
      </w:pPr>
      <w:r w:rsidRPr="004918E0">
        <w:rPr>
          <w:lang w:val="ga-IE"/>
        </w:rPr>
        <w:t xml:space="preserve">An Straitéis Náisiúnta ar Néaltrú </w:t>
      </w:r>
    </w:p>
    <w:p w:rsidR="009B7368" w:rsidRPr="004918E0" w:rsidRDefault="009B7368" w:rsidP="009B7368">
      <w:pPr>
        <w:pStyle w:val="ListBullet"/>
        <w:rPr>
          <w:lang w:val="ga-IE"/>
        </w:rPr>
      </w:pPr>
      <w:r w:rsidRPr="004918E0">
        <w:rPr>
          <w:lang w:val="ga-IE"/>
        </w:rPr>
        <w:t xml:space="preserve">Árachas Sláinte Uilíoch </w:t>
      </w:r>
    </w:p>
    <w:p w:rsidR="009B7368" w:rsidRPr="004918E0" w:rsidRDefault="009B7368" w:rsidP="009B7368">
      <w:pPr>
        <w:pStyle w:val="ListBullet"/>
        <w:rPr>
          <w:lang w:val="ga-IE"/>
        </w:rPr>
      </w:pPr>
      <w:r w:rsidRPr="004918E0">
        <w:rPr>
          <w:lang w:val="ga-IE"/>
        </w:rPr>
        <w:t xml:space="preserve">Athbhreithniú bliantúil ar chur i bhfeidhm an straitéis meabhairshláinte “Vision for Change” </w:t>
      </w:r>
    </w:p>
    <w:p w:rsidR="009B7368" w:rsidRPr="004918E0" w:rsidRDefault="009B7368" w:rsidP="009B7368">
      <w:pPr>
        <w:pStyle w:val="ListBullet"/>
        <w:rPr>
          <w:lang w:val="ga-IE"/>
        </w:rPr>
      </w:pPr>
      <w:r w:rsidRPr="004918E0">
        <w:rPr>
          <w:lang w:val="ga-IE"/>
        </w:rPr>
        <w:t xml:space="preserve">Ceartas Coiriúil agus Meabhairshláinte </w:t>
      </w:r>
    </w:p>
    <w:p w:rsidR="009B7368" w:rsidRPr="004918E0" w:rsidRDefault="009B7368" w:rsidP="009B7368">
      <w:pPr>
        <w:pStyle w:val="ListBullet"/>
        <w:rPr>
          <w:lang w:val="ga-IE"/>
        </w:rPr>
      </w:pPr>
      <w:r w:rsidRPr="004918E0">
        <w:rPr>
          <w:lang w:val="ga-IE"/>
        </w:rPr>
        <w:t xml:space="preserve">An Liúntas Cúram Baile </w:t>
      </w:r>
    </w:p>
    <w:p w:rsidR="009B7368" w:rsidRPr="004918E0" w:rsidRDefault="009B7368" w:rsidP="009B7368">
      <w:pPr>
        <w:pStyle w:val="ListBullet"/>
        <w:rPr>
          <w:lang w:val="ga-IE"/>
        </w:rPr>
      </w:pPr>
      <w:r w:rsidRPr="004918E0">
        <w:rPr>
          <w:lang w:val="ga-IE"/>
        </w:rPr>
        <w:t xml:space="preserve">An Liúntas So-inaistritheachta </w:t>
      </w:r>
    </w:p>
    <w:p w:rsidR="009B7368" w:rsidRPr="004918E0" w:rsidRDefault="009B7368" w:rsidP="009B7368">
      <w:pPr>
        <w:pStyle w:val="ListBullet"/>
        <w:rPr>
          <w:lang w:val="ga-IE"/>
        </w:rPr>
      </w:pPr>
      <w:r w:rsidRPr="004918E0">
        <w:rPr>
          <w:lang w:val="ga-IE"/>
        </w:rPr>
        <w:t xml:space="preserve">Rialacha Rochtana Údarás Craolacháin na hÉireann </w:t>
      </w:r>
    </w:p>
    <w:p w:rsidR="009B7368" w:rsidRPr="004918E0" w:rsidRDefault="009B7368" w:rsidP="009B7368">
      <w:pPr>
        <w:pStyle w:val="ListBullet"/>
        <w:rPr>
          <w:lang w:val="ga-IE"/>
        </w:rPr>
      </w:pPr>
      <w:r w:rsidRPr="004918E0">
        <w:rPr>
          <w:lang w:val="ga-IE"/>
        </w:rPr>
        <w:t xml:space="preserve">Dréachtchaighdeáin Náisiúnta um Sheirbhísí Cónaitheacha do Dhaoine faoi Mhíchumas </w:t>
      </w:r>
    </w:p>
    <w:p w:rsidR="009B7368" w:rsidRPr="004918E0" w:rsidRDefault="009B7368" w:rsidP="009B7368">
      <w:pPr>
        <w:pStyle w:val="ListBullet"/>
        <w:rPr>
          <w:lang w:val="ga-IE"/>
        </w:rPr>
      </w:pPr>
      <w:r w:rsidRPr="004918E0">
        <w:rPr>
          <w:lang w:val="ga-IE"/>
        </w:rPr>
        <w:t xml:space="preserve">Dréachtchaighdeáin Náisiúnta um Chosaint agus Leas Leanaí </w:t>
      </w:r>
    </w:p>
    <w:p w:rsidR="009B7368" w:rsidRPr="004918E0" w:rsidRDefault="009B7368" w:rsidP="009B7368">
      <w:pPr>
        <w:rPr>
          <w:lang w:val="ga-IE"/>
        </w:rPr>
      </w:pPr>
      <w:r w:rsidRPr="004918E0">
        <w:rPr>
          <w:lang w:val="ga-IE"/>
        </w:rPr>
        <w:br w:type="page"/>
      </w:r>
    </w:p>
    <w:p w:rsidR="009B7368" w:rsidRPr="004918E0" w:rsidRDefault="009B7368" w:rsidP="009B7368">
      <w:pPr>
        <w:pStyle w:val="ListBullet"/>
        <w:numPr>
          <w:ilvl w:val="0"/>
          <w:numId w:val="0"/>
        </w:numPr>
        <w:rPr>
          <w:lang w:val="ga-IE"/>
        </w:rPr>
      </w:pPr>
      <w:r w:rsidRPr="004918E0">
        <w:rPr>
          <w:lang w:val="ga-IE"/>
        </w:rPr>
        <w:br w:type="page"/>
      </w:r>
      <w:r w:rsidRPr="004918E0">
        <w:rPr>
          <w:rFonts w:ascii="Arial" w:hAnsi="Arial" w:cs="Arial"/>
          <w:b/>
          <w:lang w:val="ga-IE"/>
        </w:rPr>
        <w:t>An tÚdarás Náisiúnta Míchumais</w:t>
      </w:r>
    </w:p>
    <w:p w:rsidR="009B7368" w:rsidRPr="004918E0" w:rsidRDefault="009B7368" w:rsidP="009B7368">
      <w:pPr>
        <w:pStyle w:val="ListBullet"/>
        <w:numPr>
          <w:ilvl w:val="0"/>
          <w:numId w:val="0"/>
        </w:numPr>
        <w:rPr>
          <w:lang w:val="ga-IE"/>
        </w:rPr>
      </w:pPr>
      <w:r w:rsidRPr="004918E0">
        <w:rPr>
          <w:rFonts w:ascii="Arial" w:hAnsi="Arial" w:cs="Arial"/>
          <w:lang w:val="ga-IE"/>
        </w:rPr>
        <w:t>25 Bóthar Chluaidh, Baile Átha Cliath 4</w:t>
      </w:r>
      <w:r w:rsidRPr="004918E0">
        <w:rPr>
          <w:rFonts w:ascii="Arial" w:hAnsi="Arial" w:cs="Arial"/>
          <w:lang w:val="ga-IE"/>
        </w:rPr>
        <w:br/>
      </w:r>
      <w:r w:rsidRPr="004918E0">
        <w:rPr>
          <w:rFonts w:ascii="Arial" w:hAnsi="Arial" w:cs="Arial"/>
          <w:b/>
          <w:lang w:val="ga-IE"/>
        </w:rPr>
        <w:t xml:space="preserve">Guthán </w:t>
      </w:r>
      <w:r w:rsidRPr="004918E0">
        <w:rPr>
          <w:rFonts w:ascii="Arial" w:hAnsi="Arial" w:cs="Arial"/>
          <w:lang w:val="ga-IE"/>
        </w:rPr>
        <w:t>(01) 608 0400</w:t>
      </w:r>
      <w:r w:rsidRPr="004918E0">
        <w:rPr>
          <w:rFonts w:ascii="Arial" w:hAnsi="Arial" w:cs="Arial"/>
          <w:lang w:val="ga-IE"/>
        </w:rPr>
        <w:br/>
      </w:r>
      <w:r w:rsidRPr="004918E0">
        <w:rPr>
          <w:rFonts w:ascii="Arial" w:hAnsi="Arial" w:cs="Arial"/>
          <w:b/>
          <w:lang w:val="ga-IE"/>
        </w:rPr>
        <w:t>Facs</w:t>
      </w:r>
      <w:r w:rsidRPr="004918E0">
        <w:rPr>
          <w:rFonts w:ascii="Arial" w:hAnsi="Arial" w:cs="Arial"/>
          <w:lang w:val="ga-IE"/>
        </w:rPr>
        <w:t xml:space="preserve"> (01) 660 9935</w:t>
      </w:r>
      <w:r w:rsidRPr="004918E0">
        <w:rPr>
          <w:rFonts w:ascii="Arial" w:hAnsi="Arial" w:cs="Arial"/>
          <w:lang w:val="ga-IE"/>
        </w:rPr>
        <w:br/>
      </w:r>
      <w:r w:rsidRPr="004918E0">
        <w:rPr>
          <w:rFonts w:ascii="Arial" w:hAnsi="Arial" w:cs="Arial"/>
          <w:b/>
          <w:lang w:val="ga-IE"/>
        </w:rPr>
        <w:t>www.nda.ie</w:t>
      </w:r>
    </w:p>
    <w:p w:rsidR="004422A9" w:rsidRPr="004918E0" w:rsidRDefault="00DD51CC" w:rsidP="009B7368">
      <w:pPr>
        <w:pStyle w:val="Blurb"/>
        <w:rPr>
          <w:lang w:val="ga-IE"/>
        </w:rPr>
      </w:pPr>
      <w:r>
        <w:rPr>
          <w:noProof/>
          <w:lang w:eastAsia="en-IE"/>
        </w:rPr>
        <w:drawing>
          <wp:anchor distT="0" distB="0" distL="114300" distR="114300" simplePos="0" relativeHeight="251669504" behindDoc="0" locked="0" layoutInCell="1" allowOverlap="1">
            <wp:simplePos x="0" y="0"/>
            <wp:positionH relativeFrom="column">
              <wp:posOffset>-1074420</wp:posOffset>
            </wp:positionH>
            <wp:positionV relativeFrom="paragraph">
              <wp:posOffset>-1871980</wp:posOffset>
            </wp:positionV>
            <wp:extent cx="845820" cy="356235"/>
            <wp:effectExtent l="0" t="0" r="0" b="0"/>
            <wp:wrapNone/>
            <wp:docPr id="18" name="Picture 18"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356235"/>
                    </a:xfrm>
                    <a:prstGeom prst="rect">
                      <a:avLst/>
                    </a:prstGeom>
                    <a:noFill/>
                  </pic:spPr>
                </pic:pic>
              </a:graphicData>
            </a:graphic>
            <wp14:sizeRelH relativeFrom="page">
              <wp14:pctWidth>0</wp14:pctWidth>
            </wp14:sizeRelH>
            <wp14:sizeRelV relativeFrom="page">
              <wp14:pctHeight>0</wp14:pctHeight>
            </wp14:sizeRelV>
          </wp:anchor>
        </w:drawing>
      </w:r>
      <w:r w:rsidR="009B7368" w:rsidRPr="004918E0">
        <w:rPr>
          <w:lang w:val="ga-IE"/>
        </w:rPr>
        <w:t>Is é an tÚdarás Náisiúnta Míchumais an comhlacht neamhspleách a thugann sainchomhairle ar bheartas agus chleachtas míchumais don Aire, agus a dhéanann Dearadh Uilíoch a chur chun cinn in Éirinn.</w:t>
      </w:r>
    </w:p>
    <w:sectPr w:rsidR="004422A9" w:rsidRPr="004918E0" w:rsidSect="009F7884">
      <w:headerReference w:type="even" r:id="rId18"/>
      <w:headerReference w:type="default" r:id="rId19"/>
      <w:footerReference w:type="default" r:id="rId20"/>
      <w:headerReference w:type="first" r:id="rId21"/>
      <w:pgSz w:w="11907" w:h="16840" w:code="9"/>
      <w:pgMar w:top="1985" w:right="1985" w:bottom="1985" w:left="1985" w:header="709" w:footer="709" w:gutter="0"/>
      <w:pgNumType w:chapStyle="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BB" w:rsidRDefault="000C14BB">
      <w:r>
        <w:separator/>
      </w:r>
    </w:p>
  </w:endnote>
  <w:endnote w:type="continuationSeparator" w:id="0">
    <w:p w:rsidR="000C14BB" w:rsidRDefault="000C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notTrueType/>
    <w:pitch w:val="variable"/>
    <w:sig w:usb0="01000001" w:usb1="00000000" w:usb2="00000000" w:usb3="00000000" w:csb0="00010000" w:csb1="00000000"/>
  </w:font>
  <w:font w:name="Aboriginal Serif">
    <w:altName w:val="Arial Unicode MS"/>
    <w:charset w:val="80"/>
    <w:family w:val="auto"/>
    <w:pitch w:val="default"/>
  </w:font>
  <w:font w:name="BiauKai">
    <w:altName w:val="Arial Unicode MS"/>
    <w:charset w:val="80"/>
    <w:family w:val="auto"/>
    <w:pitch w:val="variable"/>
  </w:font>
  <w:font w:name="TimesNewRoman">
    <w:altName w:val="Times New Roman"/>
    <w:charset w:val="00"/>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Default="00BB06BC">
    <w:pPr>
      <w:pStyle w:val="Footer"/>
    </w:pPr>
    <w:r>
      <w:tab/>
      <w:t xml:space="preserve">- </w:t>
    </w:r>
    <w:r w:rsidR="00DD51CC">
      <w:fldChar w:fldCharType="begin"/>
    </w:r>
    <w:r w:rsidR="00DD51CC">
      <w:instrText xml:space="preserve"> PAGE </w:instrText>
    </w:r>
    <w:r w:rsidR="00DD51CC">
      <w:fldChar w:fldCharType="separate"/>
    </w:r>
    <w:r w:rsidR="00DD51CC">
      <w:rPr>
        <w:noProof/>
      </w:rPr>
      <w:t>1</w:t>
    </w:r>
    <w:r w:rsidR="00DD51CC">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Default="00BB06BC">
    <w:pPr>
      <w:pStyle w:val="Footer"/>
    </w:pPr>
    <w:r>
      <w:tab/>
      <w:t xml:space="preserve">- </w:t>
    </w:r>
    <w:r w:rsidR="00DD51CC">
      <w:fldChar w:fldCharType="begin"/>
    </w:r>
    <w:r w:rsidR="00DD51CC">
      <w:instrText xml:space="preserve"> PAGE </w:instrText>
    </w:r>
    <w:r w:rsidR="00DD51CC">
      <w:fldChar w:fldCharType="separate"/>
    </w:r>
    <w:r w:rsidR="004918E0">
      <w:rPr>
        <w:noProof/>
      </w:rPr>
      <w:t>39</w:t>
    </w:r>
    <w:r w:rsidR="00DD51CC">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Pr="00EF6697" w:rsidRDefault="00BB06BC"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4918E0">
      <w:rPr>
        <w:noProof/>
        <w:szCs w:val="26"/>
      </w:rPr>
      <w:t>72</w:t>
    </w:r>
    <w:r w:rsidRPr="00EF6697">
      <w:rPr>
        <w:szCs w:val="26"/>
      </w:rPr>
      <w:fldChar w:fldCharType="end"/>
    </w:r>
    <w:r w:rsidRPr="00EF6697">
      <w:rPr>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BB" w:rsidRDefault="000C14BB">
      <w:r>
        <w:separator/>
      </w:r>
    </w:p>
  </w:footnote>
  <w:footnote w:type="continuationSeparator" w:id="0">
    <w:p w:rsidR="000C14BB" w:rsidRDefault="000C1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Default="00BB0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Pr="009B7368" w:rsidRDefault="00BB06BC" w:rsidP="009B7368">
    <w:pPr>
      <w:pStyle w:val="Header"/>
      <w:rPr>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6BC" w:rsidRDefault="00BB0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lvl>
  </w:abstractNum>
  <w:abstractNum w:abstractNumId="2" w15:restartNumberingAfterBreak="0">
    <w:nsid w:val="FFFFFF82"/>
    <w:multiLevelType w:val="singleLevel"/>
    <w:tmpl w:val="A64C2CEC"/>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0ABE6534"/>
    <w:lvl w:ilvl="0">
      <w:start w:val="1"/>
      <w:numFmt w:val="none"/>
      <w:pStyle w:val="ListNumber"/>
      <w:lvlText w:val=""/>
      <w:lvlJc w:val="left"/>
      <w:pPr>
        <w:tabs>
          <w:tab w:val="num" w:pos="360"/>
        </w:tabs>
        <w:ind w:left="360" w:hanging="360"/>
      </w:pPr>
      <w:rPr>
        <w:rFonts w:hint="default"/>
      </w:rPr>
    </w:lvl>
  </w:abstractNum>
  <w:abstractNum w:abstractNumId="5" w15:restartNumberingAfterBreak="0">
    <w:nsid w:val="FFFFFF89"/>
    <w:multiLevelType w:val="singleLevel"/>
    <w:tmpl w:val="B2588790"/>
    <w:lvl w:ilvl="0">
      <w:start w:val="1"/>
      <w:numFmt w:val="bullet"/>
      <w:lvlText w:val=""/>
      <w:lvlJc w:val="left"/>
      <w:pPr>
        <w:tabs>
          <w:tab w:val="num" w:pos="360"/>
        </w:tabs>
        <w:ind w:left="360" w:hanging="360"/>
      </w:pPr>
      <w:rPr>
        <w:rFonts w:ascii="Symbol" w:hAnsi="Symbol" w:hint="default"/>
        <w:sz w:val="20"/>
        <w:szCs w:val="20"/>
      </w:rPr>
    </w:lvl>
  </w:abstractNum>
  <w:abstractNum w:abstractNumId="6" w15:restartNumberingAfterBreak="0">
    <w:nsid w:val="FFFFFFFE"/>
    <w:multiLevelType w:val="singleLevel"/>
    <w:tmpl w:val="46FE04A2"/>
    <w:lvl w:ilvl="0">
      <w:numFmt w:val="bullet"/>
      <w:lvlText w:val="*"/>
      <w:lvlJc w:val="left"/>
    </w:lvl>
  </w:abstractNum>
  <w:abstractNum w:abstractNumId="7" w15:restartNumberingAfterBreak="0">
    <w:nsid w:val="037845E5"/>
    <w:multiLevelType w:val="hybridMultilevel"/>
    <w:tmpl w:val="368CEE3C"/>
    <w:lvl w:ilvl="0" w:tplc="08090001">
      <w:start w:val="1"/>
      <w:numFmt w:val="bullet"/>
      <w:lvlText w:val=""/>
      <w:lvlJc w:val="left"/>
      <w:pPr>
        <w:tabs>
          <w:tab w:val="num" w:pos="1168"/>
        </w:tabs>
        <w:ind w:left="1168" w:hanging="360"/>
      </w:pPr>
      <w:rPr>
        <w:rFonts w:ascii="Symbol" w:hAnsi="Symbol" w:hint="default"/>
      </w:rPr>
    </w:lvl>
    <w:lvl w:ilvl="1" w:tplc="08090003" w:tentative="1">
      <w:start w:val="1"/>
      <w:numFmt w:val="bullet"/>
      <w:lvlText w:val="o"/>
      <w:lvlJc w:val="left"/>
      <w:pPr>
        <w:tabs>
          <w:tab w:val="num" w:pos="1888"/>
        </w:tabs>
        <w:ind w:left="1888" w:hanging="360"/>
      </w:pPr>
      <w:rPr>
        <w:rFonts w:ascii="Courier New" w:hAnsi="Courier New" w:hint="default"/>
      </w:rPr>
    </w:lvl>
    <w:lvl w:ilvl="2" w:tplc="08090005" w:tentative="1">
      <w:start w:val="1"/>
      <w:numFmt w:val="bullet"/>
      <w:lvlText w:val=""/>
      <w:lvlJc w:val="left"/>
      <w:pPr>
        <w:tabs>
          <w:tab w:val="num" w:pos="2608"/>
        </w:tabs>
        <w:ind w:left="2608" w:hanging="360"/>
      </w:pPr>
      <w:rPr>
        <w:rFonts w:ascii="Wingdings" w:hAnsi="Wingdings" w:hint="default"/>
      </w:rPr>
    </w:lvl>
    <w:lvl w:ilvl="3" w:tplc="08090001" w:tentative="1">
      <w:start w:val="1"/>
      <w:numFmt w:val="bullet"/>
      <w:lvlText w:val=""/>
      <w:lvlJc w:val="left"/>
      <w:pPr>
        <w:tabs>
          <w:tab w:val="num" w:pos="3328"/>
        </w:tabs>
        <w:ind w:left="3328" w:hanging="360"/>
      </w:pPr>
      <w:rPr>
        <w:rFonts w:ascii="Symbol" w:hAnsi="Symbol" w:hint="default"/>
      </w:rPr>
    </w:lvl>
    <w:lvl w:ilvl="4" w:tplc="08090003" w:tentative="1">
      <w:start w:val="1"/>
      <w:numFmt w:val="bullet"/>
      <w:lvlText w:val="o"/>
      <w:lvlJc w:val="left"/>
      <w:pPr>
        <w:tabs>
          <w:tab w:val="num" w:pos="4048"/>
        </w:tabs>
        <w:ind w:left="4048" w:hanging="360"/>
      </w:pPr>
      <w:rPr>
        <w:rFonts w:ascii="Courier New" w:hAnsi="Courier New" w:hint="default"/>
      </w:rPr>
    </w:lvl>
    <w:lvl w:ilvl="5" w:tplc="08090005" w:tentative="1">
      <w:start w:val="1"/>
      <w:numFmt w:val="bullet"/>
      <w:lvlText w:val=""/>
      <w:lvlJc w:val="left"/>
      <w:pPr>
        <w:tabs>
          <w:tab w:val="num" w:pos="4768"/>
        </w:tabs>
        <w:ind w:left="4768" w:hanging="360"/>
      </w:pPr>
      <w:rPr>
        <w:rFonts w:ascii="Wingdings" w:hAnsi="Wingdings" w:hint="default"/>
      </w:rPr>
    </w:lvl>
    <w:lvl w:ilvl="6" w:tplc="08090001" w:tentative="1">
      <w:start w:val="1"/>
      <w:numFmt w:val="bullet"/>
      <w:lvlText w:val=""/>
      <w:lvlJc w:val="left"/>
      <w:pPr>
        <w:tabs>
          <w:tab w:val="num" w:pos="5488"/>
        </w:tabs>
        <w:ind w:left="5488" w:hanging="360"/>
      </w:pPr>
      <w:rPr>
        <w:rFonts w:ascii="Symbol" w:hAnsi="Symbol" w:hint="default"/>
      </w:rPr>
    </w:lvl>
    <w:lvl w:ilvl="7" w:tplc="08090003" w:tentative="1">
      <w:start w:val="1"/>
      <w:numFmt w:val="bullet"/>
      <w:lvlText w:val="o"/>
      <w:lvlJc w:val="left"/>
      <w:pPr>
        <w:tabs>
          <w:tab w:val="num" w:pos="6208"/>
        </w:tabs>
        <w:ind w:left="6208" w:hanging="360"/>
      </w:pPr>
      <w:rPr>
        <w:rFonts w:ascii="Courier New" w:hAnsi="Courier New" w:hint="default"/>
      </w:rPr>
    </w:lvl>
    <w:lvl w:ilvl="8" w:tplc="08090005" w:tentative="1">
      <w:start w:val="1"/>
      <w:numFmt w:val="bullet"/>
      <w:lvlText w:val=""/>
      <w:lvlJc w:val="left"/>
      <w:pPr>
        <w:tabs>
          <w:tab w:val="num" w:pos="6928"/>
        </w:tabs>
        <w:ind w:left="6928" w:hanging="360"/>
      </w:pPr>
      <w:rPr>
        <w:rFonts w:ascii="Wingdings" w:hAnsi="Wingdings" w:hint="default"/>
      </w:rPr>
    </w:lvl>
  </w:abstractNum>
  <w:abstractNum w:abstractNumId="8" w15:restartNumberingAfterBreak="0">
    <w:nsid w:val="04F56A5D"/>
    <w:multiLevelType w:val="multilevel"/>
    <w:tmpl w:val="7E5AB5D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4B4DD6"/>
    <w:multiLevelType w:val="hybridMultilevel"/>
    <w:tmpl w:val="49280E5A"/>
    <w:lvl w:ilvl="0" w:tplc="88EC6DA8">
      <w:start w:val="1"/>
      <w:numFmt w:val="bullet"/>
      <w:pStyle w:val="ListBullet"/>
      <w:lvlText w:val=""/>
      <w:lvlJc w:val="left"/>
      <w:pPr>
        <w:tabs>
          <w:tab w:val="num" w:pos="567"/>
        </w:tabs>
        <w:ind w:left="567" w:hanging="567"/>
      </w:pPr>
      <w:rPr>
        <w:rFonts w:ascii="Symbol" w:hAnsi="Symbol" w:hint="default"/>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B47F6D"/>
    <w:multiLevelType w:val="hybridMultilevel"/>
    <w:tmpl w:val="B9D6F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2A75A9"/>
    <w:multiLevelType w:val="hybridMultilevel"/>
    <w:tmpl w:val="2D068EB0"/>
    <w:lvl w:ilvl="0" w:tplc="08090001">
      <w:start w:val="1"/>
      <w:numFmt w:val="bullet"/>
      <w:lvlText w:val=""/>
      <w:lvlJc w:val="left"/>
      <w:pPr>
        <w:tabs>
          <w:tab w:val="num" w:pos="1168"/>
        </w:tabs>
        <w:ind w:left="1168" w:hanging="360"/>
      </w:pPr>
      <w:rPr>
        <w:rFonts w:ascii="Symbol" w:hAnsi="Symbol" w:hint="default"/>
      </w:rPr>
    </w:lvl>
    <w:lvl w:ilvl="1" w:tplc="08090003" w:tentative="1">
      <w:start w:val="1"/>
      <w:numFmt w:val="bullet"/>
      <w:lvlText w:val="o"/>
      <w:lvlJc w:val="left"/>
      <w:pPr>
        <w:tabs>
          <w:tab w:val="num" w:pos="1888"/>
        </w:tabs>
        <w:ind w:left="1888" w:hanging="360"/>
      </w:pPr>
      <w:rPr>
        <w:rFonts w:ascii="Courier New" w:hAnsi="Courier New" w:hint="default"/>
      </w:rPr>
    </w:lvl>
    <w:lvl w:ilvl="2" w:tplc="08090005" w:tentative="1">
      <w:start w:val="1"/>
      <w:numFmt w:val="bullet"/>
      <w:lvlText w:val=""/>
      <w:lvlJc w:val="left"/>
      <w:pPr>
        <w:tabs>
          <w:tab w:val="num" w:pos="2608"/>
        </w:tabs>
        <w:ind w:left="2608" w:hanging="360"/>
      </w:pPr>
      <w:rPr>
        <w:rFonts w:ascii="Wingdings" w:hAnsi="Wingdings" w:hint="default"/>
      </w:rPr>
    </w:lvl>
    <w:lvl w:ilvl="3" w:tplc="08090001" w:tentative="1">
      <w:start w:val="1"/>
      <w:numFmt w:val="bullet"/>
      <w:lvlText w:val=""/>
      <w:lvlJc w:val="left"/>
      <w:pPr>
        <w:tabs>
          <w:tab w:val="num" w:pos="3328"/>
        </w:tabs>
        <w:ind w:left="3328" w:hanging="360"/>
      </w:pPr>
      <w:rPr>
        <w:rFonts w:ascii="Symbol" w:hAnsi="Symbol" w:hint="default"/>
      </w:rPr>
    </w:lvl>
    <w:lvl w:ilvl="4" w:tplc="08090003" w:tentative="1">
      <w:start w:val="1"/>
      <w:numFmt w:val="bullet"/>
      <w:lvlText w:val="o"/>
      <w:lvlJc w:val="left"/>
      <w:pPr>
        <w:tabs>
          <w:tab w:val="num" w:pos="4048"/>
        </w:tabs>
        <w:ind w:left="4048" w:hanging="360"/>
      </w:pPr>
      <w:rPr>
        <w:rFonts w:ascii="Courier New" w:hAnsi="Courier New" w:hint="default"/>
      </w:rPr>
    </w:lvl>
    <w:lvl w:ilvl="5" w:tplc="08090005" w:tentative="1">
      <w:start w:val="1"/>
      <w:numFmt w:val="bullet"/>
      <w:lvlText w:val=""/>
      <w:lvlJc w:val="left"/>
      <w:pPr>
        <w:tabs>
          <w:tab w:val="num" w:pos="4768"/>
        </w:tabs>
        <w:ind w:left="4768" w:hanging="360"/>
      </w:pPr>
      <w:rPr>
        <w:rFonts w:ascii="Wingdings" w:hAnsi="Wingdings" w:hint="default"/>
      </w:rPr>
    </w:lvl>
    <w:lvl w:ilvl="6" w:tplc="08090001" w:tentative="1">
      <w:start w:val="1"/>
      <w:numFmt w:val="bullet"/>
      <w:lvlText w:val=""/>
      <w:lvlJc w:val="left"/>
      <w:pPr>
        <w:tabs>
          <w:tab w:val="num" w:pos="5488"/>
        </w:tabs>
        <w:ind w:left="5488" w:hanging="360"/>
      </w:pPr>
      <w:rPr>
        <w:rFonts w:ascii="Symbol" w:hAnsi="Symbol" w:hint="default"/>
      </w:rPr>
    </w:lvl>
    <w:lvl w:ilvl="7" w:tplc="08090003" w:tentative="1">
      <w:start w:val="1"/>
      <w:numFmt w:val="bullet"/>
      <w:lvlText w:val="o"/>
      <w:lvlJc w:val="left"/>
      <w:pPr>
        <w:tabs>
          <w:tab w:val="num" w:pos="6208"/>
        </w:tabs>
        <w:ind w:left="6208" w:hanging="360"/>
      </w:pPr>
      <w:rPr>
        <w:rFonts w:ascii="Courier New" w:hAnsi="Courier New" w:hint="default"/>
      </w:rPr>
    </w:lvl>
    <w:lvl w:ilvl="8" w:tplc="08090005" w:tentative="1">
      <w:start w:val="1"/>
      <w:numFmt w:val="bullet"/>
      <w:lvlText w:val=""/>
      <w:lvlJc w:val="left"/>
      <w:pPr>
        <w:tabs>
          <w:tab w:val="num" w:pos="6928"/>
        </w:tabs>
        <w:ind w:left="6928" w:hanging="360"/>
      </w:pPr>
      <w:rPr>
        <w:rFonts w:ascii="Wingdings" w:hAnsi="Wingdings" w:hint="default"/>
      </w:rPr>
    </w:lvl>
  </w:abstractNum>
  <w:abstractNum w:abstractNumId="12" w15:restartNumberingAfterBreak="0">
    <w:nsid w:val="12DA57B9"/>
    <w:multiLevelType w:val="multilevel"/>
    <w:tmpl w:val="42CC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2B1473"/>
    <w:multiLevelType w:val="multilevel"/>
    <w:tmpl w:val="49280E5A"/>
    <w:lvl w:ilvl="0">
      <w:start w:val="1"/>
      <w:numFmt w:val="bullet"/>
      <w:lvlText w:val=""/>
      <w:lvlJc w:val="left"/>
      <w:pPr>
        <w:tabs>
          <w:tab w:val="num" w:pos="567"/>
        </w:tabs>
        <w:ind w:left="567" w:hanging="56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sz w:val="2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707065"/>
    <w:multiLevelType w:val="hybridMultilevel"/>
    <w:tmpl w:val="5976A11C"/>
    <w:lvl w:ilvl="0" w:tplc="08090001">
      <w:start w:val="1"/>
      <w:numFmt w:val="bullet"/>
      <w:lvlText w:val=""/>
      <w:lvlJc w:val="left"/>
      <w:pPr>
        <w:tabs>
          <w:tab w:val="num" w:pos="1168"/>
        </w:tabs>
        <w:ind w:left="1168" w:hanging="360"/>
      </w:pPr>
      <w:rPr>
        <w:rFonts w:ascii="Symbol" w:hAnsi="Symbol" w:hint="default"/>
      </w:rPr>
    </w:lvl>
    <w:lvl w:ilvl="1" w:tplc="08090003" w:tentative="1">
      <w:start w:val="1"/>
      <w:numFmt w:val="bullet"/>
      <w:lvlText w:val="o"/>
      <w:lvlJc w:val="left"/>
      <w:pPr>
        <w:tabs>
          <w:tab w:val="num" w:pos="1888"/>
        </w:tabs>
        <w:ind w:left="1888" w:hanging="360"/>
      </w:pPr>
      <w:rPr>
        <w:rFonts w:ascii="Courier New" w:hAnsi="Courier New" w:hint="default"/>
      </w:rPr>
    </w:lvl>
    <w:lvl w:ilvl="2" w:tplc="08090005" w:tentative="1">
      <w:start w:val="1"/>
      <w:numFmt w:val="bullet"/>
      <w:lvlText w:val=""/>
      <w:lvlJc w:val="left"/>
      <w:pPr>
        <w:tabs>
          <w:tab w:val="num" w:pos="2608"/>
        </w:tabs>
        <w:ind w:left="2608" w:hanging="360"/>
      </w:pPr>
      <w:rPr>
        <w:rFonts w:ascii="Wingdings" w:hAnsi="Wingdings" w:hint="default"/>
      </w:rPr>
    </w:lvl>
    <w:lvl w:ilvl="3" w:tplc="08090001" w:tentative="1">
      <w:start w:val="1"/>
      <w:numFmt w:val="bullet"/>
      <w:lvlText w:val=""/>
      <w:lvlJc w:val="left"/>
      <w:pPr>
        <w:tabs>
          <w:tab w:val="num" w:pos="3328"/>
        </w:tabs>
        <w:ind w:left="3328" w:hanging="360"/>
      </w:pPr>
      <w:rPr>
        <w:rFonts w:ascii="Symbol" w:hAnsi="Symbol" w:hint="default"/>
      </w:rPr>
    </w:lvl>
    <w:lvl w:ilvl="4" w:tplc="08090003" w:tentative="1">
      <w:start w:val="1"/>
      <w:numFmt w:val="bullet"/>
      <w:lvlText w:val="o"/>
      <w:lvlJc w:val="left"/>
      <w:pPr>
        <w:tabs>
          <w:tab w:val="num" w:pos="4048"/>
        </w:tabs>
        <w:ind w:left="4048" w:hanging="360"/>
      </w:pPr>
      <w:rPr>
        <w:rFonts w:ascii="Courier New" w:hAnsi="Courier New" w:hint="default"/>
      </w:rPr>
    </w:lvl>
    <w:lvl w:ilvl="5" w:tplc="08090005" w:tentative="1">
      <w:start w:val="1"/>
      <w:numFmt w:val="bullet"/>
      <w:lvlText w:val=""/>
      <w:lvlJc w:val="left"/>
      <w:pPr>
        <w:tabs>
          <w:tab w:val="num" w:pos="4768"/>
        </w:tabs>
        <w:ind w:left="4768" w:hanging="360"/>
      </w:pPr>
      <w:rPr>
        <w:rFonts w:ascii="Wingdings" w:hAnsi="Wingdings" w:hint="default"/>
      </w:rPr>
    </w:lvl>
    <w:lvl w:ilvl="6" w:tplc="08090001" w:tentative="1">
      <w:start w:val="1"/>
      <w:numFmt w:val="bullet"/>
      <w:lvlText w:val=""/>
      <w:lvlJc w:val="left"/>
      <w:pPr>
        <w:tabs>
          <w:tab w:val="num" w:pos="5488"/>
        </w:tabs>
        <w:ind w:left="5488" w:hanging="360"/>
      </w:pPr>
      <w:rPr>
        <w:rFonts w:ascii="Symbol" w:hAnsi="Symbol" w:hint="default"/>
      </w:rPr>
    </w:lvl>
    <w:lvl w:ilvl="7" w:tplc="08090003" w:tentative="1">
      <w:start w:val="1"/>
      <w:numFmt w:val="bullet"/>
      <w:lvlText w:val="o"/>
      <w:lvlJc w:val="left"/>
      <w:pPr>
        <w:tabs>
          <w:tab w:val="num" w:pos="6208"/>
        </w:tabs>
        <w:ind w:left="6208" w:hanging="360"/>
      </w:pPr>
      <w:rPr>
        <w:rFonts w:ascii="Courier New" w:hAnsi="Courier New" w:hint="default"/>
      </w:rPr>
    </w:lvl>
    <w:lvl w:ilvl="8" w:tplc="08090005" w:tentative="1">
      <w:start w:val="1"/>
      <w:numFmt w:val="bullet"/>
      <w:lvlText w:val=""/>
      <w:lvlJc w:val="left"/>
      <w:pPr>
        <w:tabs>
          <w:tab w:val="num" w:pos="6928"/>
        </w:tabs>
        <w:ind w:left="6928" w:hanging="360"/>
      </w:pPr>
      <w:rPr>
        <w:rFonts w:ascii="Wingdings" w:hAnsi="Wingdings" w:hint="default"/>
      </w:rPr>
    </w:lvl>
  </w:abstractNum>
  <w:abstractNum w:abstractNumId="15" w15:restartNumberingAfterBreak="0">
    <w:nsid w:val="1CDA7F63"/>
    <w:multiLevelType w:val="hybridMultilevel"/>
    <w:tmpl w:val="8E2E15D2"/>
    <w:lvl w:ilvl="0" w:tplc="18090001">
      <w:start w:val="1"/>
      <w:numFmt w:val="bullet"/>
      <w:lvlText w:val=""/>
      <w:lvlJc w:val="left"/>
      <w:pPr>
        <w:tabs>
          <w:tab w:val="num" w:pos="1170"/>
        </w:tabs>
        <w:ind w:left="117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6" w15:restartNumberingAfterBreak="0">
    <w:nsid w:val="1EA71FCB"/>
    <w:multiLevelType w:val="hybridMultilevel"/>
    <w:tmpl w:val="E66C4EA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7" w15:restartNumberingAfterBreak="0">
    <w:nsid w:val="23B16E68"/>
    <w:multiLevelType w:val="hybridMultilevel"/>
    <w:tmpl w:val="9EFA5160"/>
    <w:lvl w:ilvl="0" w:tplc="18090001">
      <w:start w:val="1"/>
      <w:numFmt w:val="bullet"/>
      <w:lvlText w:val=""/>
      <w:lvlJc w:val="left"/>
      <w:pPr>
        <w:tabs>
          <w:tab w:val="num" w:pos="1170"/>
        </w:tabs>
        <w:ind w:left="117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8" w15:restartNumberingAfterBreak="0">
    <w:nsid w:val="2904354E"/>
    <w:multiLevelType w:val="hybridMultilevel"/>
    <w:tmpl w:val="4268F4BE"/>
    <w:lvl w:ilvl="0" w:tplc="57141606">
      <w:start w:val="1"/>
      <w:numFmt w:val="decimal"/>
      <w:lvlText w:val="%1)"/>
      <w:lvlJc w:val="left"/>
      <w:pPr>
        <w:tabs>
          <w:tab w:val="num" w:pos="808"/>
        </w:tabs>
        <w:ind w:left="808" w:hanging="360"/>
      </w:pPr>
      <w:rPr>
        <w:rFonts w:cs="Times New Roman" w:hint="default"/>
      </w:rPr>
    </w:lvl>
    <w:lvl w:ilvl="1" w:tplc="08090019">
      <w:start w:val="1"/>
      <w:numFmt w:val="lowerLetter"/>
      <w:lvlText w:val="%2."/>
      <w:lvlJc w:val="left"/>
      <w:pPr>
        <w:tabs>
          <w:tab w:val="num" w:pos="1528"/>
        </w:tabs>
        <w:ind w:left="1528" w:hanging="360"/>
      </w:pPr>
      <w:rPr>
        <w:rFonts w:cs="Times New Roman"/>
      </w:rPr>
    </w:lvl>
    <w:lvl w:ilvl="2" w:tplc="0809001B" w:tentative="1">
      <w:start w:val="1"/>
      <w:numFmt w:val="lowerRoman"/>
      <w:lvlText w:val="%3."/>
      <w:lvlJc w:val="right"/>
      <w:pPr>
        <w:tabs>
          <w:tab w:val="num" w:pos="2248"/>
        </w:tabs>
        <w:ind w:left="2248" w:hanging="180"/>
      </w:pPr>
      <w:rPr>
        <w:rFonts w:cs="Times New Roman"/>
      </w:rPr>
    </w:lvl>
    <w:lvl w:ilvl="3" w:tplc="0809000F" w:tentative="1">
      <w:start w:val="1"/>
      <w:numFmt w:val="decimal"/>
      <w:lvlText w:val="%4."/>
      <w:lvlJc w:val="left"/>
      <w:pPr>
        <w:tabs>
          <w:tab w:val="num" w:pos="2968"/>
        </w:tabs>
        <w:ind w:left="2968" w:hanging="360"/>
      </w:pPr>
      <w:rPr>
        <w:rFonts w:cs="Times New Roman"/>
      </w:rPr>
    </w:lvl>
    <w:lvl w:ilvl="4" w:tplc="08090019" w:tentative="1">
      <w:start w:val="1"/>
      <w:numFmt w:val="lowerLetter"/>
      <w:lvlText w:val="%5."/>
      <w:lvlJc w:val="left"/>
      <w:pPr>
        <w:tabs>
          <w:tab w:val="num" w:pos="3688"/>
        </w:tabs>
        <w:ind w:left="3688" w:hanging="360"/>
      </w:pPr>
      <w:rPr>
        <w:rFonts w:cs="Times New Roman"/>
      </w:rPr>
    </w:lvl>
    <w:lvl w:ilvl="5" w:tplc="0809001B" w:tentative="1">
      <w:start w:val="1"/>
      <w:numFmt w:val="lowerRoman"/>
      <w:lvlText w:val="%6."/>
      <w:lvlJc w:val="right"/>
      <w:pPr>
        <w:tabs>
          <w:tab w:val="num" w:pos="4408"/>
        </w:tabs>
        <w:ind w:left="4408" w:hanging="180"/>
      </w:pPr>
      <w:rPr>
        <w:rFonts w:cs="Times New Roman"/>
      </w:rPr>
    </w:lvl>
    <w:lvl w:ilvl="6" w:tplc="0809000F" w:tentative="1">
      <w:start w:val="1"/>
      <w:numFmt w:val="decimal"/>
      <w:lvlText w:val="%7."/>
      <w:lvlJc w:val="left"/>
      <w:pPr>
        <w:tabs>
          <w:tab w:val="num" w:pos="5128"/>
        </w:tabs>
        <w:ind w:left="5128" w:hanging="360"/>
      </w:pPr>
      <w:rPr>
        <w:rFonts w:cs="Times New Roman"/>
      </w:rPr>
    </w:lvl>
    <w:lvl w:ilvl="7" w:tplc="08090019" w:tentative="1">
      <w:start w:val="1"/>
      <w:numFmt w:val="lowerLetter"/>
      <w:lvlText w:val="%8."/>
      <w:lvlJc w:val="left"/>
      <w:pPr>
        <w:tabs>
          <w:tab w:val="num" w:pos="5848"/>
        </w:tabs>
        <w:ind w:left="5848" w:hanging="360"/>
      </w:pPr>
      <w:rPr>
        <w:rFonts w:cs="Times New Roman"/>
      </w:rPr>
    </w:lvl>
    <w:lvl w:ilvl="8" w:tplc="0809001B" w:tentative="1">
      <w:start w:val="1"/>
      <w:numFmt w:val="lowerRoman"/>
      <w:lvlText w:val="%9."/>
      <w:lvlJc w:val="right"/>
      <w:pPr>
        <w:tabs>
          <w:tab w:val="num" w:pos="6568"/>
        </w:tabs>
        <w:ind w:left="6568" w:hanging="180"/>
      </w:pPr>
      <w:rPr>
        <w:rFonts w:cs="Times New Roman"/>
      </w:rPr>
    </w:lvl>
  </w:abstractNum>
  <w:abstractNum w:abstractNumId="19" w15:restartNumberingAfterBreak="0">
    <w:nsid w:val="2985037F"/>
    <w:multiLevelType w:val="hybridMultilevel"/>
    <w:tmpl w:val="A926A482"/>
    <w:lvl w:ilvl="0" w:tplc="08090017">
      <w:start w:val="1"/>
      <w:numFmt w:val="lowerLetter"/>
      <w:lvlText w:val="%1)"/>
      <w:lvlJc w:val="left"/>
      <w:pPr>
        <w:tabs>
          <w:tab w:val="num" w:pos="1528"/>
        </w:tabs>
        <w:ind w:left="1528" w:hanging="360"/>
      </w:pPr>
      <w:rPr>
        <w:rFonts w:cs="Times New Roman"/>
      </w:rPr>
    </w:lvl>
    <w:lvl w:ilvl="1" w:tplc="08090019" w:tentative="1">
      <w:start w:val="1"/>
      <w:numFmt w:val="lowerLetter"/>
      <w:lvlText w:val="%2."/>
      <w:lvlJc w:val="left"/>
      <w:pPr>
        <w:tabs>
          <w:tab w:val="num" w:pos="2248"/>
        </w:tabs>
        <w:ind w:left="2248" w:hanging="360"/>
      </w:pPr>
      <w:rPr>
        <w:rFonts w:cs="Times New Roman"/>
      </w:rPr>
    </w:lvl>
    <w:lvl w:ilvl="2" w:tplc="0809001B" w:tentative="1">
      <w:start w:val="1"/>
      <w:numFmt w:val="lowerRoman"/>
      <w:lvlText w:val="%3."/>
      <w:lvlJc w:val="right"/>
      <w:pPr>
        <w:tabs>
          <w:tab w:val="num" w:pos="2968"/>
        </w:tabs>
        <w:ind w:left="2968" w:hanging="180"/>
      </w:pPr>
      <w:rPr>
        <w:rFonts w:cs="Times New Roman"/>
      </w:rPr>
    </w:lvl>
    <w:lvl w:ilvl="3" w:tplc="0809000F" w:tentative="1">
      <w:start w:val="1"/>
      <w:numFmt w:val="decimal"/>
      <w:lvlText w:val="%4."/>
      <w:lvlJc w:val="left"/>
      <w:pPr>
        <w:tabs>
          <w:tab w:val="num" w:pos="3688"/>
        </w:tabs>
        <w:ind w:left="3688" w:hanging="360"/>
      </w:pPr>
      <w:rPr>
        <w:rFonts w:cs="Times New Roman"/>
      </w:rPr>
    </w:lvl>
    <w:lvl w:ilvl="4" w:tplc="08090019" w:tentative="1">
      <w:start w:val="1"/>
      <w:numFmt w:val="lowerLetter"/>
      <w:lvlText w:val="%5."/>
      <w:lvlJc w:val="left"/>
      <w:pPr>
        <w:tabs>
          <w:tab w:val="num" w:pos="4408"/>
        </w:tabs>
        <w:ind w:left="4408" w:hanging="360"/>
      </w:pPr>
      <w:rPr>
        <w:rFonts w:cs="Times New Roman"/>
      </w:rPr>
    </w:lvl>
    <w:lvl w:ilvl="5" w:tplc="0809001B" w:tentative="1">
      <w:start w:val="1"/>
      <w:numFmt w:val="lowerRoman"/>
      <w:lvlText w:val="%6."/>
      <w:lvlJc w:val="right"/>
      <w:pPr>
        <w:tabs>
          <w:tab w:val="num" w:pos="5128"/>
        </w:tabs>
        <w:ind w:left="5128" w:hanging="180"/>
      </w:pPr>
      <w:rPr>
        <w:rFonts w:cs="Times New Roman"/>
      </w:rPr>
    </w:lvl>
    <w:lvl w:ilvl="6" w:tplc="0809000F" w:tentative="1">
      <w:start w:val="1"/>
      <w:numFmt w:val="decimal"/>
      <w:lvlText w:val="%7."/>
      <w:lvlJc w:val="left"/>
      <w:pPr>
        <w:tabs>
          <w:tab w:val="num" w:pos="5848"/>
        </w:tabs>
        <w:ind w:left="5848" w:hanging="360"/>
      </w:pPr>
      <w:rPr>
        <w:rFonts w:cs="Times New Roman"/>
      </w:rPr>
    </w:lvl>
    <w:lvl w:ilvl="7" w:tplc="08090019" w:tentative="1">
      <w:start w:val="1"/>
      <w:numFmt w:val="lowerLetter"/>
      <w:lvlText w:val="%8."/>
      <w:lvlJc w:val="left"/>
      <w:pPr>
        <w:tabs>
          <w:tab w:val="num" w:pos="6568"/>
        </w:tabs>
        <w:ind w:left="6568" w:hanging="360"/>
      </w:pPr>
      <w:rPr>
        <w:rFonts w:cs="Times New Roman"/>
      </w:rPr>
    </w:lvl>
    <w:lvl w:ilvl="8" w:tplc="0809001B" w:tentative="1">
      <w:start w:val="1"/>
      <w:numFmt w:val="lowerRoman"/>
      <w:lvlText w:val="%9."/>
      <w:lvlJc w:val="right"/>
      <w:pPr>
        <w:tabs>
          <w:tab w:val="num" w:pos="7288"/>
        </w:tabs>
        <w:ind w:left="7288" w:hanging="180"/>
      </w:pPr>
      <w:rPr>
        <w:rFonts w:cs="Times New Roman"/>
      </w:rPr>
    </w:lvl>
  </w:abstractNum>
  <w:abstractNum w:abstractNumId="20" w15:restartNumberingAfterBreak="0">
    <w:nsid w:val="2CC52E9D"/>
    <w:multiLevelType w:val="hybridMultilevel"/>
    <w:tmpl w:val="D73CAADA"/>
    <w:lvl w:ilvl="0" w:tplc="18090001">
      <w:start w:val="1"/>
      <w:numFmt w:val="bullet"/>
      <w:lvlText w:val=""/>
      <w:lvlJc w:val="left"/>
      <w:pPr>
        <w:tabs>
          <w:tab w:val="num" w:pos="1168"/>
        </w:tabs>
        <w:ind w:left="1168"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1" w15:restartNumberingAfterBreak="0">
    <w:nsid w:val="38C64C2E"/>
    <w:multiLevelType w:val="multilevel"/>
    <w:tmpl w:val="7324A798"/>
    <w:lvl w:ilvl="0">
      <w:start w:val="1"/>
      <w:numFmt w:val="bullet"/>
      <w:pStyle w:val="StyleListBulletItalic"/>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A2A86"/>
    <w:multiLevelType w:val="multilevel"/>
    <w:tmpl w:val="49280E5A"/>
    <w:lvl w:ilvl="0">
      <w:start w:val="1"/>
      <w:numFmt w:val="bullet"/>
      <w:lvlText w:val=""/>
      <w:lvlJc w:val="left"/>
      <w:pPr>
        <w:tabs>
          <w:tab w:val="num" w:pos="567"/>
        </w:tabs>
        <w:ind w:left="567" w:hanging="56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sz w:val="2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378DE"/>
    <w:multiLevelType w:val="hybridMultilevel"/>
    <w:tmpl w:val="5FEA1C1C"/>
    <w:lvl w:ilvl="0" w:tplc="73283BCE">
      <w:start w:val="1"/>
      <w:numFmt w:val="bullet"/>
      <w:lvlText w:val=""/>
      <w:lvlPicBulletId w:val="0"/>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A6C8E"/>
    <w:multiLevelType w:val="multilevel"/>
    <w:tmpl w:val="A1F23EFA"/>
    <w:lvl w:ilvl="0">
      <w:start w:val="2"/>
      <w:numFmt w:val="decimal"/>
      <w:lvlText w:val="%1"/>
      <w:lvlJc w:val="left"/>
      <w:pPr>
        <w:tabs>
          <w:tab w:val="num" w:pos="720"/>
        </w:tabs>
        <w:ind w:left="720" w:hanging="720"/>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5" w15:restartNumberingAfterBreak="0">
    <w:nsid w:val="622E47FD"/>
    <w:multiLevelType w:val="hybridMultilevel"/>
    <w:tmpl w:val="76CE21B0"/>
    <w:lvl w:ilvl="0" w:tplc="18090011">
      <w:start w:val="1"/>
      <w:numFmt w:val="decimal"/>
      <w:lvlText w:val="%1)"/>
      <w:lvlJc w:val="left"/>
      <w:pPr>
        <w:tabs>
          <w:tab w:val="num" w:pos="1168"/>
        </w:tabs>
        <w:ind w:left="1168" w:hanging="360"/>
      </w:pPr>
      <w:rPr>
        <w:rFonts w:cs="Times New Roman"/>
      </w:rPr>
    </w:lvl>
    <w:lvl w:ilvl="1" w:tplc="18090017">
      <w:start w:val="1"/>
      <w:numFmt w:val="lowerLetter"/>
      <w:lvlText w:val="%2)"/>
      <w:lvlJc w:val="left"/>
      <w:pPr>
        <w:tabs>
          <w:tab w:val="num" w:pos="1888"/>
        </w:tabs>
        <w:ind w:left="1888"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6" w15:restartNumberingAfterBreak="0">
    <w:nsid w:val="63284F7F"/>
    <w:multiLevelType w:val="multilevel"/>
    <w:tmpl w:val="7BF61D26"/>
    <w:lvl w:ilvl="0">
      <w:start w:val="1"/>
      <w:numFmt w:val="bullet"/>
      <w:lvlText w:val=""/>
      <w:lvlPicBulletId w:val="0"/>
      <w:lvlJc w:val="left"/>
      <w:pPr>
        <w:tabs>
          <w:tab w:val="num" w:pos="360"/>
        </w:tabs>
        <w:ind w:left="36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652878"/>
    <w:multiLevelType w:val="hybridMultilevel"/>
    <w:tmpl w:val="9D042CA4"/>
    <w:lvl w:ilvl="0" w:tplc="08090001">
      <w:start w:val="1"/>
      <w:numFmt w:val="bullet"/>
      <w:lvlText w:val=""/>
      <w:lvlJc w:val="left"/>
      <w:pPr>
        <w:tabs>
          <w:tab w:val="num" w:pos="1168"/>
        </w:tabs>
        <w:ind w:left="1168" w:hanging="360"/>
      </w:pPr>
      <w:rPr>
        <w:rFonts w:ascii="Symbol" w:hAnsi="Symbol" w:hint="default"/>
      </w:rPr>
    </w:lvl>
    <w:lvl w:ilvl="1" w:tplc="08090003" w:tentative="1">
      <w:start w:val="1"/>
      <w:numFmt w:val="bullet"/>
      <w:lvlText w:val="o"/>
      <w:lvlJc w:val="left"/>
      <w:pPr>
        <w:tabs>
          <w:tab w:val="num" w:pos="1888"/>
        </w:tabs>
        <w:ind w:left="1888" w:hanging="360"/>
      </w:pPr>
      <w:rPr>
        <w:rFonts w:ascii="Courier New" w:hAnsi="Courier New" w:hint="default"/>
      </w:rPr>
    </w:lvl>
    <w:lvl w:ilvl="2" w:tplc="08090005" w:tentative="1">
      <w:start w:val="1"/>
      <w:numFmt w:val="bullet"/>
      <w:lvlText w:val=""/>
      <w:lvlJc w:val="left"/>
      <w:pPr>
        <w:tabs>
          <w:tab w:val="num" w:pos="2608"/>
        </w:tabs>
        <w:ind w:left="2608" w:hanging="360"/>
      </w:pPr>
      <w:rPr>
        <w:rFonts w:ascii="Wingdings" w:hAnsi="Wingdings" w:hint="default"/>
      </w:rPr>
    </w:lvl>
    <w:lvl w:ilvl="3" w:tplc="08090001" w:tentative="1">
      <w:start w:val="1"/>
      <w:numFmt w:val="bullet"/>
      <w:lvlText w:val=""/>
      <w:lvlJc w:val="left"/>
      <w:pPr>
        <w:tabs>
          <w:tab w:val="num" w:pos="3328"/>
        </w:tabs>
        <w:ind w:left="3328" w:hanging="360"/>
      </w:pPr>
      <w:rPr>
        <w:rFonts w:ascii="Symbol" w:hAnsi="Symbol" w:hint="default"/>
      </w:rPr>
    </w:lvl>
    <w:lvl w:ilvl="4" w:tplc="08090003" w:tentative="1">
      <w:start w:val="1"/>
      <w:numFmt w:val="bullet"/>
      <w:lvlText w:val="o"/>
      <w:lvlJc w:val="left"/>
      <w:pPr>
        <w:tabs>
          <w:tab w:val="num" w:pos="4048"/>
        </w:tabs>
        <w:ind w:left="4048" w:hanging="360"/>
      </w:pPr>
      <w:rPr>
        <w:rFonts w:ascii="Courier New" w:hAnsi="Courier New" w:hint="default"/>
      </w:rPr>
    </w:lvl>
    <w:lvl w:ilvl="5" w:tplc="08090005" w:tentative="1">
      <w:start w:val="1"/>
      <w:numFmt w:val="bullet"/>
      <w:lvlText w:val=""/>
      <w:lvlJc w:val="left"/>
      <w:pPr>
        <w:tabs>
          <w:tab w:val="num" w:pos="4768"/>
        </w:tabs>
        <w:ind w:left="4768" w:hanging="360"/>
      </w:pPr>
      <w:rPr>
        <w:rFonts w:ascii="Wingdings" w:hAnsi="Wingdings" w:hint="default"/>
      </w:rPr>
    </w:lvl>
    <w:lvl w:ilvl="6" w:tplc="08090001" w:tentative="1">
      <w:start w:val="1"/>
      <w:numFmt w:val="bullet"/>
      <w:lvlText w:val=""/>
      <w:lvlJc w:val="left"/>
      <w:pPr>
        <w:tabs>
          <w:tab w:val="num" w:pos="5488"/>
        </w:tabs>
        <w:ind w:left="5488" w:hanging="360"/>
      </w:pPr>
      <w:rPr>
        <w:rFonts w:ascii="Symbol" w:hAnsi="Symbol" w:hint="default"/>
      </w:rPr>
    </w:lvl>
    <w:lvl w:ilvl="7" w:tplc="08090003" w:tentative="1">
      <w:start w:val="1"/>
      <w:numFmt w:val="bullet"/>
      <w:lvlText w:val="o"/>
      <w:lvlJc w:val="left"/>
      <w:pPr>
        <w:tabs>
          <w:tab w:val="num" w:pos="6208"/>
        </w:tabs>
        <w:ind w:left="6208" w:hanging="360"/>
      </w:pPr>
      <w:rPr>
        <w:rFonts w:ascii="Courier New" w:hAnsi="Courier New" w:hint="default"/>
      </w:rPr>
    </w:lvl>
    <w:lvl w:ilvl="8" w:tplc="08090005" w:tentative="1">
      <w:start w:val="1"/>
      <w:numFmt w:val="bullet"/>
      <w:lvlText w:val=""/>
      <w:lvlJc w:val="left"/>
      <w:pPr>
        <w:tabs>
          <w:tab w:val="num" w:pos="6928"/>
        </w:tabs>
        <w:ind w:left="6928" w:hanging="360"/>
      </w:pPr>
      <w:rPr>
        <w:rFonts w:ascii="Wingdings" w:hAnsi="Wingdings" w:hint="default"/>
      </w:rPr>
    </w:lvl>
  </w:abstractNum>
  <w:abstractNum w:abstractNumId="28" w15:restartNumberingAfterBreak="0">
    <w:nsid w:val="713D0E85"/>
    <w:multiLevelType w:val="hybridMultilevel"/>
    <w:tmpl w:val="AE405B7A"/>
    <w:lvl w:ilvl="0" w:tplc="F04C4484">
      <w:start w:val="1"/>
      <w:numFmt w:val="decimal"/>
      <w:lvlText w:val="%1."/>
      <w:lvlJc w:val="left"/>
      <w:pPr>
        <w:tabs>
          <w:tab w:val="num" w:pos="720"/>
        </w:tabs>
        <w:ind w:left="720" w:hanging="360"/>
      </w:pPr>
      <w:rPr>
        <w:rFonts w:cs="Times New Roman"/>
      </w:rPr>
    </w:lvl>
    <w:lvl w:ilvl="1" w:tplc="18090019">
      <w:start w:val="1"/>
      <w:numFmt w:val="decimal"/>
      <w:lvlText w:val="%2."/>
      <w:lvlJc w:val="left"/>
      <w:pPr>
        <w:tabs>
          <w:tab w:val="num" w:pos="1440"/>
        </w:tabs>
        <w:ind w:left="1440" w:hanging="360"/>
      </w:pPr>
      <w:rPr>
        <w:rFonts w:cs="Times New Roman"/>
      </w:rPr>
    </w:lvl>
    <w:lvl w:ilvl="2" w:tplc="1809001B">
      <w:start w:val="1"/>
      <w:numFmt w:val="decimal"/>
      <w:lvlText w:val="%3."/>
      <w:lvlJc w:val="left"/>
      <w:pPr>
        <w:tabs>
          <w:tab w:val="num" w:pos="2160"/>
        </w:tabs>
        <w:ind w:left="2160" w:hanging="36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decimal"/>
      <w:lvlText w:val="%5."/>
      <w:lvlJc w:val="left"/>
      <w:pPr>
        <w:tabs>
          <w:tab w:val="num" w:pos="3600"/>
        </w:tabs>
        <w:ind w:left="3600" w:hanging="360"/>
      </w:pPr>
      <w:rPr>
        <w:rFonts w:cs="Times New Roman"/>
      </w:rPr>
    </w:lvl>
    <w:lvl w:ilvl="5" w:tplc="1809001B">
      <w:start w:val="1"/>
      <w:numFmt w:val="decimal"/>
      <w:lvlText w:val="%6."/>
      <w:lvlJc w:val="left"/>
      <w:pPr>
        <w:tabs>
          <w:tab w:val="num" w:pos="4320"/>
        </w:tabs>
        <w:ind w:left="4320" w:hanging="36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decimal"/>
      <w:lvlText w:val="%8."/>
      <w:lvlJc w:val="left"/>
      <w:pPr>
        <w:tabs>
          <w:tab w:val="num" w:pos="5760"/>
        </w:tabs>
        <w:ind w:left="5760" w:hanging="360"/>
      </w:pPr>
      <w:rPr>
        <w:rFonts w:cs="Times New Roman"/>
      </w:rPr>
    </w:lvl>
    <w:lvl w:ilvl="8" w:tplc="1809001B">
      <w:start w:val="1"/>
      <w:numFmt w:val="decimal"/>
      <w:lvlText w:val="%9."/>
      <w:lvlJc w:val="left"/>
      <w:pPr>
        <w:tabs>
          <w:tab w:val="num" w:pos="6480"/>
        </w:tabs>
        <w:ind w:left="6480" w:hanging="360"/>
      </w:pPr>
      <w:rPr>
        <w:rFonts w:cs="Times New Roman"/>
      </w:rPr>
    </w:lvl>
  </w:abstractNum>
  <w:abstractNum w:abstractNumId="29" w15:restartNumberingAfterBreak="0">
    <w:nsid w:val="7B681121"/>
    <w:multiLevelType w:val="multilevel"/>
    <w:tmpl w:val="C49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F00C6B"/>
    <w:multiLevelType w:val="hybridMultilevel"/>
    <w:tmpl w:val="0E32100E"/>
    <w:lvl w:ilvl="0" w:tplc="18090001">
      <w:start w:val="1"/>
      <w:numFmt w:val="bullet"/>
      <w:lvlText w:val=""/>
      <w:lvlJc w:val="left"/>
      <w:pPr>
        <w:tabs>
          <w:tab w:val="num" w:pos="1168"/>
        </w:tabs>
        <w:ind w:left="1168"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31" w15:restartNumberingAfterBreak="0">
    <w:nsid w:val="7FAE7F48"/>
    <w:multiLevelType w:val="multilevel"/>
    <w:tmpl w:val="A802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num>
  <w:num w:numId="5">
    <w:abstractNumId w:val="0"/>
    <w:lvlOverride w:ilvl="0">
      <w:startOverride w:val="1"/>
    </w:lvlOverride>
  </w:num>
  <w:num w:numId="6">
    <w:abstractNumId w:val="5"/>
  </w:num>
  <w:num w:numId="7">
    <w:abstractNumId w:val="9"/>
  </w:num>
  <w:num w:numId="8">
    <w:abstractNumId w:val="3"/>
  </w:num>
  <w:num w:numId="9">
    <w:abstractNumId w:val="2"/>
  </w:num>
  <w:num w:numId="10">
    <w:abstractNumId w:val="1"/>
  </w:num>
  <w:num w:numId="11">
    <w:abstractNumId w:val="0"/>
  </w:num>
  <w:num w:numId="12">
    <w:abstractNumId w:val="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8"/>
  </w:num>
  <w:num w:numId="24">
    <w:abstractNumId w:val="27"/>
  </w:num>
  <w:num w:numId="25">
    <w:abstractNumId w:val="7"/>
  </w:num>
  <w:num w:numId="26">
    <w:abstractNumId w:val="14"/>
  </w:num>
  <w:num w:numId="27">
    <w:abstractNumId w:val="11"/>
  </w:num>
  <w:num w:numId="28">
    <w:abstractNumId w:val="10"/>
  </w:num>
  <w:num w:numId="29">
    <w:abstractNumId w:val="23"/>
  </w:num>
  <w:num w:numId="30">
    <w:abstractNumId w:val="26"/>
  </w:num>
  <w:num w:numId="31">
    <w:abstractNumId w:val="8"/>
  </w:num>
  <w:num w:numId="32">
    <w:abstractNumId w:val="21"/>
  </w:num>
  <w:num w:numId="33">
    <w:abstractNumId w:val="29"/>
  </w:num>
  <w:num w:numId="34">
    <w:abstractNumId w:val="31"/>
  </w:num>
  <w:num w:numId="35">
    <w:abstractNumId w:val="12"/>
  </w:num>
  <w:num w:numId="36">
    <w:abstractNumId w:val="22"/>
  </w:num>
  <w:num w:numId="37">
    <w:abstractNumId w:val="13"/>
  </w:num>
  <w:num w:numId="38">
    <w:abstractNumId w:val="6"/>
    <w:lvlOverride w:ilvl="0">
      <w:lvl w:ilvl="0">
        <w:numFmt w:val="bullet"/>
        <w:lvlText w:val=""/>
        <w:legacy w:legacy="1" w:legacySpace="0" w:legacyIndent="0"/>
        <w:lvlJc w:val="left"/>
        <w:rPr>
          <w:rFonts w:ascii="Symbol" w:hAnsi="Symbol" w:hint="default"/>
          <w:sz w:val="22"/>
        </w:rPr>
      </w:lvl>
    </w:lvlOverride>
  </w:num>
  <w:num w:numId="39">
    <w:abstractNumId w:val="24"/>
  </w:num>
  <w:num w:numId="40">
    <w:abstractNumId w:val="6"/>
    <w:lvlOverride w:ilvl="0">
      <w:lvl w:ilvl="0">
        <w:numFmt w:val="bullet"/>
        <w:lvlText w:val="•"/>
        <w:legacy w:legacy="1" w:legacySpace="0" w:legacyIndent="346"/>
        <w:lvlJc w:val="left"/>
        <w:rPr>
          <w:rFonts w:ascii="Arial" w:hAnsi="Arial" w:hint="default"/>
        </w:rPr>
      </w:lvl>
    </w:lvlOverride>
  </w:num>
  <w:num w:numId="41">
    <w:abstractNumId w:val="25"/>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29"/>
    <w:rsid w:val="000018B8"/>
    <w:rsid w:val="0001026F"/>
    <w:rsid w:val="00021DED"/>
    <w:rsid w:val="0002361F"/>
    <w:rsid w:val="0002481D"/>
    <w:rsid w:val="00043813"/>
    <w:rsid w:val="00044AE5"/>
    <w:rsid w:val="0004718C"/>
    <w:rsid w:val="00070093"/>
    <w:rsid w:val="00073703"/>
    <w:rsid w:val="00075281"/>
    <w:rsid w:val="00076CBB"/>
    <w:rsid w:val="00077885"/>
    <w:rsid w:val="000817F0"/>
    <w:rsid w:val="000857FD"/>
    <w:rsid w:val="000958C1"/>
    <w:rsid w:val="000976F6"/>
    <w:rsid w:val="000A3758"/>
    <w:rsid w:val="000B1A79"/>
    <w:rsid w:val="000B64B5"/>
    <w:rsid w:val="000B6CA6"/>
    <w:rsid w:val="000B7191"/>
    <w:rsid w:val="000C07B2"/>
    <w:rsid w:val="000C14BB"/>
    <w:rsid w:val="000C6562"/>
    <w:rsid w:val="000C6890"/>
    <w:rsid w:val="000C75C2"/>
    <w:rsid w:val="000D2FEA"/>
    <w:rsid w:val="000E2845"/>
    <w:rsid w:val="000E2B34"/>
    <w:rsid w:val="000E4C14"/>
    <w:rsid w:val="000F4EB3"/>
    <w:rsid w:val="000F560B"/>
    <w:rsid w:val="000F56EB"/>
    <w:rsid w:val="00101691"/>
    <w:rsid w:val="00104B2C"/>
    <w:rsid w:val="0010624A"/>
    <w:rsid w:val="00115141"/>
    <w:rsid w:val="00136AA9"/>
    <w:rsid w:val="00137FA7"/>
    <w:rsid w:val="00143543"/>
    <w:rsid w:val="001548CE"/>
    <w:rsid w:val="00156F78"/>
    <w:rsid w:val="00157504"/>
    <w:rsid w:val="00163E7A"/>
    <w:rsid w:val="00166B48"/>
    <w:rsid w:val="00166FC3"/>
    <w:rsid w:val="001734DB"/>
    <w:rsid w:val="00181C21"/>
    <w:rsid w:val="00185A95"/>
    <w:rsid w:val="001864BA"/>
    <w:rsid w:val="001942D3"/>
    <w:rsid w:val="00194394"/>
    <w:rsid w:val="00194648"/>
    <w:rsid w:val="00195A2E"/>
    <w:rsid w:val="00197BC1"/>
    <w:rsid w:val="001A4C63"/>
    <w:rsid w:val="001A58FE"/>
    <w:rsid w:val="001C2266"/>
    <w:rsid w:val="001C2985"/>
    <w:rsid w:val="001C3B07"/>
    <w:rsid w:val="001E1D09"/>
    <w:rsid w:val="001F201F"/>
    <w:rsid w:val="00205BC3"/>
    <w:rsid w:val="0020686C"/>
    <w:rsid w:val="00213441"/>
    <w:rsid w:val="002145CE"/>
    <w:rsid w:val="00224721"/>
    <w:rsid w:val="00231950"/>
    <w:rsid w:val="002415A4"/>
    <w:rsid w:val="002416C4"/>
    <w:rsid w:val="00247E60"/>
    <w:rsid w:val="00263437"/>
    <w:rsid w:val="00264737"/>
    <w:rsid w:val="0027413C"/>
    <w:rsid w:val="00276ACF"/>
    <w:rsid w:val="00277432"/>
    <w:rsid w:val="00284BE4"/>
    <w:rsid w:val="00296B9E"/>
    <w:rsid w:val="002A5015"/>
    <w:rsid w:val="002A6B56"/>
    <w:rsid w:val="002B3FEF"/>
    <w:rsid w:val="002C3CFC"/>
    <w:rsid w:val="002C404A"/>
    <w:rsid w:val="002D2A56"/>
    <w:rsid w:val="002D5D14"/>
    <w:rsid w:val="002E1334"/>
    <w:rsid w:val="002E20E8"/>
    <w:rsid w:val="002E229D"/>
    <w:rsid w:val="002E4795"/>
    <w:rsid w:val="002E4C10"/>
    <w:rsid w:val="002F2760"/>
    <w:rsid w:val="002F3DE3"/>
    <w:rsid w:val="002F69F2"/>
    <w:rsid w:val="003177E8"/>
    <w:rsid w:val="00317AF2"/>
    <w:rsid w:val="00317EC8"/>
    <w:rsid w:val="003215B1"/>
    <w:rsid w:val="0032510F"/>
    <w:rsid w:val="00326457"/>
    <w:rsid w:val="00333049"/>
    <w:rsid w:val="00342BFC"/>
    <w:rsid w:val="00345E4B"/>
    <w:rsid w:val="0034707E"/>
    <w:rsid w:val="00347127"/>
    <w:rsid w:val="00355451"/>
    <w:rsid w:val="003579CC"/>
    <w:rsid w:val="00360012"/>
    <w:rsid w:val="0036089F"/>
    <w:rsid w:val="003716E2"/>
    <w:rsid w:val="0038150B"/>
    <w:rsid w:val="003836AF"/>
    <w:rsid w:val="00390653"/>
    <w:rsid w:val="003927C2"/>
    <w:rsid w:val="003942BD"/>
    <w:rsid w:val="0039617A"/>
    <w:rsid w:val="003A15E1"/>
    <w:rsid w:val="003A5D0E"/>
    <w:rsid w:val="003A6ACE"/>
    <w:rsid w:val="003A6CE1"/>
    <w:rsid w:val="003A7462"/>
    <w:rsid w:val="003C46C4"/>
    <w:rsid w:val="003C6499"/>
    <w:rsid w:val="003D4702"/>
    <w:rsid w:val="003E6776"/>
    <w:rsid w:val="003E739F"/>
    <w:rsid w:val="003E7708"/>
    <w:rsid w:val="003F4546"/>
    <w:rsid w:val="003F5876"/>
    <w:rsid w:val="003F6889"/>
    <w:rsid w:val="003F6957"/>
    <w:rsid w:val="00401049"/>
    <w:rsid w:val="004013E7"/>
    <w:rsid w:val="0040456A"/>
    <w:rsid w:val="0041089E"/>
    <w:rsid w:val="00417005"/>
    <w:rsid w:val="00423DD2"/>
    <w:rsid w:val="004249CC"/>
    <w:rsid w:val="00425AB1"/>
    <w:rsid w:val="0043227E"/>
    <w:rsid w:val="00435E35"/>
    <w:rsid w:val="004404A8"/>
    <w:rsid w:val="00440A8B"/>
    <w:rsid w:val="0044187B"/>
    <w:rsid w:val="004422A9"/>
    <w:rsid w:val="004509EF"/>
    <w:rsid w:val="00451D34"/>
    <w:rsid w:val="00456BDE"/>
    <w:rsid w:val="0045766B"/>
    <w:rsid w:val="00460835"/>
    <w:rsid w:val="00462CFD"/>
    <w:rsid w:val="004679EE"/>
    <w:rsid w:val="004807BB"/>
    <w:rsid w:val="004837D0"/>
    <w:rsid w:val="0048437B"/>
    <w:rsid w:val="00490730"/>
    <w:rsid w:val="004918E0"/>
    <w:rsid w:val="0049464A"/>
    <w:rsid w:val="004970B4"/>
    <w:rsid w:val="004A62CC"/>
    <w:rsid w:val="004A6651"/>
    <w:rsid w:val="004B3BF6"/>
    <w:rsid w:val="004B5DB7"/>
    <w:rsid w:val="004C0394"/>
    <w:rsid w:val="004C272E"/>
    <w:rsid w:val="004C36B2"/>
    <w:rsid w:val="004D6DCD"/>
    <w:rsid w:val="00501638"/>
    <w:rsid w:val="00503B43"/>
    <w:rsid w:val="0050485E"/>
    <w:rsid w:val="00521E37"/>
    <w:rsid w:val="00523FA7"/>
    <w:rsid w:val="00525BB3"/>
    <w:rsid w:val="00530BFB"/>
    <w:rsid w:val="00532283"/>
    <w:rsid w:val="0053246B"/>
    <w:rsid w:val="00535D7D"/>
    <w:rsid w:val="0053638B"/>
    <w:rsid w:val="00536BFA"/>
    <w:rsid w:val="005402A0"/>
    <w:rsid w:val="00544FB5"/>
    <w:rsid w:val="005506AF"/>
    <w:rsid w:val="00552718"/>
    <w:rsid w:val="00563D8C"/>
    <w:rsid w:val="00565BC2"/>
    <w:rsid w:val="00572766"/>
    <w:rsid w:val="00573636"/>
    <w:rsid w:val="005770F7"/>
    <w:rsid w:val="00580D5D"/>
    <w:rsid w:val="0058243F"/>
    <w:rsid w:val="00582FAD"/>
    <w:rsid w:val="00584C5B"/>
    <w:rsid w:val="00586153"/>
    <w:rsid w:val="005942FE"/>
    <w:rsid w:val="00594883"/>
    <w:rsid w:val="005A17CC"/>
    <w:rsid w:val="005A7383"/>
    <w:rsid w:val="005B315D"/>
    <w:rsid w:val="005B5635"/>
    <w:rsid w:val="005B6117"/>
    <w:rsid w:val="005B6AFF"/>
    <w:rsid w:val="005B7491"/>
    <w:rsid w:val="005C52A3"/>
    <w:rsid w:val="005C758C"/>
    <w:rsid w:val="005D56F6"/>
    <w:rsid w:val="005E03F3"/>
    <w:rsid w:val="005E62C6"/>
    <w:rsid w:val="005E7F9F"/>
    <w:rsid w:val="005F7AB2"/>
    <w:rsid w:val="00600D0E"/>
    <w:rsid w:val="0060245A"/>
    <w:rsid w:val="0060245F"/>
    <w:rsid w:val="006113B8"/>
    <w:rsid w:val="00617096"/>
    <w:rsid w:val="0062389E"/>
    <w:rsid w:val="006309CB"/>
    <w:rsid w:val="0063792D"/>
    <w:rsid w:val="00637E0C"/>
    <w:rsid w:val="00643B4D"/>
    <w:rsid w:val="00681B3A"/>
    <w:rsid w:val="00682A71"/>
    <w:rsid w:val="00692895"/>
    <w:rsid w:val="00696BDF"/>
    <w:rsid w:val="0069716D"/>
    <w:rsid w:val="006A0A12"/>
    <w:rsid w:val="006A0E16"/>
    <w:rsid w:val="006A1C9B"/>
    <w:rsid w:val="006B750E"/>
    <w:rsid w:val="006B78BA"/>
    <w:rsid w:val="006D516B"/>
    <w:rsid w:val="006E57D3"/>
    <w:rsid w:val="006F012B"/>
    <w:rsid w:val="006F1289"/>
    <w:rsid w:val="00700DAF"/>
    <w:rsid w:val="00702916"/>
    <w:rsid w:val="00703062"/>
    <w:rsid w:val="007064BD"/>
    <w:rsid w:val="007212C8"/>
    <w:rsid w:val="00722EE6"/>
    <w:rsid w:val="00734858"/>
    <w:rsid w:val="00737725"/>
    <w:rsid w:val="007451F5"/>
    <w:rsid w:val="00754792"/>
    <w:rsid w:val="00754F2B"/>
    <w:rsid w:val="00760718"/>
    <w:rsid w:val="007623E1"/>
    <w:rsid w:val="007651F3"/>
    <w:rsid w:val="0077452C"/>
    <w:rsid w:val="00784790"/>
    <w:rsid w:val="007876C8"/>
    <w:rsid w:val="007A3550"/>
    <w:rsid w:val="007A3B86"/>
    <w:rsid w:val="007A3C93"/>
    <w:rsid w:val="007A75A8"/>
    <w:rsid w:val="007B07D5"/>
    <w:rsid w:val="007B50B3"/>
    <w:rsid w:val="007B6576"/>
    <w:rsid w:val="007B76BB"/>
    <w:rsid w:val="007C0848"/>
    <w:rsid w:val="007C09D2"/>
    <w:rsid w:val="007C5DD6"/>
    <w:rsid w:val="007C5EFF"/>
    <w:rsid w:val="007C75A4"/>
    <w:rsid w:val="007D0AF0"/>
    <w:rsid w:val="007D63EC"/>
    <w:rsid w:val="007E4A0C"/>
    <w:rsid w:val="007E72AA"/>
    <w:rsid w:val="007F2710"/>
    <w:rsid w:val="007F2AF8"/>
    <w:rsid w:val="007F5D87"/>
    <w:rsid w:val="00800059"/>
    <w:rsid w:val="008047A3"/>
    <w:rsid w:val="00804BF1"/>
    <w:rsid w:val="0080534E"/>
    <w:rsid w:val="00806908"/>
    <w:rsid w:val="00815DA5"/>
    <w:rsid w:val="00822AF1"/>
    <w:rsid w:val="00824712"/>
    <w:rsid w:val="00841E1D"/>
    <w:rsid w:val="008442EC"/>
    <w:rsid w:val="0084505D"/>
    <w:rsid w:val="0085005D"/>
    <w:rsid w:val="008606DD"/>
    <w:rsid w:val="00865DB4"/>
    <w:rsid w:val="00866EA8"/>
    <w:rsid w:val="00867A2F"/>
    <w:rsid w:val="0087110C"/>
    <w:rsid w:val="00872908"/>
    <w:rsid w:val="00884D16"/>
    <w:rsid w:val="00885A89"/>
    <w:rsid w:val="008870E4"/>
    <w:rsid w:val="0089080E"/>
    <w:rsid w:val="0089105A"/>
    <w:rsid w:val="00894A24"/>
    <w:rsid w:val="008A102D"/>
    <w:rsid w:val="008B0D08"/>
    <w:rsid w:val="008B2354"/>
    <w:rsid w:val="008B2D82"/>
    <w:rsid w:val="008C451D"/>
    <w:rsid w:val="008D1D76"/>
    <w:rsid w:val="008D445E"/>
    <w:rsid w:val="008D6D1C"/>
    <w:rsid w:val="008E14CD"/>
    <w:rsid w:val="008E15ED"/>
    <w:rsid w:val="008F28C7"/>
    <w:rsid w:val="008F793D"/>
    <w:rsid w:val="00900829"/>
    <w:rsid w:val="00901A87"/>
    <w:rsid w:val="0091260E"/>
    <w:rsid w:val="009135B0"/>
    <w:rsid w:val="00917D5E"/>
    <w:rsid w:val="00920A07"/>
    <w:rsid w:val="009264FC"/>
    <w:rsid w:val="00933472"/>
    <w:rsid w:val="009409F5"/>
    <w:rsid w:val="009433CF"/>
    <w:rsid w:val="00943EF6"/>
    <w:rsid w:val="0095216A"/>
    <w:rsid w:val="009563AF"/>
    <w:rsid w:val="00957ECB"/>
    <w:rsid w:val="009652DB"/>
    <w:rsid w:val="00971080"/>
    <w:rsid w:val="00972C96"/>
    <w:rsid w:val="00973CCA"/>
    <w:rsid w:val="009805D4"/>
    <w:rsid w:val="00987AF0"/>
    <w:rsid w:val="009A1AF7"/>
    <w:rsid w:val="009A3198"/>
    <w:rsid w:val="009B319C"/>
    <w:rsid w:val="009B5477"/>
    <w:rsid w:val="009B7368"/>
    <w:rsid w:val="009C64F2"/>
    <w:rsid w:val="009D1286"/>
    <w:rsid w:val="009D28FE"/>
    <w:rsid w:val="009D3F2F"/>
    <w:rsid w:val="009E0544"/>
    <w:rsid w:val="009F2C3A"/>
    <w:rsid w:val="009F30B2"/>
    <w:rsid w:val="009F52C5"/>
    <w:rsid w:val="009F786B"/>
    <w:rsid w:val="009F7884"/>
    <w:rsid w:val="00A12836"/>
    <w:rsid w:val="00A26FD1"/>
    <w:rsid w:val="00A308FA"/>
    <w:rsid w:val="00A3591B"/>
    <w:rsid w:val="00A409FA"/>
    <w:rsid w:val="00A5458A"/>
    <w:rsid w:val="00A60485"/>
    <w:rsid w:val="00A61BBF"/>
    <w:rsid w:val="00A666F5"/>
    <w:rsid w:val="00A7103D"/>
    <w:rsid w:val="00A75007"/>
    <w:rsid w:val="00A85CC0"/>
    <w:rsid w:val="00A879D0"/>
    <w:rsid w:val="00AA0249"/>
    <w:rsid w:val="00AA09A5"/>
    <w:rsid w:val="00AB07AB"/>
    <w:rsid w:val="00AB2FA8"/>
    <w:rsid w:val="00AB37BB"/>
    <w:rsid w:val="00AC3331"/>
    <w:rsid w:val="00AC62E5"/>
    <w:rsid w:val="00AC70DA"/>
    <w:rsid w:val="00AD4605"/>
    <w:rsid w:val="00AE0ED5"/>
    <w:rsid w:val="00AE5A73"/>
    <w:rsid w:val="00B04EA3"/>
    <w:rsid w:val="00B109BF"/>
    <w:rsid w:val="00B10AA7"/>
    <w:rsid w:val="00B175ED"/>
    <w:rsid w:val="00B20CE8"/>
    <w:rsid w:val="00B22053"/>
    <w:rsid w:val="00B25DD9"/>
    <w:rsid w:val="00B26C1A"/>
    <w:rsid w:val="00B2730D"/>
    <w:rsid w:val="00B2744D"/>
    <w:rsid w:val="00B37253"/>
    <w:rsid w:val="00B40AA1"/>
    <w:rsid w:val="00B40EE9"/>
    <w:rsid w:val="00B42D0B"/>
    <w:rsid w:val="00B47D87"/>
    <w:rsid w:val="00B50322"/>
    <w:rsid w:val="00B523E7"/>
    <w:rsid w:val="00B576A5"/>
    <w:rsid w:val="00B62B8B"/>
    <w:rsid w:val="00B63D5C"/>
    <w:rsid w:val="00B66067"/>
    <w:rsid w:val="00B82195"/>
    <w:rsid w:val="00B83781"/>
    <w:rsid w:val="00B83F64"/>
    <w:rsid w:val="00B842C8"/>
    <w:rsid w:val="00B861FA"/>
    <w:rsid w:val="00B87444"/>
    <w:rsid w:val="00BA7765"/>
    <w:rsid w:val="00BB02AB"/>
    <w:rsid w:val="00BB06BC"/>
    <w:rsid w:val="00BB6452"/>
    <w:rsid w:val="00BC4DDD"/>
    <w:rsid w:val="00BF6354"/>
    <w:rsid w:val="00C02418"/>
    <w:rsid w:val="00C1563F"/>
    <w:rsid w:val="00C16FC7"/>
    <w:rsid w:val="00C2329B"/>
    <w:rsid w:val="00C23737"/>
    <w:rsid w:val="00C24A49"/>
    <w:rsid w:val="00C276F9"/>
    <w:rsid w:val="00C37D91"/>
    <w:rsid w:val="00C37FF7"/>
    <w:rsid w:val="00C40852"/>
    <w:rsid w:val="00C40CE1"/>
    <w:rsid w:val="00C465CA"/>
    <w:rsid w:val="00C54D8C"/>
    <w:rsid w:val="00C56FB4"/>
    <w:rsid w:val="00C5738B"/>
    <w:rsid w:val="00C641D8"/>
    <w:rsid w:val="00C664AF"/>
    <w:rsid w:val="00C7324C"/>
    <w:rsid w:val="00C7493E"/>
    <w:rsid w:val="00C75742"/>
    <w:rsid w:val="00C76552"/>
    <w:rsid w:val="00C827E0"/>
    <w:rsid w:val="00C83107"/>
    <w:rsid w:val="00C86D8A"/>
    <w:rsid w:val="00CA37E7"/>
    <w:rsid w:val="00CB3F88"/>
    <w:rsid w:val="00CB5BAD"/>
    <w:rsid w:val="00CB6E6B"/>
    <w:rsid w:val="00CB7B7A"/>
    <w:rsid w:val="00CC36B2"/>
    <w:rsid w:val="00CC4868"/>
    <w:rsid w:val="00CC65A1"/>
    <w:rsid w:val="00CD3571"/>
    <w:rsid w:val="00CD6452"/>
    <w:rsid w:val="00CE170D"/>
    <w:rsid w:val="00CE25CB"/>
    <w:rsid w:val="00CE3055"/>
    <w:rsid w:val="00CE324A"/>
    <w:rsid w:val="00CE46E2"/>
    <w:rsid w:val="00CE54C7"/>
    <w:rsid w:val="00CF4CA9"/>
    <w:rsid w:val="00D0366B"/>
    <w:rsid w:val="00D05812"/>
    <w:rsid w:val="00D05DC4"/>
    <w:rsid w:val="00D06254"/>
    <w:rsid w:val="00D066D3"/>
    <w:rsid w:val="00D1187E"/>
    <w:rsid w:val="00D246E9"/>
    <w:rsid w:val="00D359FA"/>
    <w:rsid w:val="00D362B5"/>
    <w:rsid w:val="00D436C6"/>
    <w:rsid w:val="00D436D7"/>
    <w:rsid w:val="00D63B5A"/>
    <w:rsid w:val="00D65E3D"/>
    <w:rsid w:val="00D71A67"/>
    <w:rsid w:val="00D7208E"/>
    <w:rsid w:val="00D73A58"/>
    <w:rsid w:val="00D875F3"/>
    <w:rsid w:val="00DA5E8B"/>
    <w:rsid w:val="00DA764C"/>
    <w:rsid w:val="00DA789B"/>
    <w:rsid w:val="00DB3580"/>
    <w:rsid w:val="00DC5356"/>
    <w:rsid w:val="00DC621A"/>
    <w:rsid w:val="00DD1D6C"/>
    <w:rsid w:val="00DD4843"/>
    <w:rsid w:val="00DD51CC"/>
    <w:rsid w:val="00DD7803"/>
    <w:rsid w:val="00DE0186"/>
    <w:rsid w:val="00DE79E2"/>
    <w:rsid w:val="00E00EE7"/>
    <w:rsid w:val="00E017B0"/>
    <w:rsid w:val="00E10B6D"/>
    <w:rsid w:val="00E11FDD"/>
    <w:rsid w:val="00E24031"/>
    <w:rsid w:val="00E245FA"/>
    <w:rsid w:val="00E31B99"/>
    <w:rsid w:val="00E34A61"/>
    <w:rsid w:val="00E41BEB"/>
    <w:rsid w:val="00E5058F"/>
    <w:rsid w:val="00E53955"/>
    <w:rsid w:val="00E6334A"/>
    <w:rsid w:val="00E63D89"/>
    <w:rsid w:val="00E6516E"/>
    <w:rsid w:val="00E66FB1"/>
    <w:rsid w:val="00E67E09"/>
    <w:rsid w:val="00E7414A"/>
    <w:rsid w:val="00E774A1"/>
    <w:rsid w:val="00E8089D"/>
    <w:rsid w:val="00EA1A58"/>
    <w:rsid w:val="00EA4721"/>
    <w:rsid w:val="00EA75B7"/>
    <w:rsid w:val="00EA7ECD"/>
    <w:rsid w:val="00EB3B0C"/>
    <w:rsid w:val="00EB5111"/>
    <w:rsid w:val="00EC0455"/>
    <w:rsid w:val="00EC2EAE"/>
    <w:rsid w:val="00EC475E"/>
    <w:rsid w:val="00ED077E"/>
    <w:rsid w:val="00ED08C9"/>
    <w:rsid w:val="00ED23CB"/>
    <w:rsid w:val="00EE14F4"/>
    <w:rsid w:val="00EF1852"/>
    <w:rsid w:val="00EF6697"/>
    <w:rsid w:val="00F01397"/>
    <w:rsid w:val="00F04891"/>
    <w:rsid w:val="00F0502B"/>
    <w:rsid w:val="00F0688B"/>
    <w:rsid w:val="00F07DD9"/>
    <w:rsid w:val="00F10412"/>
    <w:rsid w:val="00F14351"/>
    <w:rsid w:val="00F14533"/>
    <w:rsid w:val="00F154FD"/>
    <w:rsid w:val="00F20E82"/>
    <w:rsid w:val="00F2115C"/>
    <w:rsid w:val="00F21D92"/>
    <w:rsid w:val="00F2366C"/>
    <w:rsid w:val="00F2467C"/>
    <w:rsid w:val="00F24AF4"/>
    <w:rsid w:val="00F273E7"/>
    <w:rsid w:val="00F3277E"/>
    <w:rsid w:val="00F37605"/>
    <w:rsid w:val="00F4219C"/>
    <w:rsid w:val="00F43A5D"/>
    <w:rsid w:val="00F64F8C"/>
    <w:rsid w:val="00F71DCF"/>
    <w:rsid w:val="00F7313B"/>
    <w:rsid w:val="00F75719"/>
    <w:rsid w:val="00F75B1A"/>
    <w:rsid w:val="00F76A5E"/>
    <w:rsid w:val="00F81536"/>
    <w:rsid w:val="00F829A2"/>
    <w:rsid w:val="00F91C60"/>
    <w:rsid w:val="00F951C3"/>
    <w:rsid w:val="00F95E16"/>
    <w:rsid w:val="00FA1606"/>
    <w:rsid w:val="00FA447E"/>
    <w:rsid w:val="00FB2FF2"/>
    <w:rsid w:val="00FB6FAF"/>
    <w:rsid w:val="00FD45AE"/>
    <w:rsid w:val="00FD46CB"/>
    <w:rsid w:val="00FE4EB9"/>
    <w:rsid w:val="00FE57CD"/>
    <w:rsid w:val="00FF5148"/>
    <w:rsid w:val="00FF55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54790974-B65F-4855-AC30-4791B914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45E"/>
    <w:pPr>
      <w:spacing w:after="240"/>
    </w:pPr>
    <w:rPr>
      <w:rFonts w:ascii="Gill Sans" w:hAnsi="Gill Sans"/>
      <w:sz w:val="26"/>
      <w:szCs w:val="24"/>
      <w:lang w:eastAsia="en-US"/>
    </w:rPr>
  </w:style>
  <w:style w:type="paragraph" w:styleId="Heading1">
    <w:name w:val="heading 1"/>
    <w:aliases w:val=" Char3,Char3"/>
    <w:basedOn w:val="Normal"/>
    <w:next w:val="Normal"/>
    <w:link w:val="Heading1Char"/>
    <w:uiPriority w:val="99"/>
    <w:qFormat/>
    <w:rsid w:val="00973CCA"/>
    <w:pPr>
      <w:keepNext/>
      <w:pageBreakBefore/>
      <w:spacing w:after="120"/>
      <w:outlineLvl w:val="0"/>
    </w:pPr>
    <w:rPr>
      <w:rFonts w:ascii="Rockwell" w:hAnsi="Rockwell" w:cs="Arial"/>
      <w:b/>
      <w:bCs/>
      <w:color w:val="BF2296"/>
      <w:kern w:val="32"/>
      <w:sz w:val="56"/>
      <w:szCs w:val="32"/>
    </w:rPr>
  </w:style>
  <w:style w:type="paragraph" w:styleId="Heading2">
    <w:name w:val="heading 2"/>
    <w:basedOn w:val="Normal"/>
    <w:next w:val="Normal"/>
    <w:link w:val="Heading2Char"/>
    <w:uiPriority w:val="99"/>
    <w:qFormat/>
    <w:rsid w:val="00E00EE7"/>
    <w:pPr>
      <w:keepNext/>
      <w:spacing w:before="40" w:after="120"/>
      <w:outlineLvl w:val="1"/>
    </w:pPr>
    <w:rPr>
      <w:rFonts w:ascii="Rockwell" w:hAnsi="Rockwell" w:cs="Arial Bold"/>
      <w:b/>
      <w:bCs/>
      <w:iCs/>
      <w:color w:val="BF2296"/>
      <w:sz w:val="32"/>
      <w:szCs w:val="28"/>
    </w:rPr>
  </w:style>
  <w:style w:type="paragraph" w:styleId="Heading3">
    <w:name w:val="heading 3"/>
    <w:basedOn w:val="Normal"/>
    <w:next w:val="Normal"/>
    <w:link w:val="Heading3Char"/>
    <w:uiPriority w:val="99"/>
    <w:qFormat/>
    <w:rsid w:val="00703062"/>
    <w:pPr>
      <w:keepNext/>
      <w:keepLines/>
      <w:spacing w:before="20" w:after="40"/>
      <w:outlineLvl w:val="2"/>
    </w:pPr>
    <w:rPr>
      <w:rFonts w:ascii="Rockwell" w:hAnsi="Rockwell" w:cs="Arial Bold"/>
      <w:b/>
      <w:bCs/>
      <w:color w:val="BF2296"/>
    </w:rPr>
  </w:style>
  <w:style w:type="paragraph" w:styleId="Heading4">
    <w:name w:val="heading 4"/>
    <w:basedOn w:val="Heading3"/>
    <w:next w:val="Normal"/>
    <w:link w:val="Heading4Char"/>
    <w:uiPriority w:val="99"/>
    <w:qFormat/>
    <w:rsid w:val="00FE57CD"/>
    <w:pPr>
      <w:spacing w:line="310" w:lineRule="atLeast"/>
      <w:outlineLvl w:val="3"/>
    </w:pPr>
    <w:rPr>
      <w:b w:val="0"/>
      <w:bCs w:val="0"/>
      <w:color w:val="000000"/>
    </w:rPr>
  </w:style>
  <w:style w:type="paragraph" w:styleId="Heading5">
    <w:name w:val="heading 5"/>
    <w:basedOn w:val="Normal"/>
    <w:next w:val="Normal"/>
    <w:link w:val="Heading5Char"/>
    <w:uiPriority w:val="99"/>
    <w:qFormat/>
    <w:rsid w:val="00867A2F"/>
    <w:pPr>
      <w:keepNext/>
      <w:keepLines/>
      <w:spacing w:after="0"/>
      <w:ind w:left="567"/>
      <w:outlineLvl w:val="4"/>
    </w:pPr>
    <w:rPr>
      <w:b/>
      <w:bCs/>
      <w:iCs/>
      <w:szCs w:val="26"/>
    </w:rPr>
  </w:style>
  <w:style w:type="paragraph" w:styleId="Heading6">
    <w:name w:val="heading 6"/>
    <w:basedOn w:val="Normal"/>
    <w:next w:val="Normal"/>
    <w:link w:val="Heading6Char"/>
    <w:uiPriority w:val="99"/>
    <w:qFormat/>
    <w:rsid w:val="00247E60"/>
    <w:pPr>
      <w:spacing w:after="0"/>
      <w:outlineLvl w:val="5"/>
    </w:pPr>
    <w:rPr>
      <w:b/>
      <w:bCs/>
      <w:sz w:val="22"/>
      <w:szCs w:val="22"/>
    </w:rPr>
  </w:style>
  <w:style w:type="paragraph" w:styleId="Heading7">
    <w:name w:val="heading 7"/>
    <w:basedOn w:val="Normal"/>
    <w:next w:val="Normal"/>
    <w:link w:val="Heading7Char"/>
    <w:uiPriority w:val="99"/>
    <w:qFormat/>
    <w:rsid w:val="00900829"/>
    <w:pPr>
      <w:keepNext/>
      <w:spacing w:after="0"/>
      <w:jc w:val="center"/>
      <w:outlineLvl w:val="6"/>
    </w:pPr>
    <w:rPr>
      <w:rFonts w:cs="Arial"/>
      <w:b/>
      <w:sz w:val="22"/>
      <w:szCs w:val="40"/>
    </w:rPr>
  </w:style>
  <w:style w:type="paragraph" w:styleId="Heading8">
    <w:name w:val="heading 8"/>
    <w:basedOn w:val="Normal"/>
    <w:next w:val="Normal"/>
    <w:link w:val="Heading8Char"/>
    <w:uiPriority w:val="99"/>
    <w:qFormat/>
    <w:rsid w:val="00247E60"/>
    <w:pPr>
      <w:keepNext/>
      <w:spacing w:after="0"/>
      <w:outlineLvl w:val="7"/>
    </w:pPr>
    <w:rPr>
      <w:b/>
      <w:sz w:val="22"/>
    </w:rPr>
  </w:style>
  <w:style w:type="paragraph" w:styleId="Heading9">
    <w:name w:val="heading 9"/>
    <w:basedOn w:val="Normal"/>
    <w:next w:val="Normal"/>
    <w:link w:val="Heading9Char"/>
    <w:uiPriority w:val="99"/>
    <w:qFormat/>
    <w:rsid w:val="00247E60"/>
    <w:pPr>
      <w:keepNext/>
      <w:spacing w:after="0"/>
      <w:outlineLvl w:val="8"/>
    </w:pPr>
    <w:rPr>
      <w:rFonts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Char3 Char"/>
    <w:link w:val="Heading1"/>
    <w:uiPriority w:val="99"/>
    <w:rsid w:val="00B87444"/>
    <w:rPr>
      <w:rFonts w:ascii="Rockwell" w:hAnsi="Rockwell" w:cs="Arial"/>
      <w:b/>
      <w:bCs/>
      <w:color w:val="BF2296"/>
      <w:kern w:val="32"/>
      <w:sz w:val="56"/>
      <w:szCs w:val="32"/>
      <w:lang w:val="en-IE" w:eastAsia="en-US" w:bidi="ar-SA"/>
    </w:rPr>
  </w:style>
  <w:style w:type="character" w:customStyle="1" w:styleId="Heading2Char">
    <w:name w:val="Heading 2 Char"/>
    <w:basedOn w:val="DefaultParagraphFont"/>
    <w:link w:val="Heading2"/>
    <w:uiPriority w:val="99"/>
    <w:rsid w:val="00E00EE7"/>
    <w:rPr>
      <w:rFonts w:ascii="Rockwell" w:hAnsi="Rockwell" w:cs="Arial Bold"/>
      <w:b/>
      <w:bCs/>
      <w:iCs/>
      <w:color w:val="BF2296"/>
      <w:sz w:val="32"/>
      <w:szCs w:val="28"/>
      <w:lang w:val="en-IE" w:eastAsia="en-US" w:bidi="ar-SA"/>
    </w:rPr>
  </w:style>
  <w:style w:type="character" w:styleId="Hyperlink">
    <w:name w:val="Hyperlink"/>
    <w:uiPriority w:val="99"/>
    <w:rsid w:val="00900829"/>
    <w:rPr>
      <w:color w:val="0000FF"/>
      <w:u w:val="single"/>
    </w:rPr>
  </w:style>
  <w:style w:type="character" w:styleId="FollowedHyperlink">
    <w:name w:val="FollowedHyperlink"/>
    <w:uiPriority w:val="99"/>
    <w:rsid w:val="00900829"/>
    <w:rPr>
      <w:color w:val="800080"/>
      <w:u w:val="single"/>
    </w:rPr>
  </w:style>
  <w:style w:type="paragraph" w:styleId="TOC1">
    <w:name w:val="toc 1"/>
    <w:basedOn w:val="Normal"/>
    <w:next w:val="Normal"/>
    <w:autoRedefine/>
    <w:uiPriority w:val="99"/>
    <w:rsid w:val="00900829"/>
    <w:pPr>
      <w:keepNext/>
      <w:keepLines/>
      <w:tabs>
        <w:tab w:val="right" w:leader="dot" w:pos="8630"/>
      </w:tabs>
      <w:spacing w:before="240" w:after="60"/>
    </w:pPr>
    <w:rPr>
      <w:b/>
    </w:rPr>
  </w:style>
  <w:style w:type="paragraph" w:styleId="TOC2">
    <w:name w:val="toc 2"/>
    <w:basedOn w:val="Normal"/>
    <w:next w:val="Normal"/>
    <w:autoRedefine/>
    <w:uiPriority w:val="99"/>
    <w:rsid w:val="00900829"/>
    <w:pPr>
      <w:keepLines/>
      <w:spacing w:after="60"/>
      <w:ind w:left="261"/>
    </w:pPr>
  </w:style>
  <w:style w:type="paragraph" w:styleId="TOC3">
    <w:name w:val="toc 3"/>
    <w:basedOn w:val="Normal"/>
    <w:next w:val="Normal"/>
    <w:autoRedefine/>
    <w:uiPriority w:val="99"/>
    <w:semiHidden/>
    <w:rsid w:val="00900829"/>
    <w:pPr>
      <w:ind w:left="480"/>
    </w:pPr>
  </w:style>
  <w:style w:type="paragraph" w:styleId="TOC4">
    <w:name w:val="toc 4"/>
    <w:basedOn w:val="Normal"/>
    <w:next w:val="Normal"/>
    <w:autoRedefine/>
    <w:uiPriority w:val="99"/>
    <w:semiHidden/>
    <w:rsid w:val="00900829"/>
    <w:pPr>
      <w:ind w:left="720"/>
    </w:pPr>
  </w:style>
  <w:style w:type="paragraph" w:styleId="TOC5">
    <w:name w:val="toc 5"/>
    <w:basedOn w:val="Normal"/>
    <w:next w:val="Normal"/>
    <w:autoRedefine/>
    <w:uiPriority w:val="99"/>
    <w:semiHidden/>
    <w:rsid w:val="00900829"/>
    <w:pPr>
      <w:spacing w:after="0"/>
      <w:ind w:left="960"/>
    </w:pPr>
    <w:rPr>
      <w:rFonts w:ascii="Times New Roman" w:hAnsi="Times New Roman"/>
      <w:lang w:eastAsia="en-IE"/>
    </w:rPr>
  </w:style>
  <w:style w:type="paragraph" w:styleId="TOC6">
    <w:name w:val="toc 6"/>
    <w:basedOn w:val="Normal"/>
    <w:next w:val="Normal"/>
    <w:autoRedefine/>
    <w:uiPriority w:val="99"/>
    <w:semiHidden/>
    <w:rsid w:val="00900829"/>
    <w:pPr>
      <w:spacing w:after="0"/>
      <w:ind w:left="1200"/>
    </w:pPr>
    <w:rPr>
      <w:rFonts w:ascii="Times New Roman" w:hAnsi="Times New Roman"/>
      <w:lang w:eastAsia="en-IE"/>
    </w:rPr>
  </w:style>
  <w:style w:type="paragraph" w:styleId="TOC7">
    <w:name w:val="toc 7"/>
    <w:basedOn w:val="Normal"/>
    <w:next w:val="Normal"/>
    <w:autoRedefine/>
    <w:uiPriority w:val="99"/>
    <w:semiHidden/>
    <w:rsid w:val="00900829"/>
    <w:pPr>
      <w:spacing w:after="0"/>
      <w:ind w:left="1440"/>
    </w:pPr>
    <w:rPr>
      <w:rFonts w:ascii="Times New Roman" w:hAnsi="Times New Roman"/>
      <w:lang w:eastAsia="en-IE"/>
    </w:rPr>
  </w:style>
  <w:style w:type="paragraph" w:styleId="TOC8">
    <w:name w:val="toc 8"/>
    <w:basedOn w:val="Normal"/>
    <w:next w:val="Normal"/>
    <w:autoRedefine/>
    <w:uiPriority w:val="99"/>
    <w:semiHidden/>
    <w:rsid w:val="00900829"/>
    <w:pPr>
      <w:spacing w:after="0"/>
      <w:ind w:left="1680"/>
    </w:pPr>
    <w:rPr>
      <w:rFonts w:ascii="Times New Roman" w:hAnsi="Times New Roman"/>
      <w:lang w:eastAsia="en-IE"/>
    </w:rPr>
  </w:style>
  <w:style w:type="paragraph" w:styleId="TOC9">
    <w:name w:val="toc 9"/>
    <w:basedOn w:val="Normal"/>
    <w:next w:val="Normal"/>
    <w:autoRedefine/>
    <w:uiPriority w:val="99"/>
    <w:semiHidden/>
    <w:rsid w:val="00900829"/>
    <w:pPr>
      <w:spacing w:after="0"/>
      <w:ind w:left="1920"/>
    </w:pPr>
    <w:rPr>
      <w:rFonts w:ascii="Times New Roman" w:hAnsi="Times New Roman"/>
      <w:lang w:eastAsia="en-IE"/>
    </w:rPr>
  </w:style>
  <w:style w:type="paragraph" w:styleId="NormalIndent">
    <w:name w:val="Normal Indent"/>
    <w:basedOn w:val="Normal"/>
    <w:uiPriority w:val="99"/>
    <w:rsid w:val="00900829"/>
    <w:pPr>
      <w:ind w:left="720"/>
    </w:pPr>
  </w:style>
  <w:style w:type="paragraph" w:styleId="FootnoteText">
    <w:name w:val="footnote text"/>
    <w:basedOn w:val="Normal"/>
    <w:link w:val="FootnoteTextChar"/>
    <w:uiPriority w:val="99"/>
    <w:semiHidden/>
    <w:rsid w:val="00900829"/>
    <w:pPr>
      <w:spacing w:after="80"/>
    </w:pPr>
    <w:rPr>
      <w:sz w:val="22"/>
      <w:szCs w:val="20"/>
    </w:rPr>
  </w:style>
  <w:style w:type="character" w:customStyle="1" w:styleId="CommentTextChar2">
    <w:name w:val="Comment Text Char2"/>
    <w:link w:val="CommentText"/>
    <w:semiHidden/>
    <w:locked/>
    <w:rsid w:val="00900829"/>
    <w:rPr>
      <w:rFonts w:ascii="Arial" w:hAnsi="Arial" w:cs="Arial"/>
      <w:szCs w:val="24"/>
      <w:lang w:eastAsia="en-US" w:bidi="ar-SA"/>
    </w:rPr>
  </w:style>
  <w:style w:type="paragraph" w:styleId="CommentText">
    <w:name w:val="annotation text"/>
    <w:basedOn w:val="Normal"/>
    <w:link w:val="CommentTextChar2"/>
    <w:uiPriority w:val="99"/>
    <w:semiHidden/>
    <w:rsid w:val="00900829"/>
    <w:rPr>
      <w:rFonts w:ascii="Arial" w:hAnsi="Arial" w:cs="Arial"/>
      <w:sz w:val="20"/>
    </w:rPr>
  </w:style>
  <w:style w:type="paragraph" w:styleId="Header">
    <w:name w:val="header"/>
    <w:basedOn w:val="Normal"/>
    <w:link w:val="HeaderChar"/>
    <w:uiPriority w:val="99"/>
    <w:rsid w:val="004D6DCD"/>
    <w:pPr>
      <w:tabs>
        <w:tab w:val="center" w:pos="4320"/>
        <w:tab w:val="right" w:pos="8640"/>
      </w:tabs>
      <w:spacing w:after="0"/>
    </w:pPr>
    <w:rPr>
      <w:rFonts w:ascii="Rockwell" w:hAnsi="Rockwell"/>
      <w:color w:val="BF2296"/>
      <w:szCs w:val="20"/>
    </w:rPr>
  </w:style>
  <w:style w:type="paragraph" w:styleId="Footer">
    <w:name w:val="footer"/>
    <w:basedOn w:val="Normal"/>
    <w:link w:val="FooterChar"/>
    <w:uiPriority w:val="99"/>
    <w:rsid w:val="0039617A"/>
    <w:pPr>
      <w:tabs>
        <w:tab w:val="center" w:pos="4153"/>
        <w:tab w:val="right" w:pos="8306"/>
      </w:tabs>
      <w:spacing w:after="0"/>
    </w:pPr>
    <w:rPr>
      <w:rFonts w:ascii="Rockwell" w:hAnsi="Rockwell"/>
      <w:color w:val="000000"/>
      <w:szCs w:val="20"/>
    </w:rPr>
  </w:style>
  <w:style w:type="paragraph" w:styleId="Caption">
    <w:name w:val="caption"/>
    <w:basedOn w:val="Normal"/>
    <w:next w:val="Normal"/>
    <w:uiPriority w:val="99"/>
    <w:qFormat/>
    <w:rsid w:val="00900829"/>
    <w:pPr>
      <w:spacing w:after="120"/>
      <w:jc w:val="center"/>
    </w:pPr>
    <w:rPr>
      <w:b/>
      <w:bCs/>
    </w:rPr>
  </w:style>
  <w:style w:type="paragraph" w:styleId="MacroText">
    <w:name w:val="macro"/>
    <w:link w:val="MacroTextChar"/>
    <w:uiPriority w:val="99"/>
    <w:semiHidden/>
    <w:rsid w:val="0090082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lang w:eastAsia="en-US"/>
    </w:rPr>
  </w:style>
  <w:style w:type="paragraph" w:styleId="ListBullet">
    <w:name w:val="List Bullet"/>
    <w:aliases w:val="List Bullet Char,List Bullet Char Char Char Char Char"/>
    <w:basedOn w:val="Normal"/>
    <w:link w:val="ListBulletChar1"/>
    <w:uiPriority w:val="99"/>
    <w:rsid w:val="00ED077E"/>
    <w:pPr>
      <w:numPr>
        <w:numId w:val="7"/>
      </w:numPr>
      <w:spacing w:after="120"/>
    </w:pPr>
  </w:style>
  <w:style w:type="character" w:customStyle="1" w:styleId="ListBulletChar1">
    <w:name w:val="List Bullet Char1"/>
    <w:aliases w:val="List Bullet Char Char,List Bullet Char Char Char Char Char Char"/>
    <w:link w:val="ListBullet"/>
    <w:uiPriority w:val="99"/>
    <w:rsid w:val="00B87444"/>
    <w:rPr>
      <w:rFonts w:ascii="Gill Sans" w:hAnsi="Gill Sans"/>
      <w:sz w:val="26"/>
      <w:szCs w:val="24"/>
      <w:lang w:val="en-IE" w:eastAsia="en-US" w:bidi="ar-SA"/>
    </w:rPr>
  </w:style>
  <w:style w:type="paragraph" w:styleId="ListNumber">
    <w:name w:val="List Number"/>
    <w:basedOn w:val="Normal"/>
    <w:uiPriority w:val="99"/>
    <w:rsid w:val="00900829"/>
    <w:pPr>
      <w:numPr>
        <w:numId w:val="1"/>
      </w:numPr>
      <w:spacing w:after="120"/>
    </w:pPr>
  </w:style>
  <w:style w:type="paragraph" w:styleId="ListBullet2">
    <w:name w:val="List Bullet 2"/>
    <w:basedOn w:val="Normal"/>
    <w:uiPriority w:val="99"/>
    <w:rsid w:val="00900829"/>
    <w:pPr>
      <w:numPr>
        <w:numId w:val="2"/>
      </w:numPr>
      <w:tabs>
        <w:tab w:val="left" w:pos="357"/>
      </w:tabs>
      <w:spacing w:before="60" w:after="60"/>
      <w:ind w:left="641" w:hanging="357"/>
    </w:pPr>
  </w:style>
  <w:style w:type="paragraph" w:styleId="ListBullet3">
    <w:name w:val="List Bullet 3"/>
    <w:basedOn w:val="Normal"/>
    <w:uiPriority w:val="99"/>
    <w:rsid w:val="00900829"/>
    <w:pPr>
      <w:numPr>
        <w:numId w:val="3"/>
      </w:numPr>
      <w:spacing w:before="60" w:after="60"/>
      <w:ind w:left="925" w:hanging="284"/>
    </w:pPr>
  </w:style>
  <w:style w:type="paragraph" w:styleId="ListNumber2">
    <w:name w:val="List Number 2"/>
    <w:basedOn w:val="Normal"/>
    <w:uiPriority w:val="99"/>
    <w:rsid w:val="00900829"/>
    <w:pPr>
      <w:numPr>
        <w:numId w:val="4"/>
      </w:numPr>
      <w:tabs>
        <w:tab w:val="clear" w:pos="641"/>
        <w:tab w:val="num" w:pos="643"/>
      </w:tabs>
      <w:spacing w:before="60" w:after="60"/>
    </w:pPr>
  </w:style>
  <w:style w:type="paragraph" w:styleId="ListNumber3">
    <w:name w:val="List Number 3"/>
    <w:basedOn w:val="Normal"/>
    <w:uiPriority w:val="99"/>
    <w:rsid w:val="00900829"/>
    <w:pPr>
      <w:numPr>
        <w:numId w:val="5"/>
      </w:numPr>
      <w:tabs>
        <w:tab w:val="num" w:pos="360"/>
      </w:tabs>
      <w:spacing w:before="60" w:after="60"/>
      <w:ind w:left="924" w:hanging="357"/>
    </w:pPr>
  </w:style>
  <w:style w:type="paragraph" w:styleId="Title">
    <w:name w:val="Title"/>
    <w:basedOn w:val="Normal"/>
    <w:next w:val="Normal"/>
    <w:link w:val="TitleChar"/>
    <w:uiPriority w:val="99"/>
    <w:qFormat/>
    <w:rsid w:val="004D6DCD"/>
    <w:pPr>
      <w:pBdr>
        <w:top w:val="single" w:sz="2" w:space="6" w:color="FFFFFF"/>
        <w:left w:val="single" w:sz="2" w:space="6" w:color="FFFFFF"/>
        <w:bottom w:val="single" w:sz="2" w:space="6" w:color="FFFFFF"/>
        <w:right w:val="single" w:sz="2" w:space="6" w:color="FFFFFF"/>
      </w:pBdr>
      <w:shd w:val="clear" w:color="auto" w:fill="FFFFFF"/>
      <w:spacing w:after="0" w:line="1400" w:lineRule="atLeast"/>
      <w:outlineLvl w:val="0"/>
    </w:pPr>
    <w:rPr>
      <w:rFonts w:ascii="Rockwell" w:hAnsi="Rockwell" w:cs="Arial"/>
      <w:b/>
      <w:bCs/>
      <w:color w:val="BF2296"/>
      <w:kern w:val="28"/>
      <w:sz w:val="120"/>
      <w:szCs w:val="32"/>
    </w:rPr>
  </w:style>
  <w:style w:type="paragraph" w:styleId="BodyText">
    <w:name w:val="Body Text"/>
    <w:basedOn w:val="Normal"/>
    <w:link w:val="BodyTextChar"/>
    <w:uiPriority w:val="99"/>
    <w:rsid w:val="00900829"/>
    <w:pPr>
      <w:spacing w:after="120"/>
    </w:pPr>
  </w:style>
  <w:style w:type="character" w:customStyle="1" w:styleId="BodyTextIndentChar1">
    <w:name w:val="Body Text Indent Char1"/>
    <w:link w:val="BodyTextIndent"/>
    <w:uiPriority w:val="99"/>
    <w:locked/>
    <w:rsid w:val="00900829"/>
    <w:rPr>
      <w:rFonts w:ascii="Arial" w:hAnsi="Arial" w:cs="Arial"/>
      <w:sz w:val="24"/>
      <w:szCs w:val="24"/>
      <w:lang w:eastAsia="en-US" w:bidi="ar-SA"/>
    </w:rPr>
  </w:style>
  <w:style w:type="paragraph" w:styleId="BodyTextIndent">
    <w:name w:val="Body Text Indent"/>
    <w:basedOn w:val="Normal"/>
    <w:link w:val="BodyTextIndentChar1"/>
    <w:uiPriority w:val="99"/>
    <w:rsid w:val="00900829"/>
    <w:pPr>
      <w:spacing w:after="120"/>
      <w:ind w:left="283"/>
    </w:pPr>
    <w:rPr>
      <w:rFonts w:ascii="Arial" w:hAnsi="Arial" w:cs="Arial"/>
      <w:sz w:val="24"/>
    </w:rPr>
  </w:style>
  <w:style w:type="paragraph" w:styleId="ListContinue">
    <w:name w:val="List Continue"/>
    <w:basedOn w:val="Normal"/>
    <w:uiPriority w:val="99"/>
    <w:rsid w:val="00900829"/>
    <w:pPr>
      <w:spacing w:before="120" w:after="120"/>
      <w:ind w:left="357"/>
    </w:pPr>
  </w:style>
  <w:style w:type="paragraph" w:styleId="ListContinue2">
    <w:name w:val="List Continue 2"/>
    <w:basedOn w:val="Normal"/>
    <w:uiPriority w:val="99"/>
    <w:rsid w:val="00900829"/>
    <w:pPr>
      <w:spacing w:before="60" w:after="60"/>
      <w:ind w:left="641"/>
    </w:pPr>
  </w:style>
  <w:style w:type="paragraph" w:styleId="ListContinue3">
    <w:name w:val="List Continue 3"/>
    <w:basedOn w:val="Normal"/>
    <w:uiPriority w:val="99"/>
    <w:rsid w:val="00900829"/>
    <w:pPr>
      <w:spacing w:before="60" w:after="60"/>
      <w:ind w:left="924"/>
    </w:pPr>
  </w:style>
  <w:style w:type="paragraph" w:styleId="Subtitle">
    <w:name w:val="Subtitle"/>
    <w:basedOn w:val="Normal"/>
    <w:next w:val="Normal"/>
    <w:link w:val="SubtitleChar"/>
    <w:uiPriority w:val="99"/>
    <w:qFormat/>
    <w:rsid w:val="00900829"/>
    <w:pPr>
      <w:jc w:val="center"/>
      <w:outlineLvl w:val="1"/>
    </w:pPr>
    <w:rPr>
      <w:sz w:val="28"/>
    </w:rPr>
  </w:style>
  <w:style w:type="paragraph" w:customStyle="1" w:styleId="NormalBeforeandafterlist">
    <w:name w:val="Normal (Before and after list)"/>
    <w:basedOn w:val="NormalBeforeList"/>
    <w:uiPriority w:val="99"/>
    <w:rsid w:val="008D445E"/>
    <w:pPr>
      <w:spacing w:after="120"/>
    </w:pPr>
  </w:style>
  <w:style w:type="paragraph" w:customStyle="1" w:styleId="NormalBeforeList">
    <w:name w:val="Normal (Before List)"/>
    <w:basedOn w:val="Normal"/>
    <w:next w:val="ListBullet"/>
    <w:uiPriority w:val="99"/>
    <w:rsid w:val="000F56EB"/>
    <w:pPr>
      <w:spacing w:after="0"/>
    </w:pPr>
  </w:style>
  <w:style w:type="paragraph" w:styleId="BlockText">
    <w:name w:val="Block Text"/>
    <w:basedOn w:val="Normal"/>
    <w:uiPriority w:val="99"/>
    <w:rsid w:val="00900829"/>
    <w:pPr>
      <w:spacing w:after="120"/>
      <w:ind w:left="1440" w:right="1440"/>
    </w:pPr>
  </w:style>
  <w:style w:type="paragraph" w:styleId="DocumentMap">
    <w:name w:val="Document Map"/>
    <w:basedOn w:val="Normal"/>
    <w:link w:val="DocumentMapChar"/>
    <w:uiPriority w:val="99"/>
    <w:semiHidden/>
    <w:rsid w:val="00900829"/>
    <w:pPr>
      <w:shd w:val="clear" w:color="auto" w:fill="000080"/>
    </w:pPr>
    <w:rPr>
      <w:rFonts w:ascii="Tahoma" w:hAnsi="Tahoma" w:cs="Tahoma"/>
      <w:sz w:val="20"/>
    </w:rPr>
  </w:style>
  <w:style w:type="paragraph" w:styleId="BalloonText">
    <w:name w:val="Balloon Text"/>
    <w:basedOn w:val="Normal"/>
    <w:link w:val="BalloonTextChar"/>
    <w:uiPriority w:val="99"/>
    <w:semiHidden/>
    <w:rsid w:val="00900829"/>
    <w:rPr>
      <w:rFonts w:ascii="Tahoma" w:hAnsi="Tahoma" w:cs="Tahoma"/>
      <w:sz w:val="16"/>
      <w:szCs w:val="16"/>
    </w:rPr>
  </w:style>
  <w:style w:type="paragraph" w:customStyle="1" w:styleId="BlockQuote">
    <w:name w:val="Block Quote"/>
    <w:basedOn w:val="Normal"/>
    <w:uiPriority w:val="99"/>
    <w:rsid w:val="00900829"/>
    <w:pPr>
      <w:ind w:left="720" w:right="720"/>
    </w:pPr>
  </w:style>
  <w:style w:type="paragraph" w:styleId="NormalWeb">
    <w:name w:val="Normal (Web)"/>
    <w:basedOn w:val="Normal"/>
    <w:uiPriority w:val="99"/>
    <w:rsid w:val="0063792D"/>
    <w:pPr>
      <w:spacing w:before="100" w:beforeAutospacing="1" w:after="100" w:afterAutospacing="1"/>
    </w:pPr>
    <w:rPr>
      <w:rFonts w:ascii="Times New Roman" w:hAnsi="Times New Roman"/>
      <w:sz w:val="24"/>
      <w:lang w:val="en-GB" w:eastAsia="en-GB"/>
    </w:rPr>
  </w:style>
  <w:style w:type="paragraph" w:customStyle="1" w:styleId="DefinitionDescription">
    <w:name w:val="Definition Description"/>
    <w:basedOn w:val="Normal"/>
    <w:next w:val="Normal"/>
    <w:uiPriority w:val="99"/>
    <w:rsid w:val="00900829"/>
    <w:pPr>
      <w:ind w:left="1077"/>
    </w:pPr>
  </w:style>
  <w:style w:type="paragraph" w:customStyle="1" w:styleId="DefinitionTerm">
    <w:name w:val="Definition Term"/>
    <w:basedOn w:val="Normal"/>
    <w:next w:val="DefinitionDescription"/>
    <w:uiPriority w:val="99"/>
    <w:rsid w:val="00900829"/>
    <w:rPr>
      <w:b/>
    </w:rPr>
  </w:style>
  <w:style w:type="paragraph" w:customStyle="1" w:styleId="GraphCaption">
    <w:name w:val="GraphCaption"/>
    <w:basedOn w:val="Normal"/>
    <w:uiPriority w:val="99"/>
    <w:rsid w:val="00900829"/>
    <w:pPr>
      <w:keepNext/>
      <w:keepLines/>
      <w:spacing w:after="120"/>
      <w:jc w:val="center"/>
    </w:pPr>
    <w:rPr>
      <w:rFonts w:ascii="Gill Sans MT" w:hAnsi="Gill Sans MT"/>
      <w:b/>
    </w:rPr>
  </w:style>
  <w:style w:type="paragraph" w:customStyle="1" w:styleId="Note">
    <w:name w:val="Note"/>
    <w:basedOn w:val="Normal"/>
    <w:uiPriority w:val="99"/>
    <w:rsid w:val="00900829"/>
    <w:pPr>
      <w:keepLines/>
      <w:pBdr>
        <w:top w:val="single" w:sz="12" w:space="1" w:color="808080"/>
        <w:bottom w:val="single" w:sz="12" w:space="1" w:color="808080"/>
      </w:pBdr>
      <w:spacing w:before="120"/>
      <w:jc w:val="center"/>
    </w:pPr>
    <w:rPr>
      <w:sz w:val="22"/>
      <w:lang w:val="en-GB"/>
    </w:rPr>
  </w:style>
  <w:style w:type="paragraph" w:customStyle="1" w:styleId="TableCell">
    <w:name w:val="Table Cell"/>
    <w:basedOn w:val="Normal"/>
    <w:uiPriority w:val="99"/>
    <w:rsid w:val="00900829"/>
    <w:pPr>
      <w:spacing w:after="0"/>
      <w:jc w:val="right"/>
    </w:pPr>
  </w:style>
  <w:style w:type="paragraph" w:customStyle="1" w:styleId="TableHead">
    <w:name w:val="Table Head"/>
    <w:basedOn w:val="Normal"/>
    <w:next w:val="Normal"/>
    <w:uiPriority w:val="99"/>
    <w:rsid w:val="00900829"/>
    <w:pPr>
      <w:spacing w:after="0"/>
    </w:pPr>
    <w:rPr>
      <w:b/>
    </w:rPr>
  </w:style>
  <w:style w:type="paragraph" w:customStyle="1" w:styleId="TableNote">
    <w:name w:val="Table Note"/>
    <w:basedOn w:val="Normal"/>
    <w:next w:val="Normal"/>
    <w:uiPriority w:val="99"/>
    <w:rsid w:val="00900829"/>
    <w:pPr>
      <w:spacing w:before="120"/>
      <w:jc w:val="center"/>
    </w:pPr>
    <w:rPr>
      <w:sz w:val="20"/>
      <w:szCs w:val="20"/>
    </w:rPr>
  </w:style>
  <w:style w:type="paragraph" w:customStyle="1" w:styleId="TableRowHead">
    <w:name w:val="Table Row Head"/>
    <w:basedOn w:val="Normal"/>
    <w:uiPriority w:val="99"/>
    <w:rsid w:val="00900829"/>
    <w:pPr>
      <w:keepNext/>
      <w:spacing w:after="0"/>
    </w:pPr>
    <w:rPr>
      <w:rFonts w:ascii="Arial Bold" w:hAnsi="Arial Bold"/>
      <w:b/>
    </w:rPr>
  </w:style>
  <w:style w:type="paragraph" w:customStyle="1" w:styleId="TableSummary">
    <w:name w:val="Table Summary"/>
    <w:basedOn w:val="Normal"/>
    <w:next w:val="TableHead"/>
    <w:uiPriority w:val="99"/>
    <w:rsid w:val="00247E60"/>
    <w:pPr>
      <w:ind w:left="567" w:right="567"/>
      <w:jc w:val="center"/>
    </w:pPr>
  </w:style>
  <w:style w:type="paragraph" w:customStyle="1" w:styleId="TableTitle">
    <w:name w:val="Table Title"/>
    <w:basedOn w:val="Normal"/>
    <w:next w:val="TableSummary"/>
    <w:uiPriority w:val="99"/>
    <w:rsid w:val="00900829"/>
    <w:pPr>
      <w:keepNext/>
      <w:keepLines/>
      <w:spacing w:after="120"/>
      <w:jc w:val="center"/>
    </w:pPr>
    <w:rPr>
      <w:b/>
    </w:rPr>
  </w:style>
  <w:style w:type="paragraph" w:customStyle="1" w:styleId="TaggedText">
    <w:name w:val="Tagged Text"/>
    <w:basedOn w:val="Normal"/>
    <w:uiPriority w:val="99"/>
    <w:rsid w:val="00900829"/>
    <w:pPr>
      <w:suppressAutoHyphens/>
      <w:spacing w:after="0"/>
    </w:pPr>
    <w:rPr>
      <w:rFonts w:ascii="Courier New" w:hAnsi="Courier New"/>
      <w:color w:val="FF0000"/>
    </w:rPr>
  </w:style>
  <w:style w:type="paragraph" w:customStyle="1" w:styleId="TableHeadRight">
    <w:name w:val="Table Head Right"/>
    <w:basedOn w:val="TableHead"/>
    <w:uiPriority w:val="99"/>
    <w:rsid w:val="00900829"/>
    <w:pPr>
      <w:jc w:val="right"/>
    </w:pPr>
  </w:style>
  <w:style w:type="paragraph" w:customStyle="1" w:styleId="TableCellLeft">
    <w:name w:val="Table Cell Left"/>
    <w:basedOn w:val="TableCell"/>
    <w:uiPriority w:val="99"/>
    <w:rsid w:val="00900829"/>
    <w:pPr>
      <w:jc w:val="left"/>
    </w:pPr>
  </w:style>
  <w:style w:type="character" w:customStyle="1" w:styleId="BlockquoteChar">
    <w:name w:val="Blockquote Char"/>
    <w:basedOn w:val="DefaultParagraphFont"/>
    <w:link w:val="Blockquote0"/>
    <w:uiPriority w:val="99"/>
    <w:locked/>
    <w:rsid w:val="00900829"/>
    <w:rPr>
      <w:rFonts w:ascii="Gill Sans" w:hAnsi="Gill Sans"/>
      <w:sz w:val="26"/>
      <w:szCs w:val="24"/>
      <w:lang w:val="en-IE" w:eastAsia="en-US" w:bidi="ar-SA"/>
    </w:rPr>
  </w:style>
  <w:style w:type="paragraph" w:customStyle="1" w:styleId="Blockquote0">
    <w:name w:val="Blockquote"/>
    <w:basedOn w:val="Normal"/>
    <w:link w:val="BlockquoteChar"/>
    <w:uiPriority w:val="99"/>
    <w:rsid w:val="00900829"/>
    <w:pPr>
      <w:shd w:val="clear" w:color="auto" w:fill="E0E0E0"/>
      <w:ind w:left="448" w:right="448"/>
      <w:contextualSpacing/>
    </w:pPr>
  </w:style>
  <w:style w:type="paragraph" w:customStyle="1" w:styleId="StyleBlockquoteRight079cm">
    <w:name w:val="Style Blockquote + Right:  0.79 cm"/>
    <w:basedOn w:val="Blockquote0"/>
    <w:uiPriority w:val="99"/>
    <w:rsid w:val="00900829"/>
    <w:rPr>
      <w:szCs w:val="20"/>
    </w:rPr>
  </w:style>
  <w:style w:type="paragraph" w:customStyle="1" w:styleId="NormalAfterList">
    <w:name w:val="Normal (After List)"/>
    <w:basedOn w:val="Normal"/>
    <w:next w:val="Normal"/>
    <w:uiPriority w:val="99"/>
    <w:rsid w:val="00900829"/>
    <w:pPr>
      <w:spacing w:before="120"/>
    </w:pPr>
  </w:style>
  <w:style w:type="character" w:styleId="FootnoteReference">
    <w:name w:val="footnote reference"/>
    <w:uiPriority w:val="99"/>
    <w:rsid w:val="00900829"/>
    <w:rPr>
      <w:rFonts w:ascii="Gill Sans" w:hAnsi="Gill Sans" w:hint="default"/>
      <w:sz w:val="26"/>
      <w:vertAlign w:val="superscript"/>
    </w:rPr>
  </w:style>
  <w:style w:type="character" w:customStyle="1" w:styleId="Abbreviation">
    <w:name w:val="Abbreviation"/>
    <w:uiPriority w:val="99"/>
    <w:rsid w:val="00900829"/>
    <w:rPr>
      <w:u w:val="dottedHeavy"/>
    </w:rPr>
  </w:style>
  <w:style w:type="character" w:customStyle="1" w:styleId="Acronym">
    <w:name w:val="Acronym"/>
    <w:uiPriority w:val="99"/>
    <w:rsid w:val="00900829"/>
    <w:rPr>
      <w:u w:val="dotted"/>
    </w:rPr>
  </w:style>
  <w:style w:type="character" w:customStyle="1" w:styleId="attribute-value">
    <w:name w:val="attribute-value"/>
    <w:basedOn w:val="DefaultParagraphFont"/>
    <w:uiPriority w:val="99"/>
    <w:rsid w:val="00900829"/>
  </w:style>
  <w:style w:type="paragraph" w:customStyle="1" w:styleId="Blurb">
    <w:name w:val="Blurb"/>
    <w:basedOn w:val="Normal"/>
    <w:uiPriority w:val="99"/>
    <w:rsid w:val="00FF5148"/>
    <w:pPr>
      <w:spacing w:before="8800"/>
      <w:ind w:left="-1418" w:right="3119"/>
    </w:pPr>
    <w:rPr>
      <w:rFonts w:ascii="Rockwell" w:hAnsi="Rockwell"/>
      <w:b/>
      <w:sz w:val="32"/>
    </w:rPr>
  </w:style>
  <w:style w:type="character" w:customStyle="1" w:styleId="CharChar3">
    <w:name w:val="Char Char3"/>
    <w:rsid w:val="00B87444"/>
    <w:rPr>
      <w:rFonts w:ascii="Arial Bold" w:hAnsi="Arial Bold" w:cs="Arial"/>
      <w:b/>
      <w:bCs/>
      <w:iCs/>
      <w:sz w:val="28"/>
      <w:szCs w:val="28"/>
      <w:lang w:val="en-IE" w:eastAsia="en-US" w:bidi="ar-SA"/>
    </w:rPr>
  </w:style>
  <w:style w:type="character" w:customStyle="1" w:styleId="Heading3Char">
    <w:name w:val="Heading 3 Char"/>
    <w:basedOn w:val="DefaultParagraphFont"/>
    <w:link w:val="Heading3"/>
    <w:uiPriority w:val="99"/>
    <w:rsid w:val="009B7368"/>
    <w:rPr>
      <w:rFonts w:ascii="Rockwell" w:hAnsi="Rockwell" w:cs="Arial Bold"/>
      <w:b/>
      <w:bCs/>
      <w:color w:val="BF2296"/>
      <w:sz w:val="26"/>
      <w:szCs w:val="24"/>
      <w:lang w:eastAsia="en-US"/>
    </w:rPr>
  </w:style>
  <w:style w:type="character" w:styleId="PageNumber">
    <w:name w:val="page number"/>
    <w:basedOn w:val="DefaultParagraphFont"/>
    <w:rsid w:val="00B87444"/>
  </w:style>
  <w:style w:type="character" w:customStyle="1" w:styleId="WW8Num4z0">
    <w:name w:val="WW8Num4z0"/>
    <w:rsid w:val="00B87444"/>
    <w:rPr>
      <w:rFonts w:ascii="Symbol" w:hAnsi="Symbol"/>
      <w:sz w:val="20"/>
      <w:szCs w:val="20"/>
    </w:rPr>
  </w:style>
  <w:style w:type="character" w:customStyle="1" w:styleId="WW8Num5z0">
    <w:name w:val="WW8Num5z0"/>
    <w:rsid w:val="00B87444"/>
    <w:rPr>
      <w:rFonts w:ascii="Symbol" w:hAnsi="Symbol"/>
    </w:rPr>
  </w:style>
  <w:style w:type="character" w:customStyle="1" w:styleId="WW8Num7z0">
    <w:name w:val="WW8Num7z0"/>
    <w:rsid w:val="00B87444"/>
    <w:rPr>
      <w:rFonts w:ascii="Symbol" w:hAnsi="Symbol"/>
      <w:sz w:val="20"/>
      <w:szCs w:val="20"/>
    </w:rPr>
  </w:style>
  <w:style w:type="character" w:customStyle="1" w:styleId="Absatz-Standardschriftart">
    <w:name w:val="Absatz-Standardschriftart"/>
    <w:rsid w:val="00B87444"/>
  </w:style>
  <w:style w:type="character" w:customStyle="1" w:styleId="WW-Absatz-Standardschriftart">
    <w:name w:val="WW-Absatz-Standardschriftart"/>
    <w:rsid w:val="00B87444"/>
  </w:style>
  <w:style w:type="character" w:customStyle="1" w:styleId="WW-Absatz-Standardschriftart1">
    <w:name w:val="WW-Absatz-Standardschriftart1"/>
    <w:rsid w:val="00B87444"/>
  </w:style>
  <w:style w:type="character" w:customStyle="1" w:styleId="WW-Absatz-Standardschriftart11">
    <w:name w:val="WW-Absatz-Standardschriftart11"/>
    <w:rsid w:val="00B87444"/>
  </w:style>
  <w:style w:type="character" w:customStyle="1" w:styleId="WW8Num6z0">
    <w:name w:val="WW8Num6z0"/>
    <w:rsid w:val="00B87444"/>
    <w:rPr>
      <w:rFonts w:ascii="Symbol" w:hAnsi="Symbol"/>
    </w:rPr>
  </w:style>
  <w:style w:type="character" w:customStyle="1" w:styleId="WW8Num8z0">
    <w:name w:val="WW8Num8z0"/>
    <w:rsid w:val="00B87444"/>
    <w:rPr>
      <w:rFonts w:ascii="Symbol" w:hAnsi="Symbol" w:cs="Times New Roman"/>
      <w:sz w:val="20"/>
      <w:szCs w:val="20"/>
    </w:rPr>
  </w:style>
  <w:style w:type="character" w:customStyle="1" w:styleId="WW8Num10z0">
    <w:name w:val="WW8Num10z0"/>
    <w:rsid w:val="00B87444"/>
    <w:rPr>
      <w:rFonts w:ascii="Symbol" w:hAnsi="Symbol"/>
      <w:sz w:val="20"/>
      <w:szCs w:val="20"/>
    </w:rPr>
  </w:style>
  <w:style w:type="character" w:customStyle="1" w:styleId="WW8Num11z0">
    <w:name w:val="WW8Num11z0"/>
    <w:rsid w:val="00B87444"/>
    <w:rPr>
      <w:rFonts w:ascii="Symbol" w:hAnsi="Symbol"/>
    </w:rPr>
  </w:style>
  <w:style w:type="character" w:customStyle="1" w:styleId="WW8Num11z1">
    <w:name w:val="WW8Num11z1"/>
    <w:rsid w:val="00B87444"/>
    <w:rPr>
      <w:rFonts w:ascii="Courier New" w:hAnsi="Courier New"/>
    </w:rPr>
  </w:style>
  <w:style w:type="character" w:customStyle="1" w:styleId="WW8Num11z2">
    <w:name w:val="WW8Num11z2"/>
    <w:rsid w:val="00B87444"/>
    <w:rPr>
      <w:rFonts w:ascii="Wingdings" w:hAnsi="Wingdings"/>
    </w:rPr>
  </w:style>
  <w:style w:type="character" w:customStyle="1" w:styleId="WW8Num12z0">
    <w:name w:val="WW8Num12z0"/>
    <w:rsid w:val="00B87444"/>
    <w:rPr>
      <w:rFonts w:ascii="Symbol" w:hAnsi="Symbol"/>
      <w:color w:val="auto"/>
    </w:rPr>
  </w:style>
  <w:style w:type="character" w:customStyle="1" w:styleId="WW8Num12z1">
    <w:name w:val="WW8Num12z1"/>
    <w:rsid w:val="00B87444"/>
    <w:rPr>
      <w:rFonts w:ascii="Wingdings" w:hAnsi="Wingdings"/>
      <w:color w:val="auto"/>
    </w:rPr>
  </w:style>
  <w:style w:type="character" w:customStyle="1" w:styleId="WW8Num12z2">
    <w:name w:val="WW8Num12z2"/>
    <w:rsid w:val="00B87444"/>
    <w:rPr>
      <w:rFonts w:ascii="Wingdings" w:hAnsi="Wingdings"/>
    </w:rPr>
  </w:style>
  <w:style w:type="character" w:customStyle="1" w:styleId="WW8Num12z3">
    <w:name w:val="WW8Num12z3"/>
    <w:rsid w:val="00B87444"/>
    <w:rPr>
      <w:rFonts w:ascii="Symbol" w:hAnsi="Symbol"/>
    </w:rPr>
  </w:style>
  <w:style w:type="character" w:customStyle="1" w:styleId="WW8Num12z4">
    <w:name w:val="WW8Num12z4"/>
    <w:rsid w:val="00B87444"/>
    <w:rPr>
      <w:rFonts w:ascii="Courier New" w:hAnsi="Courier New" w:cs="Courier New"/>
    </w:rPr>
  </w:style>
  <w:style w:type="character" w:customStyle="1" w:styleId="WW-DefaultParagraphFont">
    <w:name w:val="WW-Default Paragraph Font"/>
    <w:rsid w:val="00B87444"/>
  </w:style>
  <w:style w:type="character" w:customStyle="1" w:styleId="CommentTextChar">
    <w:name w:val="Comment Text Char"/>
    <w:uiPriority w:val="99"/>
    <w:rsid w:val="00B87444"/>
    <w:rPr>
      <w:rFonts w:ascii="Arial" w:eastAsia="Times New Roman" w:hAnsi="Arial"/>
      <w:szCs w:val="24"/>
    </w:rPr>
  </w:style>
  <w:style w:type="character" w:customStyle="1" w:styleId="BodyTextIndentChar">
    <w:name w:val="Body Text Indent Char"/>
    <w:uiPriority w:val="99"/>
    <w:rsid w:val="00B87444"/>
    <w:rPr>
      <w:rFonts w:ascii="Arial" w:eastAsia="Times New Roman" w:hAnsi="Arial"/>
      <w:sz w:val="24"/>
      <w:szCs w:val="24"/>
    </w:rPr>
  </w:style>
  <w:style w:type="character" w:styleId="Emphasis">
    <w:name w:val="Emphasis"/>
    <w:qFormat/>
    <w:rsid w:val="00B87444"/>
    <w:rPr>
      <w:i/>
    </w:rPr>
  </w:style>
  <w:style w:type="character" w:customStyle="1" w:styleId="Quote1">
    <w:name w:val="Quote1"/>
    <w:rsid w:val="00B87444"/>
    <w:rPr>
      <w:i/>
    </w:rPr>
  </w:style>
  <w:style w:type="character" w:customStyle="1" w:styleId="CarachtairFhonta">
    <w:name w:val="Carachtair Fhonóta"/>
    <w:rsid w:val="00B87444"/>
    <w:rPr>
      <w:rFonts w:ascii="Gill Sans" w:hAnsi="Gill Sans"/>
      <w:sz w:val="26"/>
      <w:vertAlign w:val="superscript"/>
    </w:rPr>
  </w:style>
  <w:style w:type="character" w:customStyle="1" w:styleId="CarachtairIarnta">
    <w:name w:val="Carachtair Iarnóta"/>
    <w:rsid w:val="00B87444"/>
    <w:rPr>
      <w:vertAlign w:val="superscript"/>
    </w:rPr>
  </w:style>
  <w:style w:type="character" w:customStyle="1" w:styleId="WW-CarachtairIarnta">
    <w:name w:val="WW-Carachtair Iarnóta"/>
    <w:rsid w:val="00B87444"/>
  </w:style>
  <w:style w:type="character" w:styleId="EndnoteReference">
    <w:name w:val="endnote reference"/>
    <w:uiPriority w:val="99"/>
    <w:rsid w:val="00B87444"/>
    <w:rPr>
      <w:vertAlign w:val="superscript"/>
    </w:rPr>
  </w:style>
  <w:style w:type="character" w:styleId="CommentReference">
    <w:name w:val="annotation reference"/>
    <w:uiPriority w:val="99"/>
    <w:rsid w:val="00B87444"/>
    <w:rPr>
      <w:sz w:val="16"/>
      <w:szCs w:val="16"/>
    </w:rPr>
  </w:style>
  <w:style w:type="character" w:customStyle="1" w:styleId="CommentTextChar1">
    <w:name w:val="Comment Text Char1"/>
    <w:uiPriority w:val="99"/>
    <w:rsid w:val="00B87444"/>
    <w:rPr>
      <w:rFonts w:ascii="Arial" w:hAnsi="Arial"/>
      <w:szCs w:val="24"/>
    </w:rPr>
  </w:style>
  <w:style w:type="character" w:customStyle="1" w:styleId="CommentSubjectChar">
    <w:name w:val="Comment Subject Char"/>
    <w:basedOn w:val="CommentTextChar1"/>
    <w:uiPriority w:val="99"/>
    <w:rsid w:val="00B87444"/>
    <w:rPr>
      <w:rFonts w:ascii="Arial" w:hAnsi="Arial"/>
      <w:szCs w:val="24"/>
    </w:rPr>
  </w:style>
  <w:style w:type="paragraph" w:customStyle="1" w:styleId="Ceannteideal">
    <w:name w:val="Ceannteideal"/>
    <w:basedOn w:val="Normal"/>
    <w:next w:val="BodyText"/>
    <w:rsid w:val="00B87444"/>
    <w:pPr>
      <w:keepNext/>
      <w:suppressAutoHyphens/>
      <w:spacing w:before="240" w:after="120"/>
    </w:pPr>
    <w:rPr>
      <w:rFonts w:ascii="Arial" w:eastAsia="Arial Unicode MS" w:hAnsi="Arial" w:cs="Angsana New"/>
      <w:sz w:val="28"/>
      <w:szCs w:val="28"/>
      <w:lang w:eastAsia="ar-SA"/>
    </w:rPr>
  </w:style>
  <w:style w:type="paragraph" w:styleId="List">
    <w:name w:val="List"/>
    <w:basedOn w:val="BodyText"/>
    <w:rsid w:val="00B87444"/>
    <w:pPr>
      <w:suppressAutoHyphens/>
    </w:pPr>
    <w:rPr>
      <w:rFonts w:ascii="Aboriginal Serif" w:hAnsi="Aboriginal Serif" w:cs="Angsana New"/>
      <w:lang w:eastAsia="ar-SA"/>
    </w:rPr>
  </w:style>
  <w:style w:type="paragraph" w:customStyle="1" w:styleId="Foscrbhinn">
    <w:name w:val="Foscríbhinn"/>
    <w:basedOn w:val="Normal"/>
    <w:rsid w:val="00B87444"/>
    <w:pPr>
      <w:suppressLineNumbers/>
      <w:suppressAutoHyphens/>
      <w:spacing w:before="120" w:after="120"/>
    </w:pPr>
    <w:rPr>
      <w:rFonts w:ascii="Aboriginal Serif" w:hAnsi="Aboriginal Serif" w:cs="Angsana New"/>
      <w:i/>
      <w:iCs/>
      <w:sz w:val="24"/>
      <w:lang w:eastAsia="ar-SA"/>
    </w:rPr>
  </w:style>
  <w:style w:type="paragraph" w:customStyle="1" w:styleId="Innacs">
    <w:name w:val="Innéacs"/>
    <w:basedOn w:val="Normal"/>
    <w:rsid w:val="00B87444"/>
    <w:pPr>
      <w:suppressLineNumbers/>
      <w:suppressAutoHyphens/>
    </w:pPr>
    <w:rPr>
      <w:rFonts w:ascii="Aboriginal Serif" w:hAnsi="Aboriginal Serif" w:cs="Angsana New"/>
      <w:lang w:eastAsia="ar-SA"/>
    </w:rPr>
  </w:style>
  <w:style w:type="paragraph" w:styleId="Date">
    <w:name w:val="Date"/>
    <w:basedOn w:val="Normal"/>
    <w:next w:val="Normal"/>
    <w:rsid w:val="00B87444"/>
    <w:pPr>
      <w:suppressAutoHyphens/>
    </w:pPr>
    <w:rPr>
      <w:i/>
      <w:lang w:eastAsia="ar-SA"/>
    </w:rPr>
  </w:style>
  <w:style w:type="paragraph" w:customStyle="1" w:styleId="TestNormal">
    <w:name w:val="Test Normal"/>
    <w:basedOn w:val="Normal"/>
    <w:rsid w:val="00B87444"/>
    <w:pPr>
      <w:suppressAutoHyphens/>
      <w:spacing w:after="120"/>
    </w:pPr>
    <w:rPr>
      <w:rFonts w:eastAsia="BiauKai" w:cs="TimesNewRoman"/>
      <w:iCs/>
      <w:sz w:val="24"/>
      <w:lang w:eastAsia="ar-SA"/>
    </w:rPr>
  </w:style>
  <w:style w:type="paragraph" w:customStyle="1" w:styleId="bharanTbla">
    <w:name w:val="Ábhar an Tábla"/>
    <w:basedOn w:val="Normal"/>
    <w:rsid w:val="00B87444"/>
    <w:pPr>
      <w:suppressLineNumbers/>
      <w:suppressAutoHyphens/>
    </w:pPr>
    <w:rPr>
      <w:lang w:eastAsia="ar-SA"/>
    </w:rPr>
  </w:style>
  <w:style w:type="paragraph" w:customStyle="1" w:styleId="CeannteidealTbla">
    <w:name w:val="Ceannteideal Tábla"/>
    <w:basedOn w:val="bharanTbla"/>
    <w:rsid w:val="00B87444"/>
    <w:pPr>
      <w:jc w:val="center"/>
    </w:pPr>
    <w:rPr>
      <w:b/>
      <w:bCs/>
    </w:rPr>
  </w:style>
  <w:style w:type="paragraph" w:styleId="CommentSubject">
    <w:name w:val="annotation subject"/>
    <w:basedOn w:val="CommentText"/>
    <w:next w:val="CommentText"/>
    <w:uiPriority w:val="99"/>
    <w:rsid w:val="00B87444"/>
    <w:pPr>
      <w:suppressAutoHyphens/>
    </w:pPr>
    <w:rPr>
      <w:rFonts w:ascii="Gill Sans" w:hAnsi="Gill Sans" w:cs="Times New Roman"/>
      <w:b/>
      <w:bCs/>
      <w:szCs w:val="20"/>
      <w:lang w:eastAsia="ar-SA"/>
    </w:rPr>
  </w:style>
  <w:style w:type="paragraph" w:customStyle="1" w:styleId="bhar10">
    <w:name w:val="Ábhar 10"/>
    <w:basedOn w:val="Innacs"/>
    <w:rsid w:val="00B87444"/>
    <w:pPr>
      <w:tabs>
        <w:tab w:val="right" w:leader="dot" w:pos="7091"/>
      </w:tabs>
      <w:ind w:left="2547"/>
    </w:pPr>
  </w:style>
  <w:style w:type="character" w:customStyle="1" w:styleId="CharChar6">
    <w:name w:val="Char Char6"/>
    <w:rsid w:val="00B87444"/>
    <w:rPr>
      <w:rFonts w:ascii="Gill Sans" w:hAnsi="Gill Sans" w:cs="Arial"/>
      <w:b/>
      <w:bCs/>
      <w:kern w:val="1"/>
      <w:sz w:val="32"/>
      <w:szCs w:val="32"/>
      <w:lang w:val="en-IE" w:eastAsia="ar-SA" w:bidi="ar-SA"/>
    </w:rPr>
  </w:style>
  <w:style w:type="character" w:customStyle="1" w:styleId="CharChar5">
    <w:name w:val="Char Char5"/>
    <w:rsid w:val="00B87444"/>
    <w:rPr>
      <w:rFonts w:ascii="Gill Sans" w:hAnsi="Gill Sans" w:cs="Arial Bold"/>
      <w:b/>
      <w:bCs/>
      <w:iCs/>
      <w:sz w:val="28"/>
      <w:szCs w:val="28"/>
      <w:lang w:val="en-IE" w:eastAsia="ar-SA" w:bidi="ar-SA"/>
    </w:rPr>
  </w:style>
  <w:style w:type="character" w:customStyle="1" w:styleId="tw4winMark">
    <w:name w:val="tw4winMark"/>
    <w:rsid w:val="00B87444"/>
    <w:rPr>
      <w:rFonts w:ascii="Courier New" w:hAnsi="Courier New"/>
      <w:vanish/>
      <w:color w:val="800080"/>
      <w:vertAlign w:val="subscript"/>
    </w:rPr>
  </w:style>
  <w:style w:type="character" w:customStyle="1" w:styleId="Heading1CharChar">
    <w:name w:val="Heading 1 Char Char"/>
    <w:rsid w:val="00B87444"/>
    <w:rPr>
      <w:rFonts w:ascii="Gill Sans" w:hAnsi="Gill Sans" w:cs="Arial"/>
      <w:b/>
      <w:bCs/>
      <w:kern w:val="32"/>
      <w:sz w:val="32"/>
      <w:szCs w:val="32"/>
      <w:lang w:val="en-IE" w:eastAsia="en-US" w:bidi="ar-SA"/>
    </w:rPr>
  </w:style>
  <w:style w:type="character" w:customStyle="1" w:styleId="Heading4Char">
    <w:name w:val="Heading 4 Char"/>
    <w:basedOn w:val="DefaultParagraphFont"/>
    <w:link w:val="Heading4"/>
    <w:uiPriority w:val="99"/>
    <w:rsid w:val="009B7368"/>
    <w:rPr>
      <w:rFonts w:ascii="Rockwell" w:hAnsi="Rockwell" w:cs="Arial Bold"/>
      <w:color w:val="000000"/>
      <w:sz w:val="26"/>
      <w:szCs w:val="24"/>
      <w:lang w:eastAsia="en-US"/>
    </w:rPr>
  </w:style>
  <w:style w:type="character" w:customStyle="1" w:styleId="Heading5Char">
    <w:name w:val="Heading 5 Char"/>
    <w:basedOn w:val="DefaultParagraphFont"/>
    <w:link w:val="Heading5"/>
    <w:uiPriority w:val="99"/>
    <w:rsid w:val="009B7368"/>
    <w:rPr>
      <w:rFonts w:ascii="Gill Sans" w:hAnsi="Gill Sans"/>
      <w:b/>
      <w:bCs/>
      <w:iCs/>
      <w:sz w:val="26"/>
      <w:szCs w:val="26"/>
      <w:lang w:eastAsia="en-US"/>
    </w:rPr>
  </w:style>
  <w:style w:type="character" w:customStyle="1" w:styleId="Heading6Char">
    <w:name w:val="Heading 6 Char"/>
    <w:basedOn w:val="DefaultParagraphFont"/>
    <w:link w:val="Heading6"/>
    <w:uiPriority w:val="99"/>
    <w:rsid w:val="009B7368"/>
    <w:rPr>
      <w:rFonts w:ascii="Gill Sans" w:hAnsi="Gill Sans"/>
      <w:b/>
      <w:bCs/>
      <w:sz w:val="22"/>
      <w:szCs w:val="22"/>
      <w:lang w:eastAsia="en-US"/>
    </w:rPr>
  </w:style>
  <w:style w:type="character" w:customStyle="1" w:styleId="Heading7Char">
    <w:name w:val="Heading 7 Char"/>
    <w:basedOn w:val="DefaultParagraphFont"/>
    <w:link w:val="Heading7"/>
    <w:uiPriority w:val="99"/>
    <w:rsid w:val="009B7368"/>
    <w:rPr>
      <w:rFonts w:ascii="Gill Sans" w:hAnsi="Gill Sans" w:cs="Arial"/>
      <w:b/>
      <w:sz w:val="22"/>
      <w:szCs w:val="40"/>
      <w:lang w:eastAsia="en-US"/>
    </w:rPr>
  </w:style>
  <w:style w:type="character" w:customStyle="1" w:styleId="Heading8Char">
    <w:name w:val="Heading 8 Char"/>
    <w:basedOn w:val="DefaultParagraphFont"/>
    <w:link w:val="Heading8"/>
    <w:uiPriority w:val="99"/>
    <w:rsid w:val="009B7368"/>
    <w:rPr>
      <w:rFonts w:ascii="Gill Sans" w:hAnsi="Gill Sans"/>
      <w:b/>
      <w:sz w:val="22"/>
      <w:szCs w:val="24"/>
      <w:lang w:eastAsia="en-US"/>
    </w:rPr>
  </w:style>
  <w:style w:type="character" w:customStyle="1" w:styleId="Heading9Char">
    <w:name w:val="Heading 9 Char"/>
    <w:basedOn w:val="DefaultParagraphFont"/>
    <w:link w:val="Heading9"/>
    <w:uiPriority w:val="99"/>
    <w:rsid w:val="009B7368"/>
    <w:rPr>
      <w:rFonts w:ascii="Gill Sans" w:hAnsi="Gill Sans" w:cs="Arial"/>
      <w:sz w:val="22"/>
      <w:szCs w:val="32"/>
      <w:lang w:eastAsia="en-US"/>
    </w:rPr>
  </w:style>
  <w:style w:type="character" w:customStyle="1" w:styleId="FootnoteTextChar">
    <w:name w:val="Footnote Text Char"/>
    <w:basedOn w:val="DefaultParagraphFont"/>
    <w:link w:val="FootnoteText"/>
    <w:uiPriority w:val="99"/>
    <w:semiHidden/>
    <w:rsid w:val="009B7368"/>
    <w:rPr>
      <w:rFonts w:ascii="Gill Sans" w:hAnsi="Gill Sans"/>
      <w:sz w:val="22"/>
      <w:lang w:eastAsia="en-US"/>
    </w:rPr>
  </w:style>
  <w:style w:type="character" w:customStyle="1" w:styleId="HeaderChar">
    <w:name w:val="Header Char"/>
    <w:basedOn w:val="DefaultParagraphFont"/>
    <w:link w:val="Header"/>
    <w:uiPriority w:val="99"/>
    <w:rsid w:val="009B7368"/>
    <w:rPr>
      <w:rFonts w:ascii="Rockwell" w:hAnsi="Rockwell"/>
      <w:color w:val="BF2296"/>
      <w:sz w:val="26"/>
      <w:lang w:eastAsia="en-US"/>
    </w:rPr>
  </w:style>
  <w:style w:type="character" w:customStyle="1" w:styleId="FooterChar">
    <w:name w:val="Footer Char"/>
    <w:basedOn w:val="DefaultParagraphFont"/>
    <w:link w:val="Footer"/>
    <w:uiPriority w:val="99"/>
    <w:rsid w:val="009B7368"/>
    <w:rPr>
      <w:rFonts w:ascii="Rockwell" w:hAnsi="Rockwell"/>
      <w:color w:val="000000"/>
      <w:sz w:val="26"/>
      <w:lang w:eastAsia="en-US"/>
    </w:rPr>
  </w:style>
  <w:style w:type="character" w:customStyle="1" w:styleId="MacroTextChar">
    <w:name w:val="Macro Text Char"/>
    <w:basedOn w:val="DefaultParagraphFont"/>
    <w:link w:val="MacroText"/>
    <w:uiPriority w:val="99"/>
    <w:semiHidden/>
    <w:rsid w:val="009B7368"/>
    <w:rPr>
      <w:rFonts w:ascii="Courier New" w:hAnsi="Courier New" w:cs="Courier New"/>
      <w:lang w:eastAsia="en-US"/>
    </w:rPr>
  </w:style>
  <w:style w:type="character" w:customStyle="1" w:styleId="TitleChar">
    <w:name w:val="Title Char"/>
    <w:basedOn w:val="DefaultParagraphFont"/>
    <w:link w:val="Title"/>
    <w:uiPriority w:val="99"/>
    <w:rsid w:val="009B7368"/>
    <w:rPr>
      <w:rFonts w:ascii="Rockwell" w:hAnsi="Rockwell" w:cs="Arial"/>
      <w:b/>
      <w:bCs/>
      <w:color w:val="BF2296"/>
      <w:kern w:val="28"/>
      <w:sz w:val="120"/>
      <w:szCs w:val="32"/>
      <w:shd w:val="clear" w:color="auto" w:fill="FFFFFF"/>
      <w:lang w:eastAsia="en-US"/>
    </w:rPr>
  </w:style>
  <w:style w:type="character" w:customStyle="1" w:styleId="BodyTextChar">
    <w:name w:val="Body Text Char"/>
    <w:basedOn w:val="DefaultParagraphFont"/>
    <w:link w:val="BodyText"/>
    <w:uiPriority w:val="99"/>
    <w:rsid w:val="009B7368"/>
    <w:rPr>
      <w:rFonts w:ascii="Gill Sans" w:hAnsi="Gill Sans"/>
      <w:sz w:val="26"/>
      <w:szCs w:val="24"/>
      <w:lang w:eastAsia="en-US"/>
    </w:rPr>
  </w:style>
  <w:style w:type="character" w:customStyle="1" w:styleId="SubtitleChar">
    <w:name w:val="Subtitle Char"/>
    <w:basedOn w:val="DefaultParagraphFont"/>
    <w:link w:val="Subtitle"/>
    <w:uiPriority w:val="99"/>
    <w:rsid w:val="009B7368"/>
    <w:rPr>
      <w:rFonts w:ascii="Gill Sans" w:hAnsi="Gill Sans"/>
      <w:sz w:val="28"/>
      <w:szCs w:val="24"/>
      <w:lang w:eastAsia="en-US"/>
    </w:rPr>
  </w:style>
  <w:style w:type="character" w:customStyle="1" w:styleId="DocumentMapChar">
    <w:name w:val="Document Map Char"/>
    <w:basedOn w:val="DefaultParagraphFont"/>
    <w:link w:val="DocumentMap"/>
    <w:uiPriority w:val="99"/>
    <w:semiHidden/>
    <w:rsid w:val="009B7368"/>
    <w:rPr>
      <w:rFonts w:ascii="Tahoma" w:hAnsi="Tahoma" w:cs="Tahoma"/>
      <w:szCs w:val="24"/>
      <w:shd w:val="clear" w:color="auto" w:fill="000080"/>
      <w:lang w:eastAsia="en-US"/>
    </w:rPr>
  </w:style>
  <w:style w:type="character" w:customStyle="1" w:styleId="BalloonTextChar">
    <w:name w:val="Balloon Text Char"/>
    <w:basedOn w:val="DefaultParagraphFont"/>
    <w:link w:val="BalloonText"/>
    <w:uiPriority w:val="99"/>
    <w:semiHidden/>
    <w:rsid w:val="009B7368"/>
    <w:rPr>
      <w:rFonts w:ascii="Tahoma" w:hAnsi="Tahoma" w:cs="Tahoma"/>
      <w:sz w:val="16"/>
      <w:szCs w:val="16"/>
      <w:lang w:eastAsia="en-US"/>
    </w:rPr>
  </w:style>
  <w:style w:type="paragraph" w:styleId="EndnoteText">
    <w:name w:val="endnote text"/>
    <w:basedOn w:val="Normal"/>
    <w:link w:val="EndnoteTextChar"/>
    <w:uiPriority w:val="99"/>
    <w:rsid w:val="009B7368"/>
    <w:rPr>
      <w:sz w:val="20"/>
      <w:szCs w:val="20"/>
    </w:rPr>
  </w:style>
  <w:style w:type="character" w:customStyle="1" w:styleId="EndnoteTextChar">
    <w:name w:val="Endnote Text Char"/>
    <w:basedOn w:val="DefaultParagraphFont"/>
    <w:link w:val="EndnoteText"/>
    <w:uiPriority w:val="99"/>
    <w:rsid w:val="009B7368"/>
    <w:rPr>
      <w:rFonts w:ascii="Gill Sans" w:hAnsi="Gill Sans"/>
      <w:lang w:eastAsia="en-US"/>
    </w:rPr>
  </w:style>
  <w:style w:type="paragraph" w:customStyle="1" w:styleId="StyleListBulletItalic">
    <w:name w:val="Style List Bullet + Italic"/>
    <w:basedOn w:val="ListBullet"/>
    <w:link w:val="StyleListBulletItalicChar"/>
    <w:uiPriority w:val="99"/>
    <w:rsid w:val="009B7368"/>
    <w:pPr>
      <w:numPr>
        <w:numId w:val="32"/>
      </w:numPr>
    </w:pPr>
    <w:rPr>
      <w:iCs/>
    </w:rPr>
  </w:style>
  <w:style w:type="character" w:customStyle="1" w:styleId="StyleListBulletItalicChar">
    <w:name w:val="Style List Bullet + Italic Char"/>
    <w:basedOn w:val="DefaultParagraphFont"/>
    <w:link w:val="StyleListBulletItalic"/>
    <w:uiPriority w:val="99"/>
    <w:locked/>
    <w:rsid w:val="009B7368"/>
    <w:rPr>
      <w:rFonts w:ascii="Gill Sans" w:hAnsi="Gill Sans"/>
      <w:iC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569">
      <w:bodyDiv w:val="1"/>
      <w:marLeft w:val="0"/>
      <w:marRight w:val="0"/>
      <w:marTop w:val="0"/>
      <w:marBottom w:val="0"/>
      <w:divBdr>
        <w:top w:val="none" w:sz="0" w:space="0" w:color="auto"/>
        <w:left w:val="none" w:sz="0" w:space="0" w:color="auto"/>
        <w:bottom w:val="none" w:sz="0" w:space="0" w:color="auto"/>
        <w:right w:val="none" w:sz="0" w:space="0" w:color="auto"/>
      </w:divBdr>
      <w:divsChild>
        <w:div w:id="962728187">
          <w:marLeft w:val="0"/>
          <w:marRight w:val="0"/>
          <w:marTop w:val="0"/>
          <w:marBottom w:val="0"/>
          <w:divBdr>
            <w:top w:val="none" w:sz="0" w:space="0" w:color="auto"/>
            <w:left w:val="none" w:sz="0" w:space="0" w:color="auto"/>
            <w:bottom w:val="none" w:sz="0" w:space="0" w:color="auto"/>
            <w:right w:val="none" w:sz="0" w:space="0" w:color="auto"/>
          </w:divBdr>
          <w:divsChild>
            <w:div w:id="1776555878">
              <w:marLeft w:val="0"/>
              <w:marRight w:val="0"/>
              <w:marTop w:val="0"/>
              <w:marBottom w:val="0"/>
              <w:divBdr>
                <w:top w:val="none" w:sz="0" w:space="0" w:color="auto"/>
                <w:left w:val="none" w:sz="0" w:space="0" w:color="auto"/>
                <w:bottom w:val="none" w:sz="0" w:space="0" w:color="auto"/>
                <w:right w:val="none" w:sz="0" w:space="0" w:color="auto"/>
              </w:divBdr>
              <w:divsChild>
                <w:div w:id="424306818">
                  <w:marLeft w:val="0"/>
                  <w:marRight w:val="0"/>
                  <w:marTop w:val="0"/>
                  <w:marBottom w:val="0"/>
                  <w:divBdr>
                    <w:top w:val="none" w:sz="0" w:space="0" w:color="auto"/>
                    <w:left w:val="none" w:sz="0" w:space="0" w:color="auto"/>
                    <w:bottom w:val="none" w:sz="0" w:space="0" w:color="auto"/>
                    <w:right w:val="none" w:sz="0" w:space="0" w:color="auto"/>
                  </w:divBdr>
                  <w:divsChild>
                    <w:div w:id="17774863">
                      <w:marLeft w:val="0"/>
                      <w:marRight w:val="0"/>
                      <w:marTop w:val="0"/>
                      <w:marBottom w:val="0"/>
                      <w:divBdr>
                        <w:top w:val="none" w:sz="0" w:space="0" w:color="auto"/>
                        <w:left w:val="none" w:sz="0" w:space="0" w:color="auto"/>
                        <w:bottom w:val="none" w:sz="0" w:space="0" w:color="auto"/>
                        <w:right w:val="none" w:sz="0" w:space="0" w:color="auto"/>
                      </w:divBdr>
                      <w:divsChild>
                        <w:div w:id="11772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91667">
      <w:bodyDiv w:val="1"/>
      <w:marLeft w:val="0"/>
      <w:marRight w:val="0"/>
      <w:marTop w:val="0"/>
      <w:marBottom w:val="0"/>
      <w:divBdr>
        <w:top w:val="none" w:sz="0" w:space="0" w:color="auto"/>
        <w:left w:val="none" w:sz="0" w:space="0" w:color="auto"/>
        <w:bottom w:val="none" w:sz="0" w:space="0" w:color="auto"/>
        <w:right w:val="none" w:sz="0" w:space="0" w:color="auto"/>
      </w:divBdr>
      <w:divsChild>
        <w:div w:id="1274824866">
          <w:marLeft w:val="0"/>
          <w:marRight w:val="0"/>
          <w:marTop w:val="0"/>
          <w:marBottom w:val="0"/>
          <w:divBdr>
            <w:top w:val="none" w:sz="0" w:space="0" w:color="auto"/>
            <w:left w:val="none" w:sz="0" w:space="0" w:color="auto"/>
            <w:bottom w:val="none" w:sz="0" w:space="0" w:color="auto"/>
            <w:right w:val="none" w:sz="0" w:space="0" w:color="auto"/>
          </w:divBdr>
          <w:divsChild>
            <w:div w:id="487022280">
              <w:marLeft w:val="0"/>
              <w:marRight w:val="0"/>
              <w:marTop w:val="0"/>
              <w:marBottom w:val="0"/>
              <w:divBdr>
                <w:top w:val="none" w:sz="0" w:space="0" w:color="auto"/>
                <w:left w:val="none" w:sz="0" w:space="0" w:color="auto"/>
                <w:bottom w:val="none" w:sz="0" w:space="0" w:color="auto"/>
                <w:right w:val="none" w:sz="0" w:space="0" w:color="auto"/>
              </w:divBdr>
              <w:divsChild>
                <w:div w:id="413743539">
                  <w:marLeft w:val="0"/>
                  <w:marRight w:val="0"/>
                  <w:marTop w:val="0"/>
                  <w:marBottom w:val="0"/>
                  <w:divBdr>
                    <w:top w:val="none" w:sz="0" w:space="0" w:color="auto"/>
                    <w:left w:val="none" w:sz="0" w:space="0" w:color="auto"/>
                    <w:bottom w:val="none" w:sz="0" w:space="0" w:color="auto"/>
                    <w:right w:val="none" w:sz="0" w:space="0" w:color="auto"/>
                  </w:divBdr>
                  <w:divsChild>
                    <w:div w:id="617368799">
                      <w:marLeft w:val="0"/>
                      <w:marRight w:val="0"/>
                      <w:marTop w:val="0"/>
                      <w:marBottom w:val="0"/>
                      <w:divBdr>
                        <w:top w:val="none" w:sz="0" w:space="0" w:color="auto"/>
                        <w:left w:val="none" w:sz="0" w:space="0" w:color="auto"/>
                        <w:bottom w:val="none" w:sz="0" w:space="0" w:color="auto"/>
                        <w:right w:val="none" w:sz="0" w:space="0" w:color="auto"/>
                      </w:divBdr>
                      <w:divsChild>
                        <w:div w:id="1621759015">
                          <w:marLeft w:val="0"/>
                          <w:marRight w:val="0"/>
                          <w:marTop w:val="0"/>
                          <w:marBottom w:val="0"/>
                          <w:divBdr>
                            <w:top w:val="none" w:sz="0" w:space="0" w:color="auto"/>
                            <w:left w:val="none" w:sz="0" w:space="0" w:color="auto"/>
                            <w:bottom w:val="none" w:sz="0" w:space="0" w:color="auto"/>
                            <w:right w:val="none" w:sz="0" w:space="0" w:color="auto"/>
                          </w:divBdr>
                          <w:divsChild>
                            <w:div w:id="109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743">
      <w:bodyDiv w:val="1"/>
      <w:marLeft w:val="0"/>
      <w:marRight w:val="0"/>
      <w:marTop w:val="0"/>
      <w:marBottom w:val="0"/>
      <w:divBdr>
        <w:top w:val="none" w:sz="0" w:space="0" w:color="auto"/>
        <w:left w:val="none" w:sz="0" w:space="0" w:color="auto"/>
        <w:bottom w:val="none" w:sz="0" w:space="0" w:color="auto"/>
        <w:right w:val="none" w:sz="0" w:space="0" w:color="auto"/>
      </w:divBdr>
      <w:divsChild>
        <w:div w:id="105319568">
          <w:marLeft w:val="0"/>
          <w:marRight w:val="0"/>
          <w:marTop w:val="0"/>
          <w:marBottom w:val="0"/>
          <w:divBdr>
            <w:top w:val="none" w:sz="0" w:space="0" w:color="auto"/>
            <w:left w:val="none" w:sz="0" w:space="0" w:color="auto"/>
            <w:bottom w:val="none" w:sz="0" w:space="0" w:color="auto"/>
            <w:right w:val="none" w:sz="0" w:space="0" w:color="auto"/>
          </w:divBdr>
          <w:divsChild>
            <w:div w:id="991447155">
              <w:marLeft w:val="0"/>
              <w:marRight w:val="0"/>
              <w:marTop w:val="0"/>
              <w:marBottom w:val="0"/>
              <w:divBdr>
                <w:top w:val="none" w:sz="0" w:space="0" w:color="auto"/>
                <w:left w:val="none" w:sz="0" w:space="0" w:color="auto"/>
                <w:bottom w:val="none" w:sz="0" w:space="0" w:color="auto"/>
                <w:right w:val="none" w:sz="0" w:space="0" w:color="auto"/>
              </w:divBdr>
              <w:divsChild>
                <w:div w:id="488209188">
                  <w:marLeft w:val="0"/>
                  <w:marRight w:val="0"/>
                  <w:marTop w:val="0"/>
                  <w:marBottom w:val="0"/>
                  <w:divBdr>
                    <w:top w:val="none" w:sz="0" w:space="0" w:color="auto"/>
                    <w:left w:val="none" w:sz="0" w:space="0" w:color="auto"/>
                    <w:bottom w:val="none" w:sz="0" w:space="0" w:color="auto"/>
                    <w:right w:val="none" w:sz="0" w:space="0" w:color="auto"/>
                  </w:divBdr>
                  <w:divsChild>
                    <w:div w:id="1315571790">
                      <w:marLeft w:val="0"/>
                      <w:marRight w:val="0"/>
                      <w:marTop w:val="0"/>
                      <w:marBottom w:val="0"/>
                      <w:divBdr>
                        <w:top w:val="none" w:sz="0" w:space="0" w:color="auto"/>
                        <w:left w:val="none" w:sz="0" w:space="0" w:color="auto"/>
                        <w:bottom w:val="none" w:sz="0" w:space="0" w:color="auto"/>
                        <w:right w:val="none" w:sz="0" w:space="0" w:color="auto"/>
                      </w:divBdr>
                      <w:divsChild>
                        <w:div w:id="2026250921">
                          <w:marLeft w:val="0"/>
                          <w:marRight w:val="0"/>
                          <w:marTop w:val="0"/>
                          <w:marBottom w:val="0"/>
                          <w:divBdr>
                            <w:top w:val="none" w:sz="0" w:space="0" w:color="auto"/>
                            <w:left w:val="none" w:sz="0" w:space="0" w:color="auto"/>
                            <w:bottom w:val="none" w:sz="0" w:space="0" w:color="auto"/>
                            <w:right w:val="none" w:sz="0" w:space="0" w:color="auto"/>
                          </w:divBdr>
                          <w:divsChild>
                            <w:div w:id="5278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94236">
      <w:bodyDiv w:val="1"/>
      <w:marLeft w:val="0"/>
      <w:marRight w:val="0"/>
      <w:marTop w:val="0"/>
      <w:marBottom w:val="0"/>
      <w:divBdr>
        <w:top w:val="none" w:sz="0" w:space="0" w:color="auto"/>
        <w:left w:val="none" w:sz="0" w:space="0" w:color="auto"/>
        <w:bottom w:val="none" w:sz="0" w:space="0" w:color="auto"/>
        <w:right w:val="none" w:sz="0" w:space="0" w:color="auto"/>
      </w:divBdr>
      <w:divsChild>
        <w:div w:id="1435520356">
          <w:marLeft w:val="0"/>
          <w:marRight w:val="0"/>
          <w:marTop w:val="0"/>
          <w:marBottom w:val="0"/>
          <w:divBdr>
            <w:top w:val="none" w:sz="0" w:space="0" w:color="auto"/>
            <w:left w:val="none" w:sz="0" w:space="0" w:color="auto"/>
            <w:bottom w:val="none" w:sz="0" w:space="0" w:color="auto"/>
            <w:right w:val="none" w:sz="0" w:space="0" w:color="auto"/>
          </w:divBdr>
          <w:divsChild>
            <w:div w:id="954749997">
              <w:marLeft w:val="0"/>
              <w:marRight w:val="0"/>
              <w:marTop w:val="0"/>
              <w:marBottom w:val="0"/>
              <w:divBdr>
                <w:top w:val="none" w:sz="0" w:space="0" w:color="auto"/>
                <w:left w:val="none" w:sz="0" w:space="0" w:color="auto"/>
                <w:bottom w:val="none" w:sz="0" w:space="0" w:color="auto"/>
                <w:right w:val="none" w:sz="0" w:space="0" w:color="auto"/>
              </w:divBdr>
              <w:divsChild>
                <w:div w:id="801267376">
                  <w:marLeft w:val="0"/>
                  <w:marRight w:val="0"/>
                  <w:marTop w:val="0"/>
                  <w:marBottom w:val="0"/>
                  <w:divBdr>
                    <w:top w:val="none" w:sz="0" w:space="0" w:color="auto"/>
                    <w:left w:val="none" w:sz="0" w:space="0" w:color="auto"/>
                    <w:bottom w:val="none" w:sz="0" w:space="0" w:color="auto"/>
                    <w:right w:val="none" w:sz="0" w:space="0" w:color="auto"/>
                  </w:divBdr>
                  <w:divsChild>
                    <w:div w:id="2005156997">
                      <w:marLeft w:val="0"/>
                      <w:marRight w:val="0"/>
                      <w:marTop w:val="0"/>
                      <w:marBottom w:val="0"/>
                      <w:divBdr>
                        <w:top w:val="none" w:sz="0" w:space="0" w:color="auto"/>
                        <w:left w:val="none" w:sz="0" w:space="0" w:color="auto"/>
                        <w:bottom w:val="none" w:sz="0" w:space="0" w:color="auto"/>
                        <w:right w:val="none" w:sz="0" w:space="0" w:color="auto"/>
                      </w:divBdr>
                      <w:divsChild>
                        <w:div w:id="15400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13466">
      <w:bodyDiv w:val="1"/>
      <w:marLeft w:val="0"/>
      <w:marRight w:val="0"/>
      <w:marTop w:val="0"/>
      <w:marBottom w:val="0"/>
      <w:divBdr>
        <w:top w:val="none" w:sz="0" w:space="0" w:color="auto"/>
        <w:left w:val="none" w:sz="0" w:space="0" w:color="auto"/>
        <w:bottom w:val="none" w:sz="0" w:space="0" w:color="auto"/>
        <w:right w:val="none" w:sz="0" w:space="0" w:color="auto"/>
      </w:divBdr>
      <w:divsChild>
        <w:div w:id="999114077">
          <w:marLeft w:val="0"/>
          <w:marRight w:val="0"/>
          <w:marTop w:val="0"/>
          <w:marBottom w:val="0"/>
          <w:divBdr>
            <w:top w:val="none" w:sz="0" w:space="0" w:color="auto"/>
            <w:left w:val="none" w:sz="0" w:space="0" w:color="auto"/>
            <w:bottom w:val="none" w:sz="0" w:space="0" w:color="auto"/>
            <w:right w:val="none" w:sz="0" w:space="0" w:color="auto"/>
          </w:divBdr>
          <w:divsChild>
            <w:div w:id="997807685">
              <w:marLeft w:val="0"/>
              <w:marRight w:val="0"/>
              <w:marTop w:val="0"/>
              <w:marBottom w:val="0"/>
              <w:divBdr>
                <w:top w:val="none" w:sz="0" w:space="0" w:color="auto"/>
                <w:left w:val="none" w:sz="0" w:space="0" w:color="auto"/>
                <w:bottom w:val="none" w:sz="0" w:space="0" w:color="auto"/>
                <w:right w:val="none" w:sz="0" w:space="0" w:color="auto"/>
              </w:divBdr>
              <w:divsChild>
                <w:div w:id="2007707299">
                  <w:marLeft w:val="0"/>
                  <w:marRight w:val="0"/>
                  <w:marTop w:val="0"/>
                  <w:marBottom w:val="0"/>
                  <w:divBdr>
                    <w:top w:val="none" w:sz="0" w:space="0" w:color="auto"/>
                    <w:left w:val="none" w:sz="0" w:space="0" w:color="auto"/>
                    <w:bottom w:val="none" w:sz="0" w:space="0" w:color="auto"/>
                    <w:right w:val="none" w:sz="0" w:space="0" w:color="auto"/>
                  </w:divBdr>
                  <w:divsChild>
                    <w:div w:id="230503901">
                      <w:marLeft w:val="0"/>
                      <w:marRight w:val="0"/>
                      <w:marTop w:val="0"/>
                      <w:marBottom w:val="0"/>
                      <w:divBdr>
                        <w:top w:val="none" w:sz="0" w:space="0" w:color="auto"/>
                        <w:left w:val="none" w:sz="0" w:space="0" w:color="auto"/>
                        <w:bottom w:val="none" w:sz="0" w:space="0" w:color="auto"/>
                        <w:right w:val="none" w:sz="0" w:space="0" w:color="auto"/>
                      </w:divBdr>
                      <w:divsChild>
                        <w:div w:id="1721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970126">
      <w:bodyDiv w:val="1"/>
      <w:marLeft w:val="0"/>
      <w:marRight w:val="0"/>
      <w:marTop w:val="0"/>
      <w:marBottom w:val="0"/>
      <w:divBdr>
        <w:top w:val="none" w:sz="0" w:space="0" w:color="auto"/>
        <w:left w:val="none" w:sz="0" w:space="0" w:color="auto"/>
        <w:bottom w:val="none" w:sz="0" w:space="0" w:color="auto"/>
        <w:right w:val="none" w:sz="0" w:space="0" w:color="auto"/>
      </w:divBdr>
      <w:divsChild>
        <w:div w:id="1990288171">
          <w:marLeft w:val="0"/>
          <w:marRight w:val="0"/>
          <w:marTop w:val="0"/>
          <w:marBottom w:val="0"/>
          <w:divBdr>
            <w:top w:val="none" w:sz="0" w:space="0" w:color="auto"/>
            <w:left w:val="none" w:sz="0" w:space="0" w:color="auto"/>
            <w:bottom w:val="none" w:sz="0" w:space="0" w:color="auto"/>
            <w:right w:val="none" w:sz="0" w:space="0" w:color="auto"/>
          </w:divBdr>
          <w:divsChild>
            <w:div w:id="1385639051">
              <w:marLeft w:val="0"/>
              <w:marRight w:val="0"/>
              <w:marTop w:val="0"/>
              <w:marBottom w:val="0"/>
              <w:divBdr>
                <w:top w:val="none" w:sz="0" w:space="0" w:color="auto"/>
                <w:left w:val="none" w:sz="0" w:space="0" w:color="auto"/>
                <w:bottom w:val="none" w:sz="0" w:space="0" w:color="auto"/>
                <w:right w:val="none" w:sz="0" w:space="0" w:color="auto"/>
              </w:divBdr>
              <w:divsChild>
                <w:div w:id="588006497">
                  <w:marLeft w:val="0"/>
                  <w:marRight w:val="0"/>
                  <w:marTop w:val="0"/>
                  <w:marBottom w:val="0"/>
                  <w:divBdr>
                    <w:top w:val="none" w:sz="0" w:space="0" w:color="auto"/>
                    <w:left w:val="none" w:sz="0" w:space="0" w:color="auto"/>
                    <w:bottom w:val="none" w:sz="0" w:space="0" w:color="auto"/>
                    <w:right w:val="none" w:sz="0" w:space="0" w:color="auto"/>
                  </w:divBdr>
                  <w:divsChild>
                    <w:div w:id="504174855">
                      <w:marLeft w:val="0"/>
                      <w:marRight w:val="0"/>
                      <w:marTop w:val="0"/>
                      <w:marBottom w:val="0"/>
                      <w:divBdr>
                        <w:top w:val="none" w:sz="0" w:space="0" w:color="auto"/>
                        <w:left w:val="none" w:sz="0" w:space="0" w:color="auto"/>
                        <w:bottom w:val="none" w:sz="0" w:space="0" w:color="auto"/>
                        <w:right w:val="none" w:sz="0" w:space="0" w:color="auto"/>
                      </w:divBdr>
                      <w:divsChild>
                        <w:div w:id="12578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74083">
      <w:bodyDiv w:val="1"/>
      <w:marLeft w:val="0"/>
      <w:marRight w:val="0"/>
      <w:marTop w:val="0"/>
      <w:marBottom w:val="0"/>
      <w:divBdr>
        <w:top w:val="none" w:sz="0" w:space="0" w:color="auto"/>
        <w:left w:val="none" w:sz="0" w:space="0" w:color="auto"/>
        <w:bottom w:val="none" w:sz="0" w:space="0" w:color="auto"/>
        <w:right w:val="none" w:sz="0" w:space="0" w:color="auto"/>
      </w:divBdr>
      <w:divsChild>
        <w:div w:id="324944491">
          <w:marLeft w:val="0"/>
          <w:marRight w:val="0"/>
          <w:marTop w:val="0"/>
          <w:marBottom w:val="0"/>
          <w:divBdr>
            <w:top w:val="none" w:sz="0" w:space="0" w:color="auto"/>
            <w:left w:val="none" w:sz="0" w:space="0" w:color="auto"/>
            <w:bottom w:val="none" w:sz="0" w:space="0" w:color="auto"/>
            <w:right w:val="none" w:sz="0" w:space="0" w:color="auto"/>
          </w:divBdr>
          <w:divsChild>
            <w:div w:id="1403916696">
              <w:marLeft w:val="0"/>
              <w:marRight w:val="0"/>
              <w:marTop w:val="0"/>
              <w:marBottom w:val="0"/>
              <w:divBdr>
                <w:top w:val="none" w:sz="0" w:space="0" w:color="auto"/>
                <w:left w:val="none" w:sz="0" w:space="0" w:color="auto"/>
                <w:bottom w:val="none" w:sz="0" w:space="0" w:color="auto"/>
                <w:right w:val="none" w:sz="0" w:space="0" w:color="auto"/>
              </w:divBdr>
              <w:divsChild>
                <w:div w:id="363790668">
                  <w:marLeft w:val="0"/>
                  <w:marRight w:val="0"/>
                  <w:marTop w:val="0"/>
                  <w:marBottom w:val="0"/>
                  <w:divBdr>
                    <w:top w:val="none" w:sz="0" w:space="0" w:color="auto"/>
                    <w:left w:val="none" w:sz="0" w:space="0" w:color="auto"/>
                    <w:bottom w:val="none" w:sz="0" w:space="0" w:color="auto"/>
                    <w:right w:val="none" w:sz="0" w:space="0" w:color="auto"/>
                  </w:divBdr>
                  <w:divsChild>
                    <w:div w:id="586614451">
                      <w:marLeft w:val="0"/>
                      <w:marRight w:val="0"/>
                      <w:marTop w:val="0"/>
                      <w:marBottom w:val="0"/>
                      <w:divBdr>
                        <w:top w:val="none" w:sz="0" w:space="0" w:color="auto"/>
                        <w:left w:val="none" w:sz="0" w:space="0" w:color="auto"/>
                        <w:bottom w:val="none" w:sz="0" w:space="0" w:color="auto"/>
                        <w:right w:val="none" w:sz="0" w:space="0" w:color="auto"/>
                      </w:divBdr>
                      <w:divsChild>
                        <w:div w:id="264382010">
                          <w:marLeft w:val="0"/>
                          <w:marRight w:val="0"/>
                          <w:marTop w:val="0"/>
                          <w:marBottom w:val="0"/>
                          <w:divBdr>
                            <w:top w:val="none" w:sz="0" w:space="0" w:color="auto"/>
                            <w:left w:val="none" w:sz="0" w:space="0" w:color="auto"/>
                            <w:bottom w:val="none" w:sz="0" w:space="0" w:color="auto"/>
                            <w:right w:val="none" w:sz="0" w:space="0" w:color="auto"/>
                          </w:divBdr>
                          <w:divsChild>
                            <w:div w:id="19820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26244">
      <w:bodyDiv w:val="1"/>
      <w:marLeft w:val="0"/>
      <w:marRight w:val="0"/>
      <w:marTop w:val="0"/>
      <w:marBottom w:val="0"/>
      <w:divBdr>
        <w:top w:val="none" w:sz="0" w:space="0" w:color="auto"/>
        <w:left w:val="none" w:sz="0" w:space="0" w:color="auto"/>
        <w:bottom w:val="none" w:sz="0" w:space="0" w:color="auto"/>
        <w:right w:val="none" w:sz="0" w:space="0" w:color="auto"/>
      </w:divBdr>
      <w:divsChild>
        <w:div w:id="41904543">
          <w:marLeft w:val="0"/>
          <w:marRight w:val="0"/>
          <w:marTop w:val="0"/>
          <w:marBottom w:val="0"/>
          <w:divBdr>
            <w:top w:val="none" w:sz="0" w:space="0" w:color="auto"/>
            <w:left w:val="none" w:sz="0" w:space="0" w:color="auto"/>
            <w:bottom w:val="none" w:sz="0" w:space="0" w:color="auto"/>
            <w:right w:val="none" w:sz="0" w:space="0" w:color="auto"/>
          </w:divBdr>
          <w:divsChild>
            <w:div w:id="72364913">
              <w:marLeft w:val="0"/>
              <w:marRight w:val="0"/>
              <w:marTop w:val="0"/>
              <w:marBottom w:val="0"/>
              <w:divBdr>
                <w:top w:val="none" w:sz="0" w:space="0" w:color="auto"/>
                <w:left w:val="none" w:sz="0" w:space="0" w:color="auto"/>
                <w:bottom w:val="none" w:sz="0" w:space="0" w:color="auto"/>
                <w:right w:val="none" w:sz="0" w:space="0" w:color="auto"/>
              </w:divBdr>
              <w:divsChild>
                <w:div w:id="980041933">
                  <w:marLeft w:val="0"/>
                  <w:marRight w:val="0"/>
                  <w:marTop w:val="0"/>
                  <w:marBottom w:val="0"/>
                  <w:divBdr>
                    <w:top w:val="none" w:sz="0" w:space="0" w:color="auto"/>
                    <w:left w:val="none" w:sz="0" w:space="0" w:color="auto"/>
                    <w:bottom w:val="none" w:sz="0" w:space="0" w:color="auto"/>
                    <w:right w:val="none" w:sz="0" w:space="0" w:color="auto"/>
                  </w:divBdr>
                  <w:divsChild>
                    <w:div w:id="868491708">
                      <w:marLeft w:val="0"/>
                      <w:marRight w:val="0"/>
                      <w:marTop w:val="0"/>
                      <w:marBottom w:val="0"/>
                      <w:divBdr>
                        <w:top w:val="none" w:sz="0" w:space="0" w:color="auto"/>
                        <w:left w:val="none" w:sz="0" w:space="0" w:color="auto"/>
                        <w:bottom w:val="none" w:sz="0" w:space="0" w:color="auto"/>
                        <w:right w:val="none" w:sz="0" w:space="0" w:color="auto"/>
                      </w:divBdr>
                      <w:divsChild>
                        <w:div w:id="5366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335860">
      <w:bodyDiv w:val="1"/>
      <w:marLeft w:val="0"/>
      <w:marRight w:val="0"/>
      <w:marTop w:val="0"/>
      <w:marBottom w:val="0"/>
      <w:divBdr>
        <w:top w:val="none" w:sz="0" w:space="0" w:color="auto"/>
        <w:left w:val="none" w:sz="0" w:space="0" w:color="auto"/>
        <w:bottom w:val="none" w:sz="0" w:space="0" w:color="auto"/>
        <w:right w:val="none" w:sz="0" w:space="0" w:color="auto"/>
      </w:divBdr>
      <w:divsChild>
        <w:div w:id="1415132288">
          <w:marLeft w:val="0"/>
          <w:marRight w:val="0"/>
          <w:marTop w:val="300"/>
          <w:marBottom w:val="0"/>
          <w:divBdr>
            <w:top w:val="none" w:sz="0" w:space="0" w:color="auto"/>
            <w:left w:val="none" w:sz="0" w:space="0" w:color="auto"/>
            <w:bottom w:val="none" w:sz="0" w:space="0" w:color="auto"/>
            <w:right w:val="none" w:sz="0" w:space="0" w:color="auto"/>
          </w:divBdr>
          <w:divsChild>
            <w:div w:id="1256212951">
              <w:marLeft w:val="0"/>
              <w:marRight w:val="0"/>
              <w:marTop w:val="0"/>
              <w:marBottom w:val="0"/>
              <w:divBdr>
                <w:top w:val="none" w:sz="0" w:space="0" w:color="auto"/>
                <w:left w:val="none" w:sz="0" w:space="0" w:color="auto"/>
                <w:bottom w:val="none" w:sz="0" w:space="0" w:color="auto"/>
                <w:right w:val="none" w:sz="0" w:space="0" w:color="auto"/>
              </w:divBdr>
              <w:divsChild>
                <w:div w:id="1419056755">
                  <w:marLeft w:val="0"/>
                  <w:marRight w:val="-3600"/>
                  <w:marTop w:val="0"/>
                  <w:marBottom w:val="0"/>
                  <w:divBdr>
                    <w:top w:val="none" w:sz="0" w:space="0" w:color="auto"/>
                    <w:left w:val="none" w:sz="0" w:space="0" w:color="auto"/>
                    <w:bottom w:val="none" w:sz="0" w:space="0" w:color="auto"/>
                    <w:right w:val="none" w:sz="0" w:space="0" w:color="auto"/>
                  </w:divBdr>
                  <w:divsChild>
                    <w:div w:id="1838836946">
                      <w:marLeft w:val="300"/>
                      <w:marRight w:val="4200"/>
                      <w:marTop w:val="0"/>
                      <w:marBottom w:val="540"/>
                      <w:divBdr>
                        <w:top w:val="none" w:sz="0" w:space="0" w:color="auto"/>
                        <w:left w:val="none" w:sz="0" w:space="0" w:color="auto"/>
                        <w:bottom w:val="none" w:sz="0" w:space="0" w:color="auto"/>
                        <w:right w:val="none" w:sz="0" w:space="0" w:color="auto"/>
                      </w:divBdr>
                      <w:divsChild>
                        <w:div w:id="79299881">
                          <w:marLeft w:val="0"/>
                          <w:marRight w:val="0"/>
                          <w:marTop w:val="0"/>
                          <w:marBottom w:val="0"/>
                          <w:divBdr>
                            <w:top w:val="none" w:sz="0" w:space="0" w:color="auto"/>
                            <w:left w:val="none" w:sz="0" w:space="0" w:color="auto"/>
                            <w:bottom w:val="none" w:sz="0" w:space="0" w:color="auto"/>
                            <w:right w:val="none" w:sz="0" w:space="0" w:color="auto"/>
                          </w:divBdr>
                          <w:divsChild>
                            <w:div w:id="9240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30546">
      <w:bodyDiv w:val="1"/>
      <w:marLeft w:val="0"/>
      <w:marRight w:val="0"/>
      <w:marTop w:val="0"/>
      <w:marBottom w:val="0"/>
      <w:divBdr>
        <w:top w:val="none" w:sz="0" w:space="0" w:color="auto"/>
        <w:left w:val="none" w:sz="0" w:space="0" w:color="auto"/>
        <w:bottom w:val="none" w:sz="0" w:space="0" w:color="auto"/>
        <w:right w:val="none" w:sz="0" w:space="0" w:color="auto"/>
      </w:divBdr>
      <w:divsChild>
        <w:div w:id="1114791917">
          <w:marLeft w:val="0"/>
          <w:marRight w:val="0"/>
          <w:marTop w:val="0"/>
          <w:marBottom w:val="0"/>
          <w:divBdr>
            <w:top w:val="none" w:sz="0" w:space="0" w:color="auto"/>
            <w:left w:val="none" w:sz="0" w:space="0" w:color="auto"/>
            <w:bottom w:val="none" w:sz="0" w:space="0" w:color="auto"/>
            <w:right w:val="none" w:sz="0" w:space="0" w:color="auto"/>
          </w:divBdr>
          <w:divsChild>
            <w:div w:id="280576163">
              <w:marLeft w:val="0"/>
              <w:marRight w:val="0"/>
              <w:marTop w:val="0"/>
              <w:marBottom w:val="0"/>
              <w:divBdr>
                <w:top w:val="none" w:sz="0" w:space="0" w:color="auto"/>
                <w:left w:val="none" w:sz="0" w:space="0" w:color="auto"/>
                <w:bottom w:val="none" w:sz="0" w:space="0" w:color="auto"/>
                <w:right w:val="none" w:sz="0" w:space="0" w:color="auto"/>
              </w:divBdr>
              <w:divsChild>
                <w:div w:id="1734233547">
                  <w:marLeft w:val="0"/>
                  <w:marRight w:val="0"/>
                  <w:marTop w:val="0"/>
                  <w:marBottom w:val="0"/>
                  <w:divBdr>
                    <w:top w:val="none" w:sz="0" w:space="0" w:color="auto"/>
                    <w:left w:val="none" w:sz="0" w:space="0" w:color="auto"/>
                    <w:bottom w:val="none" w:sz="0" w:space="0" w:color="auto"/>
                    <w:right w:val="none" w:sz="0" w:space="0" w:color="auto"/>
                  </w:divBdr>
                  <w:divsChild>
                    <w:div w:id="1865049518">
                      <w:marLeft w:val="0"/>
                      <w:marRight w:val="0"/>
                      <w:marTop w:val="0"/>
                      <w:marBottom w:val="0"/>
                      <w:divBdr>
                        <w:top w:val="none" w:sz="0" w:space="0" w:color="auto"/>
                        <w:left w:val="none" w:sz="0" w:space="0" w:color="auto"/>
                        <w:bottom w:val="none" w:sz="0" w:space="0" w:color="auto"/>
                        <w:right w:val="none" w:sz="0" w:space="0" w:color="auto"/>
                      </w:divBdr>
                      <w:divsChild>
                        <w:div w:id="505753803">
                          <w:marLeft w:val="0"/>
                          <w:marRight w:val="0"/>
                          <w:marTop w:val="0"/>
                          <w:marBottom w:val="0"/>
                          <w:divBdr>
                            <w:top w:val="none" w:sz="0" w:space="0" w:color="auto"/>
                            <w:left w:val="none" w:sz="0" w:space="0" w:color="auto"/>
                            <w:bottom w:val="none" w:sz="0" w:space="0" w:color="auto"/>
                            <w:right w:val="none" w:sz="0" w:space="0" w:color="auto"/>
                          </w:divBdr>
                          <w:divsChild>
                            <w:div w:id="15943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50294">
      <w:bodyDiv w:val="1"/>
      <w:marLeft w:val="0"/>
      <w:marRight w:val="0"/>
      <w:marTop w:val="0"/>
      <w:marBottom w:val="0"/>
      <w:divBdr>
        <w:top w:val="none" w:sz="0" w:space="0" w:color="auto"/>
        <w:left w:val="none" w:sz="0" w:space="0" w:color="auto"/>
        <w:bottom w:val="none" w:sz="0" w:space="0" w:color="auto"/>
        <w:right w:val="none" w:sz="0" w:space="0" w:color="auto"/>
      </w:divBdr>
      <w:divsChild>
        <w:div w:id="1980762197">
          <w:marLeft w:val="0"/>
          <w:marRight w:val="0"/>
          <w:marTop w:val="0"/>
          <w:marBottom w:val="0"/>
          <w:divBdr>
            <w:top w:val="none" w:sz="0" w:space="0" w:color="auto"/>
            <w:left w:val="none" w:sz="0" w:space="0" w:color="auto"/>
            <w:bottom w:val="none" w:sz="0" w:space="0" w:color="auto"/>
            <w:right w:val="none" w:sz="0" w:space="0" w:color="auto"/>
          </w:divBdr>
          <w:divsChild>
            <w:div w:id="1453358025">
              <w:marLeft w:val="0"/>
              <w:marRight w:val="0"/>
              <w:marTop w:val="0"/>
              <w:marBottom w:val="0"/>
              <w:divBdr>
                <w:top w:val="none" w:sz="0" w:space="0" w:color="auto"/>
                <w:left w:val="none" w:sz="0" w:space="0" w:color="auto"/>
                <w:bottom w:val="none" w:sz="0" w:space="0" w:color="auto"/>
                <w:right w:val="none" w:sz="0" w:space="0" w:color="auto"/>
              </w:divBdr>
              <w:divsChild>
                <w:div w:id="2026009110">
                  <w:marLeft w:val="0"/>
                  <w:marRight w:val="0"/>
                  <w:marTop w:val="0"/>
                  <w:marBottom w:val="0"/>
                  <w:divBdr>
                    <w:top w:val="none" w:sz="0" w:space="0" w:color="auto"/>
                    <w:left w:val="none" w:sz="0" w:space="0" w:color="auto"/>
                    <w:bottom w:val="none" w:sz="0" w:space="0" w:color="auto"/>
                    <w:right w:val="none" w:sz="0" w:space="0" w:color="auto"/>
                  </w:divBdr>
                  <w:divsChild>
                    <w:div w:id="775101045">
                      <w:marLeft w:val="0"/>
                      <w:marRight w:val="0"/>
                      <w:marTop w:val="0"/>
                      <w:marBottom w:val="0"/>
                      <w:divBdr>
                        <w:top w:val="none" w:sz="0" w:space="0" w:color="auto"/>
                        <w:left w:val="none" w:sz="0" w:space="0" w:color="auto"/>
                        <w:bottom w:val="none" w:sz="0" w:space="0" w:color="auto"/>
                        <w:right w:val="none" w:sz="0" w:space="0" w:color="auto"/>
                      </w:divBdr>
                      <w:divsChild>
                        <w:div w:id="105920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94073">
      <w:bodyDiv w:val="1"/>
      <w:marLeft w:val="0"/>
      <w:marRight w:val="0"/>
      <w:marTop w:val="0"/>
      <w:marBottom w:val="0"/>
      <w:divBdr>
        <w:top w:val="none" w:sz="0" w:space="0" w:color="auto"/>
        <w:left w:val="none" w:sz="0" w:space="0" w:color="auto"/>
        <w:bottom w:val="none" w:sz="0" w:space="0" w:color="auto"/>
        <w:right w:val="none" w:sz="0" w:space="0" w:color="auto"/>
      </w:divBdr>
      <w:divsChild>
        <w:div w:id="1690642439">
          <w:marLeft w:val="0"/>
          <w:marRight w:val="0"/>
          <w:marTop w:val="0"/>
          <w:marBottom w:val="0"/>
          <w:divBdr>
            <w:top w:val="none" w:sz="0" w:space="0" w:color="auto"/>
            <w:left w:val="none" w:sz="0" w:space="0" w:color="auto"/>
            <w:bottom w:val="none" w:sz="0" w:space="0" w:color="auto"/>
            <w:right w:val="none" w:sz="0" w:space="0" w:color="auto"/>
          </w:divBdr>
          <w:divsChild>
            <w:div w:id="1163164413">
              <w:marLeft w:val="0"/>
              <w:marRight w:val="0"/>
              <w:marTop w:val="0"/>
              <w:marBottom w:val="0"/>
              <w:divBdr>
                <w:top w:val="none" w:sz="0" w:space="0" w:color="auto"/>
                <w:left w:val="none" w:sz="0" w:space="0" w:color="auto"/>
                <w:bottom w:val="none" w:sz="0" w:space="0" w:color="auto"/>
                <w:right w:val="none" w:sz="0" w:space="0" w:color="auto"/>
              </w:divBdr>
              <w:divsChild>
                <w:div w:id="1989556887">
                  <w:marLeft w:val="0"/>
                  <w:marRight w:val="0"/>
                  <w:marTop w:val="0"/>
                  <w:marBottom w:val="0"/>
                  <w:divBdr>
                    <w:top w:val="none" w:sz="0" w:space="0" w:color="auto"/>
                    <w:left w:val="none" w:sz="0" w:space="0" w:color="auto"/>
                    <w:bottom w:val="none" w:sz="0" w:space="0" w:color="auto"/>
                    <w:right w:val="none" w:sz="0" w:space="0" w:color="auto"/>
                  </w:divBdr>
                  <w:divsChild>
                    <w:div w:id="892085787">
                      <w:marLeft w:val="0"/>
                      <w:marRight w:val="0"/>
                      <w:marTop w:val="0"/>
                      <w:marBottom w:val="0"/>
                      <w:divBdr>
                        <w:top w:val="none" w:sz="0" w:space="0" w:color="auto"/>
                        <w:left w:val="none" w:sz="0" w:space="0" w:color="auto"/>
                        <w:bottom w:val="none" w:sz="0" w:space="0" w:color="auto"/>
                        <w:right w:val="none" w:sz="0" w:space="0" w:color="auto"/>
                      </w:divBdr>
                      <w:divsChild>
                        <w:div w:id="584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158266">
      <w:bodyDiv w:val="1"/>
      <w:marLeft w:val="0"/>
      <w:marRight w:val="0"/>
      <w:marTop w:val="0"/>
      <w:marBottom w:val="0"/>
      <w:divBdr>
        <w:top w:val="none" w:sz="0" w:space="0" w:color="auto"/>
        <w:left w:val="none" w:sz="0" w:space="0" w:color="auto"/>
        <w:bottom w:val="none" w:sz="0" w:space="0" w:color="auto"/>
        <w:right w:val="none" w:sz="0" w:space="0" w:color="auto"/>
      </w:divBdr>
      <w:divsChild>
        <w:div w:id="383680302">
          <w:marLeft w:val="0"/>
          <w:marRight w:val="0"/>
          <w:marTop w:val="0"/>
          <w:marBottom w:val="0"/>
          <w:divBdr>
            <w:top w:val="none" w:sz="0" w:space="0" w:color="auto"/>
            <w:left w:val="none" w:sz="0" w:space="0" w:color="auto"/>
            <w:bottom w:val="none" w:sz="0" w:space="0" w:color="auto"/>
            <w:right w:val="none" w:sz="0" w:space="0" w:color="auto"/>
          </w:divBdr>
          <w:divsChild>
            <w:div w:id="509300779">
              <w:marLeft w:val="0"/>
              <w:marRight w:val="0"/>
              <w:marTop w:val="0"/>
              <w:marBottom w:val="0"/>
              <w:divBdr>
                <w:top w:val="none" w:sz="0" w:space="0" w:color="auto"/>
                <w:left w:val="none" w:sz="0" w:space="0" w:color="auto"/>
                <w:bottom w:val="none" w:sz="0" w:space="0" w:color="auto"/>
                <w:right w:val="none" w:sz="0" w:space="0" w:color="auto"/>
              </w:divBdr>
              <w:divsChild>
                <w:div w:id="1534032809">
                  <w:marLeft w:val="0"/>
                  <w:marRight w:val="0"/>
                  <w:marTop w:val="0"/>
                  <w:marBottom w:val="0"/>
                  <w:divBdr>
                    <w:top w:val="none" w:sz="0" w:space="0" w:color="auto"/>
                    <w:left w:val="none" w:sz="0" w:space="0" w:color="auto"/>
                    <w:bottom w:val="none" w:sz="0" w:space="0" w:color="auto"/>
                    <w:right w:val="none" w:sz="0" w:space="0" w:color="auto"/>
                  </w:divBdr>
                  <w:divsChild>
                    <w:div w:id="296880571">
                      <w:marLeft w:val="0"/>
                      <w:marRight w:val="0"/>
                      <w:marTop w:val="0"/>
                      <w:marBottom w:val="0"/>
                      <w:divBdr>
                        <w:top w:val="none" w:sz="0" w:space="0" w:color="auto"/>
                        <w:left w:val="none" w:sz="0" w:space="0" w:color="auto"/>
                        <w:bottom w:val="none" w:sz="0" w:space="0" w:color="auto"/>
                        <w:right w:val="none" w:sz="0" w:space="0" w:color="auto"/>
                      </w:divBdr>
                      <w:divsChild>
                        <w:div w:id="1242568529">
                          <w:marLeft w:val="0"/>
                          <w:marRight w:val="0"/>
                          <w:marTop w:val="0"/>
                          <w:marBottom w:val="0"/>
                          <w:divBdr>
                            <w:top w:val="none" w:sz="0" w:space="0" w:color="auto"/>
                            <w:left w:val="none" w:sz="0" w:space="0" w:color="auto"/>
                            <w:bottom w:val="none" w:sz="0" w:space="0" w:color="auto"/>
                            <w:right w:val="none" w:sz="0" w:space="0" w:color="auto"/>
                          </w:divBdr>
                          <w:divsChild>
                            <w:div w:id="3881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5050">
      <w:bodyDiv w:val="1"/>
      <w:marLeft w:val="0"/>
      <w:marRight w:val="0"/>
      <w:marTop w:val="0"/>
      <w:marBottom w:val="0"/>
      <w:divBdr>
        <w:top w:val="none" w:sz="0" w:space="0" w:color="auto"/>
        <w:left w:val="none" w:sz="0" w:space="0" w:color="auto"/>
        <w:bottom w:val="none" w:sz="0" w:space="0" w:color="auto"/>
        <w:right w:val="none" w:sz="0" w:space="0" w:color="auto"/>
      </w:divBdr>
      <w:divsChild>
        <w:div w:id="1453288266">
          <w:marLeft w:val="0"/>
          <w:marRight w:val="0"/>
          <w:marTop w:val="0"/>
          <w:marBottom w:val="0"/>
          <w:divBdr>
            <w:top w:val="none" w:sz="0" w:space="0" w:color="auto"/>
            <w:left w:val="none" w:sz="0" w:space="0" w:color="auto"/>
            <w:bottom w:val="none" w:sz="0" w:space="0" w:color="auto"/>
            <w:right w:val="none" w:sz="0" w:space="0" w:color="auto"/>
          </w:divBdr>
          <w:divsChild>
            <w:div w:id="1537353162">
              <w:marLeft w:val="0"/>
              <w:marRight w:val="0"/>
              <w:marTop w:val="0"/>
              <w:marBottom w:val="0"/>
              <w:divBdr>
                <w:top w:val="none" w:sz="0" w:space="0" w:color="auto"/>
                <w:left w:val="none" w:sz="0" w:space="0" w:color="auto"/>
                <w:bottom w:val="none" w:sz="0" w:space="0" w:color="auto"/>
                <w:right w:val="none" w:sz="0" w:space="0" w:color="auto"/>
              </w:divBdr>
              <w:divsChild>
                <w:div w:id="216429842">
                  <w:marLeft w:val="0"/>
                  <w:marRight w:val="0"/>
                  <w:marTop w:val="0"/>
                  <w:marBottom w:val="0"/>
                  <w:divBdr>
                    <w:top w:val="none" w:sz="0" w:space="0" w:color="auto"/>
                    <w:left w:val="none" w:sz="0" w:space="0" w:color="auto"/>
                    <w:bottom w:val="none" w:sz="0" w:space="0" w:color="auto"/>
                    <w:right w:val="none" w:sz="0" w:space="0" w:color="auto"/>
                  </w:divBdr>
                  <w:divsChild>
                    <w:div w:id="87625886">
                      <w:marLeft w:val="0"/>
                      <w:marRight w:val="0"/>
                      <w:marTop w:val="0"/>
                      <w:marBottom w:val="0"/>
                      <w:divBdr>
                        <w:top w:val="none" w:sz="0" w:space="0" w:color="auto"/>
                        <w:left w:val="none" w:sz="0" w:space="0" w:color="auto"/>
                        <w:bottom w:val="none" w:sz="0" w:space="0" w:color="auto"/>
                        <w:right w:val="none" w:sz="0" w:space="0" w:color="auto"/>
                      </w:divBdr>
                      <w:divsChild>
                        <w:div w:id="1866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99185">
      <w:bodyDiv w:val="1"/>
      <w:marLeft w:val="0"/>
      <w:marRight w:val="0"/>
      <w:marTop w:val="0"/>
      <w:marBottom w:val="0"/>
      <w:divBdr>
        <w:top w:val="none" w:sz="0" w:space="0" w:color="auto"/>
        <w:left w:val="none" w:sz="0" w:space="0" w:color="auto"/>
        <w:bottom w:val="none" w:sz="0" w:space="0" w:color="auto"/>
        <w:right w:val="none" w:sz="0" w:space="0" w:color="auto"/>
      </w:divBdr>
      <w:divsChild>
        <w:div w:id="1695880085">
          <w:marLeft w:val="0"/>
          <w:marRight w:val="0"/>
          <w:marTop w:val="0"/>
          <w:marBottom w:val="0"/>
          <w:divBdr>
            <w:top w:val="none" w:sz="0" w:space="0" w:color="auto"/>
            <w:left w:val="none" w:sz="0" w:space="0" w:color="auto"/>
            <w:bottom w:val="none" w:sz="0" w:space="0" w:color="auto"/>
            <w:right w:val="none" w:sz="0" w:space="0" w:color="auto"/>
          </w:divBdr>
          <w:divsChild>
            <w:div w:id="1323435811">
              <w:marLeft w:val="0"/>
              <w:marRight w:val="0"/>
              <w:marTop w:val="0"/>
              <w:marBottom w:val="0"/>
              <w:divBdr>
                <w:top w:val="none" w:sz="0" w:space="0" w:color="auto"/>
                <w:left w:val="none" w:sz="0" w:space="0" w:color="auto"/>
                <w:bottom w:val="none" w:sz="0" w:space="0" w:color="auto"/>
                <w:right w:val="none" w:sz="0" w:space="0" w:color="auto"/>
              </w:divBdr>
              <w:divsChild>
                <w:div w:id="1340231050">
                  <w:marLeft w:val="0"/>
                  <w:marRight w:val="0"/>
                  <w:marTop w:val="0"/>
                  <w:marBottom w:val="0"/>
                  <w:divBdr>
                    <w:top w:val="none" w:sz="0" w:space="0" w:color="auto"/>
                    <w:left w:val="none" w:sz="0" w:space="0" w:color="auto"/>
                    <w:bottom w:val="none" w:sz="0" w:space="0" w:color="auto"/>
                    <w:right w:val="none" w:sz="0" w:space="0" w:color="auto"/>
                  </w:divBdr>
                  <w:divsChild>
                    <w:div w:id="1359313220">
                      <w:marLeft w:val="0"/>
                      <w:marRight w:val="0"/>
                      <w:marTop w:val="0"/>
                      <w:marBottom w:val="0"/>
                      <w:divBdr>
                        <w:top w:val="none" w:sz="0" w:space="0" w:color="auto"/>
                        <w:left w:val="none" w:sz="0" w:space="0" w:color="auto"/>
                        <w:bottom w:val="none" w:sz="0" w:space="0" w:color="auto"/>
                        <w:right w:val="none" w:sz="0" w:space="0" w:color="auto"/>
                      </w:divBdr>
                      <w:divsChild>
                        <w:div w:id="1896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51833">
      <w:bodyDiv w:val="1"/>
      <w:marLeft w:val="0"/>
      <w:marRight w:val="0"/>
      <w:marTop w:val="0"/>
      <w:marBottom w:val="0"/>
      <w:divBdr>
        <w:top w:val="none" w:sz="0" w:space="0" w:color="auto"/>
        <w:left w:val="none" w:sz="0" w:space="0" w:color="auto"/>
        <w:bottom w:val="none" w:sz="0" w:space="0" w:color="auto"/>
        <w:right w:val="none" w:sz="0" w:space="0" w:color="auto"/>
      </w:divBdr>
      <w:divsChild>
        <w:div w:id="182136980">
          <w:marLeft w:val="0"/>
          <w:marRight w:val="0"/>
          <w:marTop w:val="0"/>
          <w:marBottom w:val="0"/>
          <w:divBdr>
            <w:top w:val="none" w:sz="0" w:space="0" w:color="auto"/>
            <w:left w:val="none" w:sz="0" w:space="0" w:color="auto"/>
            <w:bottom w:val="none" w:sz="0" w:space="0" w:color="auto"/>
            <w:right w:val="none" w:sz="0" w:space="0" w:color="auto"/>
          </w:divBdr>
          <w:divsChild>
            <w:div w:id="227232136">
              <w:marLeft w:val="0"/>
              <w:marRight w:val="0"/>
              <w:marTop w:val="0"/>
              <w:marBottom w:val="0"/>
              <w:divBdr>
                <w:top w:val="none" w:sz="0" w:space="0" w:color="auto"/>
                <w:left w:val="none" w:sz="0" w:space="0" w:color="auto"/>
                <w:bottom w:val="none" w:sz="0" w:space="0" w:color="auto"/>
                <w:right w:val="none" w:sz="0" w:space="0" w:color="auto"/>
              </w:divBdr>
              <w:divsChild>
                <w:div w:id="90207063">
                  <w:marLeft w:val="0"/>
                  <w:marRight w:val="0"/>
                  <w:marTop w:val="0"/>
                  <w:marBottom w:val="0"/>
                  <w:divBdr>
                    <w:top w:val="none" w:sz="0" w:space="0" w:color="auto"/>
                    <w:left w:val="none" w:sz="0" w:space="0" w:color="auto"/>
                    <w:bottom w:val="none" w:sz="0" w:space="0" w:color="auto"/>
                    <w:right w:val="none" w:sz="0" w:space="0" w:color="auto"/>
                  </w:divBdr>
                  <w:divsChild>
                    <w:div w:id="2059893919">
                      <w:marLeft w:val="0"/>
                      <w:marRight w:val="0"/>
                      <w:marTop w:val="0"/>
                      <w:marBottom w:val="0"/>
                      <w:divBdr>
                        <w:top w:val="none" w:sz="0" w:space="0" w:color="auto"/>
                        <w:left w:val="none" w:sz="0" w:space="0" w:color="auto"/>
                        <w:bottom w:val="none" w:sz="0" w:space="0" w:color="auto"/>
                        <w:right w:val="none" w:sz="0" w:space="0" w:color="auto"/>
                      </w:divBdr>
                      <w:divsChild>
                        <w:div w:id="24904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45532">
      <w:bodyDiv w:val="1"/>
      <w:marLeft w:val="0"/>
      <w:marRight w:val="0"/>
      <w:marTop w:val="0"/>
      <w:marBottom w:val="0"/>
      <w:divBdr>
        <w:top w:val="none" w:sz="0" w:space="0" w:color="auto"/>
        <w:left w:val="none" w:sz="0" w:space="0" w:color="auto"/>
        <w:bottom w:val="none" w:sz="0" w:space="0" w:color="auto"/>
        <w:right w:val="none" w:sz="0" w:space="0" w:color="auto"/>
      </w:divBdr>
      <w:divsChild>
        <w:div w:id="893934263">
          <w:marLeft w:val="0"/>
          <w:marRight w:val="0"/>
          <w:marTop w:val="0"/>
          <w:marBottom w:val="0"/>
          <w:divBdr>
            <w:top w:val="none" w:sz="0" w:space="0" w:color="auto"/>
            <w:left w:val="none" w:sz="0" w:space="0" w:color="auto"/>
            <w:bottom w:val="none" w:sz="0" w:space="0" w:color="auto"/>
            <w:right w:val="none" w:sz="0" w:space="0" w:color="auto"/>
          </w:divBdr>
          <w:divsChild>
            <w:div w:id="1703551834">
              <w:marLeft w:val="0"/>
              <w:marRight w:val="0"/>
              <w:marTop w:val="0"/>
              <w:marBottom w:val="0"/>
              <w:divBdr>
                <w:top w:val="none" w:sz="0" w:space="0" w:color="auto"/>
                <w:left w:val="none" w:sz="0" w:space="0" w:color="auto"/>
                <w:bottom w:val="none" w:sz="0" w:space="0" w:color="auto"/>
                <w:right w:val="none" w:sz="0" w:space="0" w:color="auto"/>
              </w:divBdr>
              <w:divsChild>
                <w:div w:id="1266765675">
                  <w:marLeft w:val="0"/>
                  <w:marRight w:val="0"/>
                  <w:marTop w:val="0"/>
                  <w:marBottom w:val="0"/>
                  <w:divBdr>
                    <w:top w:val="none" w:sz="0" w:space="0" w:color="auto"/>
                    <w:left w:val="none" w:sz="0" w:space="0" w:color="auto"/>
                    <w:bottom w:val="none" w:sz="0" w:space="0" w:color="auto"/>
                    <w:right w:val="none" w:sz="0" w:space="0" w:color="auto"/>
                  </w:divBdr>
                  <w:divsChild>
                    <w:div w:id="95443953">
                      <w:marLeft w:val="0"/>
                      <w:marRight w:val="0"/>
                      <w:marTop w:val="0"/>
                      <w:marBottom w:val="0"/>
                      <w:divBdr>
                        <w:top w:val="none" w:sz="0" w:space="0" w:color="auto"/>
                        <w:left w:val="none" w:sz="0" w:space="0" w:color="auto"/>
                        <w:bottom w:val="none" w:sz="0" w:space="0" w:color="auto"/>
                        <w:right w:val="none" w:sz="0" w:space="0" w:color="auto"/>
                      </w:divBdr>
                      <w:divsChild>
                        <w:div w:id="9130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69291">
      <w:bodyDiv w:val="1"/>
      <w:marLeft w:val="0"/>
      <w:marRight w:val="0"/>
      <w:marTop w:val="0"/>
      <w:marBottom w:val="0"/>
      <w:divBdr>
        <w:top w:val="none" w:sz="0" w:space="0" w:color="auto"/>
        <w:left w:val="none" w:sz="0" w:space="0" w:color="auto"/>
        <w:bottom w:val="none" w:sz="0" w:space="0" w:color="auto"/>
        <w:right w:val="none" w:sz="0" w:space="0" w:color="auto"/>
      </w:divBdr>
      <w:divsChild>
        <w:div w:id="2143301940">
          <w:marLeft w:val="0"/>
          <w:marRight w:val="0"/>
          <w:marTop w:val="0"/>
          <w:marBottom w:val="0"/>
          <w:divBdr>
            <w:top w:val="none" w:sz="0" w:space="0" w:color="auto"/>
            <w:left w:val="none" w:sz="0" w:space="0" w:color="auto"/>
            <w:bottom w:val="none" w:sz="0" w:space="0" w:color="auto"/>
            <w:right w:val="none" w:sz="0" w:space="0" w:color="auto"/>
          </w:divBdr>
          <w:divsChild>
            <w:div w:id="1961497638">
              <w:marLeft w:val="0"/>
              <w:marRight w:val="0"/>
              <w:marTop w:val="0"/>
              <w:marBottom w:val="0"/>
              <w:divBdr>
                <w:top w:val="none" w:sz="0" w:space="0" w:color="auto"/>
                <w:left w:val="none" w:sz="0" w:space="0" w:color="auto"/>
                <w:bottom w:val="none" w:sz="0" w:space="0" w:color="auto"/>
                <w:right w:val="none" w:sz="0" w:space="0" w:color="auto"/>
              </w:divBdr>
              <w:divsChild>
                <w:div w:id="1347829480">
                  <w:marLeft w:val="0"/>
                  <w:marRight w:val="0"/>
                  <w:marTop w:val="0"/>
                  <w:marBottom w:val="0"/>
                  <w:divBdr>
                    <w:top w:val="none" w:sz="0" w:space="0" w:color="auto"/>
                    <w:left w:val="none" w:sz="0" w:space="0" w:color="auto"/>
                    <w:bottom w:val="none" w:sz="0" w:space="0" w:color="auto"/>
                    <w:right w:val="none" w:sz="0" w:space="0" w:color="auto"/>
                  </w:divBdr>
                  <w:divsChild>
                    <w:div w:id="68963352">
                      <w:marLeft w:val="0"/>
                      <w:marRight w:val="0"/>
                      <w:marTop w:val="0"/>
                      <w:marBottom w:val="0"/>
                      <w:divBdr>
                        <w:top w:val="none" w:sz="0" w:space="0" w:color="auto"/>
                        <w:left w:val="none" w:sz="0" w:space="0" w:color="auto"/>
                        <w:bottom w:val="none" w:sz="0" w:space="0" w:color="auto"/>
                        <w:right w:val="none" w:sz="0" w:space="0" w:color="auto"/>
                      </w:divBdr>
                      <w:divsChild>
                        <w:div w:id="3624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3626">
      <w:bodyDiv w:val="1"/>
      <w:marLeft w:val="0"/>
      <w:marRight w:val="0"/>
      <w:marTop w:val="0"/>
      <w:marBottom w:val="0"/>
      <w:divBdr>
        <w:top w:val="none" w:sz="0" w:space="0" w:color="auto"/>
        <w:left w:val="none" w:sz="0" w:space="0" w:color="auto"/>
        <w:bottom w:val="none" w:sz="0" w:space="0" w:color="auto"/>
        <w:right w:val="none" w:sz="0" w:space="0" w:color="auto"/>
      </w:divBdr>
      <w:divsChild>
        <w:div w:id="889271982">
          <w:marLeft w:val="0"/>
          <w:marRight w:val="0"/>
          <w:marTop w:val="0"/>
          <w:marBottom w:val="0"/>
          <w:divBdr>
            <w:top w:val="none" w:sz="0" w:space="0" w:color="auto"/>
            <w:left w:val="none" w:sz="0" w:space="0" w:color="auto"/>
            <w:bottom w:val="none" w:sz="0" w:space="0" w:color="auto"/>
            <w:right w:val="none" w:sz="0" w:space="0" w:color="auto"/>
          </w:divBdr>
          <w:divsChild>
            <w:div w:id="422382167">
              <w:marLeft w:val="0"/>
              <w:marRight w:val="0"/>
              <w:marTop w:val="0"/>
              <w:marBottom w:val="0"/>
              <w:divBdr>
                <w:top w:val="none" w:sz="0" w:space="0" w:color="auto"/>
                <w:left w:val="none" w:sz="0" w:space="0" w:color="auto"/>
                <w:bottom w:val="none" w:sz="0" w:space="0" w:color="auto"/>
                <w:right w:val="none" w:sz="0" w:space="0" w:color="auto"/>
              </w:divBdr>
              <w:divsChild>
                <w:div w:id="1559049500">
                  <w:marLeft w:val="0"/>
                  <w:marRight w:val="0"/>
                  <w:marTop w:val="0"/>
                  <w:marBottom w:val="0"/>
                  <w:divBdr>
                    <w:top w:val="none" w:sz="0" w:space="0" w:color="auto"/>
                    <w:left w:val="none" w:sz="0" w:space="0" w:color="auto"/>
                    <w:bottom w:val="none" w:sz="0" w:space="0" w:color="auto"/>
                    <w:right w:val="none" w:sz="0" w:space="0" w:color="auto"/>
                  </w:divBdr>
                  <w:divsChild>
                    <w:div w:id="873226202">
                      <w:marLeft w:val="0"/>
                      <w:marRight w:val="0"/>
                      <w:marTop w:val="0"/>
                      <w:marBottom w:val="0"/>
                      <w:divBdr>
                        <w:top w:val="none" w:sz="0" w:space="0" w:color="auto"/>
                        <w:left w:val="none" w:sz="0" w:space="0" w:color="auto"/>
                        <w:bottom w:val="none" w:sz="0" w:space="0" w:color="auto"/>
                        <w:right w:val="none" w:sz="0" w:space="0" w:color="auto"/>
                      </w:divBdr>
                      <w:divsChild>
                        <w:div w:id="1297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152849">
      <w:bodyDiv w:val="1"/>
      <w:marLeft w:val="0"/>
      <w:marRight w:val="0"/>
      <w:marTop w:val="0"/>
      <w:marBottom w:val="0"/>
      <w:divBdr>
        <w:top w:val="none" w:sz="0" w:space="0" w:color="auto"/>
        <w:left w:val="none" w:sz="0" w:space="0" w:color="auto"/>
        <w:bottom w:val="none" w:sz="0" w:space="0" w:color="auto"/>
        <w:right w:val="none" w:sz="0" w:space="0" w:color="auto"/>
      </w:divBdr>
      <w:divsChild>
        <w:div w:id="435905354">
          <w:marLeft w:val="0"/>
          <w:marRight w:val="0"/>
          <w:marTop w:val="0"/>
          <w:marBottom w:val="0"/>
          <w:divBdr>
            <w:top w:val="none" w:sz="0" w:space="0" w:color="auto"/>
            <w:left w:val="none" w:sz="0" w:space="0" w:color="auto"/>
            <w:bottom w:val="none" w:sz="0" w:space="0" w:color="auto"/>
            <w:right w:val="none" w:sz="0" w:space="0" w:color="auto"/>
          </w:divBdr>
          <w:divsChild>
            <w:div w:id="913203888">
              <w:marLeft w:val="0"/>
              <w:marRight w:val="0"/>
              <w:marTop w:val="0"/>
              <w:marBottom w:val="0"/>
              <w:divBdr>
                <w:top w:val="none" w:sz="0" w:space="0" w:color="auto"/>
                <w:left w:val="none" w:sz="0" w:space="0" w:color="auto"/>
                <w:bottom w:val="none" w:sz="0" w:space="0" w:color="auto"/>
                <w:right w:val="none" w:sz="0" w:space="0" w:color="auto"/>
              </w:divBdr>
              <w:divsChild>
                <w:div w:id="1317806357">
                  <w:marLeft w:val="0"/>
                  <w:marRight w:val="0"/>
                  <w:marTop w:val="0"/>
                  <w:marBottom w:val="0"/>
                  <w:divBdr>
                    <w:top w:val="none" w:sz="0" w:space="0" w:color="auto"/>
                    <w:left w:val="none" w:sz="0" w:space="0" w:color="auto"/>
                    <w:bottom w:val="none" w:sz="0" w:space="0" w:color="auto"/>
                    <w:right w:val="none" w:sz="0" w:space="0" w:color="auto"/>
                  </w:divBdr>
                  <w:divsChild>
                    <w:div w:id="1571572857">
                      <w:marLeft w:val="0"/>
                      <w:marRight w:val="0"/>
                      <w:marTop w:val="0"/>
                      <w:marBottom w:val="0"/>
                      <w:divBdr>
                        <w:top w:val="none" w:sz="0" w:space="0" w:color="auto"/>
                        <w:left w:val="none" w:sz="0" w:space="0" w:color="auto"/>
                        <w:bottom w:val="none" w:sz="0" w:space="0" w:color="auto"/>
                        <w:right w:val="none" w:sz="0" w:space="0" w:color="auto"/>
                      </w:divBdr>
                      <w:divsChild>
                        <w:div w:id="4993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779">
      <w:bodyDiv w:val="1"/>
      <w:marLeft w:val="0"/>
      <w:marRight w:val="0"/>
      <w:marTop w:val="0"/>
      <w:marBottom w:val="0"/>
      <w:divBdr>
        <w:top w:val="none" w:sz="0" w:space="0" w:color="auto"/>
        <w:left w:val="none" w:sz="0" w:space="0" w:color="auto"/>
        <w:bottom w:val="none" w:sz="0" w:space="0" w:color="auto"/>
        <w:right w:val="none" w:sz="0" w:space="0" w:color="auto"/>
      </w:divBdr>
    </w:div>
    <w:div w:id="1453203731">
      <w:bodyDiv w:val="1"/>
      <w:marLeft w:val="0"/>
      <w:marRight w:val="0"/>
      <w:marTop w:val="0"/>
      <w:marBottom w:val="0"/>
      <w:divBdr>
        <w:top w:val="none" w:sz="0" w:space="0" w:color="auto"/>
        <w:left w:val="none" w:sz="0" w:space="0" w:color="auto"/>
        <w:bottom w:val="none" w:sz="0" w:space="0" w:color="auto"/>
        <w:right w:val="none" w:sz="0" w:space="0" w:color="auto"/>
      </w:divBdr>
      <w:divsChild>
        <w:div w:id="1338652541">
          <w:marLeft w:val="0"/>
          <w:marRight w:val="0"/>
          <w:marTop w:val="0"/>
          <w:marBottom w:val="0"/>
          <w:divBdr>
            <w:top w:val="none" w:sz="0" w:space="0" w:color="auto"/>
            <w:left w:val="none" w:sz="0" w:space="0" w:color="auto"/>
            <w:bottom w:val="none" w:sz="0" w:space="0" w:color="auto"/>
            <w:right w:val="none" w:sz="0" w:space="0" w:color="auto"/>
          </w:divBdr>
          <w:divsChild>
            <w:div w:id="749423353">
              <w:marLeft w:val="0"/>
              <w:marRight w:val="0"/>
              <w:marTop w:val="0"/>
              <w:marBottom w:val="0"/>
              <w:divBdr>
                <w:top w:val="none" w:sz="0" w:space="0" w:color="auto"/>
                <w:left w:val="none" w:sz="0" w:space="0" w:color="auto"/>
                <w:bottom w:val="none" w:sz="0" w:space="0" w:color="auto"/>
                <w:right w:val="none" w:sz="0" w:space="0" w:color="auto"/>
              </w:divBdr>
              <w:divsChild>
                <w:div w:id="463475050">
                  <w:marLeft w:val="0"/>
                  <w:marRight w:val="0"/>
                  <w:marTop w:val="0"/>
                  <w:marBottom w:val="0"/>
                  <w:divBdr>
                    <w:top w:val="none" w:sz="0" w:space="0" w:color="auto"/>
                    <w:left w:val="none" w:sz="0" w:space="0" w:color="auto"/>
                    <w:bottom w:val="none" w:sz="0" w:space="0" w:color="auto"/>
                    <w:right w:val="none" w:sz="0" w:space="0" w:color="auto"/>
                  </w:divBdr>
                  <w:divsChild>
                    <w:div w:id="802769359">
                      <w:marLeft w:val="0"/>
                      <w:marRight w:val="0"/>
                      <w:marTop w:val="0"/>
                      <w:marBottom w:val="0"/>
                      <w:divBdr>
                        <w:top w:val="none" w:sz="0" w:space="0" w:color="auto"/>
                        <w:left w:val="none" w:sz="0" w:space="0" w:color="auto"/>
                        <w:bottom w:val="none" w:sz="0" w:space="0" w:color="auto"/>
                        <w:right w:val="none" w:sz="0" w:space="0" w:color="auto"/>
                      </w:divBdr>
                      <w:divsChild>
                        <w:div w:id="111874344">
                          <w:marLeft w:val="0"/>
                          <w:marRight w:val="0"/>
                          <w:marTop w:val="0"/>
                          <w:marBottom w:val="0"/>
                          <w:divBdr>
                            <w:top w:val="none" w:sz="0" w:space="0" w:color="auto"/>
                            <w:left w:val="none" w:sz="0" w:space="0" w:color="auto"/>
                            <w:bottom w:val="none" w:sz="0" w:space="0" w:color="auto"/>
                            <w:right w:val="none" w:sz="0" w:space="0" w:color="auto"/>
                          </w:divBdr>
                          <w:divsChild>
                            <w:div w:id="6235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157775">
      <w:bodyDiv w:val="1"/>
      <w:marLeft w:val="0"/>
      <w:marRight w:val="0"/>
      <w:marTop w:val="0"/>
      <w:marBottom w:val="0"/>
      <w:divBdr>
        <w:top w:val="none" w:sz="0" w:space="0" w:color="auto"/>
        <w:left w:val="none" w:sz="0" w:space="0" w:color="auto"/>
        <w:bottom w:val="none" w:sz="0" w:space="0" w:color="auto"/>
        <w:right w:val="none" w:sz="0" w:space="0" w:color="auto"/>
      </w:divBdr>
      <w:divsChild>
        <w:div w:id="1819959395">
          <w:marLeft w:val="0"/>
          <w:marRight w:val="0"/>
          <w:marTop w:val="0"/>
          <w:marBottom w:val="0"/>
          <w:divBdr>
            <w:top w:val="none" w:sz="0" w:space="0" w:color="auto"/>
            <w:left w:val="none" w:sz="0" w:space="0" w:color="auto"/>
            <w:bottom w:val="none" w:sz="0" w:space="0" w:color="auto"/>
            <w:right w:val="none" w:sz="0" w:space="0" w:color="auto"/>
          </w:divBdr>
          <w:divsChild>
            <w:div w:id="1875657959">
              <w:marLeft w:val="0"/>
              <w:marRight w:val="0"/>
              <w:marTop w:val="0"/>
              <w:marBottom w:val="0"/>
              <w:divBdr>
                <w:top w:val="none" w:sz="0" w:space="0" w:color="auto"/>
                <w:left w:val="none" w:sz="0" w:space="0" w:color="auto"/>
                <w:bottom w:val="none" w:sz="0" w:space="0" w:color="auto"/>
                <w:right w:val="none" w:sz="0" w:space="0" w:color="auto"/>
              </w:divBdr>
              <w:divsChild>
                <w:div w:id="1946503159">
                  <w:marLeft w:val="0"/>
                  <w:marRight w:val="0"/>
                  <w:marTop w:val="0"/>
                  <w:marBottom w:val="0"/>
                  <w:divBdr>
                    <w:top w:val="none" w:sz="0" w:space="0" w:color="auto"/>
                    <w:left w:val="none" w:sz="0" w:space="0" w:color="auto"/>
                    <w:bottom w:val="none" w:sz="0" w:space="0" w:color="auto"/>
                    <w:right w:val="none" w:sz="0" w:space="0" w:color="auto"/>
                  </w:divBdr>
                  <w:divsChild>
                    <w:div w:id="859011921">
                      <w:marLeft w:val="0"/>
                      <w:marRight w:val="0"/>
                      <w:marTop w:val="0"/>
                      <w:marBottom w:val="0"/>
                      <w:divBdr>
                        <w:top w:val="none" w:sz="0" w:space="0" w:color="auto"/>
                        <w:left w:val="none" w:sz="0" w:space="0" w:color="auto"/>
                        <w:bottom w:val="none" w:sz="0" w:space="0" w:color="auto"/>
                        <w:right w:val="none" w:sz="0" w:space="0" w:color="auto"/>
                      </w:divBdr>
                      <w:divsChild>
                        <w:div w:id="15359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7777">
      <w:bodyDiv w:val="1"/>
      <w:marLeft w:val="0"/>
      <w:marRight w:val="0"/>
      <w:marTop w:val="0"/>
      <w:marBottom w:val="0"/>
      <w:divBdr>
        <w:top w:val="none" w:sz="0" w:space="0" w:color="auto"/>
        <w:left w:val="none" w:sz="0" w:space="0" w:color="auto"/>
        <w:bottom w:val="none" w:sz="0" w:space="0" w:color="auto"/>
        <w:right w:val="none" w:sz="0" w:space="0" w:color="auto"/>
      </w:divBdr>
      <w:divsChild>
        <w:div w:id="227691134">
          <w:marLeft w:val="0"/>
          <w:marRight w:val="0"/>
          <w:marTop w:val="0"/>
          <w:marBottom w:val="0"/>
          <w:divBdr>
            <w:top w:val="none" w:sz="0" w:space="0" w:color="auto"/>
            <w:left w:val="none" w:sz="0" w:space="0" w:color="auto"/>
            <w:bottom w:val="none" w:sz="0" w:space="0" w:color="auto"/>
            <w:right w:val="none" w:sz="0" w:space="0" w:color="auto"/>
          </w:divBdr>
          <w:divsChild>
            <w:div w:id="1268736287">
              <w:marLeft w:val="0"/>
              <w:marRight w:val="0"/>
              <w:marTop w:val="0"/>
              <w:marBottom w:val="0"/>
              <w:divBdr>
                <w:top w:val="none" w:sz="0" w:space="0" w:color="auto"/>
                <w:left w:val="none" w:sz="0" w:space="0" w:color="auto"/>
                <w:bottom w:val="none" w:sz="0" w:space="0" w:color="auto"/>
                <w:right w:val="none" w:sz="0" w:space="0" w:color="auto"/>
              </w:divBdr>
              <w:divsChild>
                <w:div w:id="1861118365">
                  <w:marLeft w:val="0"/>
                  <w:marRight w:val="0"/>
                  <w:marTop w:val="0"/>
                  <w:marBottom w:val="0"/>
                  <w:divBdr>
                    <w:top w:val="none" w:sz="0" w:space="0" w:color="auto"/>
                    <w:left w:val="none" w:sz="0" w:space="0" w:color="auto"/>
                    <w:bottom w:val="none" w:sz="0" w:space="0" w:color="auto"/>
                    <w:right w:val="none" w:sz="0" w:space="0" w:color="auto"/>
                  </w:divBdr>
                  <w:divsChild>
                    <w:div w:id="1088771267">
                      <w:marLeft w:val="0"/>
                      <w:marRight w:val="0"/>
                      <w:marTop w:val="0"/>
                      <w:marBottom w:val="0"/>
                      <w:divBdr>
                        <w:top w:val="none" w:sz="0" w:space="0" w:color="auto"/>
                        <w:left w:val="none" w:sz="0" w:space="0" w:color="auto"/>
                        <w:bottom w:val="none" w:sz="0" w:space="0" w:color="auto"/>
                        <w:right w:val="none" w:sz="0" w:space="0" w:color="auto"/>
                      </w:divBdr>
                      <w:divsChild>
                        <w:div w:id="567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93019">
      <w:bodyDiv w:val="1"/>
      <w:marLeft w:val="0"/>
      <w:marRight w:val="0"/>
      <w:marTop w:val="0"/>
      <w:marBottom w:val="0"/>
      <w:divBdr>
        <w:top w:val="none" w:sz="0" w:space="0" w:color="auto"/>
        <w:left w:val="none" w:sz="0" w:space="0" w:color="auto"/>
        <w:bottom w:val="none" w:sz="0" w:space="0" w:color="auto"/>
        <w:right w:val="none" w:sz="0" w:space="0" w:color="auto"/>
      </w:divBdr>
      <w:divsChild>
        <w:div w:id="1323198864">
          <w:marLeft w:val="0"/>
          <w:marRight w:val="0"/>
          <w:marTop w:val="0"/>
          <w:marBottom w:val="0"/>
          <w:divBdr>
            <w:top w:val="none" w:sz="0" w:space="0" w:color="auto"/>
            <w:left w:val="none" w:sz="0" w:space="0" w:color="auto"/>
            <w:bottom w:val="none" w:sz="0" w:space="0" w:color="auto"/>
            <w:right w:val="none" w:sz="0" w:space="0" w:color="auto"/>
          </w:divBdr>
          <w:divsChild>
            <w:div w:id="1305088510">
              <w:marLeft w:val="0"/>
              <w:marRight w:val="0"/>
              <w:marTop w:val="0"/>
              <w:marBottom w:val="0"/>
              <w:divBdr>
                <w:top w:val="none" w:sz="0" w:space="0" w:color="auto"/>
                <w:left w:val="none" w:sz="0" w:space="0" w:color="auto"/>
                <w:bottom w:val="none" w:sz="0" w:space="0" w:color="auto"/>
                <w:right w:val="none" w:sz="0" w:space="0" w:color="auto"/>
              </w:divBdr>
              <w:divsChild>
                <w:div w:id="921834579">
                  <w:marLeft w:val="0"/>
                  <w:marRight w:val="0"/>
                  <w:marTop w:val="0"/>
                  <w:marBottom w:val="0"/>
                  <w:divBdr>
                    <w:top w:val="none" w:sz="0" w:space="0" w:color="auto"/>
                    <w:left w:val="none" w:sz="0" w:space="0" w:color="auto"/>
                    <w:bottom w:val="none" w:sz="0" w:space="0" w:color="auto"/>
                    <w:right w:val="none" w:sz="0" w:space="0" w:color="auto"/>
                  </w:divBdr>
                  <w:divsChild>
                    <w:div w:id="1112747830">
                      <w:marLeft w:val="0"/>
                      <w:marRight w:val="0"/>
                      <w:marTop w:val="0"/>
                      <w:marBottom w:val="0"/>
                      <w:divBdr>
                        <w:top w:val="none" w:sz="0" w:space="0" w:color="auto"/>
                        <w:left w:val="none" w:sz="0" w:space="0" w:color="auto"/>
                        <w:bottom w:val="none" w:sz="0" w:space="0" w:color="auto"/>
                        <w:right w:val="none" w:sz="0" w:space="0" w:color="auto"/>
                      </w:divBdr>
                      <w:divsChild>
                        <w:div w:id="1630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2446">
      <w:bodyDiv w:val="1"/>
      <w:marLeft w:val="0"/>
      <w:marRight w:val="0"/>
      <w:marTop w:val="0"/>
      <w:marBottom w:val="0"/>
      <w:divBdr>
        <w:top w:val="none" w:sz="0" w:space="0" w:color="auto"/>
        <w:left w:val="none" w:sz="0" w:space="0" w:color="auto"/>
        <w:bottom w:val="none" w:sz="0" w:space="0" w:color="auto"/>
        <w:right w:val="none" w:sz="0" w:space="0" w:color="auto"/>
      </w:divBdr>
      <w:divsChild>
        <w:div w:id="1815491917">
          <w:marLeft w:val="0"/>
          <w:marRight w:val="0"/>
          <w:marTop w:val="0"/>
          <w:marBottom w:val="0"/>
          <w:divBdr>
            <w:top w:val="none" w:sz="0" w:space="0" w:color="auto"/>
            <w:left w:val="none" w:sz="0" w:space="0" w:color="auto"/>
            <w:bottom w:val="none" w:sz="0" w:space="0" w:color="auto"/>
            <w:right w:val="none" w:sz="0" w:space="0" w:color="auto"/>
          </w:divBdr>
          <w:divsChild>
            <w:div w:id="1388531013">
              <w:marLeft w:val="0"/>
              <w:marRight w:val="0"/>
              <w:marTop w:val="0"/>
              <w:marBottom w:val="0"/>
              <w:divBdr>
                <w:top w:val="none" w:sz="0" w:space="0" w:color="auto"/>
                <w:left w:val="none" w:sz="0" w:space="0" w:color="auto"/>
                <w:bottom w:val="none" w:sz="0" w:space="0" w:color="auto"/>
                <w:right w:val="none" w:sz="0" w:space="0" w:color="auto"/>
              </w:divBdr>
              <w:divsChild>
                <w:div w:id="1714109146">
                  <w:marLeft w:val="0"/>
                  <w:marRight w:val="0"/>
                  <w:marTop w:val="0"/>
                  <w:marBottom w:val="0"/>
                  <w:divBdr>
                    <w:top w:val="none" w:sz="0" w:space="0" w:color="auto"/>
                    <w:left w:val="none" w:sz="0" w:space="0" w:color="auto"/>
                    <w:bottom w:val="none" w:sz="0" w:space="0" w:color="auto"/>
                    <w:right w:val="none" w:sz="0" w:space="0" w:color="auto"/>
                  </w:divBdr>
                  <w:divsChild>
                    <w:div w:id="2008898062">
                      <w:marLeft w:val="0"/>
                      <w:marRight w:val="0"/>
                      <w:marTop w:val="0"/>
                      <w:marBottom w:val="0"/>
                      <w:divBdr>
                        <w:top w:val="none" w:sz="0" w:space="0" w:color="auto"/>
                        <w:left w:val="none" w:sz="0" w:space="0" w:color="auto"/>
                        <w:bottom w:val="none" w:sz="0" w:space="0" w:color="auto"/>
                        <w:right w:val="none" w:sz="0" w:space="0" w:color="auto"/>
                      </w:divBdr>
                      <w:divsChild>
                        <w:div w:id="10011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54959">
      <w:bodyDiv w:val="1"/>
      <w:marLeft w:val="0"/>
      <w:marRight w:val="0"/>
      <w:marTop w:val="0"/>
      <w:marBottom w:val="0"/>
      <w:divBdr>
        <w:top w:val="none" w:sz="0" w:space="0" w:color="auto"/>
        <w:left w:val="none" w:sz="0" w:space="0" w:color="auto"/>
        <w:bottom w:val="none" w:sz="0" w:space="0" w:color="auto"/>
        <w:right w:val="none" w:sz="0" w:space="0" w:color="auto"/>
      </w:divBdr>
      <w:divsChild>
        <w:div w:id="478151900">
          <w:marLeft w:val="0"/>
          <w:marRight w:val="0"/>
          <w:marTop w:val="0"/>
          <w:marBottom w:val="0"/>
          <w:divBdr>
            <w:top w:val="none" w:sz="0" w:space="0" w:color="auto"/>
            <w:left w:val="none" w:sz="0" w:space="0" w:color="auto"/>
            <w:bottom w:val="none" w:sz="0" w:space="0" w:color="auto"/>
            <w:right w:val="none" w:sz="0" w:space="0" w:color="auto"/>
          </w:divBdr>
          <w:divsChild>
            <w:div w:id="1051805725">
              <w:marLeft w:val="0"/>
              <w:marRight w:val="0"/>
              <w:marTop w:val="0"/>
              <w:marBottom w:val="0"/>
              <w:divBdr>
                <w:top w:val="none" w:sz="0" w:space="0" w:color="auto"/>
                <w:left w:val="none" w:sz="0" w:space="0" w:color="auto"/>
                <w:bottom w:val="none" w:sz="0" w:space="0" w:color="auto"/>
                <w:right w:val="none" w:sz="0" w:space="0" w:color="auto"/>
              </w:divBdr>
              <w:divsChild>
                <w:div w:id="1080568176">
                  <w:marLeft w:val="0"/>
                  <w:marRight w:val="0"/>
                  <w:marTop w:val="0"/>
                  <w:marBottom w:val="0"/>
                  <w:divBdr>
                    <w:top w:val="none" w:sz="0" w:space="0" w:color="auto"/>
                    <w:left w:val="none" w:sz="0" w:space="0" w:color="auto"/>
                    <w:bottom w:val="none" w:sz="0" w:space="0" w:color="auto"/>
                    <w:right w:val="none" w:sz="0" w:space="0" w:color="auto"/>
                  </w:divBdr>
                  <w:divsChild>
                    <w:div w:id="623118185">
                      <w:marLeft w:val="0"/>
                      <w:marRight w:val="0"/>
                      <w:marTop w:val="0"/>
                      <w:marBottom w:val="0"/>
                      <w:divBdr>
                        <w:top w:val="none" w:sz="0" w:space="0" w:color="auto"/>
                        <w:left w:val="none" w:sz="0" w:space="0" w:color="auto"/>
                        <w:bottom w:val="none" w:sz="0" w:space="0" w:color="auto"/>
                        <w:right w:val="none" w:sz="0" w:space="0" w:color="auto"/>
                      </w:divBdr>
                      <w:divsChild>
                        <w:div w:id="888537226">
                          <w:marLeft w:val="0"/>
                          <w:marRight w:val="0"/>
                          <w:marTop w:val="0"/>
                          <w:marBottom w:val="0"/>
                          <w:divBdr>
                            <w:top w:val="none" w:sz="0" w:space="0" w:color="auto"/>
                            <w:left w:val="none" w:sz="0" w:space="0" w:color="auto"/>
                            <w:bottom w:val="none" w:sz="0" w:space="0" w:color="auto"/>
                            <w:right w:val="none" w:sz="0" w:space="0" w:color="auto"/>
                          </w:divBdr>
                          <w:divsChild>
                            <w:div w:id="18529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21753">
      <w:bodyDiv w:val="1"/>
      <w:marLeft w:val="0"/>
      <w:marRight w:val="0"/>
      <w:marTop w:val="0"/>
      <w:marBottom w:val="0"/>
      <w:divBdr>
        <w:top w:val="none" w:sz="0" w:space="0" w:color="auto"/>
        <w:left w:val="none" w:sz="0" w:space="0" w:color="auto"/>
        <w:bottom w:val="none" w:sz="0" w:space="0" w:color="auto"/>
        <w:right w:val="none" w:sz="0" w:space="0" w:color="auto"/>
      </w:divBdr>
      <w:divsChild>
        <w:div w:id="2073428238">
          <w:marLeft w:val="0"/>
          <w:marRight w:val="0"/>
          <w:marTop w:val="0"/>
          <w:marBottom w:val="0"/>
          <w:divBdr>
            <w:top w:val="none" w:sz="0" w:space="0" w:color="auto"/>
            <w:left w:val="none" w:sz="0" w:space="0" w:color="auto"/>
            <w:bottom w:val="none" w:sz="0" w:space="0" w:color="auto"/>
            <w:right w:val="none" w:sz="0" w:space="0" w:color="auto"/>
          </w:divBdr>
          <w:divsChild>
            <w:div w:id="1086729929">
              <w:marLeft w:val="0"/>
              <w:marRight w:val="0"/>
              <w:marTop w:val="0"/>
              <w:marBottom w:val="0"/>
              <w:divBdr>
                <w:top w:val="none" w:sz="0" w:space="0" w:color="auto"/>
                <w:left w:val="none" w:sz="0" w:space="0" w:color="auto"/>
                <w:bottom w:val="none" w:sz="0" w:space="0" w:color="auto"/>
                <w:right w:val="none" w:sz="0" w:space="0" w:color="auto"/>
              </w:divBdr>
              <w:divsChild>
                <w:div w:id="1289824894">
                  <w:marLeft w:val="0"/>
                  <w:marRight w:val="0"/>
                  <w:marTop w:val="0"/>
                  <w:marBottom w:val="0"/>
                  <w:divBdr>
                    <w:top w:val="none" w:sz="0" w:space="0" w:color="auto"/>
                    <w:left w:val="none" w:sz="0" w:space="0" w:color="auto"/>
                    <w:bottom w:val="none" w:sz="0" w:space="0" w:color="auto"/>
                    <w:right w:val="none" w:sz="0" w:space="0" w:color="auto"/>
                  </w:divBdr>
                  <w:divsChild>
                    <w:div w:id="37440416">
                      <w:marLeft w:val="0"/>
                      <w:marRight w:val="0"/>
                      <w:marTop w:val="0"/>
                      <w:marBottom w:val="0"/>
                      <w:divBdr>
                        <w:top w:val="none" w:sz="0" w:space="0" w:color="auto"/>
                        <w:left w:val="none" w:sz="0" w:space="0" w:color="auto"/>
                        <w:bottom w:val="none" w:sz="0" w:space="0" w:color="auto"/>
                        <w:right w:val="none" w:sz="0" w:space="0" w:color="auto"/>
                      </w:divBdr>
                      <w:divsChild>
                        <w:div w:id="6302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868044">
      <w:bodyDiv w:val="1"/>
      <w:marLeft w:val="0"/>
      <w:marRight w:val="0"/>
      <w:marTop w:val="0"/>
      <w:marBottom w:val="0"/>
      <w:divBdr>
        <w:top w:val="none" w:sz="0" w:space="0" w:color="auto"/>
        <w:left w:val="none" w:sz="0" w:space="0" w:color="auto"/>
        <w:bottom w:val="none" w:sz="0" w:space="0" w:color="auto"/>
        <w:right w:val="none" w:sz="0" w:space="0" w:color="auto"/>
      </w:divBdr>
      <w:divsChild>
        <w:div w:id="2048017506">
          <w:marLeft w:val="0"/>
          <w:marRight w:val="0"/>
          <w:marTop w:val="0"/>
          <w:marBottom w:val="0"/>
          <w:divBdr>
            <w:top w:val="none" w:sz="0" w:space="0" w:color="auto"/>
            <w:left w:val="none" w:sz="0" w:space="0" w:color="auto"/>
            <w:bottom w:val="none" w:sz="0" w:space="0" w:color="auto"/>
            <w:right w:val="none" w:sz="0" w:space="0" w:color="auto"/>
          </w:divBdr>
          <w:divsChild>
            <w:div w:id="1418668662">
              <w:marLeft w:val="0"/>
              <w:marRight w:val="0"/>
              <w:marTop w:val="0"/>
              <w:marBottom w:val="0"/>
              <w:divBdr>
                <w:top w:val="none" w:sz="0" w:space="0" w:color="auto"/>
                <w:left w:val="none" w:sz="0" w:space="0" w:color="auto"/>
                <w:bottom w:val="none" w:sz="0" w:space="0" w:color="auto"/>
                <w:right w:val="none" w:sz="0" w:space="0" w:color="auto"/>
              </w:divBdr>
              <w:divsChild>
                <w:div w:id="961306619">
                  <w:marLeft w:val="0"/>
                  <w:marRight w:val="0"/>
                  <w:marTop w:val="0"/>
                  <w:marBottom w:val="0"/>
                  <w:divBdr>
                    <w:top w:val="none" w:sz="0" w:space="0" w:color="auto"/>
                    <w:left w:val="none" w:sz="0" w:space="0" w:color="auto"/>
                    <w:bottom w:val="none" w:sz="0" w:space="0" w:color="auto"/>
                    <w:right w:val="none" w:sz="0" w:space="0" w:color="auto"/>
                  </w:divBdr>
                  <w:divsChild>
                    <w:div w:id="8265378">
                      <w:marLeft w:val="0"/>
                      <w:marRight w:val="0"/>
                      <w:marTop w:val="0"/>
                      <w:marBottom w:val="0"/>
                      <w:divBdr>
                        <w:top w:val="none" w:sz="0" w:space="0" w:color="auto"/>
                        <w:left w:val="none" w:sz="0" w:space="0" w:color="auto"/>
                        <w:bottom w:val="none" w:sz="0" w:space="0" w:color="auto"/>
                        <w:right w:val="none" w:sz="0" w:space="0" w:color="auto"/>
                      </w:divBdr>
                      <w:divsChild>
                        <w:div w:id="509880159">
                          <w:marLeft w:val="0"/>
                          <w:marRight w:val="0"/>
                          <w:marTop w:val="0"/>
                          <w:marBottom w:val="0"/>
                          <w:divBdr>
                            <w:top w:val="none" w:sz="0" w:space="0" w:color="auto"/>
                            <w:left w:val="none" w:sz="0" w:space="0" w:color="auto"/>
                            <w:bottom w:val="none" w:sz="0" w:space="0" w:color="auto"/>
                            <w:right w:val="none" w:sz="0" w:space="0" w:color="auto"/>
                          </w:divBdr>
                          <w:divsChild>
                            <w:div w:id="135732596">
                              <w:marLeft w:val="0"/>
                              <w:marRight w:val="0"/>
                              <w:marTop w:val="0"/>
                              <w:marBottom w:val="0"/>
                              <w:divBdr>
                                <w:top w:val="none" w:sz="0" w:space="0" w:color="auto"/>
                                <w:left w:val="none" w:sz="0" w:space="0" w:color="auto"/>
                                <w:bottom w:val="none" w:sz="0" w:space="0" w:color="auto"/>
                                <w:right w:val="none" w:sz="0" w:space="0" w:color="auto"/>
                              </w:divBdr>
                            </w:div>
                            <w:div w:id="1398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47304">
      <w:bodyDiv w:val="1"/>
      <w:marLeft w:val="0"/>
      <w:marRight w:val="0"/>
      <w:marTop w:val="0"/>
      <w:marBottom w:val="0"/>
      <w:divBdr>
        <w:top w:val="none" w:sz="0" w:space="0" w:color="auto"/>
        <w:left w:val="none" w:sz="0" w:space="0" w:color="auto"/>
        <w:bottom w:val="none" w:sz="0" w:space="0" w:color="auto"/>
        <w:right w:val="none" w:sz="0" w:space="0" w:color="auto"/>
      </w:divBdr>
      <w:divsChild>
        <w:div w:id="1619987056">
          <w:marLeft w:val="0"/>
          <w:marRight w:val="0"/>
          <w:marTop w:val="0"/>
          <w:marBottom w:val="0"/>
          <w:divBdr>
            <w:top w:val="none" w:sz="0" w:space="0" w:color="auto"/>
            <w:left w:val="none" w:sz="0" w:space="0" w:color="auto"/>
            <w:bottom w:val="none" w:sz="0" w:space="0" w:color="auto"/>
            <w:right w:val="none" w:sz="0" w:space="0" w:color="auto"/>
          </w:divBdr>
          <w:divsChild>
            <w:div w:id="1896235342">
              <w:marLeft w:val="0"/>
              <w:marRight w:val="0"/>
              <w:marTop w:val="0"/>
              <w:marBottom w:val="0"/>
              <w:divBdr>
                <w:top w:val="none" w:sz="0" w:space="0" w:color="auto"/>
                <w:left w:val="none" w:sz="0" w:space="0" w:color="auto"/>
                <w:bottom w:val="none" w:sz="0" w:space="0" w:color="auto"/>
                <w:right w:val="none" w:sz="0" w:space="0" w:color="auto"/>
              </w:divBdr>
              <w:divsChild>
                <w:div w:id="914555070">
                  <w:marLeft w:val="0"/>
                  <w:marRight w:val="0"/>
                  <w:marTop w:val="0"/>
                  <w:marBottom w:val="0"/>
                  <w:divBdr>
                    <w:top w:val="none" w:sz="0" w:space="0" w:color="auto"/>
                    <w:left w:val="none" w:sz="0" w:space="0" w:color="auto"/>
                    <w:bottom w:val="none" w:sz="0" w:space="0" w:color="auto"/>
                    <w:right w:val="none" w:sz="0" w:space="0" w:color="auto"/>
                  </w:divBdr>
                  <w:divsChild>
                    <w:div w:id="2023389317">
                      <w:marLeft w:val="0"/>
                      <w:marRight w:val="0"/>
                      <w:marTop w:val="0"/>
                      <w:marBottom w:val="0"/>
                      <w:divBdr>
                        <w:top w:val="none" w:sz="0" w:space="0" w:color="auto"/>
                        <w:left w:val="none" w:sz="0" w:space="0" w:color="auto"/>
                        <w:bottom w:val="none" w:sz="0" w:space="0" w:color="auto"/>
                        <w:right w:val="none" w:sz="0" w:space="0" w:color="auto"/>
                      </w:divBdr>
                      <w:divsChild>
                        <w:div w:id="159541545">
                          <w:marLeft w:val="0"/>
                          <w:marRight w:val="0"/>
                          <w:marTop w:val="0"/>
                          <w:marBottom w:val="0"/>
                          <w:divBdr>
                            <w:top w:val="none" w:sz="0" w:space="0" w:color="auto"/>
                            <w:left w:val="none" w:sz="0" w:space="0" w:color="auto"/>
                            <w:bottom w:val="none" w:sz="0" w:space="0" w:color="auto"/>
                            <w:right w:val="none" w:sz="0" w:space="0" w:color="auto"/>
                          </w:divBdr>
                          <w:divsChild>
                            <w:div w:id="126244030">
                              <w:marLeft w:val="0"/>
                              <w:marRight w:val="0"/>
                              <w:marTop w:val="0"/>
                              <w:marBottom w:val="0"/>
                              <w:divBdr>
                                <w:top w:val="none" w:sz="0" w:space="0" w:color="auto"/>
                                <w:left w:val="none" w:sz="0" w:space="0" w:color="auto"/>
                                <w:bottom w:val="none" w:sz="0" w:space="0" w:color="auto"/>
                                <w:right w:val="none" w:sz="0" w:space="0" w:color="auto"/>
                              </w:divBdr>
                            </w:div>
                            <w:div w:id="1141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0930">
      <w:bodyDiv w:val="1"/>
      <w:marLeft w:val="0"/>
      <w:marRight w:val="0"/>
      <w:marTop w:val="0"/>
      <w:marBottom w:val="0"/>
      <w:divBdr>
        <w:top w:val="none" w:sz="0" w:space="0" w:color="auto"/>
        <w:left w:val="none" w:sz="0" w:space="0" w:color="auto"/>
        <w:bottom w:val="none" w:sz="0" w:space="0" w:color="auto"/>
        <w:right w:val="none" w:sz="0" w:space="0" w:color="auto"/>
      </w:divBdr>
      <w:divsChild>
        <w:div w:id="167914692">
          <w:marLeft w:val="0"/>
          <w:marRight w:val="0"/>
          <w:marTop w:val="0"/>
          <w:marBottom w:val="0"/>
          <w:divBdr>
            <w:top w:val="none" w:sz="0" w:space="0" w:color="auto"/>
            <w:left w:val="none" w:sz="0" w:space="0" w:color="auto"/>
            <w:bottom w:val="none" w:sz="0" w:space="0" w:color="auto"/>
            <w:right w:val="none" w:sz="0" w:space="0" w:color="auto"/>
          </w:divBdr>
          <w:divsChild>
            <w:div w:id="851798801">
              <w:marLeft w:val="0"/>
              <w:marRight w:val="0"/>
              <w:marTop w:val="0"/>
              <w:marBottom w:val="0"/>
              <w:divBdr>
                <w:top w:val="none" w:sz="0" w:space="0" w:color="auto"/>
                <w:left w:val="none" w:sz="0" w:space="0" w:color="auto"/>
                <w:bottom w:val="none" w:sz="0" w:space="0" w:color="auto"/>
                <w:right w:val="none" w:sz="0" w:space="0" w:color="auto"/>
              </w:divBdr>
              <w:divsChild>
                <w:div w:id="15010624">
                  <w:marLeft w:val="0"/>
                  <w:marRight w:val="0"/>
                  <w:marTop w:val="0"/>
                  <w:marBottom w:val="0"/>
                  <w:divBdr>
                    <w:top w:val="none" w:sz="0" w:space="0" w:color="auto"/>
                    <w:left w:val="none" w:sz="0" w:space="0" w:color="auto"/>
                    <w:bottom w:val="none" w:sz="0" w:space="0" w:color="auto"/>
                    <w:right w:val="none" w:sz="0" w:space="0" w:color="auto"/>
                  </w:divBdr>
                  <w:divsChild>
                    <w:div w:id="901018155">
                      <w:marLeft w:val="0"/>
                      <w:marRight w:val="0"/>
                      <w:marTop w:val="0"/>
                      <w:marBottom w:val="0"/>
                      <w:divBdr>
                        <w:top w:val="none" w:sz="0" w:space="0" w:color="auto"/>
                        <w:left w:val="none" w:sz="0" w:space="0" w:color="auto"/>
                        <w:bottom w:val="none" w:sz="0" w:space="0" w:color="auto"/>
                        <w:right w:val="none" w:sz="0" w:space="0" w:color="auto"/>
                      </w:divBdr>
                      <w:divsChild>
                        <w:div w:id="1736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73209">
      <w:bodyDiv w:val="1"/>
      <w:marLeft w:val="0"/>
      <w:marRight w:val="0"/>
      <w:marTop w:val="0"/>
      <w:marBottom w:val="0"/>
      <w:divBdr>
        <w:top w:val="none" w:sz="0" w:space="0" w:color="auto"/>
        <w:left w:val="none" w:sz="0" w:space="0" w:color="auto"/>
        <w:bottom w:val="none" w:sz="0" w:space="0" w:color="auto"/>
        <w:right w:val="none" w:sz="0" w:space="0" w:color="auto"/>
      </w:divBdr>
      <w:divsChild>
        <w:div w:id="1038553209">
          <w:marLeft w:val="0"/>
          <w:marRight w:val="0"/>
          <w:marTop w:val="0"/>
          <w:marBottom w:val="0"/>
          <w:divBdr>
            <w:top w:val="none" w:sz="0" w:space="0" w:color="auto"/>
            <w:left w:val="none" w:sz="0" w:space="0" w:color="auto"/>
            <w:bottom w:val="none" w:sz="0" w:space="0" w:color="auto"/>
            <w:right w:val="none" w:sz="0" w:space="0" w:color="auto"/>
          </w:divBdr>
          <w:divsChild>
            <w:div w:id="1861778923">
              <w:marLeft w:val="0"/>
              <w:marRight w:val="0"/>
              <w:marTop w:val="0"/>
              <w:marBottom w:val="0"/>
              <w:divBdr>
                <w:top w:val="none" w:sz="0" w:space="0" w:color="auto"/>
                <w:left w:val="none" w:sz="0" w:space="0" w:color="auto"/>
                <w:bottom w:val="none" w:sz="0" w:space="0" w:color="auto"/>
                <w:right w:val="none" w:sz="0" w:space="0" w:color="auto"/>
              </w:divBdr>
              <w:divsChild>
                <w:div w:id="1479421991">
                  <w:marLeft w:val="0"/>
                  <w:marRight w:val="0"/>
                  <w:marTop w:val="0"/>
                  <w:marBottom w:val="0"/>
                  <w:divBdr>
                    <w:top w:val="none" w:sz="0" w:space="0" w:color="auto"/>
                    <w:left w:val="none" w:sz="0" w:space="0" w:color="auto"/>
                    <w:bottom w:val="none" w:sz="0" w:space="0" w:color="auto"/>
                    <w:right w:val="none" w:sz="0" w:space="0" w:color="auto"/>
                  </w:divBdr>
                  <w:divsChild>
                    <w:div w:id="1799907124">
                      <w:marLeft w:val="0"/>
                      <w:marRight w:val="0"/>
                      <w:marTop w:val="0"/>
                      <w:marBottom w:val="0"/>
                      <w:divBdr>
                        <w:top w:val="none" w:sz="0" w:space="0" w:color="auto"/>
                        <w:left w:val="none" w:sz="0" w:space="0" w:color="auto"/>
                        <w:bottom w:val="none" w:sz="0" w:space="0" w:color="auto"/>
                        <w:right w:val="none" w:sz="0" w:space="0" w:color="auto"/>
                      </w:divBdr>
                      <w:divsChild>
                        <w:div w:id="1084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54334">
      <w:bodyDiv w:val="1"/>
      <w:marLeft w:val="0"/>
      <w:marRight w:val="0"/>
      <w:marTop w:val="0"/>
      <w:marBottom w:val="0"/>
      <w:divBdr>
        <w:top w:val="none" w:sz="0" w:space="0" w:color="auto"/>
        <w:left w:val="none" w:sz="0" w:space="0" w:color="auto"/>
        <w:bottom w:val="none" w:sz="0" w:space="0" w:color="auto"/>
        <w:right w:val="none" w:sz="0" w:space="0" w:color="auto"/>
      </w:divBdr>
      <w:divsChild>
        <w:div w:id="1354378093">
          <w:marLeft w:val="0"/>
          <w:marRight w:val="0"/>
          <w:marTop w:val="0"/>
          <w:marBottom w:val="0"/>
          <w:divBdr>
            <w:top w:val="none" w:sz="0" w:space="0" w:color="auto"/>
            <w:left w:val="none" w:sz="0" w:space="0" w:color="auto"/>
            <w:bottom w:val="none" w:sz="0" w:space="0" w:color="auto"/>
            <w:right w:val="none" w:sz="0" w:space="0" w:color="auto"/>
          </w:divBdr>
          <w:divsChild>
            <w:div w:id="387729095">
              <w:marLeft w:val="0"/>
              <w:marRight w:val="0"/>
              <w:marTop w:val="0"/>
              <w:marBottom w:val="0"/>
              <w:divBdr>
                <w:top w:val="none" w:sz="0" w:space="0" w:color="auto"/>
                <w:left w:val="none" w:sz="0" w:space="0" w:color="auto"/>
                <w:bottom w:val="none" w:sz="0" w:space="0" w:color="auto"/>
                <w:right w:val="none" w:sz="0" w:space="0" w:color="auto"/>
              </w:divBdr>
              <w:divsChild>
                <w:div w:id="1702441361">
                  <w:marLeft w:val="0"/>
                  <w:marRight w:val="0"/>
                  <w:marTop w:val="0"/>
                  <w:marBottom w:val="0"/>
                  <w:divBdr>
                    <w:top w:val="none" w:sz="0" w:space="0" w:color="auto"/>
                    <w:left w:val="none" w:sz="0" w:space="0" w:color="auto"/>
                    <w:bottom w:val="none" w:sz="0" w:space="0" w:color="auto"/>
                    <w:right w:val="none" w:sz="0" w:space="0" w:color="auto"/>
                  </w:divBdr>
                  <w:divsChild>
                    <w:div w:id="1730494911">
                      <w:marLeft w:val="0"/>
                      <w:marRight w:val="0"/>
                      <w:marTop w:val="0"/>
                      <w:marBottom w:val="0"/>
                      <w:divBdr>
                        <w:top w:val="none" w:sz="0" w:space="0" w:color="auto"/>
                        <w:left w:val="none" w:sz="0" w:space="0" w:color="auto"/>
                        <w:bottom w:val="none" w:sz="0" w:space="0" w:color="auto"/>
                        <w:right w:val="none" w:sz="0" w:space="0" w:color="auto"/>
                      </w:divBdr>
                      <w:divsChild>
                        <w:div w:id="1470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da.ie/cntmgmtnew.nsf/0/130C6428744E55CE80257ADE0031A616?OpenDocu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da.ie" TargetMode="External"/><Relationship Id="rId2" Type="http://schemas.openxmlformats.org/officeDocument/2006/relationships/numbering" Target="numbering.xml"/><Relationship Id="rId16" Type="http://schemas.openxmlformats.org/officeDocument/2006/relationships/hyperlink" Target="http://www.discoverireland.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nda.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iscoverireland.com" TargetMode="External"/><Relationship Id="rId14" Type="http://schemas.openxmlformats.org/officeDocument/2006/relationships/image" Target="media/image3.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BF5D-EEBA-4826-804F-4394E0B60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35481</Words>
  <Characters>202242</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Annual Report 2012</vt:lpstr>
    </vt:vector>
  </TitlesOfParts>
  <Company>DOJLR</Company>
  <LinksUpToDate>false</LinksUpToDate>
  <CharactersWithSpaces>237249</CharactersWithSpaces>
  <SharedDoc>false</SharedDoc>
  <HLinks>
    <vt:vector size="90" baseType="variant">
      <vt:variant>
        <vt:i4>6094864</vt:i4>
      </vt:variant>
      <vt:variant>
        <vt:i4>81</vt:i4>
      </vt:variant>
      <vt:variant>
        <vt:i4>0</vt:i4>
      </vt:variant>
      <vt:variant>
        <vt:i4>5</vt:i4>
      </vt:variant>
      <vt:variant>
        <vt:lpwstr>http://www.nda.ie/cntmgmtnew.nsf/0/130C6428744E55CE80257ADE0031A616?OpenDocument</vt:lpwstr>
      </vt:variant>
      <vt:variant>
        <vt:lpwstr/>
      </vt:variant>
      <vt:variant>
        <vt:i4>6422655</vt:i4>
      </vt:variant>
      <vt:variant>
        <vt:i4>78</vt:i4>
      </vt:variant>
      <vt:variant>
        <vt:i4>0</vt:i4>
      </vt:variant>
      <vt:variant>
        <vt:i4>5</vt:i4>
      </vt:variant>
      <vt:variant>
        <vt:lpwstr>http://www.nda.ie/</vt:lpwstr>
      </vt:variant>
      <vt:variant>
        <vt:lpwstr/>
      </vt:variant>
      <vt:variant>
        <vt:i4>3211375</vt:i4>
      </vt:variant>
      <vt:variant>
        <vt:i4>75</vt:i4>
      </vt:variant>
      <vt:variant>
        <vt:i4>0</vt:i4>
      </vt:variant>
      <vt:variant>
        <vt:i4>5</vt:i4>
      </vt:variant>
      <vt:variant>
        <vt:lpwstr>http://www.discoverireland.com/</vt:lpwstr>
      </vt:variant>
      <vt:variant>
        <vt:lpwstr/>
      </vt:variant>
      <vt:variant>
        <vt:i4>1835065</vt:i4>
      </vt:variant>
      <vt:variant>
        <vt:i4>68</vt:i4>
      </vt:variant>
      <vt:variant>
        <vt:i4>0</vt:i4>
      </vt:variant>
      <vt:variant>
        <vt:i4>5</vt:i4>
      </vt:variant>
      <vt:variant>
        <vt:lpwstr/>
      </vt:variant>
      <vt:variant>
        <vt:lpwstr>_Toc368058755</vt:lpwstr>
      </vt:variant>
      <vt:variant>
        <vt:i4>1835065</vt:i4>
      </vt:variant>
      <vt:variant>
        <vt:i4>62</vt:i4>
      </vt:variant>
      <vt:variant>
        <vt:i4>0</vt:i4>
      </vt:variant>
      <vt:variant>
        <vt:i4>5</vt:i4>
      </vt:variant>
      <vt:variant>
        <vt:lpwstr/>
      </vt:variant>
      <vt:variant>
        <vt:lpwstr>_Toc368058754</vt:lpwstr>
      </vt:variant>
      <vt:variant>
        <vt:i4>1835065</vt:i4>
      </vt:variant>
      <vt:variant>
        <vt:i4>56</vt:i4>
      </vt:variant>
      <vt:variant>
        <vt:i4>0</vt:i4>
      </vt:variant>
      <vt:variant>
        <vt:i4>5</vt:i4>
      </vt:variant>
      <vt:variant>
        <vt:lpwstr/>
      </vt:variant>
      <vt:variant>
        <vt:lpwstr>_Toc368058753</vt:lpwstr>
      </vt:variant>
      <vt:variant>
        <vt:i4>1835065</vt:i4>
      </vt:variant>
      <vt:variant>
        <vt:i4>50</vt:i4>
      </vt:variant>
      <vt:variant>
        <vt:i4>0</vt:i4>
      </vt:variant>
      <vt:variant>
        <vt:i4>5</vt:i4>
      </vt:variant>
      <vt:variant>
        <vt:lpwstr/>
      </vt:variant>
      <vt:variant>
        <vt:lpwstr>_Toc368058752</vt:lpwstr>
      </vt:variant>
      <vt:variant>
        <vt:i4>1835065</vt:i4>
      </vt:variant>
      <vt:variant>
        <vt:i4>44</vt:i4>
      </vt:variant>
      <vt:variant>
        <vt:i4>0</vt:i4>
      </vt:variant>
      <vt:variant>
        <vt:i4>5</vt:i4>
      </vt:variant>
      <vt:variant>
        <vt:lpwstr/>
      </vt:variant>
      <vt:variant>
        <vt:lpwstr>_Toc368058751</vt:lpwstr>
      </vt:variant>
      <vt:variant>
        <vt:i4>1835065</vt:i4>
      </vt:variant>
      <vt:variant>
        <vt:i4>38</vt:i4>
      </vt:variant>
      <vt:variant>
        <vt:i4>0</vt:i4>
      </vt:variant>
      <vt:variant>
        <vt:i4>5</vt:i4>
      </vt:variant>
      <vt:variant>
        <vt:lpwstr/>
      </vt:variant>
      <vt:variant>
        <vt:lpwstr>_Toc368058750</vt:lpwstr>
      </vt:variant>
      <vt:variant>
        <vt:i4>1900601</vt:i4>
      </vt:variant>
      <vt:variant>
        <vt:i4>32</vt:i4>
      </vt:variant>
      <vt:variant>
        <vt:i4>0</vt:i4>
      </vt:variant>
      <vt:variant>
        <vt:i4>5</vt:i4>
      </vt:variant>
      <vt:variant>
        <vt:lpwstr/>
      </vt:variant>
      <vt:variant>
        <vt:lpwstr>_Toc368058749</vt:lpwstr>
      </vt:variant>
      <vt:variant>
        <vt:i4>1900601</vt:i4>
      </vt:variant>
      <vt:variant>
        <vt:i4>26</vt:i4>
      </vt:variant>
      <vt:variant>
        <vt:i4>0</vt:i4>
      </vt:variant>
      <vt:variant>
        <vt:i4>5</vt:i4>
      </vt:variant>
      <vt:variant>
        <vt:lpwstr/>
      </vt:variant>
      <vt:variant>
        <vt:lpwstr>_Toc368058748</vt:lpwstr>
      </vt:variant>
      <vt:variant>
        <vt:i4>1900601</vt:i4>
      </vt:variant>
      <vt:variant>
        <vt:i4>20</vt:i4>
      </vt:variant>
      <vt:variant>
        <vt:i4>0</vt:i4>
      </vt:variant>
      <vt:variant>
        <vt:i4>5</vt:i4>
      </vt:variant>
      <vt:variant>
        <vt:lpwstr/>
      </vt:variant>
      <vt:variant>
        <vt:lpwstr>_Toc368058747</vt:lpwstr>
      </vt:variant>
      <vt:variant>
        <vt:i4>1900601</vt:i4>
      </vt:variant>
      <vt:variant>
        <vt:i4>14</vt:i4>
      </vt:variant>
      <vt:variant>
        <vt:i4>0</vt:i4>
      </vt:variant>
      <vt:variant>
        <vt:i4>5</vt:i4>
      </vt:variant>
      <vt:variant>
        <vt:lpwstr/>
      </vt:variant>
      <vt:variant>
        <vt:lpwstr>_Toc368058746</vt:lpwstr>
      </vt:variant>
      <vt:variant>
        <vt:i4>1900601</vt:i4>
      </vt:variant>
      <vt:variant>
        <vt:i4>8</vt:i4>
      </vt:variant>
      <vt:variant>
        <vt:i4>0</vt:i4>
      </vt:variant>
      <vt:variant>
        <vt:i4>5</vt:i4>
      </vt:variant>
      <vt:variant>
        <vt:lpwstr/>
      </vt:variant>
      <vt:variant>
        <vt:lpwstr>_Toc368058745</vt:lpwstr>
      </vt:variant>
      <vt:variant>
        <vt:i4>1900601</vt:i4>
      </vt:variant>
      <vt:variant>
        <vt:i4>2</vt:i4>
      </vt:variant>
      <vt:variant>
        <vt:i4>0</vt:i4>
      </vt:variant>
      <vt:variant>
        <vt:i4>5</vt:i4>
      </vt:variant>
      <vt:variant>
        <vt:lpwstr/>
      </vt:variant>
      <vt:variant>
        <vt:lpwstr>_Toc368058744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2012</dc:title>
  <dc:subject/>
  <dc:creator>National Disability Authority</dc:creator>
  <cp:keywords/>
  <dc:description/>
  <cp:lastModifiedBy>Heather C. O'Leary</cp:lastModifiedBy>
  <cp:revision>2</cp:revision>
  <cp:lastPrinted>2013-10-07T14:35:00Z</cp:lastPrinted>
  <dcterms:created xsi:type="dcterms:W3CDTF">2022-06-27T12:37:00Z</dcterms:created>
  <dcterms:modified xsi:type="dcterms:W3CDTF">2022-06-27T12:37:00Z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