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2BB" w14:textId="77777777" w:rsidR="00FB7134" w:rsidRDefault="0056124A" w:rsidP="005C4ADC">
      <w:pPr>
        <w:pStyle w:val="Title"/>
      </w:pPr>
      <w:bookmarkStart w:id="0" w:name="_Toc299360689"/>
      <w:bookmarkStart w:id="1" w:name="_Toc299361967"/>
      <w:bookmarkStart w:id="2" w:name="_Toc299362471"/>
      <w:bookmarkStart w:id="3" w:name="_Toc299362510"/>
      <w:bookmarkStart w:id="4" w:name="_Toc288557456"/>
      <w:bookmarkStart w:id="5" w:name="_Toc288732316"/>
      <w:bookmarkStart w:id="6" w:name="_Toc288745654"/>
      <w:bookmarkStart w:id="7" w:name="_Toc288745710"/>
      <w:bookmarkStart w:id="8" w:name="_Toc289693078"/>
      <w:bookmarkStart w:id="9" w:name="_Toc291164828"/>
      <w:bookmarkStart w:id="10" w:name="_Toc300741410"/>
      <w:bookmarkStart w:id="11" w:name="_Toc300741724"/>
      <w:bookmarkStart w:id="12" w:name="_Toc300742114"/>
      <w:bookmarkStart w:id="13" w:name="_Toc300742863"/>
      <w:bookmarkStart w:id="14" w:name="_Toc300744215"/>
      <w:bookmarkStart w:id="15" w:name="_Toc304371018"/>
      <w:bookmarkStart w:id="16" w:name="_Toc304371190"/>
      <w:bookmarkStart w:id="17" w:name="_Toc304381912"/>
      <w:r w:rsidRPr="002C6872">
        <w:t>Annual Report 20</w:t>
      </w:r>
      <w:r w:rsidR="00651622" w:rsidRPr="002C6872">
        <w:t>10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F30BEDD" w14:textId="77777777" w:rsidR="00D52FB6" w:rsidRPr="00D52FB6" w:rsidRDefault="00D52FB6" w:rsidP="00D52FB6"/>
    <w:p w14:paraId="1C16F2BD" w14:textId="77777777" w:rsidR="00D20B07" w:rsidRDefault="00D20B07" w:rsidP="00D20B07"/>
    <w:p w14:paraId="376AF6F5" w14:textId="77777777" w:rsidR="00D20B07" w:rsidRDefault="00D20B07" w:rsidP="00D20B07"/>
    <w:p w14:paraId="1D90D49F" w14:textId="77777777" w:rsidR="00D20B07" w:rsidRDefault="00D20B07" w:rsidP="00D20B07"/>
    <w:p w14:paraId="58399367" w14:textId="77777777" w:rsidR="00D20B07" w:rsidRDefault="00D20B07" w:rsidP="00D20B07"/>
    <w:p w14:paraId="33D8C6BD" w14:textId="77777777" w:rsidR="00D20B07" w:rsidRDefault="00D20B07" w:rsidP="00D20B07"/>
    <w:p w14:paraId="1E4CFEDA" w14:textId="77777777" w:rsidR="00D20B07" w:rsidRDefault="00D20B07" w:rsidP="00D20B07"/>
    <w:p w14:paraId="0AD9C1E6" w14:textId="77777777" w:rsidR="00D20B07" w:rsidRPr="00D20B07" w:rsidRDefault="00D20B07" w:rsidP="00D20B07"/>
    <w:p w14:paraId="5EF039B8" w14:textId="5EDE6C89" w:rsidR="00073756" w:rsidRDefault="00546F26" w:rsidP="00073756">
      <w:pPr>
        <w:pStyle w:val="Title"/>
      </w:pPr>
      <w:bookmarkStart w:id="18" w:name="_Toc288557458"/>
      <w:bookmarkStart w:id="19" w:name="_Toc288732318"/>
      <w:bookmarkStart w:id="20" w:name="_Toc288745656"/>
      <w:bookmarkStart w:id="21" w:name="_Toc288745712"/>
      <w:bookmarkStart w:id="22" w:name="_Toc289693080"/>
      <w:bookmarkStart w:id="23" w:name="_Toc291164829"/>
      <w:bookmarkStart w:id="24" w:name="_Toc299360690"/>
      <w:bookmarkStart w:id="25" w:name="_Toc299361968"/>
      <w:bookmarkStart w:id="26" w:name="_Toc299362472"/>
      <w:bookmarkStart w:id="27" w:name="_Toc299362511"/>
      <w:bookmarkStart w:id="28" w:name="_Toc300741411"/>
      <w:bookmarkStart w:id="29" w:name="_Toc300741725"/>
      <w:bookmarkStart w:id="30" w:name="_Toc300742115"/>
      <w:bookmarkStart w:id="31" w:name="_Toc300742864"/>
      <w:bookmarkStart w:id="32" w:name="_Toc300744216"/>
      <w:bookmarkStart w:id="33" w:name="_Toc304371019"/>
      <w:bookmarkStart w:id="34" w:name="_Toc304371191"/>
      <w:bookmarkStart w:id="35" w:name="_Toc304381913"/>
      <w:r>
        <w:rPr>
          <w:noProof/>
          <w:lang w:val="en-GB" w:eastAsia="en-GB"/>
        </w:rPr>
        <w:drawing>
          <wp:anchor distT="0" distB="0" distL="114300" distR="114300" simplePos="0" relativeHeight="251657728" behindDoc="0" locked="0" layoutInCell="1" allowOverlap="1" wp14:anchorId="6F5B848F" wp14:editId="69317436">
            <wp:simplePos x="0" y="0"/>
            <wp:positionH relativeFrom="column">
              <wp:posOffset>-114300</wp:posOffset>
            </wp:positionH>
            <wp:positionV relativeFrom="paragraph">
              <wp:posOffset>2434590</wp:posOffset>
            </wp:positionV>
            <wp:extent cx="2844165" cy="2033270"/>
            <wp:effectExtent l="0" t="0" r="0" b="0"/>
            <wp:wrapNone/>
            <wp:docPr id="2"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16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CFF">
        <w:br w:type="page"/>
      </w:r>
      <w:r w:rsidR="00073756" w:rsidRPr="002C6872">
        <w:lastRenderedPageBreak/>
        <w:t>Annual Report 2010</w:t>
      </w:r>
      <w:bookmarkEnd w:id="28"/>
      <w:bookmarkEnd w:id="29"/>
      <w:bookmarkEnd w:id="30"/>
      <w:bookmarkEnd w:id="31"/>
      <w:bookmarkEnd w:id="32"/>
      <w:bookmarkEnd w:id="33"/>
      <w:bookmarkEnd w:id="34"/>
      <w:bookmarkEnd w:id="35"/>
    </w:p>
    <w:p w14:paraId="40E32548" w14:textId="77777777" w:rsidR="00073756" w:rsidRDefault="00073756" w:rsidP="00651622">
      <w:pPr>
        <w:pStyle w:val="Heading1"/>
      </w:pPr>
    </w:p>
    <w:p w14:paraId="651A0209" w14:textId="77777777" w:rsidR="00073756" w:rsidRDefault="00073756" w:rsidP="00651622">
      <w:pPr>
        <w:pStyle w:val="Heading1"/>
      </w:pPr>
    </w:p>
    <w:p w14:paraId="31CD0D07" w14:textId="77777777" w:rsidR="00073756" w:rsidRDefault="00073756" w:rsidP="00651622">
      <w:pPr>
        <w:pStyle w:val="Heading1"/>
      </w:pPr>
    </w:p>
    <w:p w14:paraId="2279A5C1" w14:textId="77777777" w:rsidR="00073756" w:rsidRDefault="00073756" w:rsidP="00651622">
      <w:pPr>
        <w:pStyle w:val="Heading1"/>
      </w:pPr>
    </w:p>
    <w:p w14:paraId="2FD89948" w14:textId="77777777" w:rsidR="00073756" w:rsidRDefault="00073756" w:rsidP="00651622">
      <w:pPr>
        <w:pStyle w:val="Heading1"/>
      </w:pPr>
    </w:p>
    <w:p w14:paraId="237D3387" w14:textId="77777777" w:rsidR="00073756" w:rsidRDefault="00073756" w:rsidP="00651622">
      <w:pPr>
        <w:pStyle w:val="Heading1"/>
      </w:pPr>
    </w:p>
    <w:p w14:paraId="152E89C1" w14:textId="77777777" w:rsidR="00073756" w:rsidRDefault="00073756" w:rsidP="00651622">
      <w:pPr>
        <w:pStyle w:val="Heading1"/>
      </w:pPr>
    </w:p>
    <w:p w14:paraId="35675E12" w14:textId="77777777" w:rsidR="00073756" w:rsidRDefault="00073756" w:rsidP="00651622">
      <w:pPr>
        <w:pStyle w:val="Heading1"/>
      </w:pPr>
    </w:p>
    <w:p w14:paraId="5990B1C7" w14:textId="77777777" w:rsidR="00073756" w:rsidRDefault="00073756" w:rsidP="00651622">
      <w:pPr>
        <w:pStyle w:val="Heading1"/>
      </w:pPr>
    </w:p>
    <w:p w14:paraId="1F0105F2" w14:textId="77777777" w:rsidR="00073756" w:rsidRDefault="00073756" w:rsidP="00651622">
      <w:pPr>
        <w:pStyle w:val="Heading1"/>
      </w:pPr>
    </w:p>
    <w:p w14:paraId="054DE8EA" w14:textId="77777777" w:rsidR="00073756" w:rsidRDefault="00073756" w:rsidP="00651622">
      <w:pPr>
        <w:pStyle w:val="Heading1"/>
      </w:pPr>
    </w:p>
    <w:p w14:paraId="18ECFDE0" w14:textId="77777777" w:rsidR="00073756" w:rsidRDefault="00073756" w:rsidP="00651622">
      <w:pPr>
        <w:pStyle w:val="Heading1"/>
      </w:pPr>
    </w:p>
    <w:p w14:paraId="56D43BF0" w14:textId="77777777" w:rsidR="00073756" w:rsidRDefault="00073756" w:rsidP="00651622">
      <w:pPr>
        <w:pStyle w:val="Heading1"/>
      </w:pPr>
    </w:p>
    <w:p w14:paraId="270C3D8E" w14:textId="77777777" w:rsidR="00073756" w:rsidRDefault="00073756" w:rsidP="00651622">
      <w:pPr>
        <w:pStyle w:val="Heading1"/>
      </w:pPr>
    </w:p>
    <w:p w14:paraId="1BA2427C" w14:textId="77777777" w:rsidR="00073756" w:rsidRDefault="00073756" w:rsidP="00651622">
      <w:pPr>
        <w:pStyle w:val="Heading1"/>
      </w:pPr>
    </w:p>
    <w:p w14:paraId="3ADD56FB" w14:textId="77777777" w:rsidR="00073756" w:rsidRDefault="00073756" w:rsidP="00651622">
      <w:pPr>
        <w:pStyle w:val="Heading1"/>
      </w:pPr>
    </w:p>
    <w:p w14:paraId="585E9D0B" w14:textId="77777777" w:rsidR="00073756" w:rsidRDefault="00073756" w:rsidP="00651622">
      <w:pPr>
        <w:pStyle w:val="Heading1"/>
      </w:pPr>
    </w:p>
    <w:p w14:paraId="40BBA23C" w14:textId="77777777" w:rsidR="00073756" w:rsidRDefault="00073756" w:rsidP="00651622">
      <w:pPr>
        <w:pStyle w:val="Heading1"/>
      </w:pPr>
    </w:p>
    <w:p w14:paraId="794BBF92" w14:textId="77777777" w:rsidR="00073756" w:rsidRDefault="00073756" w:rsidP="00073756">
      <w:pPr>
        <w:rPr>
          <w:b/>
          <w:lang w:val="en-GB"/>
        </w:rPr>
      </w:pPr>
      <w:r w:rsidRPr="00073756">
        <w:rPr>
          <w:b/>
        </w:rPr>
        <w:t xml:space="preserve">PRN </w:t>
      </w:r>
      <w:r w:rsidRPr="00073756">
        <w:rPr>
          <w:b/>
          <w:lang w:val="en-GB"/>
        </w:rPr>
        <w:t>A11/1318</w:t>
      </w:r>
    </w:p>
    <w:p w14:paraId="6A0133D4" w14:textId="77777777" w:rsidR="00651622" w:rsidRPr="002C6872" w:rsidRDefault="00073756" w:rsidP="00BA588E">
      <w:pPr>
        <w:pStyle w:val="Heading1"/>
      </w:pPr>
      <w:r>
        <w:rPr>
          <w:lang w:val="en-GB"/>
        </w:rPr>
        <w:br w:type="page"/>
      </w:r>
      <w:bookmarkStart w:id="36" w:name="_Toc300741412"/>
      <w:bookmarkStart w:id="37" w:name="_Toc300741726"/>
      <w:bookmarkStart w:id="38" w:name="_Toc300742116"/>
      <w:bookmarkStart w:id="39" w:name="_Toc300742865"/>
      <w:bookmarkStart w:id="40" w:name="_Toc300744217"/>
      <w:bookmarkStart w:id="41" w:name="_Toc304371020"/>
      <w:bookmarkStart w:id="42" w:name="_Toc304371192"/>
      <w:bookmarkStart w:id="43" w:name="_Toc304381914"/>
      <w:r w:rsidR="00872C46">
        <w:rPr>
          <w:lang w:val="en-GB"/>
        </w:rPr>
        <w:lastRenderedPageBreak/>
        <w:br w:type="page"/>
      </w:r>
      <w:r w:rsidR="00651622" w:rsidRPr="002C6872">
        <w:lastRenderedPageBreak/>
        <w:t>Contents</w:t>
      </w:r>
      <w:bookmarkEnd w:id="18"/>
      <w:bookmarkEnd w:id="19"/>
      <w:bookmarkEnd w:id="20"/>
      <w:bookmarkEnd w:id="21"/>
      <w:bookmarkEnd w:id="22"/>
      <w:bookmarkEnd w:id="23"/>
      <w:bookmarkEnd w:id="24"/>
      <w:bookmarkEnd w:id="25"/>
      <w:bookmarkEnd w:id="26"/>
      <w:bookmarkEnd w:id="27"/>
      <w:bookmarkEnd w:id="36"/>
      <w:bookmarkEnd w:id="37"/>
      <w:bookmarkEnd w:id="38"/>
      <w:bookmarkEnd w:id="39"/>
      <w:bookmarkEnd w:id="40"/>
      <w:bookmarkEnd w:id="41"/>
      <w:bookmarkEnd w:id="42"/>
      <w:bookmarkEnd w:id="43"/>
      <w:r w:rsidR="00651622" w:rsidRPr="002C6872">
        <w:br/>
      </w:r>
    </w:p>
    <w:p w14:paraId="4B2E4C84" w14:textId="77777777" w:rsidR="00BA588E" w:rsidRDefault="00B54AB4">
      <w:pPr>
        <w:pStyle w:val="TOC1"/>
        <w:rPr>
          <w:rFonts w:ascii="Times New Roman" w:hAnsi="Times New Roman"/>
          <w:lang w:val="en-GB" w:eastAsia="en-GB"/>
        </w:rPr>
      </w:pPr>
      <w:r w:rsidRPr="002C6872">
        <w:fldChar w:fldCharType="begin"/>
      </w:r>
      <w:r w:rsidRPr="002C6872">
        <w:instrText xml:space="preserve"> TOC \o "1-1" \h \z \u </w:instrText>
      </w:r>
      <w:r w:rsidRPr="002C6872">
        <w:fldChar w:fldCharType="separate"/>
      </w:r>
      <w:hyperlink w:anchor="_Toc304371193" w:history="1">
        <w:r w:rsidR="00BA588E" w:rsidRPr="00EA5027">
          <w:rPr>
            <w:rStyle w:val="Hyperlink"/>
          </w:rPr>
          <w:t>Chairperson's Statement</w:t>
        </w:r>
        <w:r w:rsidR="00BA588E">
          <w:rPr>
            <w:webHidden/>
          </w:rPr>
          <w:tab/>
        </w:r>
        <w:r w:rsidR="00BA588E">
          <w:rPr>
            <w:webHidden/>
          </w:rPr>
          <w:fldChar w:fldCharType="begin"/>
        </w:r>
        <w:r w:rsidR="00BA588E">
          <w:rPr>
            <w:webHidden/>
          </w:rPr>
          <w:instrText xml:space="preserve"> PAGEREF _Toc304371193 \h </w:instrText>
        </w:r>
        <w:r w:rsidR="00BA588E">
          <w:rPr>
            <w:webHidden/>
          </w:rPr>
          <w:fldChar w:fldCharType="separate"/>
        </w:r>
        <w:r w:rsidR="00C7626C">
          <w:rPr>
            <w:webHidden/>
          </w:rPr>
          <w:t>5</w:t>
        </w:r>
        <w:r w:rsidR="00BA588E">
          <w:rPr>
            <w:webHidden/>
          </w:rPr>
          <w:fldChar w:fldCharType="end"/>
        </w:r>
      </w:hyperlink>
    </w:p>
    <w:p w14:paraId="4A3A517F" w14:textId="77777777" w:rsidR="00BA588E" w:rsidRDefault="00BA588E">
      <w:pPr>
        <w:pStyle w:val="TOC1"/>
        <w:rPr>
          <w:rFonts w:ascii="Times New Roman" w:hAnsi="Times New Roman"/>
          <w:lang w:val="en-GB" w:eastAsia="en-GB"/>
        </w:rPr>
      </w:pPr>
      <w:hyperlink w:anchor="_Toc304371194" w:history="1">
        <w:r w:rsidRPr="00EA5027">
          <w:rPr>
            <w:rStyle w:val="Hyperlink"/>
          </w:rPr>
          <w:t>Director’s Statement</w:t>
        </w:r>
        <w:r>
          <w:rPr>
            <w:webHidden/>
          </w:rPr>
          <w:tab/>
        </w:r>
        <w:r>
          <w:rPr>
            <w:webHidden/>
          </w:rPr>
          <w:fldChar w:fldCharType="begin"/>
        </w:r>
        <w:r>
          <w:rPr>
            <w:webHidden/>
          </w:rPr>
          <w:instrText xml:space="preserve"> PAGEREF _Toc304371194 \h </w:instrText>
        </w:r>
        <w:r>
          <w:rPr>
            <w:webHidden/>
          </w:rPr>
          <w:fldChar w:fldCharType="separate"/>
        </w:r>
        <w:r w:rsidR="00C7626C">
          <w:rPr>
            <w:webHidden/>
          </w:rPr>
          <w:t>7</w:t>
        </w:r>
        <w:r>
          <w:rPr>
            <w:webHidden/>
          </w:rPr>
          <w:fldChar w:fldCharType="end"/>
        </w:r>
      </w:hyperlink>
    </w:p>
    <w:p w14:paraId="3A556468" w14:textId="77777777" w:rsidR="00BA588E" w:rsidRDefault="00BA588E">
      <w:pPr>
        <w:pStyle w:val="TOC1"/>
        <w:rPr>
          <w:rFonts w:ascii="Times New Roman" w:hAnsi="Times New Roman"/>
          <w:lang w:val="en-GB" w:eastAsia="en-GB"/>
        </w:rPr>
      </w:pPr>
      <w:hyperlink w:anchor="_Toc304371195" w:history="1">
        <w:r w:rsidRPr="00EA5027">
          <w:rPr>
            <w:rStyle w:val="Hyperlink"/>
          </w:rPr>
          <w:t>Overview of 2010</w:t>
        </w:r>
        <w:r>
          <w:rPr>
            <w:webHidden/>
          </w:rPr>
          <w:tab/>
        </w:r>
        <w:r>
          <w:rPr>
            <w:webHidden/>
          </w:rPr>
          <w:fldChar w:fldCharType="begin"/>
        </w:r>
        <w:r>
          <w:rPr>
            <w:webHidden/>
          </w:rPr>
          <w:instrText xml:space="preserve"> PAGEREF _Toc304371195 \h </w:instrText>
        </w:r>
        <w:r>
          <w:rPr>
            <w:webHidden/>
          </w:rPr>
          <w:fldChar w:fldCharType="separate"/>
        </w:r>
        <w:r w:rsidR="00C7626C">
          <w:rPr>
            <w:webHidden/>
          </w:rPr>
          <w:t>9</w:t>
        </w:r>
        <w:r>
          <w:rPr>
            <w:webHidden/>
          </w:rPr>
          <w:fldChar w:fldCharType="end"/>
        </w:r>
      </w:hyperlink>
    </w:p>
    <w:p w14:paraId="78F9B980" w14:textId="77777777" w:rsidR="00BA588E" w:rsidRDefault="00BA588E">
      <w:pPr>
        <w:pStyle w:val="TOC1"/>
        <w:rPr>
          <w:rFonts w:ascii="Times New Roman" w:hAnsi="Times New Roman"/>
          <w:lang w:val="en-GB" w:eastAsia="en-GB"/>
        </w:rPr>
      </w:pPr>
      <w:hyperlink w:anchor="_Toc304371196" w:history="1">
        <w:r w:rsidRPr="00EA5027">
          <w:rPr>
            <w:rStyle w:val="Hyperlink"/>
          </w:rPr>
          <w:t>Strategic Priority 1</w:t>
        </w:r>
        <w:r>
          <w:rPr>
            <w:rStyle w:val="Hyperlink"/>
          </w:rPr>
          <w:t xml:space="preserve"> T</w:t>
        </w:r>
        <w:r w:rsidRPr="00BA588E">
          <w:rPr>
            <w:rStyle w:val="Hyperlink"/>
          </w:rPr>
          <w:t>o provide support and evidence-based advice to Government Departments and Public Bodies</w:t>
        </w:r>
        <w:r>
          <w:rPr>
            <w:webHidden/>
          </w:rPr>
          <w:tab/>
        </w:r>
        <w:r>
          <w:rPr>
            <w:webHidden/>
          </w:rPr>
          <w:fldChar w:fldCharType="begin"/>
        </w:r>
        <w:r>
          <w:rPr>
            <w:webHidden/>
          </w:rPr>
          <w:instrText xml:space="preserve"> PAGEREF _Toc304371196 \h </w:instrText>
        </w:r>
        <w:r>
          <w:rPr>
            <w:webHidden/>
          </w:rPr>
          <w:fldChar w:fldCharType="separate"/>
        </w:r>
        <w:r w:rsidR="00C7626C">
          <w:rPr>
            <w:webHidden/>
          </w:rPr>
          <w:t>11</w:t>
        </w:r>
        <w:r>
          <w:rPr>
            <w:webHidden/>
          </w:rPr>
          <w:fldChar w:fldCharType="end"/>
        </w:r>
      </w:hyperlink>
    </w:p>
    <w:p w14:paraId="1F4E6DE5" w14:textId="77777777" w:rsidR="00BA588E" w:rsidRDefault="00BA588E">
      <w:pPr>
        <w:pStyle w:val="TOC1"/>
        <w:rPr>
          <w:rFonts w:ascii="Times New Roman" w:hAnsi="Times New Roman"/>
          <w:lang w:val="en-GB" w:eastAsia="en-GB"/>
        </w:rPr>
      </w:pPr>
      <w:hyperlink w:anchor="_Toc304371198" w:history="1">
        <w:r w:rsidRPr="00EA5027">
          <w:rPr>
            <w:rStyle w:val="Hyperlink"/>
          </w:rPr>
          <w:t>Strategic Priority 2</w:t>
        </w:r>
        <w:r>
          <w:rPr>
            <w:rStyle w:val="Hyperlink"/>
          </w:rPr>
          <w:t xml:space="preserve"> T</w:t>
        </w:r>
        <w:r w:rsidRPr="00BA588E">
          <w:rPr>
            <w:rStyle w:val="Hyperlink"/>
          </w:rPr>
          <w:t>o provide evidence-based policy advice to promote independence and the quality of daily life for people with disabilities across the lifecycle</w:t>
        </w:r>
        <w:r>
          <w:rPr>
            <w:webHidden/>
          </w:rPr>
          <w:tab/>
        </w:r>
        <w:r>
          <w:rPr>
            <w:webHidden/>
          </w:rPr>
          <w:fldChar w:fldCharType="begin"/>
        </w:r>
        <w:r>
          <w:rPr>
            <w:webHidden/>
          </w:rPr>
          <w:instrText xml:space="preserve"> PAGEREF _Toc304371198 \h </w:instrText>
        </w:r>
        <w:r>
          <w:rPr>
            <w:webHidden/>
          </w:rPr>
          <w:fldChar w:fldCharType="separate"/>
        </w:r>
        <w:r w:rsidR="00C7626C">
          <w:rPr>
            <w:webHidden/>
          </w:rPr>
          <w:t>20</w:t>
        </w:r>
        <w:r>
          <w:rPr>
            <w:webHidden/>
          </w:rPr>
          <w:fldChar w:fldCharType="end"/>
        </w:r>
      </w:hyperlink>
    </w:p>
    <w:p w14:paraId="1EDAB08D" w14:textId="77777777" w:rsidR="00BA588E" w:rsidRDefault="00BA588E">
      <w:pPr>
        <w:pStyle w:val="TOC1"/>
        <w:rPr>
          <w:rFonts w:ascii="Times New Roman" w:hAnsi="Times New Roman"/>
          <w:lang w:val="en-GB" w:eastAsia="en-GB"/>
        </w:rPr>
      </w:pPr>
      <w:hyperlink w:anchor="_Toc304371200" w:history="1">
        <w:r w:rsidRPr="00EA5027">
          <w:rPr>
            <w:rStyle w:val="Hyperlink"/>
          </w:rPr>
          <w:t>Strategic Priority 3</w:t>
        </w:r>
        <w:r>
          <w:rPr>
            <w:rStyle w:val="Hyperlink"/>
          </w:rPr>
          <w:t xml:space="preserve"> T</w:t>
        </w:r>
        <w:r w:rsidRPr="00BA588E">
          <w:rPr>
            <w:rStyle w:val="Hyperlink"/>
          </w:rPr>
          <w:t>o promote inclusion through accessibility and universal design</w:t>
        </w:r>
        <w:r>
          <w:rPr>
            <w:webHidden/>
          </w:rPr>
          <w:tab/>
        </w:r>
        <w:r>
          <w:rPr>
            <w:webHidden/>
          </w:rPr>
          <w:fldChar w:fldCharType="begin"/>
        </w:r>
        <w:r>
          <w:rPr>
            <w:webHidden/>
          </w:rPr>
          <w:instrText xml:space="preserve"> PAGEREF _Toc304371200 \h </w:instrText>
        </w:r>
        <w:r>
          <w:rPr>
            <w:webHidden/>
          </w:rPr>
          <w:fldChar w:fldCharType="separate"/>
        </w:r>
        <w:r w:rsidR="00C7626C">
          <w:rPr>
            <w:webHidden/>
          </w:rPr>
          <w:t>24</w:t>
        </w:r>
        <w:r>
          <w:rPr>
            <w:webHidden/>
          </w:rPr>
          <w:fldChar w:fldCharType="end"/>
        </w:r>
      </w:hyperlink>
    </w:p>
    <w:p w14:paraId="46B3DA34" w14:textId="77777777" w:rsidR="00BA588E" w:rsidRDefault="00BA588E">
      <w:pPr>
        <w:pStyle w:val="TOC1"/>
        <w:rPr>
          <w:rFonts w:ascii="Times New Roman" w:hAnsi="Times New Roman"/>
          <w:lang w:val="en-GB" w:eastAsia="en-GB"/>
        </w:rPr>
      </w:pPr>
      <w:hyperlink w:anchor="_Toc304371202" w:history="1">
        <w:r w:rsidRPr="00EA5027">
          <w:rPr>
            <w:rStyle w:val="Hyperlink"/>
          </w:rPr>
          <w:t>Strategic Priority 4</w:t>
        </w:r>
        <w:r>
          <w:rPr>
            <w:rStyle w:val="Hyperlink"/>
          </w:rPr>
          <w:t xml:space="preserve"> T</w:t>
        </w:r>
        <w:r w:rsidRPr="00BA588E">
          <w:rPr>
            <w:rStyle w:val="Hyperlink"/>
          </w:rPr>
          <w:t>o build the National Disability Authority’s capacity to deliver on its strategic goals</w:t>
        </w:r>
        <w:r>
          <w:rPr>
            <w:webHidden/>
          </w:rPr>
          <w:tab/>
        </w:r>
        <w:r>
          <w:rPr>
            <w:webHidden/>
          </w:rPr>
          <w:fldChar w:fldCharType="begin"/>
        </w:r>
        <w:r>
          <w:rPr>
            <w:webHidden/>
          </w:rPr>
          <w:instrText xml:space="preserve"> PAGEREF _Toc304371202 \h </w:instrText>
        </w:r>
        <w:r>
          <w:rPr>
            <w:webHidden/>
          </w:rPr>
          <w:fldChar w:fldCharType="separate"/>
        </w:r>
        <w:r w:rsidR="00C7626C">
          <w:rPr>
            <w:webHidden/>
          </w:rPr>
          <w:t>28</w:t>
        </w:r>
        <w:r>
          <w:rPr>
            <w:webHidden/>
          </w:rPr>
          <w:fldChar w:fldCharType="end"/>
        </w:r>
      </w:hyperlink>
    </w:p>
    <w:p w14:paraId="7CC6D394" w14:textId="77777777" w:rsidR="00BA588E" w:rsidRDefault="00BA588E">
      <w:pPr>
        <w:pStyle w:val="TOC1"/>
        <w:rPr>
          <w:rFonts w:ascii="Times New Roman" w:hAnsi="Times New Roman"/>
          <w:lang w:val="en-GB" w:eastAsia="en-GB"/>
        </w:rPr>
      </w:pPr>
      <w:hyperlink w:anchor="_Toc304371204" w:history="1">
        <w:r w:rsidRPr="00EA5027">
          <w:rPr>
            <w:rStyle w:val="Hyperlink"/>
          </w:rPr>
          <w:t>Financial Statements 2010</w:t>
        </w:r>
        <w:r>
          <w:rPr>
            <w:webHidden/>
          </w:rPr>
          <w:tab/>
        </w:r>
        <w:r>
          <w:rPr>
            <w:webHidden/>
          </w:rPr>
          <w:fldChar w:fldCharType="begin"/>
        </w:r>
        <w:r>
          <w:rPr>
            <w:webHidden/>
          </w:rPr>
          <w:instrText xml:space="preserve"> PAGEREF _Toc304371204 \h </w:instrText>
        </w:r>
        <w:r>
          <w:rPr>
            <w:webHidden/>
          </w:rPr>
          <w:fldChar w:fldCharType="separate"/>
        </w:r>
        <w:r w:rsidR="00C7626C">
          <w:rPr>
            <w:webHidden/>
          </w:rPr>
          <w:t>32</w:t>
        </w:r>
        <w:r>
          <w:rPr>
            <w:webHidden/>
          </w:rPr>
          <w:fldChar w:fldCharType="end"/>
        </w:r>
      </w:hyperlink>
    </w:p>
    <w:p w14:paraId="72AFDB09" w14:textId="77777777" w:rsidR="00BA588E" w:rsidRDefault="00BA588E">
      <w:pPr>
        <w:pStyle w:val="TOC1"/>
        <w:rPr>
          <w:rFonts w:ascii="Times New Roman" w:hAnsi="Times New Roman"/>
          <w:lang w:val="en-GB" w:eastAsia="en-GB"/>
        </w:rPr>
      </w:pPr>
      <w:hyperlink w:anchor="_Toc304371211" w:history="1">
        <w:r>
          <w:rPr>
            <w:rStyle w:val="Hyperlink"/>
          </w:rPr>
          <w:t>Appendices</w:t>
        </w:r>
        <w:r>
          <w:rPr>
            <w:webHidden/>
          </w:rPr>
          <w:tab/>
        </w:r>
        <w:r>
          <w:rPr>
            <w:webHidden/>
          </w:rPr>
          <w:fldChar w:fldCharType="begin"/>
        </w:r>
        <w:r>
          <w:rPr>
            <w:webHidden/>
          </w:rPr>
          <w:instrText xml:space="preserve"> PAGEREF _Toc304371211 \h </w:instrText>
        </w:r>
        <w:r>
          <w:rPr>
            <w:webHidden/>
          </w:rPr>
          <w:fldChar w:fldCharType="separate"/>
        </w:r>
        <w:r w:rsidR="00C7626C">
          <w:rPr>
            <w:webHidden/>
          </w:rPr>
          <w:t>59</w:t>
        </w:r>
        <w:r>
          <w:rPr>
            <w:webHidden/>
          </w:rPr>
          <w:fldChar w:fldCharType="end"/>
        </w:r>
      </w:hyperlink>
    </w:p>
    <w:p w14:paraId="5F72D54A" w14:textId="77777777" w:rsidR="00BA588E" w:rsidRDefault="00BA588E">
      <w:pPr>
        <w:pStyle w:val="TOC1"/>
        <w:rPr>
          <w:rFonts w:ascii="Times New Roman" w:hAnsi="Times New Roman"/>
          <w:lang w:val="en-GB" w:eastAsia="en-GB"/>
        </w:rPr>
      </w:pPr>
      <w:hyperlink w:anchor="_Toc304371212" w:history="1">
        <w:r w:rsidRPr="00EA5027">
          <w:rPr>
            <w:rStyle w:val="Hyperlink"/>
          </w:rPr>
          <w:t>Appendix 1: Authority and other Committees in 2010</w:t>
        </w:r>
        <w:r>
          <w:rPr>
            <w:webHidden/>
          </w:rPr>
          <w:tab/>
        </w:r>
        <w:r>
          <w:rPr>
            <w:webHidden/>
          </w:rPr>
          <w:fldChar w:fldCharType="begin"/>
        </w:r>
        <w:r>
          <w:rPr>
            <w:webHidden/>
          </w:rPr>
          <w:instrText xml:space="preserve"> PAGEREF _Toc304371212 \h </w:instrText>
        </w:r>
        <w:r>
          <w:rPr>
            <w:webHidden/>
          </w:rPr>
          <w:fldChar w:fldCharType="separate"/>
        </w:r>
        <w:r w:rsidR="00C7626C">
          <w:rPr>
            <w:webHidden/>
          </w:rPr>
          <w:t>60</w:t>
        </w:r>
        <w:r>
          <w:rPr>
            <w:webHidden/>
          </w:rPr>
          <w:fldChar w:fldCharType="end"/>
        </w:r>
      </w:hyperlink>
    </w:p>
    <w:p w14:paraId="536D5CCF" w14:textId="77777777" w:rsidR="00BA588E" w:rsidRDefault="00BA588E">
      <w:pPr>
        <w:pStyle w:val="TOC1"/>
        <w:rPr>
          <w:rFonts w:ascii="Times New Roman" w:hAnsi="Times New Roman"/>
          <w:lang w:val="en-GB" w:eastAsia="en-GB"/>
        </w:rPr>
      </w:pPr>
      <w:hyperlink w:anchor="_Toc304371213" w:history="1">
        <w:r w:rsidRPr="00EA5027">
          <w:rPr>
            <w:rStyle w:val="Hyperlink"/>
          </w:rPr>
          <w:t>Appendix 2: Representation on external bodies in 2010</w:t>
        </w:r>
        <w:r>
          <w:rPr>
            <w:webHidden/>
          </w:rPr>
          <w:tab/>
        </w:r>
        <w:r>
          <w:rPr>
            <w:webHidden/>
          </w:rPr>
          <w:fldChar w:fldCharType="begin"/>
        </w:r>
        <w:r>
          <w:rPr>
            <w:webHidden/>
          </w:rPr>
          <w:instrText xml:space="preserve"> PAGEREF _Toc304371213 \h </w:instrText>
        </w:r>
        <w:r>
          <w:rPr>
            <w:webHidden/>
          </w:rPr>
          <w:fldChar w:fldCharType="separate"/>
        </w:r>
        <w:r w:rsidR="00C7626C">
          <w:rPr>
            <w:webHidden/>
          </w:rPr>
          <w:t>61</w:t>
        </w:r>
        <w:r>
          <w:rPr>
            <w:webHidden/>
          </w:rPr>
          <w:fldChar w:fldCharType="end"/>
        </w:r>
      </w:hyperlink>
    </w:p>
    <w:p w14:paraId="258E64BE" w14:textId="77777777" w:rsidR="00BA588E" w:rsidRDefault="00BA588E">
      <w:pPr>
        <w:pStyle w:val="TOC1"/>
        <w:rPr>
          <w:rFonts w:ascii="Times New Roman" w:hAnsi="Times New Roman"/>
          <w:lang w:val="en-GB" w:eastAsia="en-GB"/>
        </w:rPr>
      </w:pPr>
      <w:hyperlink w:anchor="_Toc304371214" w:history="1">
        <w:r w:rsidRPr="00EA5027">
          <w:rPr>
            <w:rStyle w:val="Hyperlink"/>
          </w:rPr>
          <w:t>Appendix 3: Publications in 2010</w:t>
        </w:r>
        <w:r>
          <w:rPr>
            <w:webHidden/>
          </w:rPr>
          <w:tab/>
        </w:r>
        <w:r>
          <w:rPr>
            <w:webHidden/>
          </w:rPr>
          <w:fldChar w:fldCharType="begin"/>
        </w:r>
        <w:r>
          <w:rPr>
            <w:webHidden/>
          </w:rPr>
          <w:instrText xml:space="preserve"> PAGEREF _Toc304371214 \h </w:instrText>
        </w:r>
        <w:r>
          <w:rPr>
            <w:webHidden/>
          </w:rPr>
          <w:fldChar w:fldCharType="separate"/>
        </w:r>
        <w:r w:rsidR="00C7626C">
          <w:rPr>
            <w:webHidden/>
          </w:rPr>
          <w:t>64</w:t>
        </w:r>
        <w:r>
          <w:rPr>
            <w:webHidden/>
          </w:rPr>
          <w:fldChar w:fldCharType="end"/>
        </w:r>
      </w:hyperlink>
    </w:p>
    <w:p w14:paraId="62BB83F2" w14:textId="77777777" w:rsidR="00BA588E" w:rsidRDefault="00BA588E">
      <w:pPr>
        <w:pStyle w:val="TOC1"/>
        <w:rPr>
          <w:rFonts w:ascii="Times New Roman" w:hAnsi="Times New Roman"/>
          <w:lang w:val="en-GB" w:eastAsia="en-GB"/>
        </w:rPr>
      </w:pPr>
      <w:hyperlink w:anchor="_Toc304371215" w:history="1">
        <w:r w:rsidRPr="00EA5027">
          <w:rPr>
            <w:rStyle w:val="Hyperlink"/>
          </w:rPr>
          <w:t>Appendix 4: Policy advice papers in</w:t>
        </w:r>
        <w:r w:rsidRPr="00EA5027">
          <w:rPr>
            <w:rStyle w:val="Hyperlink"/>
          </w:rPr>
          <w:t xml:space="preserve"> </w:t>
        </w:r>
        <w:r w:rsidRPr="00EA5027">
          <w:rPr>
            <w:rStyle w:val="Hyperlink"/>
          </w:rPr>
          <w:t>2010</w:t>
        </w:r>
        <w:r>
          <w:rPr>
            <w:webHidden/>
          </w:rPr>
          <w:tab/>
        </w:r>
        <w:r>
          <w:rPr>
            <w:webHidden/>
          </w:rPr>
          <w:fldChar w:fldCharType="begin"/>
        </w:r>
        <w:r>
          <w:rPr>
            <w:webHidden/>
          </w:rPr>
          <w:instrText xml:space="preserve"> PAGEREF _Toc304371215 \h </w:instrText>
        </w:r>
        <w:r>
          <w:rPr>
            <w:webHidden/>
          </w:rPr>
          <w:fldChar w:fldCharType="separate"/>
        </w:r>
        <w:r w:rsidR="00C7626C">
          <w:rPr>
            <w:webHidden/>
          </w:rPr>
          <w:t>65</w:t>
        </w:r>
        <w:r>
          <w:rPr>
            <w:webHidden/>
          </w:rPr>
          <w:fldChar w:fldCharType="end"/>
        </w:r>
      </w:hyperlink>
    </w:p>
    <w:p w14:paraId="4EC1BA39" w14:textId="77777777" w:rsidR="0056124A" w:rsidRPr="002C6872" w:rsidRDefault="00B54AB4" w:rsidP="00BA588E">
      <w:pPr>
        <w:pStyle w:val="Heading1"/>
      </w:pPr>
      <w:r w:rsidRPr="002C6872">
        <w:fldChar w:fldCharType="end"/>
      </w:r>
      <w:r w:rsidR="0056124A" w:rsidRPr="002C6872">
        <w:br w:type="page"/>
      </w:r>
      <w:bookmarkStart w:id="44" w:name="_Toc299360691"/>
      <w:bookmarkStart w:id="45" w:name="_Toc299362473"/>
      <w:bookmarkStart w:id="46" w:name="_Toc299362512"/>
      <w:bookmarkStart w:id="47" w:name="_Toc300742117"/>
      <w:bookmarkStart w:id="48" w:name="_Toc300742866"/>
      <w:bookmarkStart w:id="49" w:name="_Toc300744218"/>
      <w:bookmarkStart w:id="50" w:name="_Toc304371193"/>
      <w:bookmarkStart w:id="51" w:name="_Toc304381915"/>
      <w:bookmarkStart w:id="52" w:name="_Toc304381916"/>
      <w:r w:rsidR="0056124A" w:rsidRPr="002C6872">
        <w:lastRenderedPageBreak/>
        <w:t>Chairperson's Statement</w:t>
      </w:r>
      <w:bookmarkEnd w:id="44"/>
      <w:bookmarkEnd w:id="45"/>
      <w:bookmarkEnd w:id="46"/>
      <w:bookmarkEnd w:id="47"/>
      <w:bookmarkEnd w:id="48"/>
      <w:bookmarkEnd w:id="49"/>
      <w:bookmarkEnd w:id="50"/>
      <w:bookmarkEnd w:id="51"/>
      <w:bookmarkEnd w:id="52"/>
    </w:p>
    <w:p w14:paraId="7911F857" w14:textId="77777777" w:rsidR="00BD36B7" w:rsidRPr="002C6872" w:rsidRDefault="003B7E24" w:rsidP="003B7E24">
      <w:r w:rsidRPr="002C6872">
        <w:t xml:space="preserve">I am pleased to present the Annual Report of the National Disability </w:t>
      </w:r>
      <w:r w:rsidR="00CE0E7F" w:rsidRPr="002C6872">
        <w:t>Authority</w:t>
      </w:r>
      <w:r w:rsidR="00BD36B7" w:rsidRPr="002C6872">
        <w:t xml:space="preserve"> for 2010 </w:t>
      </w:r>
      <w:r w:rsidRPr="002C6872">
        <w:t xml:space="preserve">to the Minister for </w:t>
      </w:r>
      <w:r w:rsidR="00A5066C" w:rsidRPr="002C6872">
        <w:t>Justice and Equality</w:t>
      </w:r>
      <w:r w:rsidRPr="002C6872">
        <w:t xml:space="preserve">. The </w:t>
      </w:r>
      <w:r w:rsidR="00046CF8" w:rsidRPr="002C6872">
        <w:t xml:space="preserve">National Disability </w:t>
      </w:r>
      <w:r w:rsidR="00CE0E7F" w:rsidRPr="002C6872">
        <w:t>Authority</w:t>
      </w:r>
      <w:r w:rsidRPr="002C6872">
        <w:t xml:space="preserve"> is the </w:t>
      </w:r>
      <w:r w:rsidR="00A5066C" w:rsidRPr="002C6872">
        <w:t xml:space="preserve">independent, </w:t>
      </w:r>
      <w:r w:rsidRPr="002C6872">
        <w:t xml:space="preserve">national advisory body to the Minister on disability </w:t>
      </w:r>
      <w:r w:rsidR="00652276" w:rsidRPr="002C6872">
        <w:t>issues and universal design</w:t>
      </w:r>
      <w:r w:rsidRPr="002C6872">
        <w:t xml:space="preserve"> and this report outlines its </w:t>
      </w:r>
      <w:r w:rsidR="00A5066C" w:rsidRPr="002C6872">
        <w:t>activities</w:t>
      </w:r>
      <w:r w:rsidR="00BD36B7" w:rsidRPr="002C6872">
        <w:t xml:space="preserve">. </w:t>
      </w:r>
    </w:p>
    <w:p w14:paraId="4171276D" w14:textId="77777777" w:rsidR="00072607" w:rsidRPr="002C6872" w:rsidRDefault="00072607" w:rsidP="00072607">
      <w:pPr>
        <w:spacing w:after="120"/>
      </w:pPr>
      <w:r w:rsidRPr="002C6872">
        <w:t xml:space="preserve">The current economic difficulties have impacted on the lives of people with disabilities. </w:t>
      </w:r>
      <w:r w:rsidR="00603B29" w:rsidRPr="002C6872">
        <w:t>The National Disability Authority has worked to support the achievement of continued progress under the National Disability Strategy</w:t>
      </w:r>
      <w:r w:rsidRPr="002C6872">
        <w:t xml:space="preserve">. The work of the </w:t>
      </w:r>
      <w:r w:rsidR="00046CF8" w:rsidRPr="002C6872">
        <w:t xml:space="preserve">National Disability </w:t>
      </w:r>
      <w:r w:rsidR="00CE0E7F" w:rsidRPr="002C6872">
        <w:t>Authority</w:t>
      </w:r>
      <w:r w:rsidRPr="002C6872">
        <w:t xml:space="preserve"> included:</w:t>
      </w:r>
    </w:p>
    <w:p w14:paraId="2D026A53" w14:textId="77777777" w:rsidR="00072607" w:rsidRPr="002C6872" w:rsidRDefault="00072607" w:rsidP="00072607">
      <w:pPr>
        <w:pStyle w:val="ListBullet"/>
      </w:pPr>
      <w:r w:rsidRPr="002C6872">
        <w:t xml:space="preserve">a comprehensive </w:t>
      </w:r>
      <w:r w:rsidR="00943124" w:rsidRPr="002C6872">
        <w:t>policy advice paper</w:t>
      </w:r>
      <w:r w:rsidRPr="002C6872">
        <w:t xml:space="preserve"> to the review of the operation of the Disability Act 2005</w:t>
      </w:r>
    </w:p>
    <w:p w14:paraId="50B5B0F1" w14:textId="77777777" w:rsidR="00072607" w:rsidRPr="002C6872" w:rsidRDefault="00072607" w:rsidP="00072607">
      <w:pPr>
        <w:pStyle w:val="ListBullet"/>
      </w:pPr>
      <w:r w:rsidRPr="002C6872">
        <w:t>the</w:t>
      </w:r>
      <w:r w:rsidR="00CE0E7F" w:rsidRPr="002C6872">
        <w:t xml:space="preserve"> publication of </w:t>
      </w:r>
      <w:r w:rsidR="00CE0E7F" w:rsidRPr="002C6872">
        <w:rPr>
          <w:b/>
        </w:rPr>
        <w:t xml:space="preserve">Guidelines for </w:t>
      </w:r>
      <w:r w:rsidRPr="002C6872">
        <w:rPr>
          <w:b/>
        </w:rPr>
        <w:t>Accessible Maritime Passenger Transport</w:t>
      </w:r>
    </w:p>
    <w:p w14:paraId="6551EFA1" w14:textId="77777777" w:rsidR="00072607" w:rsidRPr="002C6872" w:rsidRDefault="00072607" w:rsidP="00072607">
      <w:pPr>
        <w:pStyle w:val="ListBullet"/>
      </w:pPr>
      <w:r w:rsidRPr="002C6872">
        <w:t xml:space="preserve">the completion of a significant comparative study of disability services in six jurisdictions which fed into the </w:t>
      </w:r>
      <w:r w:rsidR="00046CF8" w:rsidRPr="002C6872">
        <w:t xml:space="preserve">National Disability </w:t>
      </w:r>
      <w:r w:rsidR="00CE0E7F" w:rsidRPr="002C6872">
        <w:t>Authority</w:t>
      </w:r>
      <w:r w:rsidRPr="002C6872">
        <w:t>’s policy advice paper to the Depa</w:t>
      </w:r>
      <w:r w:rsidR="00DC0809" w:rsidRPr="002C6872">
        <w:t>rtment of Health and Children’s</w:t>
      </w:r>
      <w:r w:rsidRPr="002C6872">
        <w:t xml:space="preserve"> Value for Money and Policy Review of HSE-funded Disability Serv</w:t>
      </w:r>
      <w:r w:rsidR="00DC0809" w:rsidRPr="002C6872">
        <w:t>ices</w:t>
      </w:r>
    </w:p>
    <w:p w14:paraId="1362EAC7" w14:textId="77777777" w:rsidR="00072607" w:rsidRPr="002C6872" w:rsidRDefault="00072607" w:rsidP="00072607">
      <w:pPr>
        <w:pStyle w:val="ListBullet"/>
      </w:pPr>
      <w:r w:rsidRPr="002C6872">
        <w:t xml:space="preserve">participating in the HSE's Working Group on </w:t>
      </w:r>
      <w:r w:rsidR="004D3E46" w:rsidRPr="002C6872">
        <w:t>C</w:t>
      </w:r>
      <w:r w:rsidRPr="002C6872">
        <w:t xml:space="preserve">ongregated </w:t>
      </w:r>
      <w:r w:rsidR="004D3E46" w:rsidRPr="002C6872">
        <w:t>S</w:t>
      </w:r>
      <w:r w:rsidRPr="002C6872">
        <w:t>ettings (residential institutions)</w:t>
      </w:r>
    </w:p>
    <w:p w14:paraId="54D58E5D" w14:textId="77777777" w:rsidR="00072607" w:rsidRPr="002C6872" w:rsidRDefault="00072607" w:rsidP="00072607">
      <w:pPr>
        <w:pStyle w:val="ListBullet"/>
      </w:pPr>
      <w:r w:rsidRPr="002C6872">
        <w:t>supporting and advising public sector bodies in meeting their accessibility obligations under the Disability Act, and on the requirement to employ 3% of staff with disabilities</w:t>
      </w:r>
    </w:p>
    <w:p w14:paraId="1FC356DC" w14:textId="77777777" w:rsidR="00072607" w:rsidRPr="002C6872" w:rsidRDefault="00072607" w:rsidP="00072607">
      <w:pPr>
        <w:pStyle w:val="ListBullet"/>
      </w:pPr>
      <w:r w:rsidRPr="002C6872">
        <w:t xml:space="preserve">raising awareness of universal design with key stakeholders from industry, </w:t>
      </w:r>
      <w:proofErr w:type="gramStart"/>
      <w:r w:rsidRPr="002C6872">
        <w:t>business</w:t>
      </w:r>
      <w:proofErr w:type="gramEnd"/>
      <w:r w:rsidRPr="002C6872">
        <w:t xml:space="preserve"> and education; holding the second 24</w:t>
      </w:r>
      <w:r w:rsidR="0057631B" w:rsidRPr="002C6872">
        <w:t xml:space="preserve"> H</w:t>
      </w:r>
      <w:r w:rsidRPr="002C6872">
        <w:t xml:space="preserve">our Design Challenge in </w:t>
      </w:r>
      <w:smartTag w:uri="urn:schemas-microsoft-com:office:smarttags" w:element="country-region">
        <w:smartTag w:uri="urn:schemas-microsoft-com:office:smarttags" w:element="place">
          <w:r w:rsidRPr="002C6872">
            <w:t>Ireland</w:t>
          </w:r>
        </w:smartTag>
      </w:smartTag>
      <w:r w:rsidRPr="002C6872">
        <w:t>; and a key European conference</w:t>
      </w:r>
    </w:p>
    <w:p w14:paraId="23E7FDEE" w14:textId="77777777" w:rsidR="00072607" w:rsidRPr="002C6872" w:rsidRDefault="00072607" w:rsidP="00072607">
      <w:pPr>
        <w:pStyle w:val="ListBullet"/>
      </w:pPr>
      <w:r w:rsidRPr="002C6872">
        <w:t>the production of key outcome indicators to measure the practical impact of the National Disability Strategy on the lives of people with disabilities and</w:t>
      </w:r>
    </w:p>
    <w:p w14:paraId="16055C4B" w14:textId="77777777" w:rsidR="00072607" w:rsidRPr="002C6872" w:rsidRDefault="00072607" w:rsidP="00072607">
      <w:pPr>
        <w:pStyle w:val="ListBullet"/>
      </w:pPr>
      <w:r w:rsidRPr="002C6872">
        <w:t>the development of an eLearning tool to provide Disability Equality Training to public sector staff</w:t>
      </w:r>
    </w:p>
    <w:p w14:paraId="66B27200" w14:textId="77777777" w:rsidR="00770B1D" w:rsidRPr="002C6872" w:rsidRDefault="004967CA" w:rsidP="00072607">
      <w:pPr>
        <w:pStyle w:val="ListBullet"/>
        <w:numPr>
          <w:ilvl w:val="0"/>
          <w:numId w:val="0"/>
        </w:numPr>
        <w:spacing w:before="300"/>
      </w:pPr>
      <w:r w:rsidRPr="002C6872">
        <w:t xml:space="preserve">The year </w:t>
      </w:r>
      <w:r w:rsidR="00A5066C" w:rsidRPr="002C6872">
        <w:t xml:space="preserve">also </w:t>
      </w:r>
      <w:r w:rsidRPr="002C6872">
        <w:t>marked the 10</w:t>
      </w:r>
      <w:r w:rsidRPr="002C6872">
        <w:rPr>
          <w:vertAlign w:val="superscript"/>
        </w:rPr>
        <w:t>th</w:t>
      </w:r>
      <w:r w:rsidRPr="002C6872">
        <w:t xml:space="preserve"> anniversary of the</w:t>
      </w:r>
      <w:r w:rsidR="00046CF8" w:rsidRPr="002C6872">
        <w:t xml:space="preserve"> National Disability</w:t>
      </w:r>
      <w:r w:rsidRPr="002C6872">
        <w:t xml:space="preserve"> </w:t>
      </w:r>
      <w:r w:rsidR="00CE0E7F" w:rsidRPr="002C6872">
        <w:t>Authority</w:t>
      </w:r>
      <w:r w:rsidRPr="002C6872">
        <w:t xml:space="preserve">’s establishment on 12 June 2000. </w:t>
      </w:r>
      <w:r w:rsidR="007311C7" w:rsidRPr="002C6872">
        <w:t xml:space="preserve">The </w:t>
      </w:r>
      <w:r w:rsidR="00046CF8" w:rsidRPr="002C6872">
        <w:t xml:space="preserve">National Disability </w:t>
      </w:r>
      <w:r w:rsidR="007311C7" w:rsidRPr="002C6872">
        <w:t>Authority</w:t>
      </w:r>
      <w:r w:rsidRPr="002C6872">
        <w:t xml:space="preserve"> </w:t>
      </w:r>
      <w:r w:rsidR="007311C7" w:rsidRPr="002C6872">
        <w:t>will be publishing</w:t>
      </w:r>
      <w:r w:rsidRPr="002C6872">
        <w:t xml:space="preserve"> another document that outlines the origins of the </w:t>
      </w:r>
      <w:r w:rsidR="00046CF8" w:rsidRPr="002C6872">
        <w:t xml:space="preserve">National Disability </w:t>
      </w:r>
      <w:r w:rsidR="00CE0E7F" w:rsidRPr="002C6872">
        <w:t>Authority</w:t>
      </w:r>
      <w:r w:rsidRPr="002C6872">
        <w:t xml:space="preserve"> and reflects its work and achievements during the first decade of the 21</w:t>
      </w:r>
      <w:r w:rsidRPr="002C6872">
        <w:rPr>
          <w:vertAlign w:val="superscript"/>
        </w:rPr>
        <w:t>st</w:t>
      </w:r>
      <w:r w:rsidRPr="002C6872">
        <w:t xml:space="preserve"> century</w:t>
      </w:r>
      <w:r w:rsidR="00770B1D" w:rsidRPr="002C6872">
        <w:t xml:space="preserve">. </w:t>
      </w:r>
    </w:p>
    <w:p w14:paraId="66CC5226" w14:textId="77777777" w:rsidR="004967CA" w:rsidRPr="002C6872" w:rsidRDefault="004967CA" w:rsidP="00072607">
      <w:pPr>
        <w:spacing w:after="120"/>
      </w:pPr>
      <w:r w:rsidRPr="002C6872">
        <w:t xml:space="preserve">In March 2010, the </w:t>
      </w:r>
      <w:r w:rsidR="00046CF8" w:rsidRPr="002C6872">
        <w:t xml:space="preserve">National Disability </w:t>
      </w:r>
      <w:r w:rsidR="00CE0E7F" w:rsidRPr="002C6872">
        <w:t>Authority</w:t>
      </w:r>
      <w:r w:rsidRPr="002C6872">
        <w:t xml:space="preserve"> launched its fourth Strategic Plan covering the three years from 2010-2012</w:t>
      </w:r>
      <w:r w:rsidRPr="002C6872">
        <w:rPr>
          <w:rStyle w:val="FootnoteReference"/>
        </w:rPr>
        <w:footnoteReference w:id="1"/>
      </w:r>
      <w:r w:rsidRPr="002C6872">
        <w:t xml:space="preserve">. The </w:t>
      </w:r>
      <w:r w:rsidR="00484C47" w:rsidRPr="002C6872">
        <w:t xml:space="preserve">Strategic </w:t>
      </w:r>
      <w:r w:rsidRPr="002C6872">
        <w:t xml:space="preserve">Plan reflects the priorities of those stakeholders with whom the </w:t>
      </w:r>
      <w:r w:rsidR="00046CF8" w:rsidRPr="002C6872">
        <w:t xml:space="preserve">National Disability </w:t>
      </w:r>
      <w:r w:rsidR="00CE0E7F" w:rsidRPr="002C6872">
        <w:t xml:space="preserve">Authority </w:t>
      </w:r>
      <w:r w:rsidRPr="002C6872">
        <w:t>engages. The priorities are therefore focused on:</w:t>
      </w:r>
    </w:p>
    <w:p w14:paraId="47786813" w14:textId="77777777" w:rsidR="004967CA" w:rsidRPr="002C6872" w:rsidRDefault="00DC0809" w:rsidP="004967CA">
      <w:pPr>
        <w:pStyle w:val="ListBullet"/>
      </w:pPr>
      <w:r w:rsidRPr="002C6872">
        <w:t>s</w:t>
      </w:r>
      <w:r w:rsidR="004967CA" w:rsidRPr="002C6872">
        <w:t>upport to implement the National Disability Strategy</w:t>
      </w:r>
    </w:p>
    <w:p w14:paraId="713D8CCC" w14:textId="77777777" w:rsidR="004967CA" w:rsidRPr="002C6872" w:rsidRDefault="00DC0809" w:rsidP="004967CA">
      <w:pPr>
        <w:pStyle w:val="ListBullet"/>
      </w:pPr>
      <w:r w:rsidRPr="002C6872">
        <w:t>a</w:t>
      </w:r>
      <w:r w:rsidR="004967CA" w:rsidRPr="002C6872">
        <w:t>dvice to promote independence and the qu</w:t>
      </w:r>
      <w:r w:rsidRPr="002C6872">
        <w:t xml:space="preserve">ality of daily life for </w:t>
      </w:r>
      <w:proofErr w:type="gramStart"/>
      <w:r w:rsidRPr="002C6872">
        <w:t xml:space="preserve">people  </w:t>
      </w:r>
      <w:r w:rsidR="004967CA" w:rsidRPr="002C6872">
        <w:t>with</w:t>
      </w:r>
      <w:proofErr w:type="gramEnd"/>
      <w:r w:rsidR="004967CA" w:rsidRPr="002C6872">
        <w:t xml:space="preserve"> disabilities</w:t>
      </w:r>
    </w:p>
    <w:p w14:paraId="614F5D87" w14:textId="77777777" w:rsidR="004967CA" w:rsidRPr="002C6872" w:rsidRDefault="00DC0809" w:rsidP="004967CA">
      <w:pPr>
        <w:pStyle w:val="ListBullet"/>
      </w:pPr>
      <w:r w:rsidRPr="002C6872">
        <w:t>p</w:t>
      </w:r>
      <w:r w:rsidR="004967CA" w:rsidRPr="002C6872">
        <w:t>romoting an accessible environment and Universal Design</w:t>
      </w:r>
    </w:p>
    <w:p w14:paraId="3CC3E1C7" w14:textId="77777777" w:rsidR="004967CA" w:rsidRPr="002C6872" w:rsidRDefault="00DC0809" w:rsidP="004967CA">
      <w:pPr>
        <w:pStyle w:val="ListBullet"/>
      </w:pPr>
      <w:r w:rsidRPr="002C6872">
        <w:t>bu</w:t>
      </w:r>
      <w:r w:rsidR="004967CA" w:rsidRPr="002C6872">
        <w:t xml:space="preserve">ilding </w:t>
      </w:r>
      <w:r w:rsidRPr="002C6872">
        <w:t xml:space="preserve">the </w:t>
      </w:r>
      <w:r w:rsidR="00046CF8" w:rsidRPr="002C6872">
        <w:t xml:space="preserve">National Disability </w:t>
      </w:r>
      <w:r w:rsidR="00CE0E7F" w:rsidRPr="002C6872">
        <w:t>Authority</w:t>
      </w:r>
      <w:r w:rsidR="004967CA" w:rsidRPr="002C6872">
        <w:t>’s capacity to deliver on it</w:t>
      </w:r>
      <w:r w:rsidRPr="002C6872">
        <w:t>s</w:t>
      </w:r>
      <w:r w:rsidR="004967CA" w:rsidRPr="002C6872">
        <w:t xml:space="preserve"> strategic goals</w:t>
      </w:r>
    </w:p>
    <w:p w14:paraId="41B9720C" w14:textId="77777777" w:rsidR="00E15D81" w:rsidRPr="002C6872" w:rsidRDefault="00072607" w:rsidP="00444647">
      <w:r w:rsidRPr="002C6872">
        <w:lastRenderedPageBreak/>
        <w:t xml:space="preserve">As for many others in the public service 2010 was a challenging year. There were further reductions in staff. To this end much of the focus during the year was placed on ensuring flexibility of resources and </w:t>
      </w:r>
      <w:r w:rsidR="00DC0809" w:rsidRPr="002C6872">
        <w:t>on the</w:t>
      </w:r>
      <w:r w:rsidRPr="002C6872">
        <w:t xml:space="preserve"> </w:t>
      </w:r>
      <w:r w:rsidR="004D3E46" w:rsidRPr="002C6872">
        <w:t xml:space="preserve">appropriate </w:t>
      </w:r>
      <w:r w:rsidRPr="002C6872">
        <w:t>deployment of skills</w:t>
      </w:r>
      <w:r w:rsidR="00D05BA4" w:rsidRPr="002C6872">
        <w:t>,</w:t>
      </w:r>
      <w:r w:rsidRPr="002C6872">
        <w:t xml:space="preserve"> across the organisation to </w:t>
      </w:r>
      <w:proofErr w:type="gramStart"/>
      <w:r w:rsidRPr="002C6872">
        <w:t xml:space="preserve">effectively and efficiently deliver the remit of the </w:t>
      </w:r>
      <w:r w:rsidR="00046CF8" w:rsidRPr="002C6872">
        <w:t xml:space="preserve">National Disability </w:t>
      </w:r>
      <w:r w:rsidR="00CE0E7F" w:rsidRPr="002C6872">
        <w:t>Authority</w:t>
      </w:r>
      <w:proofErr w:type="gramEnd"/>
      <w:r w:rsidRPr="002C6872">
        <w:t>. Emphasis was also placed on achieving further efficiencies and value for money throughout all operations.</w:t>
      </w:r>
    </w:p>
    <w:p w14:paraId="02591FA3" w14:textId="77777777" w:rsidR="003B7E24" w:rsidRPr="002C6872" w:rsidRDefault="003B7E24" w:rsidP="003B7E24">
      <w:r w:rsidRPr="002C6872">
        <w:t xml:space="preserve">I would like to thank </w:t>
      </w:r>
      <w:r w:rsidR="00A5066C" w:rsidRPr="002C6872">
        <w:t xml:space="preserve">the officials in </w:t>
      </w:r>
      <w:r w:rsidRPr="002C6872">
        <w:t xml:space="preserve">the </w:t>
      </w:r>
      <w:r w:rsidR="00A5066C" w:rsidRPr="002C6872">
        <w:t xml:space="preserve">former </w:t>
      </w:r>
      <w:r w:rsidRPr="002C6872">
        <w:t>Department</w:t>
      </w:r>
      <w:r w:rsidR="004967CA" w:rsidRPr="002C6872">
        <w:t>s</w:t>
      </w:r>
      <w:r w:rsidRPr="002C6872">
        <w:t xml:space="preserve"> of Justice, Equality and Law Reform </w:t>
      </w:r>
      <w:r w:rsidR="004967CA" w:rsidRPr="002C6872">
        <w:t>and Co</w:t>
      </w:r>
      <w:r w:rsidR="00935B22" w:rsidRPr="002C6872">
        <w:t>mmunity, Equality and Gaeltacht</w:t>
      </w:r>
      <w:r w:rsidR="004967CA" w:rsidRPr="002C6872">
        <w:t xml:space="preserve"> Affairs </w:t>
      </w:r>
      <w:r w:rsidRPr="002C6872">
        <w:t>for their support throughout t</w:t>
      </w:r>
      <w:r w:rsidR="00A5066C" w:rsidRPr="002C6872">
        <w:t xml:space="preserve">he year; </w:t>
      </w:r>
      <w:proofErr w:type="gramStart"/>
      <w:r w:rsidRPr="002C6872">
        <w:t>in particular the</w:t>
      </w:r>
      <w:proofErr w:type="gramEnd"/>
      <w:r w:rsidRPr="002C6872">
        <w:t xml:space="preserve"> staff of the Disability Equality Unit</w:t>
      </w:r>
      <w:r w:rsidR="004967CA" w:rsidRPr="002C6872">
        <w:t xml:space="preserve"> (later the Disability Policy Division)</w:t>
      </w:r>
      <w:r w:rsidRPr="002C6872">
        <w:t xml:space="preserve">, as well as the staff of the </w:t>
      </w:r>
      <w:r w:rsidR="00935B22" w:rsidRPr="002C6872">
        <w:t>Financial Shared Services</w:t>
      </w:r>
      <w:r w:rsidRPr="002C6872">
        <w:t xml:space="preserve"> unit and the shared IT services.</w:t>
      </w:r>
      <w:r w:rsidR="00653EB2" w:rsidRPr="002C6872">
        <w:t xml:space="preserve"> </w:t>
      </w:r>
      <w:r w:rsidRPr="002C6872">
        <w:t xml:space="preserve">I would also like to thank those groups which provided advice and oversight on individual projects. </w:t>
      </w:r>
    </w:p>
    <w:p w14:paraId="301F6B8F" w14:textId="77777777" w:rsidR="00653EB2" w:rsidRPr="002C6872" w:rsidRDefault="00652276" w:rsidP="00652276">
      <w:r w:rsidRPr="002C6872">
        <w:t xml:space="preserve">In </w:t>
      </w:r>
      <w:r w:rsidR="004D3E46" w:rsidRPr="002C6872">
        <w:t xml:space="preserve">the </w:t>
      </w:r>
      <w:r w:rsidRPr="002C6872">
        <w:t xml:space="preserve">Annual Report </w:t>
      </w:r>
      <w:r w:rsidR="00A5066C" w:rsidRPr="002C6872">
        <w:t>2009</w:t>
      </w:r>
      <w:r w:rsidR="004D3E46" w:rsidRPr="002C6872">
        <w:t>,</w:t>
      </w:r>
      <w:r w:rsidR="00A5066C" w:rsidRPr="002C6872">
        <w:t xml:space="preserve"> </w:t>
      </w:r>
      <w:r w:rsidRPr="002C6872">
        <w:t xml:space="preserve">I paid due tribute to the members of the previous </w:t>
      </w:r>
      <w:r w:rsidR="00CE0E7F" w:rsidRPr="002C6872">
        <w:t>Authority</w:t>
      </w:r>
      <w:r w:rsidRPr="002C6872">
        <w:t xml:space="preserve">. </w:t>
      </w:r>
      <w:r w:rsidR="00A5066C" w:rsidRPr="002C6872">
        <w:t xml:space="preserve">I </w:t>
      </w:r>
      <w:r w:rsidR="00805265" w:rsidRPr="002C6872">
        <w:t>take this opportunity to</w:t>
      </w:r>
      <w:r w:rsidR="00A5066C" w:rsidRPr="002C6872">
        <w:t xml:space="preserve"> </w:t>
      </w:r>
      <w:r w:rsidR="007311C7" w:rsidRPr="002C6872">
        <w:t xml:space="preserve">thank the current Authority for its work during its </w:t>
      </w:r>
      <w:r w:rsidR="00653EB2" w:rsidRPr="002C6872">
        <w:t xml:space="preserve">first </w:t>
      </w:r>
      <w:r w:rsidR="007311C7" w:rsidRPr="002C6872">
        <w:t>full year in office</w:t>
      </w:r>
      <w:r w:rsidR="00D537ED" w:rsidRPr="002C6872">
        <w:t xml:space="preserve">, </w:t>
      </w:r>
      <w:proofErr w:type="gramStart"/>
      <w:r w:rsidR="00D537ED" w:rsidRPr="002C6872">
        <w:t>and also</w:t>
      </w:r>
      <w:proofErr w:type="gramEnd"/>
      <w:r w:rsidR="00D537ED" w:rsidRPr="002C6872">
        <w:t xml:space="preserve"> the</w:t>
      </w:r>
      <w:r w:rsidR="00D05BA4" w:rsidRPr="002C6872">
        <w:t xml:space="preserve"> members of the Finance and </w:t>
      </w:r>
      <w:r w:rsidR="00D537ED" w:rsidRPr="002C6872">
        <w:t>Audit committees.</w:t>
      </w:r>
      <w:r w:rsidR="007311C7" w:rsidRPr="002C6872">
        <w:t xml:space="preserve"> </w:t>
      </w:r>
    </w:p>
    <w:p w14:paraId="406E2165" w14:textId="77777777" w:rsidR="00652276" w:rsidRPr="002C6872" w:rsidRDefault="00653EB2" w:rsidP="00652276">
      <w:r w:rsidRPr="002C6872">
        <w:t xml:space="preserve">I would like </w:t>
      </w:r>
      <w:r w:rsidR="007311C7" w:rsidRPr="002C6872">
        <w:t xml:space="preserve">to </w:t>
      </w:r>
      <w:r w:rsidR="00A5066C" w:rsidRPr="002C6872">
        <w:t>recognise t</w:t>
      </w:r>
      <w:r w:rsidR="00652276" w:rsidRPr="002C6872">
        <w:t xml:space="preserve">he dedication, </w:t>
      </w:r>
      <w:proofErr w:type="gramStart"/>
      <w:r w:rsidR="00652276" w:rsidRPr="002C6872">
        <w:t>enthusiasm</w:t>
      </w:r>
      <w:proofErr w:type="gramEnd"/>
      <w:r w:rsidR="00652276" w:rsidRPr="002C6872">
        <w:t xml:space="preserve"> and expertise of </w:t>
      </w:r>
      <w:r w:rsidR="00CE0E7F" w:rsidRPr="002C6872">
        <w:t xml:space="preserve">the </w:t>
      </w:r>
      <w:r w:rsidR="00046CF8" w:rsidRPr="002C6872">
        <w:t xml:space="preserve">National Disability </w:t>
      </w:r>
      <w:r w:rsidR="00CE0E7F" w:rsidRPr="002C6872">
        <w:t>Authority</w:t>
      </w:r>
      <w:r w:rsidR="00652276" w:rsidRPr="002C6872">
        <w:t xml:space="preserve"> staff throughout its first </w:t>
      </w:r>
      <w:r w:rsidR="00A5066C" w:rsidRPr="002C6872">
        <w:t>decade</w:t>
      </w:r>
      <w:r w:rsidR="00652276" w:rsidRPr="002C6872">
        <w:t xml:space="preserve">. I have no doubt that they will continue to </w:t>
      </w:r>
      <w:r w:rsidRPr="002C6872">
        <w:t xml:space="preserve">work </w:t>
      </w:r>
      <w:r w:rsidR="00D05BA4" w:rsidRPr="002C6872">
        <w:t>committedly to</w:t>
      </w:r>
      <w:r w:rsidRPr="002C6872">
        <w:t xml:space="preserve"> </w:t>
      </w:r>
      <w:r w:rsidR="00652276" w:rsidRPr="002C6872">
        <w:t>provid</w:t>
      </w:r>
      <w:r w:rsidR="00D05BA4" w:rsidRPr="002C6872">
        <w:t>e</w:t>
      </w:r>
      <w:r w:rsidR="00652276" w:rsidRPr="002C6872">
        <w:t xml:space="preserve"> quality information and advice to Government to guide policy and practice for people with disabilities. </w:t>
      </w:r>
    </w:p>
    <w:p w14:paraId="5C04055E" w14:textId="77777777" w:rsidR="003B7E24" w:rsidRPr="002C6872" w:rsidRDefault="003B7E24" w:rsidP="003B7E24">
      <w:r w:rsidRPr="002C6872">
        <w:t xml:space="preserve">Peter </w:t>
      </w:r>
      <w:proofErr w:type="spellStart"/>
      <w:r w:rsidRPr="002C6872">
        <w:t>McKevitt</w:t>
      </w:r>
      <w:proofErr w:type="spellEnd"/>
      <w:r w:rsidRPr="002C6872">
        <w:br/>
        <w:t>Chairperson</w:t>
      </w:r>
      <w:r w:rsidRPr="002C6872">
        <w:br/>
        <w:t xml:space="preserve">National Disability </w:t>
      </w:r>
      <w:r w:rsidR="00CE0E7F" w:rsidRPr="002C6872">
        <w:t>Authority</w:t>
      </w:r>
    </w:p>
    <w:p w14:paraId="214ED3A6" w14:textId="77777777" w:rsidR="00BA588E" w:rsidRDefault="0056124A" w:rsidP="00BA588E">
      <w:pPr>
        <w:pStyle w:val="Heading1"/>
      </w:pPr>
      <w:r w:rsidRPr="002C6872">
        <w:br w:type="page"/>
      </w:r>
      <w:bookmarkStart w:id="53" w:name="_Toc299360692"/>
      <w:bookmarkStart w:id="54" w:name="_Toc299362474"/>
      <w:bookmarkStart w:id="55" w:name="_Toc299362513"/>
      <w:bookmarkStart w:id="56" w:name="_Toc300742118"/>
      <w:bookmarkStart w:id="57" w:name="_Toc300742867"/>
      <w:bookmarkStart w:id="58" w:name="_Toc300744219"/>
      <w:bookmarkStart w:id="59" w:name="_Toc304371194"/>
      <w:bookmarkStart w:id="60" w:name="_Toc304381917"/>
      <w:r w:rsidR="00BA588E">
        <w:lastRenderedPageBreak/>
        <w:t>Director’s</w:t>
      </w:r>
      <w:r w:rsidR="00BA588E" w:rsidRPr="002C6872">
        <w:t xml:space="preserve"> Statement</w:t>
      </w:r>
      <w:bookmarkEnd w:id="59"/>
      <w:bookmarkEnd w:id="60"/>
    </w:p>
    <w:p w14:paraId="681A3B61" w14:textId="77777777" w:rsidR="00BA588E" w:rsidRPr="00815DA6" w:rsidRDefault="00BA588E" w:rsidP="00BA588E">
      <w:r w:rsidRPr="00815DA6">
        <w:t xml:space="preserve">The National Disability Authority delivered a full work programme in 2010 under the first year of our current </w:t>
      </w:r>
      <w:proofErr w:type="gramStart"/>
      <w:r w:rsidRPr="00815DA6">
        <w:t>three year</w:t>
      </w:r>
      <w:proofErr w:type="gramEnd"/>
      <w:r w:rsidRPr="00815DA6">
        <w:t xml:space="preserve"> Strategic Plan. The focus of our work has been on supporting continued implementation of the National Disability Strategy; independent living in the community; and promoting the accessibility of goods, </w:t>
      </w:r>
      <w:proofErr w:type="gramStart"/>
      <w:r w:rsidRPr="00815DA6">
        <w:t>services</w:t>
      </w:r>
      <w:proofErr w:type="gramEnd"/>
      <w:r w:rsidRPr="00815DA6">
        <w:t xml:space="preserve"> and places, in particular through the principle of universal design. </w:t>
      </w:r>
    </w:p>
    <w:p w14:paraId="5164DB4B" w14:textId="77777777" w:rsidR="00BA588E" w:rsidRPr="00815DA6" w:rsidRDefault="00BA588E" w:rsidP="00BA588E">
      <w:r w:rsidRPr="00815DA6">
        <w:t xml:space="preserve">A major suite of work for the year was the Authority’s policy advice to the Department of Health and Children’s Value for Money and Policy Review of Disability Services. This was informed by a programme of research, and by consultation with individuals with disabilities and others at the frontline. This work identified policies and systems that could deliver better quality of life outcomes for people with disabilities, using available funding to best effect.   </w:t>
      </w:r>
    </w:p>
    <w:p w14:paraId="253DAB08" w14:textId="77777777" w:rsidR="00BA588E" w:rsidRPr="00815DA6" w:rsidRDefault="00BA588E" w:rsidP="00BA588E">
      <w:r w:rsidRPr="00815DA6">
        <w:t xml:space="preserve">2010 marked the tenth year of the </w:t>
      </w:r>
      <w:r>
        <w:t>National Disability Authority</w:t>
      </w:r>
      <w:r w:rsidRPr="00815DA6">
        <w:t xml:space="preserve">. Over this decade, the NDA has been an important resource to advise and guide the Minister, Government </w:t>
      </w:r>
      <w:proofErr w:type="gramStart"/>
      <w:r w:rsidRPr="00815DA6">
        <w:t>Departments</w:t>
      </w:r>
      <w:proofErr w:type="gramEnd"/>
      <w:r w:rsidRPr="00815DA6">
        <w:t xml:space="preserve"> and state agencies in delivering inclusive services, and in promoting inclusion and participation of people with disabilities in Irish society. Our work on transport, the built environment, IT accessibility, employment, housing, </w:t>
      </w:r>
      <w:proofErr w:type="gramStart"/>
      <w:r w:rsidRPr="00815DA6">
        <w:t>health</w:t>
      </w:r>
      <w:proofErr w:type="gramEnd"/>
      <w:r w:rsidRPr="00815DA6">
        <w:t xml:space="preserve"> and social services, has helped to guide on practical improvements and policy direction across key issues affecting the quality of daily life of people with disabilities. </w:t>
      </w:r>
      <w:r>
        <w:t xml:space="preserve">Our work on universal design is breaking new ground. </w:t>
      </w:r>
    </w:p>
    <w:p w14:paraId="49D72321" w14:textId="77777777" w:rsidR="00BA588E" w:rsidRPr="00815DA6" w:rsidRDefault="00BA588E" w:rsidP="00BA588E">
      <w:r w:rsidRPr="00815DA6">
        <w:t xml:space="preserve">Our advice and guidance </w:t>
      </w:r>
      <w:proofErr w:type="gramStart"/>
      <w:r w:rsidRPr="00815DA6">
        <w:t>is</w:t>
      </w:r>
      <w:proofErr w:type="gramEnd"/>
      <w:r w:rsidRPr="00815DA6">
        <w:t xml:space="preserve"> informed by research evidence, and by engagement with people with disabilities. The </w:t>
      </w:r>
      <w:r>
        <w:t>National Disability Authority</w:t>
      </w:r>
      <w:r w:rsidRPr="00815DA6">
        <w:t xml:space="preserve"> takes the learning from on the ground experience and the contributions of </w:t>
      </w:r>
      <w:r>
        <w:t xml:space="preserve">the </w:t>
      </w:r>
      <w:r w:rsidRPr="00815DA6">
        <w:t xml:space="preserve">many who participate in our seminars, </w:t>
      </w:r>
      <w:proofErr w:type="gramStart"/>
      <w:r w:rsidRPr="00815DA6">
        <w:t>workshops</w:t>
      </w:r>
      <w:proofErr w:type="gramEnd"/>
      <w:r w:rsidRPr="00815DA6">
        <w:t xml:space="preserve"> and conferences.</w:t>
      </w:r>
    </w:p>
    <w:p w14:paraId="5D6B7EEE" w14:textId="77777777" w:rsidR="00BA588E" w:rsidRPr="00815DA6" w:rsidRDefault="00BA588E" w:rsidP="00BA588E">
      <w:r w:rsidRPr="00815DA6">
        <w:t xml:space="preserve">The </w:t>
      </w:r>
      <w:r>
        <w:t>National Disability Authority</w:t>
      </w:r>
      <w:r w:rsidRPr="00815DA6">
        <w:t xml:space="preserve">’s way of working is one of collaboration and partnership, developing a shared understanding about disability, and practical measures to promote the inclusion of people with disabilities. Constructive partnership with individual Departments and state agencies has enabled the </w:t>
      </w:r>
      <w:r>
        <w:t xml:space="preserve">National Disability Authority </w:t>
      </w:r>
      <w:r w:rsidRPr="00815DA6">
        <w:t xml:space="preserve">to give strategic advice and guidance where it is required. The development of </w:t>
      </w:r>
      <w:r w:rsidRPr="002C6872">
        <w:rPr>
          <w:b/>
        </w:rPr>
        <w:t>Guidelines for Accessible Maritime Passenger Transport</w:t>
      </w:r>
      <w:r w:rsidRPr="00815DA6">
        <w:t xml:space="preserve">, working in partnership with the Department of Transport, with marine transport operators and with disability organisations is an example of this in practice in 2010. The </w:t>
      </w:r>
      <w:r>
        <w:t xml:space="preserve">National Disability Authority also </w:t>
      </w:r>
      <w:r w:rsidRPr="00815DA6">
        <w:t>partnered with the HSE’s Crisis Pregnancy Programme on research on pregnancy for women with intellectual disabilities.</w:t>
      </w:r>
    </w:p>
    <w:p w14:paraId="7FF15769" w14:textId="77777777" w:rsidR="00BA588E" w:rsidRPr="00815DA6" w:rsidRDefault="00BA588E" w:rsidP="00BA588E">
      <w:r w:rsidRPr="00815DA6">
        <w:t xml:space="preserve">Through membership of various working groups and </w:t>
      </w:r>
      <w:proofErr w:type="gramStart"/>
      <w:r w:rsidRPr="00815DA6">
        <w:t xml:space="preserve">committees, </w:t>
      </w:r>
      <w:r w:rsidRPr="003D5AC8">
        <w:t xml:space="preserve"> </w:t>
      </w:r>
      <w:r>
        <w:t>National</w:t>
      </w:r>
      <w:proofErr w:type="gramEnd"/>
      <w:r>
        <w:t xml:space="preserve"> Disability Authority</w:t>
      </w:r>
      <w:r w:rsidRPr="00815DA6">
        <w:t xml:space="preserve"> staff work to ensure that the disability perspective is incorporated in deliberations and to identify practical solutions. The </w:t>
      </w:r>
      <w:r>
        <w:t xml:space="preserve">National Disability Authority </w:t>
      </w:r>
      <w:r w:rsidRPr="00815DA6">
        <w:t xml:space="preserve">input to the HSE Working Group on Congregated Settings in 2010 was informed by </w:t>
      </w:r>
      <w:r>
        <w:t xml:space="preserve">National Disability Authority </w:t>
      </w:r>
      <w:r w:rsidRPr="00815DA6">
        <w:t xml:space="preserve">research on quality of life in the community versus in institutions, and in dispersed rather than in clustered settings. </w:t>
      </w:r>
    </w:p>
    <w:p w14:paraId="68B34703" w14:textId="77777777" w:rsidR="00BA588E" w:rsidRPr="00815DA6" w:rsidRDefault="00BA588E" w:rsidP="00BA588E">
      <w:r w:rsidRPr="00815DA6">
        <w:t xml:space="preserve">2010 was also a year in which we moved from under the aegis of the Department of Justice, Equality and Law Reform to the Department of Community, </w:t>
      </w:r>
      <w:proofErr w:type="gramStart"/>
      <w:r w:rsidRPr="00815DA6">
        <w:t>Gaeltacht</w:t>
      </w:r>
      <w:proofErr w:type="gramEnd"/>
      <w:r w:rsidRPr="00815DA6">
        <w:t xml:space="preserve"> and Rural Affairs. Thanks to the staff of the </w:t>
      </w:r>
      <w:r>
        <w:t>National Disability Authority</w:t>
      </w:r>
      <w:r w:rsidRPr="00815DA6">
        <w:t xml:space="preserve"> and staff of both Departments, the transfer was managed efficiently and with great ease - we were grateful for the support from all those involved.  </w:t>
      </w:r>
    </w:p>
    <w:p w14:paraId="40B81F46" w14:textId="77777777" w:rsidR="00BA588E" w:rsidRPr="00815DA6" w:rsidRDefault="00BA588E" w:rsidP="00BA588E">
      <w:r w:rsidRPr="00815DA6">
        <w:lastRenderedPageBreak/>
        <w:t xml:space="preserve">Conscious of the challenging economic climate that the country is experiencing and the need to ensure value for money, the </w:t>
      </w:r>
      <w:r>
        <w:t>National Disability Authority</w:t>
      </w:r>
      <w:r w:rsidRPr="00815DA6">
        <w:t xml:space="preserve"> worked to achieve efficiencies in operations as committed in our Action Plan under the Public Sector (</w:t>
      </w:r>
      <w:smartTag w:uri="urn:schemas-microsoft-com:office:smarttags" w:element="place">
        <w:smartTag w:uri="urn:schemas-microsoft-com:office:smarttags" w:element="PlaceName">
          <w:r w:rsidRPr="00815DA6">
            <w:t>Croke</w:t>
          </w:r>
        </w:smartTag>
        <w:r w:rsidRPr="00815DA6">
          <w:t xml:space="preserve"> </w:t>
        </w:r>
        <w:smartTag w:uri="urn:schemas-microsoft-com:office:smarttags" w:element="PlaceType">
          <w:r w:rsidRPr="00815DA6">
            <w:t>Park</w:t>
          </w:r>
        </w:smartTag>
      </w:smartTag>
      <w:r w:rsidRPr="00815DA6">
        <w:t xml:space="preserve">) Agreement. I am grateful </w:t>
      </w:r>
      <w:proofErr w:type="gramStart"/>
      <w:r w:rsidRPr="00815DA6">
        <w:t>in particular to</w:t>
      </w:r>
      <w:proofErr w:type="gramEnd"/>
      <w:r w:rsidRPr="00815DA6">
        <w:t xml:space="preserve"> the Efficiency Group comprising </w:t>
      </w:r>
      <w:r>
        <w:t>National Disability Authority</w:t>
      </w:r>
      <w:r w:rsidRPr="00815DA6">
        <w:t xml:space="preserve"> staff which helped pinpoint areas where the </w:t>
      </w:r>
      <w:r>
        <w:t xml:space="preserve">National Disability Authority </w:t>
      </w:r>
      <w:r w:rsidRPr="00815DA6">
        <w:t>could achieve savings.</w:t>
      </w:r>
    </w:p>
    <w:p w14:paraId="72948A75" w14:textId="77777777" w:rsidR="00BA588E" w:rsidRPr="00815DA6" w:rsidRDefault="00BA588E" w:rsidP="00BA588E">
      <w:r w:rsidRPr="00815DA6">
        <w:t xml:space="preserve">Partnership, shared working, and shared services are also </w:t>
      </w:r>
      <w:r>
        <w:t>important</w:t>
      </w:r>
      <w:r w:rsidRPr="00815DA6">
        <w:t xml:space="preserve"> in maximising the impact of scarce resources of staff and money, in the challenging economic climate. Our payments, payroll and IT systems avail of the Department’s shared services. </w:t>
      </w:r>
    </w:p>
    <w:p w14:paraId="47909607" w14:textId="77777777" w:rsidR="00BA588E" w:rsidRPr="00815DA6" w:rsidRDefault="00BA588E" w:rsidP="00BA588E">
      <w:r w:rsidRPr="00815DA6">
        <w:t xml:space="preserve">The public sector moratorium on recruitment has presented challenges but despite significantly reduced staffing levels, 2010 was a productive year for the </w:t>
      </w:r>
      <w:r>
        <w:t>National Disability Authority</w:t>
      </w:r>
      <w:r w:rsidRPr="00815DA6">
        <w:t xml:space="preserve">. The staff delivered a full work programme demonstrating flexibility, commitment, high levels of performance and initiative in the shared goal to help shape policy and practice that can make a difference in the lives of people with disabilities. </w:t>
      </w:r>
    </w:p>
    <w:p w14:paraId="10D85733" w14:textId="77777777" w:rsidR="00BA588E" w:rsidRPr="00815DA6" w:rsidRDefault="00BA588E" w:rsidP="00BA588E">
      <w:r w:rsidRPr="00815DA6">
        <w:t xml:space="preserve">2010 was also the first full year for the current </w:t>
      </w:r>
      <w:r>
        <w:t>National Disability Authority</w:t>
      </w:r>
      <w:r w:rsidRPr="00815DA6">
        <w:t xml:space="preserve"> Board. I would like to pay tribute to the Chairman and members of the Authority for their strategic guidance and wisdom in guiding and overseeing our work. Finally</w:t>
      </w:r>
      <w:r>
        <w:t>,</w:t>
      </w:r>
      <w:r w:rsidRPr="00815DA6">
        <w:t xml:space="preserve"> I would also like to express my sincere appreciation to the staff of the </w:t>
      </w:r>
      <w:r>
        <w:t xml:space="preserve">National Disability Authority </w:t>
      </w:r>
      <w:r w:rsidRPr="00815DA6">
        <w:t>who have each contributed to the successful delivery of our 2010 work programme.</w:t>
      </w:r>
    </w:p>
    <w:p w14:paraId="5695EC09" w14:textId="77777777" w:rsidR="009F3E05" w:rsidRDefault="00BA588E" w:rsidP="00BA588E">
      <w:r w:rsidRPr="00815DA6">
        <w:t>Siobhan Barron</w:t>
      </w:r>
      <w:r>
        <w:br/>
      </w:r>
    </w:p>
    <w:p w14:paraId="508CEB10" w14:textId="77777777" w:rsidR="00BA588E" w:rsidRPr="00815DA6" w:rsidRDefault="00BA588E" w:rsidP="00BA588E">
      <w:r w:rsidRPr="00815DA6">
        <w:t>Director</w:t>
      </w:r>
    </w:p>
    <w:p w14:paraId="49229DD4" w14:textId="77777777" w:rsidR="0056124A" w:rsidRPr="002C6872" w:rsidRDefault="00BA588E" w:rsidP="0056124A">
      <w:pPr>
        <w:pStyle w:val="Heading1"/>
      </w:pPr>
      <w:r>
        <w:br w:type="page"/>
      </w:r>
      <w:bookmarkStart w:id="61" w:name="_Toc304371195"/>
      <w:bookmarkStart w:id="62" w:name="_Toc304381918"/>
      <w:r w:rsidR="007E17A3" w:rsidRPr="002C6872">
        <w:lastRenderedPageBreak/>
        <w:t>Overview of 2010</w:t>
      </w:r>
      <w:bookmarkEnd w:id="53"/>
      <w:bookmarkEnd w:id="54"/>
      <w:bookmarkEnd w:id="55"/>
      <w:bookmarkEnd w:id="56"/>
      <w:bookmarkEnd w:id="57"/>
      <w:bookmarkEnd w:id="58"/>
      <w:bookmarkEnd w:id="61"/>
      <w:bookmarkEnd w:id="62"/>
    </w:p>
    <w:p w14:paraId="500D9FC3" w14:textId="77777777" w:rsidR="00B54AB4" w:rsidRPr="002C6872" w:rsidRDefault="00B54AB4" w:rsidP="00444647">
      <w:r w:rsidRPr="002C6872">
        <w:t xml:space="preserve">The </w:t>
      </w:r>
      <w:r w:rsidR="00653EB2" w:rsidRPr="002C6872">
        <w:t>National Disability Authority worked in 2010 to offer advice and guidance towards advancing the inclusion of people with disabilities</w:t>
      </w:r>
      <w:r w:rsidR="0057631B" w:rsidRPr="002C6872">
        <w:t>. This was done</w:t>
      </w:r>
      <w:r w:rsidR="00653EB2" w:rsidRPr="002C6872">
        <w:t xml:space="preserve"> against a backdrop of economic recession, significant difficulties in the public finances and </w:t>
      </w:r>
      <w:r w:rsidR="007905EA" w:rsidRPr="002C6872">
        <w:t xml:space="preserve">more </w:t>
      </w:r>
      <w:r w:rsidR="00653EB2" w:rsidRPr="002C6872">
        <w:t xml:space="preserve">restricted funding </w:t>
      </w:r>
      <w:r w:rsidR="007905EA" w:rsidRPr="002C6872">
        <w:t xml:space="preserve">to progress </w:t>
      </w:r>
      <w:r w:rsidR="00653EB2" w:rsidRPr="002C6872">
        <w:t xml:space="preserve">the disability agenda. </w:t>
      </w:r>
    </w:p>
    <w:p w14:paraId="35B6DC33" w14:textId="77777777" w:rsidR="00FD179A" w:rsidRPr="002C6872" w:rsidRDefault="00B54AB4" w:rsidP="00444647">
      <w:r w:rsidRPr="002C6872">
        <w:t xml:space="preserve">The </w:t>
      </w:r>
      <w:r w:rsidR="00046CF8" w:rsidRPr="002C6872">
        <w:t xml:space="preserve">National Disability </w:t>
      </w:r>
      <w:r w:rsidR="00FD179A" w:rsidRPr="002C6872">
        <w:t>Authority</w:t>
      </w:r>
      <w:r w:rsidR="007311C7" w:rsidRPr="002C6872">
        <w:t xml:space="preserve"> actively</w:t>
      </w:r>
      <w:r w:rsidRPr="002C6872">
        <w:t xml:space="preserve"> participated on different policy review teams, as well as providing ongoing policy analysis and advice. There are important linkages between different policy </w:t>
      </w:r>
      <w:r w:rsidR="003B7E24" w:rsidRPr="002C6872">
        <w:t>developments</w:t>
      </w:r>
      <w:r w:rsidR="007905EA" w:rsidRPr="002C6872">
        <w:t xml:space="preserve"> across employment, housing, disability services, for example, </w:t>
      </w:r>
      <w:r w:rsidRPr="002C6872">
        <w:t xml:space="preserve">and the </w:t>
      </w:r>
      <w:r w:rsidR="00046CF8" w:rsidRPr="002C6872">
        <w:t xml:space="preserve">National Disability </w:t>
      </w:r>
      <w:r w:rsidR="00FD179A" w:rsidRPr="002C6872">
        <w:t>Authority</w:t>
      </w:r>
      <w:r w:rsidRPr="002C6872">
        <w:t>'s advice and input addressed how these different policy developments could be developed to form an effective</w:t>
      </w:r>
      <w:r w:rsidR="007311C7" w:rsidRPr="002C6872">
        <w:t>,</w:t>
      </w:r>
      <w:r w:rsidRPr="002C6872">
        <w:t xml:space="preserve"> joined-up and coherent suite of </w:t>
      </w:r>
      <w:r w:rsidR="007311C7" w:rsidRPr="002C6872">
        <w:t xml:space="preserve">national </w:t>
      </w:r>
      <w:r w:rsidRPr="002C6872">
        <w:t>policies.</w:t>
      </w:r>
      <w:r w:rsidR="00EB58CD" w:rsidRPr="002C6872">
        <w:t xml:space="preserve"> </w:t>
      </w:r>
    </w:p>
    <w:p w14:paraId="432A5AA2" w14:textId="77777777" w:rsidR="007905EA" w:rsidRPr="002C6872" w:rsidRDefault="007311C7" w:rsidP="00444647">
      <w:r w:rsidRPr="002C6872">
        <w:t>Significant work was undertaken to guide</w:t>
      </w:r>
      <w:r w:rsidR="00FD179A" w:rsidRPr="002C6872">
        <w:t xml:space="preserve"> the Department of Health and Children’s Value for Money and Policy Review of Disability Services</w:t>
      </w:r>
      <w:r w:rsidRPr="002C6872">
        <w:t>, in the context of Article 19 of the United Nations Convention on the Rights of Persons with Disabilities</w:t>
      </w:r>
      <w:r w:rsidR="007905EA" w:rsidRPr="002C6872">
        <w:t xml:space="preserve"> which promotes inclusion, independence and living in the community</w:t>
      </w:r>
      <w:r w:rsidR="00FD179A" w:rsidRPr="002C6872">
        <w:t xml:space="preserve">. </w:t>
      </w:r>
      <w:r w:rsidR="007905EA" w:rsidRPr="002C6872">
        <w:t>To inform this work, t</w:t>
      </w:r>
      <w:r w:rsidRPr="002C6872">
        <w:t xml:space="preserve">he </w:t>
      </w:r>
      <w:r w:rsidR="00046CF8" w:rsidRPr="002C6872">
        <w:t xml:space="preserve">National Disability </w:t>
      </w:r>
      <w:r w:rsidRPr="002C6872">
        <w:t>Authority researched the system of disability supports and services in six jurisdictions</w:t>
      </w:r>
      <w:r w:rsidR="007905EA" w:rsidRPr="002C6872">
        <w:t xml:space="preserve"> and drew together the learning</w:t>
      </w:r>
      <w:r w:rsidR="00D758F9" w:rsidRPr="002C6872">
        <w:t xml:space="preserve">. </w:t>
      </w:r>
    </w:p>
    <w:p w14:paraId="4AE3C4FA" w14:textId="77777777" w:rsidR="007E17A3" w:rsidRPr="002C6872" w:rsidRDefault="00D758F9" w:rsidP="00FB743D">
      <w:r w:rsidRPr="002C6872">
        <w:t>Another notable</w:t>
      </w:r>
      <w:r w:rsidRPr="00FB743D">
        <w:t xml:space="preserve"> </w:t>
      </w:r>
      <w:r w:rsidRPr="002C6872">
        <w:t>area of research was the completion of</w:t>
      </w:r>
      <w:r w:rsidR="007E17A3" w:rsidRPr="002C6872">
        <w:t xml:space="preserve"> the third in </w:t>
      </w:r>
      <w:r w:rsidR="00D05BA4" w:rsidRPr="002C6872">
        <w:t>a</w:t>
      </w:r>
      <w:r w:rsidR="007E17A3" w:rsidRPr="002C6872">
        <w:t xml:space="preserve"> series of publications </w:t>
      </w:r>
      <w:r w:rsidR="007905EA" w:rsidRPr="002C6872">
        <w:t xml:space="preserve">on pregnancy childbirth and early motherhood for mothers with disabilities, focusing on the experiences of women </w:t>
      </w:r>
      <w:r w:rsidR="005A2A10" w:rsidRPr="002C6872">
        <w:t>of the</w:t>
      </w:r>
      <w:r w:rsidR="007905EA" w:rsidRPr="002C6872">
        <w:t xml:space="preserve"> Irish </w:t>
      </w:r>
      <w:r w:rsidR="007E17A3" w:rsidRPr="002C6872">
        <w:t>health system.</w:t>
      </w:r>
    </w:p>
    <w:p w14:paraId="1F0899A4" w14:textId="77777777" w:rsidR="00E763FF" w:rsidRPr="002C6872" w:rsidRDefault="00EB58CD" w:rsidP="00444647">
      <w:r w:rsidRPr="002C6872">
        <w:t xml:space="preserve">The </w:t>
      </w:r>
      <w:r w:rsidR="00046CF8" w:rsidRPr="002C6872">
        <w:t xml:space="preserve">National Disability </w:t>
      </w:r>
      <w:r w:rsidR="00FD179A" w:rsidRPr="002C6872">
        <w:t>Authority</w:t>
      </w:r>
      <w:r w:rsidRPr="002C6872">
        <w:t xml:space="preserve">’s </w:t>
      </w:r>
      <w:r w:rsidR="00E763FF" w:rsidRPr="002C6872">
        <w:t xml:space="preserve">current and future </w:t>
      </w:r>
      <w:r w:rsidRPr="002C6872">
        <w:t xml:space="preserve">work in </w:t>
      </w:r>
      <w:r w:rsidR="007905EA" w:rsidRPr="002C6872">
        <w:t xml:space="preserve">research and policy </w:t>
      </w:r>
      <w:r w:rsidRPr="002C6872">
        <w:t>was strengthened by the publication of the National Disability Survey, Volume 2 (Central Statistics Office) in January 2010.</w:t>
      </w:r>
      <w:r w:rsidR="00E763FF" w:rsidRPr="002C6872">
        <w:t xml:space="preserve"> </w:t>
      </w:r>
      <w:r w:rsidR="00FD179A" w:rsidRPr="002C6872">
        <w:t xml:space="preserve">It contained </w:t>
      </w:r>
      <w:r w:rsidR="00D05BA4" w:rsidRPr="002C6872">
        <w:t xml:space="preserve">a </w:t>
      </w:r>
      <w:r w:rsidR="00FD179A" w:rsidRPr="002C6872">
        <w:t xml:space="preserve">wealth of information on all aspects of </w:t>
      </w:r>
      <w:r w:rsidR="00D05BA4" w:rsidRPr="002C6872">
        <w:t xml:space="preserve">the </w:t>
      </w:r>
      <w:r w:rsidR="00FD179A" w:rsidRPr="002C6872">
        <w:t>lives of people with disabilities.</w:t>
      </w:r>
    </w:p>
    <w:p w14:paraId="27FAF4DB" w14:textId="77777777" w:rsidR="007E17A3" w:rsidRPr="002C6872" w:rsidRDefault="007E17A3" w:rsidP="00444647">
      <w:r w:rsidRPr="002C6872">
        <w:t xml:space="preserve">The </w:t>
      </w:r>
      <w:r w:rsidR="00046CF8" w:rsidRPr="002C6872">
        <w:t xml:space="preserve">National Disability </w:t>
      </w:r>
      <w:r w:rsidRPr="002C6872">
        <w:t>Authority’s Centre for Excellence in Universal Design</w:t>
      </w:r>
      <w:r w:rsidR="00D758F9" w:rsidRPr="002C6872">
        <w:t>, in its role as the secretariat for 2010,</w:t>
      </w:r>
      <w:r w:rsidRPr="002C6872">
        <w:t xml:space="preserve"> hosted the AGM of the European Design for All </w:t>
      </w:r>
      <w:proofErr w:type="spellStart"/>
      <w:r w:rsidRPr="002C6872">
        <w:t>eAccessibility</w:t>
      </w:r>
      <w:proofErr w:type="spellEnd"/>
      <w:r w:rsidRPr="002C6872">
        <w:t xml:space="preserve"> Network that coincided with its second, successful </w:t>
      </w:r>
      <w:proofErr w:type="gramStart"/>
      <w:r w:rsidR="00046CF8" w:rsidRPr="002C6872">
        <w:t>24</w:t>
      </w:r>
      <w:r w:rsidR="0057631B" w:rsidRPr="002C6872">
        <w:t xml:space="preserve"> </w:t>
      </w:r>
      <w:r w:rsidR="00046CF8" w:rsidRPr="002C6872">
        <w:t>Hour</w:t>
      </w:r>
      <w:proofErr w:type="gramEnd"/>
      <w:r w:rsidR="00046CF8" w:rsidRPr="002C6872">
        <w:t xml:space="preserve"> </w:t>
      </w:r>
      <w:r w:rsidRPr="002C6872">
        <w:t>Design Challenge.</w:t>
      </w:r>
    </w:p>
    <w:p w14:paraId="61904BF3" w14:textId="77777777" w:rsidR="00484C47" w:rsidRPr="002C6872" w:rsidRDefault="007E17A3" w:rsidP="00444647">
      <w:r w:rsidRPr="002C6872">
        <w:t>The year also marked the tenth anniversary of the establishment of the National Disability Authority.</w:t>
      </w:r>
      <w:r w:rsidR="00580ACA" w:rsidRPr="002C6872">
        <w:t xml:space="preserve"> </w:t>
      </w:r>
      <w:r w:rsidR="000524FC" w:rsidRPr="002C6872">
        <w:t xml:space="preserve">The launch of the </w:t>
      </w:r>
      <w:r w:rsidR="00046CF8" w:rsidRPr="002C6872">
        <w:t xml:space="preserve">National Disability </w:t>
      </w:r>
      <w:r w:rsidR="000524FC" w:rsidRPr="002C6872">
        <w:t>Authority in June 2000 was the occasion where the Government officially announced its adoption of the policy of mainstreaming</w:t>
      </w:r>
      <w:r w:rsidR="00046CF8" w:rsidRPr="002C6872">
        <w:t>;</w:t>
      </w:r>
      <w:r w:rsidR="000524FC" w:rsidRPr="002C6872">
        <w:t xml:space="preserve"> in other </w:t>
      </w:r>
      <w:proofErr w:type="gramStart"/>
      <w:r w:rsidR="000524FC" w:rsidRPr="002C6872">
        <w:t>words</w:t>
      </w:r>
      <w:proofErr w:type="gramEnd"/>
      <w:r w:rsidR="000524FC" w:rsidRPr="002C6872">
        <w:t xml:space="preserve"> the public service would provide services to people with disabilities as an integral part of their mainstream remit. The </w:t>
      </w:r>
      <w:r w:rsidR="00046CF8" w:rsidRPr="002C6872">
        <w:t xml:space="preserve">National Disability </w:t>
      </w:r>
      <w:r w:rsidR="000524FC" w:rsidRPr="002C6872">
        <w:t xml:space="preserve">Authority has played a significant role in supporting the achievement of mainstreaming and in advising on policy over the last decade. </w:t>
      </w:r>
    </w:p>
    <w:p w14:paraId="77BE93AC" w14:textId="77777777" w:rsidR="007E17A3" w:rsidRPr="002C6872" w:rsidRDefault="000524FC" w:rsidP="00444647">
      <w:r w:rsidRPr="002C6872">
        <w:t xml:space="preserve">This has been a decade that has seen </w:t>
      </w:r>
      <w:proofErr w:type="gramStart"/>
      <w:r w:rsidRPr="002C6872">
        <w:t>a number of</w:t>
      </w:r>
      <w:proofErr w:type="gramEnd"/>
      <w:r w:rsidRPr="002C6872">
        <w:t xml:space="preserve"> significant policy milestones</w:t>
      </w:r>
      <w:r w:rsidR="00580ACA" w:rsidRPr="002C6872">
        <w:t>:</w:t>
      </w:r>
    </w:p>
    <w:p w14:paraId="65342AFD" w14:textId="77777777" w:rsidR="00580ACA" w:rsidRPr="002C6872" w:rsidRDefault="00D05BA4" w:rsidP="00580ACA">
      <w:pPr>
        <w:pStyle w:val="ListBullet"/>
      </w:pPr>
      <w:r w:rsidRPr="002C6872">
        <w:t>t</w:t>
      </w:r>
      <w:r w:rsidR="00580ACA" w:rsidRPr="002C6872">
        <w:t>he launch of the National Disability Strategy in September 2004</w:t>
      </w:r>
    </w:p>
    <w:p w14:paraId="1D620F58" w14:textId="77777777" w:rsidR="00580ACA" w:rsidRPr="002C6872" w:rsidRDefault="00D05BA4" w:rsidP="00580ACA">
      <w:pPr>
        <w:pStyle w:val="ListBullet"/>
      </w:pPr>
      <w:r w:rsidRPr="002C6872">
        <w:t>t</w:t>
      </w:r>
      <w:r w:rsidR="00580ACA" w:rsidRPr="002C6872">
        <w:t>he adoption of the Disability Act 2005</w:t>
      </w:r>
    </w:p>
    <w:p w14:paraId="55F357DE" w14:textId="77777777" w:rsidR="00580ACA" w:rsidRPr="002C6872" w:rsidRDefault="00D05BA4" w:rsidP="00580ACA">
      <w:pPr>
        <w:pStyle w:val="ListBullet"/>
      </w:pPr>
      <w:r w:rsidRPr="002C6872">
        <w:t>t</w:t>
      </w:r>
      <w:r w:rsidR="00580ACA" w:rsidRPr="002C6872">
        <w:t>he multi-annual investment programme 2006-2009 for disability support services worth €900m</w:t>
      </w:r>
    </w:p>
    <w:p w14:paraId="737EC2A0" w14:textId="77777777" w:rsidR="00580ACA" w:rsidRPr="002C6872" w:rsidRDefault="00D05BA4" w:rsidP="00580ACA">
      <w:pPr>
        <w:pStyle w:val="ListBullet"/>
      </w:pPr>
      <w:r w:rsidRPr="002C6872">
        <w:t>t</w:t>
      </w:r>
      <w:r w:rsidR="00580ACA" w:rsidRPr="002C6872">
        <w:t>he establishment of the independent appeals office under Part 2 of the Disability Act 2005</w:t>
      </w:r>
    </w:p>
    <w:p w14:paraId="60FD724D" w14:textId="77777777" w:rsidR="00580ACA" w:rsidRPr="002C6872" w:rsidRDefault="00D05BA4" w:rsidP="00580ACA">
      <w:pPr>
        <w:pStyle w:val="ListBullet"/>
      </w:pPr>
      <w:r w:rsidRPr="002C6872">
        <w:lastRenderedPageBreak/>
        <w:t>t</w:t>
      </w:r>
      <w:r w:rsidR="00580ACA" w:rsidRPr="002C6872">
        <w:t>he adoption of the United Nations Convention on the Rights of Persons with Disabilities in 2006</w:t>
      </w:r>
    </w:p>
    <w:p w14:paraId="7616EFAD" w14:textId="77777777" w:rsidR="00580ACA" w:rsidRPr="002C6872" w:rsidRDefault="00D05BA4" w:rsidP="00580ACA">
      <w:pPr>
        <w:pStyle w:val="ListBullet"/>
      </w:pPr>
      <w:r w:rsidRPr="002C6872">
        <w:t>t</w:t>
      </w:r>
      <w:r w:rsidR="00580ACA" w:rsidRPr="002C6872">
        <w:t>he establishment of the Centre for Excellence in Universal Design in the Authority in 2007</w:t>
      </w:r>
    </w:p>
    <w:p w14:paraId="68F5BBC7" w14:textId="77777777" w:rsidR="00580ACA" w:rsidRPr="002C6872" w:rsidRDefault="00D05BA4" w:rsidP="00580ACA">
      <w:pPr>
        <w:pStyle w:val="ListBullet"/>
      </w:pPr>
      <w:r w:rsidRPr="002C6872">
        <w:t>t</w:t>
      </w:r>
      <w:r w:rsidR="00580ACA" w:rsidRPr="002C6872">
        <w:t>he establishment</w:t>
      </w:r>
      <w:r w:rsidR="0057631B" w:rsidRPr="002C6872">
        <w:t>,</w:t>
      </w:r>
      <w:r w:rsidR="00580ACA" w:rsidRPr="002C6872">
        <w:t xml:space="preserve"> in 2008</w:t>
      </w:r>
      <w:r w:rsidR="0057631B" w:rsidRPr="002C6872">
        <w:t>,</w:t>
      </w:r>
      <w:r w:rsidR="00580ACA" w:rsidRPr="002C6872">
        <w:t xml:space="preserve"> of the Office for Disability and Mental Health</w:t>
      </w:r>
      <w:r w:rsidRPr="002C6872">
        <w:t xml:space="preserve"> in the Department of Health and Children</w:t>
      </w:r>
    </w:p>
    <w:p w14:paraId="3631ABEB" w14:textId="77777777" w:rsidR="00580ACA" w:rsidRPr="002C6872" w:rsidRDefault="00580ACA" w:rsidP="00444647">
      <w:r w:rsidRPr="002C6872">
        <w:t>In that time</w:t>
      </w:r>
      <w:r w:rsidR="00D537ED" w:rsidRPr="002C6872">
        <w:t>,</w:t>
      </w:r>
      <w:r w:rsidRPr="002C6872">
        <w:t xml:space="preserve"> the </w:t>
      </w:r>
      <w:r w:rsidR="00046CF8" w:rsidRPr="002C6872">
        <w:t xml:space="preserve">National Disability </w:t>
      </w:r>
      <w:r w:rsidRPr="002C6872">
        <w:t xml:space="preserve">Authority has </w:t>
      </w:r>
      <w:r w:rsidR="000524FC" w:rsidRPr="002C6872">
        <w:t xml:space="preserve">worked to </w:t>
      </w:r>
      <w:r w:rsidRPr="002C6872">
        <w:t>fulfil its remit. It has developed standards and codes of practice. It has fulfilled its statutory obligations under the National Disability Act 1999 and the Disability Act 2005.</w:t>
      </w:r>
      <w:r w:rsidR="00F467BF" w:rsidRPr="002C6872">
        <w:t xml:space="preserve"> I</w:t>
      </w:r>
      <w:r w:rsidRPr="002C6872">
        <w:t>t has guided and advised those Government Departments that are required to have a statutory Sectoral Plan for people with disabilities</w:t>
      </w:r>
      <w:r w:rsidR="00F467BF" w:rsidRPr="002C6872">
        <w:t xml:space="preserve">. The </w:t>
      </w:r>
      <w:r w:rsidR="000A0640" w:rsidRPr="002C6872">
        <w:t xml:space="preserve">National Disability </w:t>
      </w:r>
      <w:r w:rsidR="00F467BF" w:rsidRPr="002C6872">
        <w:t xml:space="preserve">Authority has worked towards the full inclusion of people with disabilities in mainstream society through </w:t>
      </w:r>
      <w:r w:rsidR="00DC2CB6" w:rsidRPr="002C6872">
        <w:t>the advice and guidance it has provided</w:t>
      </w:r>
      <w:r w:rsidR="00D758F9" w:rsidRPr="002C6872">
        <w:t xml:space="preserve"> </w:t>
      </w:r>
      <w:r w:rsidR="00F467BF" w:rsidRPr="002C6872">
        <w:t xml:space="preserve">under the </w:t>
      </w:r>
      <w:r w:rsidR="00DC2CB6" w:rsidRPr="002C6872">
        <w:t xml:space="preserve">framework of the </w:t>
      </w:r>
      <w:r w:rsidR="00F467BF" w:rsidRPr="002C6872">
        <w:t xml:space="preserve">National Disability Strategy and through its input into the various </w:t>
      </w:r>
      <w:r w:rsidR="00D537ED" w:rsidRPr="002C6872">
        <w:t xml:space="preserve">strategic </w:t>
      </w:r>
      <w:r w:rsidR="00F467BF" w:rsidRPr="002C6872">
        <w:t xml:space="preserve">policy developments </w:t>
      </w:r>
      <w:r w:rsidR="00D537ED" w:rsidRPr="002C6872">
        <w:t>across the disability care services, transport, and housing, for example</w:t>
      </w:r>
      <w:r w:rsidR="006F18C4">
        <w:t xml:space="preserve">. </w:t>
      </w:r>
    </w:p>
    <w:p w14:paraId="2A9D1C0E" w14:textId="77777777" w:rsidR="00A2204D" w:rsidRPr="002C6872" w:rsidRDefault="0056124A" w:rsidP="00872C46">
      <w:pPr>
        <w:pStyle w:val="Heading1"/>
      </w:pPr>
      <w:r w:rsidRPr="002C6872">
        <w:br w:type="page"/>
      </w:r>
      <w:bookmarkStart w:id="63" w:name="_Toc299360693"/>
      <w:bookmarkStart w:id="64" w:name="_Toc299362475"/>
      <w:bookmarkStart w:id="65" w:name="_Toc299362514"/>
      <w:bookmarkStart w:id="66" w:name="_Toc300742119"/>
      <w:bookmarkStart w:id="67" w:name="_Toc300742868"/>
      <w:bookmarkStart w:id="68" w:name="_Toc300744220"/>
      <w:bookmarkStart w:id="69" w:name="_Toc304371196"/>
      <w:bookmarkStart w:id="70" w:name="_Toc304381919"/>
      <w:r w:rsidR="00CF6F27">
        <w:lastRenderedPageBreak/>
        <w:t>Strategic Priority 1</w:t>
      </w:r>
      <w:bookmarkStart w:id="71" w:name="_Toc300742120"/>
      <w:bookmarkStart w:id="72" w:name="_Toc300742869"/>
      <w:bookmarkStart w:id="73" w:name="_Toc300744221"/>
      <w:bookmarkEnd w:id="66"/>
      <w:bookmarkEnd w:id="67"/>
      <w:bookmarkEnd w:id="68"/>
      <w:bookmarkEnd w:id="69"/>
      <w:r w:rsidR="00572BA4">
        <w:t xml:space="preserve">: </w:t>
      </w:r>
      <w:bookmarkStart w:id="74" w:name="_Toc304371197"/>
      <w:r w:rsidR="00B655FA" w:rsidRPr="002C6872">
        <w:t>To provide support and evidence</w:t>
      </w:r>
      <w:r w:rsidR="00A2204D" w:rsidRPr="002C6872">
        <w:t>-based advice to Government Departments and Public Bodies by:</w:t>
      </w:r>
      <w:bookmarkEnd w:id="63"/>
      <w:bookmarkEnd w:id="64"/>
      <w:bookmarkEnd w:id="65"/>
      <w:bookmarkEnd w:id="70"/>
      <w:bookmarkEnd w:id="71"/>
      <w:bookmarkEnd w:id="72"/>
      <w:bookmarkEnd w:id="73"/>
      <w:bookmarkEnd w:id="74"/>
    </w:p>
    <w:p w14:paraId="684A1C13" w14:textId="77777777" w:rsidR="00A2204D" w:rsidRPr="002C6872" w:rsidRDefault="00A2204D" w:rsidP="003B7E24">
      <w:pPr>
        <w:pStyle w:val="ListBullet"/>
        <w:rPr>
          <w:b/>
        </w:rPr>
      </w:pPr>
      <w:r w:rsidRPr="002C6872">
        <w:rPr>
          <w:b/>
        </w:rPr>
        <w:t>supporting the effective implementation of the National Disability Strategy</w:t>
      </w:r>
    </w:p>
    <w:p w14:paraId="7E2400AE" w14:textId="77777777" w:rsidR="00AB0C5D" w:rsidRPr="002C6872" w:rsidRDefault="00A2204D" w:rsidP="003B7E24">
      <w:pPr>
        <w:pStyle w:val="ListBullet"/>
        <w:rPr>
          <w:b/>
        </w:rPr>
      </w:pPr>
      <w:r w:rsidRPr="002C6872">
        <w:rPr>
          <w:b/>
        </w:rPr>
        <w:t>monitoring the impact of the National Disability Strategy</w:t>
      </w:r>
    </w:p>
    <w:p w14:paraId="463B161C" w14:textId="77777777" w:rsidR="00263B61" w:rsidRPr="002C6872" w:rsidRDefault="00D07AEC" w:rsidP="00CE0E7F">
      <w:pPr>
        <w:spacing w:before="300"/>
      </w:pPr>
      <w:r w:rsidRPr="002C6872">
        <w:t xml:space="preserve">The </w:t>
      </w:r>
      <w:r w:rsidR="000A0640" w:rsidRPr="002C6872">
        <w:t xml:space="preserve">National Disability </w:t>
      </w:r>
      <w:r w:rsidR="00CE0E7F" w:rsidRPr="002C6872">
        <w:t xml:space="preserve">Authority </w:t>
      </w:r>
      <w:r w:rsidRPr="002C6872">
        <w:t xml:space="preserve">provided ongoing advice </w:t>
      </w:r>
      <w:r w:rsidR="00FC4BAE" w:rsidRPr="002C6872">
        <w:t>on the implementation of the National Disability Strategy</w:t>
      </w:r>
      <w:r w:rsidR="00B655FA" w:rsidRPr="002C6872">
        <w:t xml:space="preserve"> t</w:t>
      </w:r>
      <w:r w:rsidR="00263B61" w:rsidRPr="002C6872">
        <w:t>o the Minister</w:t>
      </w:r>
      <w:r w:rsidR="00FC4BAE" w:rsidRPr="002C6872">
        <w:t xml:space="preserve">, </w:t>
      </w:r>
      <w:r w:rsidRPr="002C6872">
        <w:t>to each of the Departments with a Sectoral Plan</w:t>
      </w:r>
      <w:r w:rsidR="002703F7" w:rsidRPr="002C6872">
        <w:t>, and to relevant agencies such as the Health Service Executive, local authorities, state transport companies and the communications and energy regulators</w:t>
      </w:r>
      <w:r w:rsidRPr="002C6872">
        <w:t xml:space="preserve">. </w:t>
      </w:r>
    </w:p>
    <w:p w14:paraId="63CC1699" w14:textId="77777777" w:rsidR="00FD179A" w:rsidRPr="002C6872" w:rsidRDefault="00FD179A" w:rsidP="00CE0E7F">
      <w:pPr>
        <w:spacing w:before="300"/>
      </w:pPr>
      <w:r w:rsidRPr="002C6872">
        <w:t xml:space="preserve">The </w:t>
      </w:r>
      <w:r w:rsidR="000A0640" w:rsidRPr="002C6872">
        <w:t xml:space="preserve">National Disability </w:t>
      </w:r>
      <w:r w:rsidRPr="002C6872">
        <w:t xml:space="preserve">Authority </w:t>
      </w:r>
      <w:r w:rsidR="000524FC" w:rsidRPr="002C6872">
        <w:t xml:space="preserve">has presented </w:t>
      </w:r>
      <w:r w:rsidR="00337317" w:rsidRPr="002C6872">
        <w:t xml:space="preserve">policy </w:t>
      </w:r>
      <w:r w:rsidR="000524FC" w:rsidRPr="002C6872">
        <w:t xml:space="preserve">advice papers twice yearly </w:t>
      </w:r>
      <w:r w:rsidRPr="002C6872">
        <w:t xml:space="preserve">to the National Disability Strategy Stakeholder Monitoring Group. The National Disability Strategy continued to be progressed in 2010 as a whole-of-Government approach to advancing the disability agenda and promoting the inclusion of people with disabilities in the mainstream of Irish society. Towards the end of 2010 </w:t>
      </w:r>
      <w:r w:rsidR="00D758F9" w:rsidRPr="002C6872">
        <w:t>the Department of Community, Equality and Gaeltacht Affairs began work</w:t>
      </w:r>
      <w:r w:rsidRPr="002C6872">
        <w:t xml:space="preserve"> on the composition of a National Disability Strategy Recession Implementation Plan which had been a commitment of the Renewed Programme for Government of October 2009.</w:t>
      </w:r>
    </w:p>
    <w:p w14:paraId="278BD109" w14:textId="77777777" w:rsidR="00FD179A" w:rsidRPr="002C6872" w:rsidRDefault="00FD179A" w:rsidP="00FD179A">
      <w:r w:rsidRPr="002C6872">
        <w:t xml:space="preserve">The </w:t>
      </w:r>
      <w:r w:rsidR="000B3274" w:rsidRPr="002C6872">
        <w:t xml:space="preserve">National Disability </w:t>
      </w:r>
      <w:r w:rsidRPr="002C6872">
        <w:t>Authority provided input into draft</w:t>
      </w:r>
      <w:r w:rsidRPr="002C6872">
        <w:rPr>
          <w:b/>
        </w:rPr>
        <w:t xml:space="preserve"> Guidelines for Disability Impact Assessments</w:t>
      </w:r>
      <w:r w:rsidR="00DC2CB6" w:rsidRPr="002C6872">
        <w:t>. This document is designed</w:t>
      </w:r>
      <w:r w:rsidRPr="002C6872">
        <w:t xml:space="preserve"> to guide Ministers and Departments on implementing the requirement in the Cabinet Handbook to assess the impact on people with disabilities of proposals in significant Memoranda to Government. The </w:t>
      </w:r>
      <w:r w:rsidR="000A0640" w:rsidRPr="002C6872">
        <w:t xml:space="preserve">National Disability </w:t>
      </w:r>
      <w:r w:rsidRPr="002C6872">
        <w:t xml:space="preserve">Authority also advised on piloting </w:t>
      </w:r>
      <w:r w:rsidR="00EC7D69" w:rsidRPr="002C6872">
        <w:t xml:space="preserve">process for </w:t>
      </w:r>
      <w:r w:rsidR="000B3274" w:rsidRPr="002C6872">
        <w:t xml:space="preserve">the </w:t>
      </w:r>
      <w:r w:rsidRPr="002C6872">
        <w:t>draft Guidelines.</w:t>
      </w:r>
    </w:p>
    <w:p w14:paraId="39DF1DDD" w14:textId="77777777" w:rsidR="00FD179A" w:rsidRPr="002C6872" w:rsidRDefault="00FD179A" w:rsidP="00FD179A">
      <w:r w:rsidRPr="002C6872">
        <w:t xml:space="preserve">The </w:t>
      </w:r>
      <w:r w:rsidR="000A0640" w:rsidRPr="002C6872">
        <w:t xml:space="preserve">National Disability </w:t>
      </w:r>
      <w:r w:rsidRPr="002C6872">
        <w:t xml:space="preserve">Authority </w:t>
      </w:r>
      <w:r w:rsidR="005E4A3E" w:rsidRPr="002C6872">
        <w:t>contributed</w:t>
      </w:r>
      <w:r w:rsidRPr="002C6872">
        <w:t xml:space="preserve"> </w:t>
      </w:r>
      <w:r w:rsidR="00943124" w:rsidRPr="002C6872">
        <w:t>policy advice paper</w:t>
      </w:r>
      <w:r w:rsidRPr="002C6872">
        <w:t xml:space="preserve">s to </w:t>
      </w:r>
      <w:r w:rsidR="000B3274" w:rsidRPr="002C6872">
        <w:t xml:space="preserve">the </w:t>
      </w:r>
      <w:r w:rsidRPr="002C6872">
        <w:t xml:space="preserve">Government Departments, and to </w:t>
      </w:r>
      <w:proofErr w:type="gramStart"/>
      <w:r w:rsidRPr="002C6872">
        <w:t>a number of</w:t>
      </w:r>
      <w:proofErr w:type="gramEnd"/>
      <w:r w:rsidRPr="002C6872">
        <w:t xml:space="preserve"> state agencies, that were obliged to develop new Strategy Statements covering 2011-2013. These </w:t>
      </w:r>
      <w:r w:rsidR="00943124" w:rsidRPr="002C6872">
        <w:t>policy advice paper</w:t>
      </w:r>
      <w:r w:rsidR="005E4A3E" w:rsidRPr="002C6872">
        <w:t>s</w:t>
      </w:r>
      <w:r w:rsidRPr="002C6872">
        <w:t xml:space="preserve"> </w:t>
      </w:r>
      <w:r w:rsidR="0057631B" w:rsidRPr="002C6872">
        <w:t xml:space="preserve">contained </w:t>
      </w:r>
      <w:proofErr w:type="gramStart"/>
      <w:r w:rsidR="0057631B" w:rsidRPr="002C6872">
        <w:t>particular recommendations</w:t>
      </w:r>
      <w:proofErr w:type="gramEnd"/>
      <w:r w:rsidR="0057631B" w:rsidRPr="002C6872">
        <w:t xml:space="preserve"> on disability matters for inclusion in the Strategy Statements</w:t>
      </w:r>
      <w:r w:rsidR="00D537ED" w:rsidRPr="002C6872">
        <w:t xml:space="preserve">. The </w:t>
      </w:r>
      <w:r w:rsidR="00943124" w:rsidRPr="002C6872">
        <w:t>policy advice paper</w:t>
      </w:r>
      <w:r w:rsidR="005E4A3E" w:rsidRPr="002C6872">
        <w:t>s</w:t>
      </w:r>
      <w:r w:rsidR="00D537ED" w:rsidRPr="002C6872">
        <w:t xml:space="preserve"> also advised </w:t>
      </w:r>
      <w:r w:rsidRPr="002C6872">
        <w:t xml:space="preserve">on building-in to the Strategy Statements </w:t>
      </w:r>
      <w:r w:rsidR="00D537ED" w:rsidRPr="002C6872">
        <w:t>the required measures to comply with the obligation</w:t>
      </w:r>
      <w:r w:rsidRPr="002C6872">
        <w:t xml:space="preserve"> to deliver accessible publ</w:t>
      </w:r>
      <w:r w:rsidR="00D537ED" w:rsidRPr="002C6872">
        <w:t>ic services and to promote and support</w:t>
      </w:r>
      <w:r w:rsidRPr="002C6872">
        <w:t xml:space="preserve"> the employment and retention of people with disabilities.</w:t>
      </w:r>
    </w:p>
    <w:p w14:paraId="3F8967B9" w14:textId="77777777" w:rsidR="00CE0E7F" w:rsidRPr="002C6872" w:rsidRDefault="00CE0E7F" w:rsidP="00444647">
      <w:pPr>
        <w:pStyle w:val="Heading2"/>
      </w:pPr>
      <w:bookmarkStart w:id="75" w:name="_Toc299362515"/>
      <w:bookmarkStart w:id="76" w:name="_Toc300742121"/>
      <w:bookmarkStart w:id="77" w:name="_Toc300742870"/>
      <w:bookmarkStart w:id="78" w:name="_Toc300744222"/>
      <w:r w:rsidRPr="002C6872">
        <w:t>Reorganisation of Government Departments</w:t>
      </w:r>
      <w:bookmarkEnd w:id="75"/>
      <w:bookmarkEnd w:id="76"/>
      <w:bookmarkEnd w:id="77"/>
      <w:bookmarkEnd w:id="78"/>
    </w:p>
    <w:p w14:paraId="155D0624" w14:textId="77777777" w:rsidR="00CE0E7F" w:rsidRPr="002C6872" w:rsidRDefault="00CE0E7F" w:rsidP="00CE0E7F">
      <w:r w:rsidRPr="002C6872">
        <w:t>From the 1 June 2010</w:t>
      </w:r>
      <w:r w:rsidRPr="002C6872">
        <w:rPr>
          <w:rStyle w:val="FootnoteReference"/>
        </w:rPr>
        <w:footnoteReference w:id="2"/>
      </w:r>
      <w:r w:rsidRPr="002C6872">
        <w:t xml:space="preserve"> ministerial responsibility for the </w:t>
      </w:r>
      <w:r w:rsidR="000A0640" w:rsidRPr="002C6872">
        <w:t xml:space="preserve">National Disability </w:t>
      </w:r>
      <w:r w:rsidRPr="002C6872">
        <w:t xml:space="preserve">Authority transferred from the former Department of Justice, Equality and Law Reform to the newly constituted Department of Community, Equality and Gaeltacht Affairs. The Minister subsequently delegated his powers and functions in the Disability Act 2005 and the National Disability </w:t>
      </w:r>
      <w:r w:rsidR="00D758F9" w:rsidRPr="002C6872">
        <w:t xml:space="preserve">Authority </w:t>
      </w:r>
      <w:r w:rsidRPr="002C6872">
        <w:t>Act 1999 to the Minister of State at the Department of Community, Equality and Gaeltacht Affairs</w:t>
      </w:r>
      <w:r w:rsidRPr="002C6872">
        <w:rPr>
          <w:rStyle w:val="FootnoteReference"/>
        </w:rPr>
        <w:footnoteReference w:id="3"/>
      </w:r>
      <w:r w:rsidRPr="002C6872">
        <w:t>.</w:t>
      </w:r>
    </w:p>
    <w:p w14:paraId="2CC15611" w14:textId="77777777" w:rsidR="00CE0E7F" w:rsidRPr="002C6872" w:rsidRDefault="00CE0E7F" w:rsidP="00CE0E7F">
      <w:pPr>
        <w:spacing w:after="120"/>
      </w:pPr>
      <w:r w:rsidRPr="002C6872">
        <w:lastRenderedPageBreak/>
        <w:t>The reorganisation of Government Dep</w:t>
      </w:r>
      <w:r w:rsidR="000A0640" w:rsidRPr="002C6872">
        <w:t>artments</w:t>
      </w:r>
      <w:r w:rsidRPr="002C6872">
        <w:rPr>
          <w:rStyle w:val="FootnoteReference"/>
        </w:rPr>
        <w:footnoteReference w:id="4"/>
      </w:r>
      <w:r w:rsidRPr="002C6872">
        <w:t xml:space="preserve"> had been announced by </w:t>
      </w:r>
      <w:proofErr w:type="gramStart"/>
      <w:r w:rsidRPr="002C6872">
        <w:t>An</w:t>
      </w:r>
      <w:proofErr w:type="gramEnd"/>
      <w:r w:rsidRPr="002C6872">
        <w:t xml:space="preserve"> Taoiseach on 23 March 2010 and meant a transition period for the </w:t>
      </w:r>
      <w:r w:rsidR="00EC7D69" w:rsidRPr="002C6872">
        <w:t>original six Departments with a sectoral plan</w:t>
      </w:r>
    </w:p>
    <w:p w14:paraId="100F8C7E" w14:textId="77777777" w:rsidR="00CE0E7F" w:rsidRPr="002C6872" w:rsidRDefault="00CE0E7F" w:rsidP="00CE0E7F">
      <w:pPr>
        <w:pStyle w:val="ListBullet"/>
        <w:rPr>
          <w:rFonts w:eastAsia="MS Mincho"/>
          <w:lang w:eastAsia="ja-JP"/>
        </w:rPr>
      </w:pPr>
      <w:r w:rsidRPr="002C6872">
        <w:rPr>
          <w:rFonts w:eastAsia="MS Mincho"/>
          <w:lang w:eastAsia="ja-JP"/>
        </w:rPr>
        <w:t>Communications, Energy and Natural Resources</w:t>
      </w:r>
    </w:p>
    <w:p w14:paraId="3F8D67BC" w14:textId="77777777" w:rsidR="00CE0E7F" w:rsidRPr="002C6872" w:rsidRDefault="00CE0E7F" w:rsidP="00CE0E7F">
      <w:pPr>
        <w:pStyle w:val="ListBullet"/>
        <w:rPr>
          <w:rFonts w:eastAsia="MS Mincho"/>
          <w:lang w:eastAsia="ja-JP"/>
        </w:rPr>
      </w:pPr>
      <w:smartTag w:uri="urn:schemas-microsoft-com:office:smarttags" w:element="City">
        <w:smartTag w:uri="urn:schemas-microsoft-com:office:smarttags" w:element="place">
          <w:r w:rsidRPr="002C6872">
            <w:rPr>
              <w:rFonts w:eastAsia="MS Mincho"/>
              <w:lang w:eastAsia="ja-JP"/>
            </w:rPr>
            <w:t>Enterprise</w:t>
          </w:r>
        </w:smartTag>
      </w:smartTag>
      <w:r w:rsidRPr="002C6872">
        <w:rPr>
          <w:rFonts w:eastAsia="MS Mincho"/>
          <w:lang w:eastAsia="ja-JP"/>
        </w:rPr>
        <w:t>, Trade and Employment</w:t>
      </w:r>
    </w:p>
    <w:p w14:paraId="2ED16659" w14:textId="77777777" w:rsidR="00CE0E7F" w:rsidRPr="002C6872" w:rsidRDefault="00CE0E7F" w:rsidP="00CE0E7F">
      <w:pPr>
        <w:pStyle w:val="ListBullet"/>
        <w:rPr>
          <w:rFonts w:eastAsia="MS Mincho"/>
          <w:lang w:eastAsia="ja-JP"/>
        </w:rPr>
      </w:pPr>
      <w:r w:rsidRPr="002C6872">
        <w:rPr>
          <w:rFonts w:eastAsia="MS Mincho"/>
          <w:lang w:eastAsia="ja-JP"/>
        </w:rPr>
        <w:t xml:space="preserve">Environment, </w:t>
      </w:r>
      <w:proofErr w:type="gramStart"/>
      <w:r w:rsidRPr="002C6872">
        <w:rPr>
          <w:rFonts w:eastAsia="MS Mincho"/>
          <w:lang w:eastAsia="ja-JP"/>
        </w:rPr>
        <w:t>Heritage</w:t>
      </w:r>
      <w:proofErr w:type="gramEnd"/>
      <w:r w:rsidRPr="002C6872">
        <w:rPr>
          <w:rFonts w:eastAsia="MS Mincho"/>
          <w:lang w:eastAsia="ja-JP"/>
        </w:rPr>
        <w:t xml:space="preserve"> and Local Government</w:t>
      </w:r>
    </w:p>
    <w:p w14:paraId="32503003" w14:textId="77777777" w:rsidR="00CE0E7F" w:rsidRPr="002C6872" w:rsidRDefault="00CE0E7F" w:rsidP="00CE0E7F">
      <w:pPr>
        <w:pStyle w:val="ListBullet"/>
        <w:rPr>
          <w:rFonts w:eastAsia="MS Mincho"/>
          <w:lang w:eastAsia="ja-JP"/>
        </w:rPr>
      </w:pPr>
      <w:r w:rsidRPr="002C6872">
        <w:rPr>
          <w:rFonts w:eastAsia="MS Mincho"/>
          <w:lang w:eastAsia="ja-JP"/>
        </w:rPr>
        <w:t>Health and Children</w:t>
      </w:r>
    </w:p>
    <w:p w14:paraId="494EA819" w14:textId="77777777" w:rsidR="00CE0E7F" w:rsidRPr="002C6872" w:rsidRDefault="00CE0E7F" w:rsidP="00CE0E7F">
      <w:pPr>
        <w:pStyle w:val="ListBullet"/>
        <w:rPr>
          <w:rFonts w:eastAsia="MS Mincho"/>
        </w:rPr>
      </w:pPr>
      <w:r w:rsidRPr="002C6872">
        <w:rPr>
          <w:rFonts w:eastAsia="MS Mincho"/>
        </w:rPr>
        <w:t>Social and Family Affairs</w:t>
      </w:r>
    </w:p>
    <w:p w14:paraId="6993AC15" w14:textId="77777777" w:rsidR="00CE0E7F" w:rsidRPr="002C6872" w:rsidRDefault="00CE0E7F" w:rsidP="00CE0E7F">
      <w:pPr>
        <w:pStyle w:val="ListBullet"/>
        <w:rPr>
          <w:rFonts w:eastAsia="MS Mincho"/>
          <w:lang w:eastAsia="ja-JP"/>
        </w:rPr>
      </w:pPr>
      <w:r w:rsidRPr="002C6872">
        <w:rPr>
          <w:rFonts w:eastAsia="MS Mincho"/>
          <w:lang w:eastAsia="ja-JP"/>
        </w:rPr>
        <w:t>Transport</w:t>
      </w:r>
    </w:p>
    <w:p w14:paraId="613D9C23" w14:textId="77777777" w:rsidR="00CE0E7F" w:rsidRPr="002C6872" w:rsidRDefault="00CE0E7F" w:rsidP="00CE0E7F">
      <w:pPr>
        <w:spacing w:before="300"/>
      </w:pPr>
      <w:r w:rsidRPr="002C6872">
        <w:t xml:space="preserve">The biggest change </w:t>
      </w:r>
      <w:r w:rsidR="00D758F9" w:rsidRPr="002C6872">
        <w:t>occurred</w:t>
      </w:r>
      <w:r w:rsidRPr="002C6872">
        <w:t xml:space="preserve"> in </w:t>
      </w:r>
      <w:r w:rsidR="000A0640" w:rsidRPr="002C6872">
        <w:t xml:space="preserve">the Department of </w:t>
      </w:r>
      <w:r w:rsidRPr="002C6872">
        <w:t xml:space="preserve">Enterprise, Trade and Employment where almost all areas covered in that Department’s sectoral plan were relocated between the renamed Department of Social Protection and </w:t>
      </w:r>
      <w:r w:rsidR="00754118" w:rsidRPr="002C6872">
        <w:t xml:space="preserve">Department of </w:t>
      </w:r>
      <w:r w:rsidRPr="002C6872">
        <w:t xml:space="preserve">Education and Skills, thus bringing the latter into the sectoral planning domain for the first time. The other Departments </w:t>
      </w:r>
      <w:r w:rsidR="00EC7D69" w:rsidRPr="002C6872">
        <w:t xml:space="preserve">with a sectoral plan </w:t>
      </w:r>
      <w:r w:rsidRPr="002C6872">
        <w:t>held their tit</w:t>
      </w:r>
      <w:r w:rsidR="00D537ED" w:rsidRPr="002C6872">
        <w:t>les and remits during 2010.</w:t>
      </w:r>
    </w:p>
    <w:p w14:paraId="139BC3E2" w14:textId="77777777" w:rsidR="007678D4" w:rsidRPr="002C6872" w:rsidRDefault="007678D4" w:rsidP="007678D4">
      <w:pPr>
        <w:pStyle w:val="Heading2"/>
      </w:pPr>
      <w:bookmarkStart w:id="79" w:name="_Toc299362516"/>
      <w:bookmarkStart w:id="80" w:name="_Toc300742122"/>
      <w:bookmarkStart w:id="81" w:name="_Toc300742871"/>
      <w:bookmarkStart w:id="82" w:name="_Toc300744223"/>
      <w:r w:rsidRPr="002C6872">
        <w:t>Education</w:t>
      </w:r>
      <w:bookmarkEnd w:id="79"/>
      <w:bookmarkEnd w:id="80"/>
      <w:bookmarkEnd w:id="81"/>
      <w:bookmarkEnd w:id="82"/>
    </w:p>
    <w:p w14:paraId="59B66E6C" w14:textId="77777777" w:rsidR="007678D4" w:rsidRPr="002C6872" w:rsidRDefault="007678D4" w:rsidP="007678D4">
      <w:pPr>
        <w:pStyle w:val="Heading3"/>
      </w:pPr>
      <w:r w:rsidRPr="002C6872">
        <w:t>National Council for Special Education</w:t>
      </w:r>
    </w:p>
    <w:p w14:paraId="46B6FD5A" w14:textId="77777777" w:rsidR="007678D4" w:rsidRPr="002C6872" w:rsidRDefault="007678D4" w:rsidP="007678D4">
      <w:r w:rsidRPr="002C6872">
        <w:t>The Director</w:t>
      </w:r>
      <w:r w:rsidR="00754118" w:rsidRPr="002C6872">
        <w:t xml:space="preserve"> of the National Disability Authority</w:t>
      </w:r>
      <w:r w:rsidRPr="002C6872">
        <w:t xml:space="preserve"> is a council member of the National Council for Special Education, and the </w:t>
      </w:r>
      <w:r w:rsidR="00754118" w:rsidRPr="002C6872">
        <w:t xml:space="preserve">National Disability </w:t>
      </w:r>
      <w:r w:rsidR="00B85293" w:rsidRPr="002C6872">
        <w:t>Authority</w:t>
      </w:r>
      <w:r w:rsidRPr="002C6872">
        <w:t xml:space="preserve"> is also a member of its Advisory Group on Research in Special Education. The </w:t>
      </w:r>
      <w:r w:rsidR="00754118" w:rsidRPr="002C6872">
        <w:t xml:space="preserve">National Disability </w:t>
      </w:r>
      <w:r w:rsidR="00B85293" w:rsidRPr="002C6872">
        <w:t>Authority</w:t>
      </w:r>
      <w:r w:rsidRPr="002C6872">
        <w:t xml:space="preserve"> provided advice on its </w:t>
      </w:r>
      <w:r w:rsidRPr="002C6872">
        <w:rPr>
          <w:b/>
        </w:rPr>
        <w:t>Review of the Role of Special Education Schools and Classes</w:t>
      </w:r>
      <w:r w:rsidRPr="002C6872">
        <w:t xml:space="preserve">. The </w:t>
      </w:r>
      <w:r w:rsidR="00754118" w:rsidRPr="002C6872">
        <w:t xml:space="preserve">National Disability </w:t>
      </w:r>
      <w:r w:rsidR="00B85293" w:rsidRPr="002C6872">
        <w:t>Authority</w:t>
      </w:r>
      <w:r w:rsidRPr="002C6872">
        <w:t xml:space="preserve"> also provided briefing </w:t>
      </w:r>
      <w:r w:rsidR="00D758F9" w:rsidRPr="002C6872">
        <w:t xml:space="preserve">to the </w:t>
      </w:r>
      <w:r w:rsidR="0044112E" w:rsidRPr="002C6872">
        <w:t xml:space="preserve">National </w:t>
      </w:r>
      <w:r w:rsidR="00D758F9" w:rsidRPr="002C6872">
        <w:t xml:space="preserve">Council </w:t>
      </w:r>
      <w:r w:rsidR="0044112E" w:rsidRPr="002C6872">
        <w:t xml:space="preserve">for Special Education </w:t>
      </w:r>
      <w:r w:rsidR="00D758F9" w:rsidRPr="002C6872">
        <w:t xml:space="preserve">in relation to </w:t>
      </w:r>
      <w:r w:rsidR="0044112E" w:rsidRPr="002C6872">
        <w:t xml:space="preserve">their </w:t>
      </w:r>
      <w:r w:rsidR="00D758F9" w:rsidRPr="002C6872">
        <w:t>appearance before</w:t>
      </w:r>
      <w:r w:rsidRPr="002C6872">
        <w:t xml:space="preserve"> the Oireachtas Joint Committee on Education and Skills. </w:t>
      </w:r>
    </w:p>
    <w:p w14:paraId="7522308C" w14:textId="77777777" w:rsidR="007678D4" w:rsidRPr="002C6872" w:rsidRDefault="007678D4" w:rsidP="00444647">
      <w:pPr>
        <w:pStyle w:val="Heading3"/>
      </w:pPr>
      <w:r w:rsidRPr="002C6872">
        <w:t>Early childcare and education</w:t>
      </w:r>
    </w:p>
    <w:p w14:paraId="3BAD564F" w14:textId="77777777" w:rsidR="007678D4" w:rsidRPr="002C6872" w:rsidRDefault="007678D4" w:rsidP="007678D4">
      <w:r w:rsidRPr="002C6872">
        <w:t xml:space="preserve">The </w:t>
      </w:r>
      <w:r w:rsidR="00754118" w:rsidRPr="002C6872">
        <w:t xml:space="preserve">National Disability </w:t>
      </w:r>
      <w:r w:rsidR="00B85293" w:rsidRPr="002C6872">
        <w:t>Authority</w:t>
      </w:r>
      <w:r w:rsidRPr="002C6872">
        <w:t xml:space="preserve"> </w:t>
      </w:r>
      <w:r w:rsidR="00D758F9" w:rsidRPr="002C6872">
        <w:t xml:space="preserve">undertook </w:t>
      </w:r>
      <w:r w:rsidRPr="002C6872">
        <w:t>a literature review on the inclusion of children with disabilities in early education and care</w:t>
      </w:r>
      <w:r w:rsidR="00754118" w:rsidRPr="002C6872">
        <w:t>. The National Disability Authority also</w:t>
      </w:r>
      <w:r w:rsidRPr="002C6872">
        <w:t xml:space="preserve"> engaged with the Office for Disability and Mental Health and the Office of the Minister for Children and Youth Affairs, </w:t>
      </w:r>
      <w:proofErr w:type="gramStart"/>
      <w:r w:rsidR="00754118" w:rsidRPr="002C6872">
        <w:t>with regard to</w:t>
      </w:r>
      <w:proofErr w:type="gramEnd"/>
      <w:r w:rsidR="00754118" w:rsidRPr="002C6872">
        <w:t xml:space="preserve"> </w:t>
      </w:r>
      <w:r w:rsidRPr="002C6872">
        <w:t xml:space="preserve">further work on international good practice in this area in train to inform a future </w:t>
      </w:r>
      <w:r w:rsidR="00754118" w:rsidRPr="002C6872">
        <w:t xml:space="preserve">National Disability </w:t>
      </w:r>
      <w:r w:rsidR="00B85293" w:rsidRPr="002C6872">
        <w:t>Authority</w:t>
      </w:r>
      <w:r w:rsidRPr="002C6872">
        <w:t xml:space="preserve"> </w:t>
      </w:r>
      <w:r w:rsidR="00337317" w:rsidRPr="002C6872">
        <w:t xml:space="preserve">policy </w:t>
      </w:r>
      <w:r w:rsidRPr="002C6872">
        <w:t xml:space="preserve">advice paper. </w:t>
      </w:r>
    </w:p>
    <w:p w14:paraId="03D4DA76" w14:textId="77777777" w:rsidR="007678D4" w:rsidRPr="002C6872" w:rsidRDefault="007678D4" w:rsidP="007678D4">
      <w:pPr>
        <w:pStyle w:val="Heading2"/>
      </w:pPr>
      <w:bookmarkStart w:id="83" w:name="_Toc299362517"/>
      <w:bookmarkStart w:id="84" w:name="_Toc300742123"/>
      <w:bookmarkStart w:id="85" w:name="_Toc300742872"/>
      <w:bookmarkStart w:id="86" w:name="_Toc300744224"/>
      <w:r w:rsidRPr="002C6872">
        <w:t>Review of the Operation of Disability Act 2005</w:t>
      </w:r>
      <w:bookmarkEnd w:id="83"/>
      <w:bookmarkEnd w:id="84"/>
      <w:bookmarkEnd w:id="85"/>
      <w:bookmarkEnd w:id="86"/>
    </w:p>
    <w:p w14:paraId="17CD9877" w14:textId="77777777" w:rsidR="007678D4" w:rsidRPr="002C6872" w:rsidRDefault="007678D4" w:rsidP="00444647">
      <w:r w:rsidRPr="002C6872">
        <w:t xml:space="preserve">The Disability Act 2005 contains a provision for the review of its operation after five years. The </w:t>
      </w:r>
      <w:r w:rsidR="00754118" w:rsidRPr="002C6872">
        <w:t xml:space="preserve">National Disability </w:t>
      </w:r>
      <w:r w:rsidR="00B85293" w:rsidRPr="002C6872">
        <w:t>Authority</w:t>
      </w:r>
      <w:r w:rsidRPr="002C6872">
        <w:t xml:space="preserve"> hosted an information event to facilitate disability organisations in making an input into the review. The </w:t>
      </w:r>
      <w:r w:rsidR="00754118" w:rsidRPr="002C6872">
        <w:t xml:space="preserve">National Disability </w:t>
      </w:r>
      <w:r w:rsidR="00B85293" w:rsidRPr="002C6872">
        <w:t>Authority</w:t>
      </w:r>
      <w:r w:rsidRPr="002C6872">
        <w:t xml:space="preserve"> </w:t>
      </w:r>
      <w:r w:rsidR="00D537ED" w:rsidRPr="002C6872">
        <w:t xml:space="preserve">also </w:t>
      </w:r>
      <w:r w:rsidRPr="002C6872">
        <w:t xml:space="preserve">prepared a detailed </w:t>
      </w:r>
      <w:r w:rsidR="00337317" w:rsidRPr="002C6872">
        <w:t xml:space="preserve">policy </w:t>
      </w:r>
      <w:r w:rsidR="00D537ED" w:rsidRPr="002C6872">
        <w:t xml:space="preserve">advice </w:t>
      </w:r>
      <w:r w:rsidRPr="002C6872">
        <w:t>paper identifying operational issues that had arisen under different sections of the</w:t>
      </w:r>
      <w:r w:rsidR="0044112E" w:rsidRPr="002C6872">
        <w:t xml:space="preserve"> </w:t>
      </w:r>
      <w:r w:rsidRPr="002C6872">
        <w:t>Act</w:t>
      </w:r>
      <w:r w:rsidR="00754118" w:rsidRPr="002C6872">
        <w:t xml:space="preserve"> </w:t>
      </w:r>
      <w:r w:rsidRPr="002C6872">
        <w:t>and suggest</w:t>
      </w:r>
      <w:r w:rsidR="00754118" w:rsidRPr="002C6872">
        <w:t>ed</w:t>
      </w:r>
      <w:r w:rsidRPr="002C6872">
        <w:t xml:space="preserve"> practical ways in which they might be resolved. </w:t>
      </w:r>
      <w:proofErr w:type="gramStart"/>
      <w:r w:rsidR="00EC7D69" w:rsidRPr="002C6872">
        <w:t>In light of</w:t>
      </w:r>
      <w:proofErr w:type="gramEnd"/>
      <w:r w:rsidR="00EC7D69" w:rsidRPr="002C6872">
        <w:t xml:space="preserve"> changes in Departmental configuration and responsibilities</w:t>
      </w:r>
      <w:r w:rsidR="00EC7D69" w:rsidRPr="002C6872">
        <w:rPr>
          <w:rStyle w:val="CommentReference"/>
        </w:rPr>
        <w:t xml:space="preserve">, </w:t>
      </w:r>
      <w:r w:rsidR="00EC7D69" w:rsidRPr="002C6872">
        <w:rPr>
          <w:rStyle w:val="CommentReference"/>
          <w:sz w:val="24"/>
          <w:szCs w:val="24"/>
        </w:rPr>
        <w:t>o</w:t>
      </w:r>
      <w:r w:rsidR="00EC7D69" w:rsidRPr="002C6872">
        <w:t>ne</w:t>
      </w:r>
      <w:r w:rsidRPr="002C6872">
        <w:t xml:space="preserve"> example </w:t>
      </w:r>
      <w:r w:rsidR="00EC7D69" w:rsidRPr="002C6872">
        <w:t xml:space="preserve">involved suggested </w:t>
      </w:r>
      <w:r w:rsidRPr="002C6872">
        <w:t xml:space="preserve">amendments to the </w:t>
      </w:r>
      <w:r w:rsidR="00EC7D69" w:rsidRPr="002C6872">
        <w:t>provisions dealing with the s</w:t>
      </w:r>
      <w:r w:rsidR="00B85293" w:rsidRPr="002C6872">
        <w:t xml:space="preserve">ectoral </w:t>
      </w:r>
      <w:r w:rsidR="00EC7D69" w:rsidRPr="002C6872">
        <w:t>p</w:t>
      </w:r>
      <w:r w:rsidRPr="002C6872">
        <w:t>lans</w:t>
      </w:r>
      <w:r w:rsidR="0049362B" w:rsidRPr="002C6872">
        <w:t xml:space="preserve">. The National Disability Authority also put </w:t>
      </w:r>
      <w:r w:rsidR="0049362B" w:rsidRPr="002C6872">
        <w:lastRenderedPageBreak/>
        <w:t>forward some technical amendments designed to bring about the better operation of the Act as originally intended when it was drafted.</w:t>
      </w:r>
      <w:r w:rsidRPr="002C6872">
        <w:t xml:space="preserve"> </w:t>
      </w:r>
    </w:p>
    <w:p w14:paraId="455EDE87" w14:textId="77777777" w:rsidR="000F2886" w:rsidRPr="002C6872" w:rsidRDefault="00C27F9F" w:rsidP="007678D4">
      <w:pPr>
        <w:pStyle w:val="Heading2"/>
      </w:pPr>
      <w:bookmarkStart w:id="87" w:name="_Toc299362518"/>
      <w:bookmarkStart w:id="88" w:name="_Toc300742124"/>
      <w:bookmarkStart w:id="89" w:name="_Toc300742873"/>
      <w:bookmarkStart w:id="90" w:name="_Toc300744225"/>
      <w:r w:rsidRPr="002C6872">
        <w:t>Health</w:t>
      </w:r>
      <w:bookmarkEnd w:id="87"/>
      <w:bookmarkEnd w:id="88"/>
      <w:bookmarkEnd w:id="89"/>
      <w:bookmarkEnd w:id="90"/>
    </w:p>
    <w:p w14:paraId="638BBDF4" w14:textId="77777777" w:rsidR="000A0530" w:rsidRPr="002C6872" w:rsidRDefault="000A0530" w:rsidP="00955DDB">
      <w:pPr>
        <w:pStyle w:val="Heading3"/>
      </w:pPr>
      <w:r w:rsidRPr="002C6872">
        <w:t>Value for Money and Policy Review of HSE-funded disability services</w:t>
      </w:r>
    </w:p>
    <w:p w14:paraId="03031C7A" w14:textId="77777777" w:rsidR="003809CB" w:rsidRPr="002C6872" w:rsidRDefault="002703F7" w:rsidP="0039751D">
      <w:r w:rsidRPr="002C6872">
        <w:t xml:space="preserve">The </w:t>
      </w:r>
      <w:r w:rsidR="0044112E" w:rsidRPr="002C6872">
        <w:t xml:space="preserve">National Disability </w:t>
      </w:r>
      <w:r w:rsidR="00B85293" w:rsidRPr="002C6872">
        <w:t xml:space="preserve">Authority </w:t>
      </w:r>
      <w:r w:rsidRPr="002C6872">
        <w:t xml:space="preserve">provided a detailed </w:t>
      </w:r>
      <w:r w:rsidR="00337317" w:rsidRPr="002C6872">
        <w:t xml:space="preserve">policy </w:t>
      </w:r>
      <w:r w:rsidRPr="002C6872">
        <w:t>advice paper to the Dep</w:t>
      </w:r>
      <w:r w:rsidR="000F2886" w:rsidRPr="002C6872">
        <w:t>artmen</w:t>
      </w:r>
      <w:r w:rsidRPr="002C6872">
        <w:t>t</w:t>
      </w:r>
      <w:r w:rsidR="0044112E" w:rsidRPr="002C6872">
        <w:t xml:space="preserve"> of Health and Children’s</w:t>
      </w:r>
      <w:r w:rsidRPr="002C6872">
        <w:t xml:space="preserve"> Value for Money and Policy Review of Disability </w:t>
      </w:r>
      <w:proofErr w:type="gramStart"/>
      <w:r w:rsidRPr="002C6872">
        <w:t>Services</w:t>
      </w:r>
      <w:r w:rsidR="003809CB" w:rsidRPr="002C6872">
        <w:t>, and</w:t>
      </w:r>
      <w:proofErr w:type="gramEnd"/>
      <w:r w:rsidR="003809CB" w:rsidRPr="002C6872">
        <w:t xml:space="preserve"> presented on the paper's findings to the </w:t>
      </w:r>
      <w:r w:rsidR="000A0530" w:rsidRPr="002C6872">
        <w:t xml:space="preserve">Value for Money and Policy </w:t>
      </w:r>
      <w:r w:rsidR="003809CB" w:rsidRPr="002C6872">
        <w:t>Review Group</w:t>
      </w:r>
      <w:r w:rsidRPr="002C6872">
        <w:t xml:space="preserve">. </w:t>
      </w:r>
      <w:r w:rsidR="00A83F1E" w:rsidRPr="002C6872">
        <w:rPr>
          <w:rFonts w:cs="Arial"/>
        </w:rPr>
        <w:t>The paper was primarily based on a comparative study of the systems of disability services and supports</w:t>
      </w:r>
      <w:r w:rsidR="0044112E" w:rsidRPr="002C6872">
        <w:rPr>
          <w:rFonts w:cs="Arial"/>
        </w:rPr>
        <w:t xml:space="preserve"> including commissioned research on costs of disability services </w:t>
      </w:r>
      <w:r w:rsidR="00A83F1E" w:rsidRPr="002C6872">
        <w:rPr>
          <w:rFonts w:cs="Arial"/>
        </w:rPr>
        <w:t>in six jurisdictions</w:t>
      </w:r>
      <w:r w:rsidR="0044112E" w:rsidRPr="002C6872">
        <w:rPr>
          <w:rFonts w:cs="Arial"/>
        </w:rPr>
        <w:t xml:space="preserve">: </w:t>
      </w:r>
      <w:smartTag w:uri="urn:schemas-microsoft-com:office:smarttags" w:element="country-region">
        <w:r w:rsidR="00A83F1E" w:rsidRPr="002C6872">
          <w:rPr>
            <w:rFonts w:cs="Arial"/>
          </w:rPr>
          <w:t>England</w:t>
        </w:r>
      </w:smartTag>
      <w:r w:rsidR="00A83F1E" w:rsidRPr="002C6872">
        <w:rPr>
          <w:rFonts w:cs="Arial"/>
        </w:rPr>
        <w:t xml:space="preserve">, </w:t>
      </w:r>
      <w:smartTag w:uri="urn:schemas-microsoft-com:office:smarttags" w:element="country-region">
        <w:r w:rsidR="00A83F1E" w:rsidRPr="002C6872">
          <w:rPr>
            <w:rFonts w:cs="Arial"/>
          </w:rPr>
          <w:t>Scotland</w:t>
        </w:r>
      </w:smartTag>
      <w:r w:rsidR="00A83F1E" w:rsidRPr="002C6872">
        <w:rPr>
          <w:rFonts w:cs="Arial"/>
        </w:rPr>
        <w:t xml:space="preserve">, </w:t>
      </w:r>
      <w:smartTag w:uri="urn:schemas-microsoft-com:office:smarttags" w:element="country-region">
        <w:r w:rsidR="00A83F1E" w:rsidRPr="002C6872">
          <w:rPr>
            <w:rFonts w:cs="Arial"/>
          </w:rPr>
          <w:t>Norway</w:t>
        </w:r>
      </w:smartTag>
      <w:r w:rsidR="00A83F1E" w:rsidRPr="002C6872">
        <w:rPr>
          <w:rFonts w:cs="Arial"/>
        </w:rPr>
        <w:t xml:space="preserve">, </w:t>
      </w:r>
      <w:smartTag w:uri="urn:schemas-microsoft-com:office:smarttags" w:element="country-region">
        <w:r w:rsidR="00A83F1E" w:rsidRPr="002C6872">
          <w:rPr>
            <w:rFonts w:cs="Arial"/>
          </w:rPr>
          <w:t>Netherlands</w:t>
        </w:r>
      </w:smartTag>
      <w:r w:rsidR="00A83F1E" w:rsidRPr="002C6872">
        <w:rPr>
          <w:rFonts w:cs="Arial"/>
        </w:rPr>
        <w:t xml:space="preserve">, </w:t>
      </w:r>
      <w:smartTag w:uri="urn:schemas-microsoft-com:office:smarttags" w:element="country-region">
        <w:r w:rsidR="00A83F1E" w:rsidRPr="002C6872">
          <w:rPr>
            <w:rFonts w:cs="Arial"/>
          </w:rPr>
          <w:t xml:space="preserve">New </w:t>
        </w:r>
        <w:proofErr w:type="gramStart"/>
        <w:r w:rsidR="00A83F1E" w:rsidRPr="002C6872">
          <w:rPr>
            <w:rFonts w:cs="Arial"/>
          </w:rPr>
          <w:t>Zealand</w:t>
        </w:r>
      </w:smartTag>
      <w:proofErr w:type="gramEnd"/>
      <w:r w:rsidR="00A83F1E" w:rsidRPr="002C6872">
        <w:rPr>
          <w:rFonts w:cs="Arial"/>
        </w:rPr>
        <w:t xml:space="preserve"> and </w:t>
      </w:r>
      <w:smartTag w:uri="urn:schemas-microsoft-com:office:smarttags" w:element="State">
        <w:r w:rsidR="00A83F1E" w:rsidRPr="002C6872">
          <w:rPr>
            <w:rFonts w:cs="Arial"/>
          </w:rPr>
          <w:t>Victoria</w:t>
        </w:r>
      </w:smartTag>
      <w:r w:rsidR="00A83F1E" w:rsidRPr="002C6872">
        <w:rPr>
          <w:rFonts w:cs="Arial"/>
        </w:rPr>
        <w:t xml:space="preserve"> (</w:t>
      </w:r>
      <w:smartTag w:uri="urn:schemas-microsoft-com:office:smarttags" w:element="country-region">
        <w:smartTag w:uri="urn:schemas-microsoft-com:office:smarttags" w:element="place">
          <w:r w:rsidR="00A83F1E" w:rsidRPr="002C6872">
            <w:rPr>
              <w:rFonts w:cs="Arial"/>
            </w:rPr>
            <w:t>Australia</w:t>
          </w:r>
        </w:smartTag>
      </w:smartTag>
      <w:r w:rsidR="00A83F1E" w:rsidRPr="002C6872">
        <w:rPr>
          <w:rFonts w:cs="Arial"/>
        </w:rPr>
        <w:t>).</w:t>
      </w:r>
    </w:p>
    <w:p w14:paraId="296817D7" w14:textId="77777777" w:rsidR="003809CB" w:rsidRPr="002C6872" w:rsidRDefault="003809CB" w:rsidP="00B85293">
      <w:pPr>
        <w:spacing w:after="120"/>
      </w:pPr>
      <w:r w:rsidRPr="002C6872">
        <w:t>This paper advised that the following values should underpin disability service provision</w:t>
      </w:r>
      <w:r w:rsidR="00847C7A" w:rsidRPr="002C6872">
        <w:t xml:space="preserve"> and should be</w:t>
      </w:r>
      <w:r w:rsidRPr="002C6872">
        <w:t xml:space="preserve"> incorporated as condition</w:t>
      </w:r>
      <w:r w:rsidR="00847C7A" w:rsidRPr="002C6872">
        <w:t>s</w:t>
      </w:r>
      <w:r w:rsidRPr="002C6872">
        <w:t xml:space="preserve"> for the award of funding, and embedded in ma</w:t>
      </w:r>
      <w:r w:rsidR="00B85293" w:rsidRPr="002C6872">
        <w:t>nda</w:t>
      </w:r>
      <w:r w:rsidRPr="002C6872">
        <w:t>tory service sta</w:t>
      </w:r>
      <w:r w:rsidR="00B85293" w:rsidRPr="002C6872">
        <w:t>nda</w:t>
      </w:r>
      <w:r w:rsidRPr="002C6872">
        <w:t>rds:</w:t>
      </w:r>
    </w:p>
    <w:p w14:paraId="19674A55" w14:textId="77777777" w:rsidR="003809CB" w:rsidRPr="002C6872" w:rsidRDefault="003809CB" w:rsidP="00444647">
      <w:pPr>
        <w:pStyle w:val="ListBullet"/>
      </w:pPr>
      <w:r w:rsidRPr="002C6872">
        <w:t xml:space="preserve">person-centredness, inclusion, community integration, participation, independence, and choice </w:t>
      </w:r>
    </w:p>
    <w:p w14:paraId="2A9B6457" w14:textId="77777777" w:rsidR="003809CB" w:rsidRPr="002C6872" w:rsidRDefault="003809CB" w:rsidP="00444647">
      <w:pPr>
        <w:pStyle w:val="ListBullet"/>
      </w:pPr>
      <w:r w:rsidRPr="002C6872">
        <w:t>individuals with disabilities should be supported to live the lives of their choice in the mainstream of the community</w:t>
      </w:r>
    </w:p>
    <w:p w14:paraId="26651FB2" w14:textId="77777777" w:rsidR="00FC0771" w:rsidRPr="002C6872" w:rsidRDefault="00FC0771" w:rsidP="00444647">
      <w:r w:rsidRPr="002C6872">
        <w:t xml:space="preserve">A </w:t>
      </w:r>
      <w:r w:rsidR="003809CB" w:rsidRPr="002C6872">
        <w:t xml:space="preserve">senior staff member of the </w:t>
      </w:r>
      <w:r w:rsidR="00847C7A" w:rsidRPr="002C6872">
        <w:t xml:space="preserve">National Disability </w:t>
      </w:r>
      <w:r w:rsidR="00B85293" w:rsidRPr="002C6872">
        <w:t>Authority</w:t>
      </w:r>
      <w:r w:rsidR="003809CB" w:rsidRPr="002C6872">
        <w:t xml:space="preserve"> wa</w:t>
      </w:r>
      <w:r w:rsidRPr="002C6872">
        <w:t xml:space="preserve">s also </w:t>
      </w:r>
      <w:r w:rsidR="00847C7A" w:rsidRPr="002C6872">
        <w:t xml:space="preserve">a member of </w:t>
      </w:r>
      <w:r w:rsidRPr="002C6872">
        <w:t xml:space="preserve">the Policy Reference Group of the Value for Money and Policy Review of </w:t>
      </w:r>
      <w:r w:rsidR="00B85293" w:rsidRPr="002C6872">
        <w:t>HSE</w:t>
      </w:r>
      <w:r w:rsidR="00A83F1E" w:rsidRPr="002C6872">
        <w:t xml:space="preserve">-funded </w:t>
      </w:r>
      <w:r w:rsidRPr="002C6872">
        <w:t>Disability Services (all mem</w:t>
      </w:r>
      <w:r w:rsidR="000A0530" w:rsidRPr="002C6872">
        <w:t>bers of the Policy Reference Group we</w:t>
      </w:r>
      <w:r w:rsidRPr="002C6872">
        <w:t xml:space="preserve">re members in an individual capacity). </w:t>
      </w:r>
    </w:p>
    <w:p w14:paraId="107DAB16" w14:textId="77777777" w:rsidR="000A0530" w:rsidRPr="002C6872" w:rsidRDefault="00B85293" w:rsidP="000A0530">
      <w:pPr>
        <w:pStyle w:val="Heading3"/>
      </w:pPr>
      <w:r w:rsidRPr="002C6872">
        <w:t>HSE</w:t>
      </w:r>
      <w:r w:rsidR="000A0530" w:rsidRPr="002C6872">
        <w:t xml:space="preserve"> Review of Congregated Settings </w:t>
      </w:r>
    </w:p>
    <w:p w14:paraId="4019200B" w14:textId="77777777" w:rsidR="00FC0771" w:rsidRPr="002C6872" w:rsidRDefault="002039D6" w:rsidP="000A0530">
      <w:r w:rsidRPr="002C6872">
        <w:t xml:space="preserve">A senior </w:t>
      </w:r>
      <w:r w:rsidR="00847C7A" w:rsidRPr="002C6872">
        <w:t xml:space="preserve">National Disability </w:t>
      </w:r>
      <w:r w:rsidR="00B85293" w:rsidRPr="002C6872">
        <w:t xml:space="preserve">Authority </w:t>
      </w:r>
      <w:r w:rsidRPr="002C6872">
        <w:t xml:space="preserve">staff member </w:t>
      </w:r>
      <w:r w:rsidR="00FC0771" w:rsidRPr="002C6872">
        <w:t xml:space="preserve">was </w:t>
      </w:r>
      <w:r w:rsidR="00847C7A" w:rsidRPr="002C6872">
        <w:t xml:space="preserve">a member of </w:t>
      </w:r>
      <w:r w:rsidR="00FC0771" w:rsidRPr="002C6872">
        <w:t>the HSE’</w:t>
      </w:r>
      <w:r w:rsidR="000A0530" w:rsidRPr="002C6872">
        <w:t xml:space="preserve">s Congregated Settings Working Group </w:t>
      </w:r>
      <w:r w:rsidR="00847C7A" w:rsidRPr="002C6872">
        <w:t xml:space="preserve">which </w:t>
      </w:r>
      <w:r w:rsidR="000A0530" w:rsidRPr="002C6872">
        <w:t>examin</w:t>
      </w:r>
      <w:r w:rsidR="00847C7A" w:rsidRPr="002C6872">
        <w:t>ed</w:t>
      </w:r>
      <w:r w:rsidR="000A0530" w:rsidRPr="002C6872">
        <w:t xml:space="preserve"> alternatives to institutional living for some 4,000 people with </w:t>
      </w:r>
      <w:r w:rsidR="00E91CE1" w:rsidRPr="002C6872">
        <w:t xml:space="preserve">an </w:t>
      </w:r>
      <w:r w:rsidR="000A0530" w:rsidRPr="002C6872">
        <w:t xml:space="preserve">intellectual, </w:t>
      </w:r>
      <w:proofErr w:type="gramStart"/>
      <w:r w:rsidR="000A0530" w:rsidRPr="002C6872">
        <w:t>physical</w:t>
      </w:r>
      <w:proofErr w:type="gramEnd"/>
      <w:r w:rsidR="000A0530" w:rsidRPr="002C6872">
        <w:t xml:space="preserve"> or sensory disability living in centres of ten or more people. The </w:t>
      </w:r>
      <w:r w:rsidR="00847C7A" w:rsidRPr="002C6872">
        <w:t xml:space="preserve">National Disability </w:t>
      </w:r>
      <w:r w:rsidR="00B85293" w:rsidRPr="002C6872">
        <w:t>Authority</w:t>
      </w:r>
      <w:r w:rsidR="000A0530" w:rsidRPr="002C6872">
        <w:t xml:space="preserve"> did significant work on the literature review and on analysis of a survey of these centres for the </w:t>
      </w:r>
      <w:r w:rsidR="0049362B" w:rsidRPr="002C6872">
        <w:t xml:space="preserve">Congregated Settings Working </w:t>
      </w:r>
      <w:r w:rsidR="000A0530" w:rsidRPr="002C6872">
        <w:t xml:space="preserve">Group's report. The Working Group submitted its report to the HSE in mid-2010. </w:t>
      </w:r>
    </w:p>
    <w:p w14:paraId="1EEF108D" w14:textId="77777777" w:rsidR="00FB680A" w:rsidRPr="002C6872" w:rsidRDefault="00A83F1E" w:rsidP="00FB680A">
      <w:pPr>
        <w:pStyle w:val="Heading3"/>
      </w:pPr>
      <w:r w:rsidRPr="002C6872">
        <w:t xml:space="preserve">A </w:t>
      </w:r>
      <w:r w:rsidR="00FB680A" w:rsidRPr="002C6872">
        <w:t>Vision for Change</w:t>
      </w:r>
    </w:p>
    <w:p w14:paraId="545AC0CC" w14:textId="77777777" w:rsidR="00FB680A" w:rsidRPr="002C6872" w:rsidRDefault="00787DD5" w:rsidP="00A129FE">
      <w:pPr>
        <w:rPr>
          <w:b/>
          <w:bCs/>
        </w:rPr>
      </w:pPr>
      <w:r w:rsidRPr="002C6872">
        <w:t xml:space="preserve">The National Disability Authority’s Director is a member of the Independent Monitoring Group on a Vision for Change </w:t>
      </w:r>
      <w:proofErr w:type="gramStart"/>
      <w:r w:rsidR="00FB680A" w:rsidRPr="002C6872">
        <w:t>The</w:t>
      </w:r>
      <w:proofErr w:type="gramEnd"/>
      <w:r w:rsidR="00FB680A" w:rsidRPr="002C6872">
        <w:t xml:space="preserve"> </w:t>
      </w:r>
      <w:r w:rsidR="00847C7A" w:rsidRPr="002C6872">
        <w:t xml:space="preserve">National Disability </w:t>
      </w:r>
      <w:r w:rsidR="00B85293" w:rsidRPr="002C6872">
        <w:t>Authority</w:t>
      </w:r>
      <w:r w:rsidR="00FB680A" w:rsidRPr="002C6872">
        <w:t xml:space="preserve"> gave a </w:t>
      </w:r>
      <w:r w:rsidR="00337317" w:rsidRPr="002C6872">
        <w:t xml:space="preserve">policy </w:t>
      </w:r>
      <w:r w:rsidR="00FB680A" w:rsidRPr="002C6872">
        <w:t xml:space="preserve">advice paper to the Department </w:t>
      </w:r>
      <w:r w:rsidR="00847C7A" w:rsidRPr="002C6872">
        <w:t xml:space="preserve">of Health and Children </w:t>
      </w:r>
      <w:r w:rsidR="00FB680A" w:rsidRPr="002C6872">
        <w:t>and the</w:t>
      </w:r>
      <w:r w:rsidR="004857ED" w:rsidRPr="002C6872">
        <w:t xml:space="preserve"> Independent </w:t>
      </w:r>
      <w:r w:rsidR="00FB680A" w:rsidRPr="002C6872">
        <w:t>Monitoring Group</w:t>
      </w:r>
      <w:r w:rsidR="00847C7A" w:rsidRPr="002C6872">
        <w:t xml:space="preserve"> on a Vision for Change</w:t>
      </w:r>
      <w:r w:rsidR="004857ED" w:rsidRPr="002C6872">
        <w:t>,</w:t>
      </w:r>
      <w:r w:rsidR="00FB680A" w:rsidRPr="002C6872">
        <w:t xml:space="preserve"> </w:t>
      </w:r>
      <w:r w:rsidR="00847C7A" w:rsidRPr="002C6872">
        <w:t xml:space="preserve">on how </w:t>
      </w:r>
      <w:r w:rsidR="00FB680A" w:rsidRPr="002C6872">
        <w:t xml:space="preserve">aspects of </w:t>
      </w:r>
      <w:r w:rsidR="00A83F1E" w:rsidRPr="002C6872">
        <w:rPr>
          <w:b/>
        </w:rPr>
        <w:t xml:space="preserve">A </w:t>
      </w:r>
      <w:r w:rsidR="00FB680A" w:rsidRPr="002C6872">
        <w:rPr>
          <w:b/>
        </w:rPr>
        <w:t>Vision for Change</w:t>
      </w:r>
      <w:r w:rsidR="00FB680A" w:rsidRPr="002C6872">
        <w:t xml:space="preserve"> </w:t>
      </w:r>
      <w:r w:rsidR="00847C7A" w:rsidRPr="002C6872">
        <w:t xml:space="preserve">might be progressed </w:t>
      </w:r>
      <w:r w:rsidR="00FB680A" w:rsidRPr="002C6872">
        <w:t>through the National Disability Strategy.</w:t>
      </w:r>
    </w:p>
    <w:p w14:paraId="38A32834" w14:textId="77777777" w:rsidR="000A0530" w:rsidRPr="002C6872" w:rsidRDefault="0023177A" w:rsidP="000A0530">
      <w:pPr>
        <w:pStyle w:val="Heading3"/>
      </w:pPr>
      <w:r w:rsidRPr="002C6872">
        <w:t>Health Information and Quality Authority</w:t>
      </w:r>
      <w:r w:rsidR="000A0530" w:rsidRPr="002C6872">
        <w:t xml:space="preserve"> draft sta</w:t>
      </w:r>
      <w:r w:rsidR="00B85293" w:rsidRPr="002C6872">
        <w:t>nda</w:t>
      </w:r>
      <w:r w:rsidR="000A0530" w:rsidRPr="002C6872">
        <w:t>rds on Better Safer Healthcare</w:t>
      </w:r>
    </w:p>
    <w:p w14:paraId="664A216A" w14:textId="77777777" w:rsidR="00FC0771" w:rsidRPr="002C6872" w:rsidRDefault="00FC0771" w:rsidP="00FC0771">
      <w:r w:rsidRPr="002C6872">
        <w:t xml:space="preserve">The </w:t>
      </w:r>
      <w:r w:rsidR="0023177A" w:rsidRPr="002C6872">
        <w:t xml:space="preserve">National Disability </w:t>
      </w:r>
      <w:r w:rsidR="00B85293" w:rsidRPr="002C6872">
        <w:t>Authority</w:t>
      </w:r>
      <w:r w:rsidR="000A0530" w:rsidRPr="002C6872">
        <w:t xml:space="preserve"> </w:t>
      </w:r>
      <w:r w:rsidR="00607B92" w:rsidRPr="002C6872">
        <w:t xml:space="preserve">held a roundtable with </w:t>
      </w:r>
      <w:r w:rsidR="00E91CE1" w:rsidRPr="002C6872">
        <w:t xml:space="preserve">the </w:t>
      </w:r>
      <w:r w:rsidR="00607B92" w:rsidRPr="002C6872">
        <w:t>H</w:t>
      </w:r>
      <w:r w:rsidR="00070022" w:rsidRPr="002C6872">
        <w:t xml:space="preserve">ealth </w:t>
      </w:r>
      <w:r w:rsidR="00607B92" w:rsidRPr="002C6872">
        <w:t>I</w:t>
      </w:r>
      <w:r w:rsidR="00070022" w:rsidRPr="002C6872">
        <w:t xml:space="preserve">nformation and </w:t>
      </w:r>
      <w:r w:rsidR="00607B92" w:rsidRPr="002C6872">
        <w:t>Q</w:t>
      </w:r>
      <w:r w:rsidR="00070022" w:rsidRPr="002C6872">
        <w:t xml:space="preserve">uality </w:t>
      </w:r>
      <w:r w:rsidR="00CE0E7F" w:rsidRPr="002C6872">
        <w:t>Authority</w:t>
      </w:r>
      <w:r w:rsidR="00070022" w:rsidRPr="002C6872">
        <w:t xml:space="preserve"> </w:t>
      </w:r>
      <w:r w:rsidR="00607B92" w:rsidRPr="002C6872">
        <w:t>and</w:t>
      </w:r>
      <w:r w:rsidRPr="002C6872">
        <w:t xml:space="preserve"> disability service providers </w:t>
      </w:r>
      <w:r w:rsidR="000A0530" w:rsidRPr="002C6872">
        <w:t xml:space="preserve">to inform its advice </w:t>
      </w:r>
      <w:r w:rsidRPr="002C6872">
        <w:t xml:space="preserve">on the </w:t>
      </w:r>
      <w:r w:rsidR="00B85293" w:rsidRPr="002C6872">
        <w:t>Health Information and Quality Authority</w:t>
      </w:r>
      <w:r w:rsidRPr="002C6872">
        <w:t>’s draft Better Safer Healthcare Sta</w:t>
      </w:r>
      <w:r w:rsidR="00B85293" w:rsidRPr="002C6872">
        <w:t>nda</w:t>
      </w:r>
      <w:r w:rsidRPr="002C6872">
        <w:t xml:space="preserve">rds. </w:t>
      </w:r>
      <w:r w:rsidR="00607B92" w:rsidRPr="002C6872">
        <w:t xml:space="preserve">This event clarified that the draft </w:t>
      </w:r>
      <w:r w:rsidR="00607B92" w:rsidRPr="002C6872">
        <w:lastRenderedPageBreak/>
        <w:t>Sta</w:t>
      </w:r>
      <w:r w:rsidR="00B85293" w:rsidRPr="002C6872">
        <w:t>nda</w:t>
      </w:r>
      <w:r w:rsidR="00607B92" w:rsidRPr="002C6872">
        <w:t>rds are intended to apply to disability care settings as well as to mainstream health settings</w:t>
      </w:r>
      <w:r w:rsidR="0073492C" w:rsidRPr="002C6872">
        <w:t xml:space="preserve"> and enabled consideration of the specific issues involved for people with disabilities</w:t>
      </w:r>
      <w:r w:rsidR="00607B92" w:rsidRPr="002C6872">
        <w:t xml:space="preserve">. </w:t>
      </w:r>
    </w:p>
    <w:p w14:paraId="44F0C722" w14:textId="77777777" w:rsidR="00263B61" w:rsidRPr="002C6872" w:rsidRDefault="00263B61" w:rsidP="007678D4">
      <w:pPr>
        <w:pStyle w:val="Heading2"/>
      </w:pPr>
      <w:bookmarkStart w:id="91" w:name="_Toc299362519"/>
      <w:bookmarkStart w:id="92" w:name="_Toc300742125"/>
      <w:bookmarkStart w:id="93" w:name="_Toc300742874"/>
      <w:bookmarkStart w:id="94" w:name="_Toc300744226"/>
      <w:r w:rsidRPr="002C6872">
        <w:t>Employment</w:t>
      </w:r>
      <w:bookmarkEnd w:id="91"/>
      <w:bookmarkEnd w:id="92"/>
      <w:bookmarkEnd w:id="93"/>
      <w:bookmarkEnd w:id="94"/>
    </w:p>
    <w:p w14:paraId="64144535" w14:textId="77777777" w:rsidR="00263B61" w:rsidRPr="002C6872" w:rsidRDefault="00263B61" w:rsidP="00263B61">
      <w:pPr>
        <w:pStyle w:val="Heading3"/>
      </w:pPr>
      <w:r w:rsidRPr="002C6872">
        <w:t>Supports to employment for people with high-support needs</w:t>
      </w:r>
    </w:p>
    <w:p w14:paraId="78AFE4A2" w14:textId="77777777" w:rsidR="00263B61" w:rsidRPr="002C6872" w:rsidRDefault="00263B61" w:rsidP="00263B61">
      <w:r w:rsidRPr="002C6872">
        <w:t>The</w:t>
      </w:r>
      <w:r w:rsidR="0023177A" w:rsidRPr="002C6872">
        <w:t xml:space="preserve"> National Disability </w:t>
      </w:r>
      <w:r w:rsidR="00B85293" w:rsidRPr="002C6872">
        <w:t>Authority</w:t>
      </w:r>
      <w:r w:rsidRPr="002C6872">
        <w:t xml:space="preserve"> prepared a </w:t>
      </w:r>
      <w:r w:rsidR="00337317" w:rsidRPr="002C6872">
        <w:t xml:space="preserve">policy advice </w:t>
      </w:r>
      <w:r w:rsidRPr="002C6872">
        <w:t xml:space="preserve">paper setting out an agreed approach by the Department of Health </w:t>
      </w:r>
      <w:r w:rsidR="00C27F9F" w:rsidRPr="002C6872">
        <w:t>and C</w:t>
      </w:r>
      <w:r w:rsidRPr="002C6872">
        <w:t xml:space="preserve">hildren and health sector stakeholders to supports </w:t>
      </w:r>
      <w:r w:rsidR="0049362B" w:rsidRPr="002C6872">
        <w:t xml:space="preserve">for </w:t>
      </w:r>
      <w:r w:rsidRPr="002C6872">
        <w:t>employment for people with high support needs. This paper is under discussion by the inter-departmental group on disability and employment.</w:t>
      </w:r>
    </w:p>
    <w:p w14:paraId="0EE307A7" w14:textId="77777777" w:rsidR="00263B61" w:rsidRPr="002C6872" w:rsidRDefault="00263B61" w:rsidP="00263B61">
      <w:pPr>
        <w:pStyle w:val="Heading3"/>
      </w:pPr>
      <w:r w:rsidRPr="002C6872">
        <w:t>Disability Activation Project</w:t>
      </w:r>
    </w:p>
    <w:p w14:paraId="36A93B41" w14:textId="77777777" w:rsidR="00263B61" w:rsidRPr="002C6872" w:rsidRDefault="00263B61" w:rsidP="00263B61">
      <w:r w:rsidRPr="002C6872">
        <w:t xml:space="preserve">The </w:t>
      </w:r>
      <w:r w:rsidR="0023177A" w:rsidRPr="002C6872">
        <w:t xml:space="preserve">National Disability </w:t>
      </w:r>
      <w:r w:rsidR="00B85293" w:rsidRPr="002C6872">
        <w:t>Authority</w:t>
      </w:r>
      <w:r w:rsidRPr="002C6872">
        <w:t xml:space="preserve"> is a member of the local advisory group to the Department of Social Protection’s Disability Activation Project. </w:t>
      </w:r>
      <w:r w:rsidR="00C27F9F" w:rsidRPr="002C6872">
        <w:t xml:space="preserve">The </w:t>
      </w:r>
      <w:r w:rsidR="00B85293" w:rsidRPr="002C6872">
        <w:t>Project</w:t>
      </w:r>
      <w:r w:rsidR="00C27F9F" w:rsidRPr="002C6872">
        <w:t xml:space="preserve"> receives monies from the European Social Fund and</w:t>
      </w:r>
      <w:r w:rsidRPr="002C6872">
        <w:t xml:space="preserve"> </w:t>
      </w:r>
      <w:r w:rsidR="00C27F9F" w:rsidRPr="002C6872">
        <w:t>works in partnership with local stakeholders including FÁS, the HSE and Vocational Education Committees</w:t>
      </w:r>
      <w:r w:rsidR="000D2A04" w:rsidRPr="002C6872">
        <w:t>.</w:t>
      </w:r>
      <w:r w:rsidR="00C27F9F" w:rsidRPr="002C6872">
        <w:t xml:space="preserve"> </w:t>
      </w:r>
      <w:r w:rsidR="000D2A04" w:rsidRPr="002C6872">
        <w:t xml:space="preserve">The Project has involved </w:t>
      </w:r>
      <w:r w:rsidR="00177FD0" w:rsidRPr="002C6872">
        <w:t xml:space="preserve">piloting </w:t>
      </w:r>
      <w:r w:rsidR="00C27F9F" w:rsidRPr="002C6872">
        <w:t xml:space="preserve">supports for engaging </w:t>
      </w:r>
      <w:r w:rsidR="000D2A04" w:rsidRPr="002C6872">
        <w:t xml:space="preserve">with </w:t>
      </w:r>
      <w:r w:rsidR="00C27F9F" w:rsidRPr="002C6872">
        <w:t>people with disabilities including tailored training programmes</w:t>
      </w:r>
      <w:r w:rsidR="000D2A04" w:rsidRPr="002C6872">
        <w:t xml:space="preserve">. The Project also </w:t>
      </w:r>
      <w:r w:rsidR="00C27F9F" w:rsidRPr="002C6872">
        <w:t xml:space="preserve">seeks to model the inter-agency partnerships required to deliver effective pathways towards inclusion and employment. </w:t>
      </w:r>
    </w:p>
    <w:p w14:paraId="1552FF30" w14:textId="77777777" w:rsidR="007F3094" w:rsidRPr="002C6872" w:rsidRDefault="007F3094" w:rsidP="007678D4">
      <w:pPr>
        <w:pStyle w:val="Heading2"/>
      </w:pPr>
      <w:bookmarkStart w:id="95" w:name="_Toc299362520"/>
      <w:bookmarkStart w:id="96" w:name="_Toc300742126"/>
      <w:bookmarkStart w:id="97" w:name="_Toc300742875"/>
      <w:bookmarkStart w:id="98" w:name="_Toc300744227"/>
      <w:r w:rsidRPr="002C6872">
        <w:t xml:space="preserve">Environment, </w:t>
      </w:r>
      <w:proofErr w:type="gramStart"/>
      <w:r w:rsidRPr="002C6872">
        <w:t>Heritage</w:t>
      </w:r>
      <w:proofErr w:type="gramEnd"/>
      <w:r w:rsidRPr="002C6872">
        <w:t xml:space="preserve"> and Local Government</w:t>
      </w:r>
      <w:bookmarkEnd w:id="95"/>
      <w:bookmarkEnd w:id="96"/>
      <w:bookmarkEnd w:id="97"/>
      <w:bookmarkEnd w:id="98"/>
    </w:p>
    <w:p w14:paraId="2C148E5C" w14:textId="77777777" w:rsidR="007F3094" w:rsidRPr="002C6872" w:rsidRDefault="007F3094" w:rsidP="007F3094">
      <w:pPr>
        <w:pStyle w:val="Heading3"/>
      </w:pPr>
      <w:r w:rsidRPr="002C6872">
        <w:t>Housing Strategy for People with Disabilities</w:t>
      </w:r>
    </w:p>
    <w:p w14:paraId="2BA6228F" w14:textId="77777777" w:rsidR="007F3094" w:rsidRPr="002C6872" w:rsidRDefault="007F3094" w:rsidP="007F3094">
      <w:r w:rsidRPr="002C6872">
        <w:t>The</w:t>
      </w:r>
      <w:r w:rsidR="0023177A" w:rsidRPr="002C6872">
        <w:t xml:space="preserve"> National Disability</w:t>
      </w:r>
      <w:r w:rsidRPr="002C6872">
        <w:t xml:space="preserve"> </w:t>
      </w:r>
      <w:r w:rsidR="00B85293" w:rsidRPr="002C6872">
        <w:t>Authority</w:t>
      </w:r>
      <w:r w:rsidRPr="002C6872">
        <w:t xml:space="preserve"> was on </w:t>
      </w:r>
      <w:r w:rsidR="0073492C" w:rsidRPr="002C6872">
        <w:t xml:space="preserve">the </w:t>
      </w:r>
      <w:r w:rsidRPr="002C6872">
        <w:t>Department</w:t>
      </w:r>
      <w:r w:rsidR="0073492C" w:rsidRPr="002C6872">
        <w:t xml:space="preserve"> of the Environment,</w:t>
      </w:r>
      <w:r w:rsidR="002039D6" w:rsidRPr="002C6872">
        <w:t xml:space="preserve"> </w:t>
      </w:r>
      <w:proofErr w:type="gramStart"/>
      <w:r w:rsidR="002039D6" w:rsidRPr="002C6872">
        <w:t>Heritage</w:t>
      </w:r>
      <w:proofErr w:type="gramEnd"/>
      <w:r w:rsidR="002039D6" w:rsidRPr="002C6872">
        <w:t xml:space="preserve"> and Local Government</w:t>
      </w:r>
      <w:r w:rsidRPr="002C6872">
        <w:t xml:space="preserve">’s Advisory Group on </w:t>
      </w:r>
      <w:r w:rsidR="00E91CE1" w:rsidRPr="002C6872">
        <w:t xml:space="preserve">the </w:t>
      </w:r>
      <w:r w:rsidRPr="002C6872">
        <w:t xml:space="preserve">development of a national housing strategy for people with disabilities, </w:t>
      </w:r>
      <w:r w:rsidR="0073492C" w:rsidRPr="002C6872">
        <w:t xml:space="preserve">as well as </w:t>
      </w:r>
      <w:r w:rsidRPr="002C6872">
        <w:t>the sub</w:t>
      </w:r>
      <w:r w:rsidR="00177FD0" w:rsidRPr="002C6872">
        <w:t>-</w:t>
      </w:r>
      <w:r w:rsidRPr="002C6872">
        <w:t xml:space="preserve">group on </w:t>
      </w:r>
      <w:r w:rsidR="00177FD0" w:rsidRPr="002C6872">
        <w:t>mental health</w:t>
      </w:r>
      <w:r w:rsidRPr="002C6872">
        <w:t>, and the drafting sub</w:t>
      </w:r>
      <w:r w:rsidR="00177FD0" w:rsidRPr="002C6872">
        <w:t>-</w:t>
      </w:r>
      <w:r w:rsidRPr="002C6872">
        <w:t>group</w:t>
      </w:r>
      <w:r w:rsidR="000D2A04" w:rsidRPr="002C6872">
        <w:t xml:space="preserve"> for the national housing strategy</w:t>
      </w:r>
      <w:r w:rsidRPr="002C6872">
        <w:t xml:space="preserve">. </w:t>
      </w:r>
    </w:p>
    <w:p w14:paraId="1F889833" w14:textId="77777777" w:rsidR="007F3094" w:rsidRPr="002C6872" w:rsidRDefault="007F3094" w:rsidP="007F3094">
      <w:pPr>
        <w:pStyle w:val="Heading3"/>
      </w:pPr>
      <w:r w:rsidRPr="002C6872">
        <w:t>Planning</w:t>
      </w:r>
    </w:p>
    <w:p w14:paraId="5643A49B" w14:textId="77777777" w:rsidR="007F3094" w:rsidRPr="002C6872" w:rsidRDefault="007F3094" w:rsidP="007F3094">
      <w:r w:rsidRPr="002C6872">
        <w:t xml:space="preserve">The </w:t>
      </w:r>
      <w:r w:rsidR="0023177A" w:rsidRPr="002C6872">
        <w:t xml:space="preserve">National Disability </w:t>
      </w:r>
      <w:r w:rsidR="00B85293" w:rsidRPr="002C6872">
        <w:t>Authority</w:t>
      </w:r>
      <w:r w:rsidRPr="002C6872">
        <w:t xml:space="preserve"> engaged with the Department</w:t>
      </w:r>
      <w:r w:rsidR="00CD6FA4" w:rsidRPr="002C6872">
        <w:t xml:space="preserve"> of </w:t>
      </w:r>
      <w:r w:rsidR="000D2A04" w:rsidRPr="002C6872">
        <w:t xml:space="preserve">the </w:t>
      </w:r>
      <w:r w:rsidR="00CD6FA4" w:rsidRPr="002C6872">
        <w:t>Environment, Heritage and Local Government’s</w:t>
      </w:r>
      <w:r w:rsidRPr="002C6872">
        <w:t xml:space="preserve"> Planning </w:t>
      </w:r>
      <w:r w:rsidR="000D2A04" w:rsidRPr="002C6872">
        <w:t>S</w:t>
      </w:r>
      <w:r w:rsidRPr="002C6872">
        <w:t xml:space="preserve">ection as well as a steering group with </w:t>
      </w:r>
      <w:r w:rsidR="000D2A04" w:rsidRPr="002C6872">
        <w:t>l</w:t>
      </w:r>
      <w:r w:rsidRPr="002C6872">
        <w:t xml:space="preserve">ocal </w:t>
      </w:r>
      <w:r w:rsidR="000D2A04" w:rsidRPr="002C6872">
        <w:t>a</w:t>
      </w:r>
      <w:r w:rsidR="00CE0E7F" w:rsidRPr="002C6872">
        <w:t>uthority</w:t>
      </w:r>
      <w:r w:rsidRPr="002C6872">
        <w:t xml:space="preserve"> and Bord Pleanála planning expertise, to develop a specific booklet with guidance for planners as part of the </w:t>
      </w:r>
      <w:r w:rsidR="00CD6FA4" w:rsidRPr="002C6872">
        <w:t xml:space="preserve">National Disability </w:t>
      </w:r>
      <w:r w:rsidR="0073492C" w:rsidRPr="002C6872">
        <w:t xml:space="preserve">Authority’s </w:t>
      </w:r>
      <w:r w:rsidR="0073492C" w:rsidRPr="002C6872">
        <w:rPr>
          <w:b/>
        </w:rPr>
        <w:t xml:space="preserve">Building </w:t>
      </w:r>
      <w:r w:rsidRPr="002C6872">
        <w:rPr>
          <w:b/>
        </w:rPr>
        <w:t xml:space="preserve">for </w:t>
      </w:r>
      <w:r w:rsidR="0073492C" w:rsidRPr="002C6872">
        <w:rPr>
          <w:b/>
        </w:rPr>
        <w:t>E</w:t>
      </w:r>
      <w:r w:rsidRPr="002C6872">
        <w:rPr>
          <w:b/>
        </w:rPr>
        <w:t>veryone</w:t>
      </w:r>
      <w:r w:rsidRPr="002C6872">
        <w:t xml:space="preserve"> series. The </w:t>
      </w:r>
      <w:r w:rsidR="00CD6FA4" w:rsidRPr="002C6872">
        <w:t xml:space="preserve">National Disability </w:t>
      </w:r>
      <w:r w:rsidR="00B85293" w:rsidRPr="002C6872">
        <w:t>Authority</w:t>
      </w:r>
      <w:r w:rsidRPr="002C6872">
        <w:t xml:space="preserve"> also advised on draft guidelines for local area plan</w:t>
      </w:r>
      <w:r w:rsidR="0073492C" w:rsidRPr="002C6872">
        <w:t>s</w:t>
      </w:r>
      <w:r w:rsidRPr="002C6872">
        <w:t xml:space="preserve">, on </w:t>
      </w:r>
      <w:r w:rsidR="0073492C" w:rsidRPr="002C6872">
        <w:t>s</w:t>
      </w:r>
      <w:r w:rsidRPr="002C6872">
        <w:t xml:space="preserve">patial </w:t>
      </w:r>
      <w:r w:rsidR="0073492C" w:rsidRPr="002C6872">
        <w:t>p</w:t>
      </w:r>
      <w:r w:rsidRPr="002C6872">
        <w:t>lanning</w:t>
      </w:r>
      <w:r w:rsidR="002039D6" w:rsidRPr="002C6872">
        <w:t>, on</w:t>
      </w:r>
      <w:r w:rsidRPr="002C6872">
        <w:t xml:space="preserve"> </w:t>
      </w:r>
      <w:r w:rsidR="0073492C" w:rsidRPr="002C6872">
        <w:t>n</w:t>
      </w:r>
      <w:r w:rsidRPr="002C6872">
        <w:t xml:space="preserve">ational </w:t>
      </w:r>
      <w:r w:rsidR="0073492C" w:rsidRPr="002C6872">
        <w:t>r</w:t>
      </w:r>
      <w:r w:rsidRPr="002C6872">
        <w:t xml:space="preserve">oads and </w:t>
      </w:r>
      <w:r w:rsidR="002039D6" w:rsidRPr="002C6872">
        <w:t xml:space="preserve">on </w:t>
      </w:r>
      <w:r w:rsidR="0073492C" w:rsidRPr="002C6872">
        <w:t>r</w:t>
      </w:r>
      <w:r w:rsidRPr="002C6872">
        <w:t xml:space="preserve">etail </w:t>
      </w:r>
      <w:r w:rsidR="0073492C" w:rsidRPr="002C6872">
        <w:t>p</w:t>
      </w:r>
      <w:r w:rsidRPr="002C6872">
        <w:t xml:space="preserve">lanning. The </w:t>
      </w:r>
      <w:r w:rsidR="00CD6FA4" w:rsidRPr="002C6872">
        <w:t xml:space="preserve">National Disability </w:t>
      </w:r>
      <w:r w:rsidR="00B85293" w:rsidRPr="002C6872">
        <w:t>Authority</w:t>
      </w:r>
      <w:r w:rsidRPr="002C6872">
        <w:t xml:space="preserve"> suggested model text </w:t>
      </w:r>
      <w:r w:rsidR="000D2A04" w:rsidRPr="002C6872">
        <w:t xml:space="preserve">on </w:t>
      </w:r>
      <w:r w:rsidR="0004290C" w:rsidRPr="002C6872">
        <w:t xml:space="preserve">universal design and </w:t>
      </w:r>
      <w:r w:rsidR="000D2A04" w:rsidRPr="002C6872">
        <w:t xml:space="preserve">accessibility </w:t>
      </w:r>
      <w:r w:rsidR="0004290C" w:rsidRPr="002C6872">
        <w:t xml:space="preserve">in planning </w:t>
      </w:r>
      <w:r w:rsidRPr="002C6872">
        <w:t>to local authorities for inclusion in their Development Plans.</w:t>
      </w:r>
    </w:p>
    <w:p w14:paraId="7C0EC478" w14:textId="77777777" w:rsidR="007F3094" w:rsidRPr="002C6872" w:rsidRDefault="007F3094" w:rsidP="007F3094">
      <w:pPr>
        <w:pStyle w:val="Heading3"/>
      </w:pPr>
      <w:r w:rsidRPr="002C6872">
        <w:t xml:space="preserve">Advice to local authorities on implementation of </w:t>
      </w:r>
      <w:r w:rsidR="00177FD0" w:rsidRPr="002C6872">
        <w:t xml:space="preserve">the </w:t>
      </w:r>
      <w:r w:rsidR="0004290C" w:rsidRPr="002C6872">
        <w:t>s</w:t>
      </w:r>
      <w:r w:rsidR="00177FD0" w:rsidRPr="002C6872">
        <w:t xml:space="preserve">ectoral </w:t>
      </w:r>
      <w:r w:rsidR="0004290C" w:rsidRPr="002C6872">
        <w:t>p</w:t>
      </w:r>
      <w:r w:rsidR="00177FD0" w:rsidRPr="002C6872">
        <w:t>lan</w:t>
      </w:r>
    </w:p>
    <w:p w14:paraId="5D941A97" w14:textId="77777777" w:rsidR="007F3094" w:rsidRPr="002C6872" w:rsidRDefault="007F3094" w:rsidP="007F3094">
      <w:r w:rsidRPr="002C6872">
        <w:t xml:space="preserve">The </w:t>
      </w:r>
      <w:r w:rsidR="00CD6FA4" w:rsidRPr="002C6872">
        <w:t xml:space="preserve">National Disability </w:t>
      </w:r>
      <w:r w:rsidR="00B85293" w:rsidRPr="002C6872">
        <w:t>Authority</w:t>
      </w:r>
      <w:r w:rsidRPr="002C6872">
        <w:t xml:space="preserve"> is a member of the Local Government Management Services Board's Steering Group which supports implementation by local authorities of commitments in the Department</w:t>
      </w:r>
      <w:r w:rsidR="00CD6FA4" w:rsidRPr="002C6872">
        <w:t xml:space="preserve"> of </w:t>
      </w:r>
      <w:r w:rsidR="0004290C" w:rsidRPr="002C6872">
        <w:t xml:space="preserve">the </w:t>
      </w:r>
      <w:r w:rsidR="00CD6FA4" w:rsidRPr="002C6872">
        <w:t xml:space="preserve">Environment, </w:t>
      </w:r>
      <w:proofErr w:type="gramStart"/>
      <w:r w:rsidR="00CD6FA4" w:rsidRPr="002C6872">
        <w:t>Heritage</w:t>
      </w:r>
      <w:proofErr w:type="gramEnd"/>
      <w:r w:rsidR="00CD6FA4" w:rsidRPr="002C6872">
        <w:t xml:space="preserve"> and Local Government’s</w:t>
      </w:r>
      <w:r w:rsidRPr="002C6872">
        <w:t xml:space="preserve"> </w:t>
      </w:r>
      <w:r w:rsidR="0004290C" w:rsidRPr="002C6872">
        <w:t>s</w:t>
      </w:r>
      <w:r w:rsidRPr="002C6872">
        <w:t xml:space="preserve">ectoral </w:t>
      </w:r>
      <w:r w:rsidR="0004290C" w:rsidRPr="002C6872">
        <w:t>p</w:t>
      </w:r>
      <w:r w:rsidRPr="002C6872">
        <w:t>lan</w:t>
      </w:r>
      <w:r w:rsidR="00CD6FA4" w:rsidRPr="002C6872">
        <w:t xml:space="preserve">. The National Disability Authority is also represented on </w:t>
      </w:r>
      <w:r w:rsidRPr="002C6872">
        <w:t>its sub-group</w:t>
      </w:r>
      <w:r w:rsidR="00CD6FA4" w:rsidRPr="002C6872">
        <w:t>s</w:t>
      </w:r>
      <w:r w:rsidRPr="002C6872">
        <w:t xml:space="preserve"> on Access, on Training and Communications</w:t>
      </w:r>
      <w:r w:rsidR="0039751D" w:rsidRPr="002C6872">
        <w:t>,</w:t>
      </w:r>
      <w:r w:rsidR="00177FD0" w:rsidRPr="002C6872">
        <w:t xml:space="preserve"> </w:t>
      </w:r>
      <w:r w:rsidRPr="002C6872">
        <w:t xml:space="preserve">and on Guidelines for the preparation of a Disability Access Certificate. During 2010, </w:t>
      </w:r>
      <w:r w:rsidR="00177FD0" w:rsidRPr="002C6872">
        <w:t xml:space="preserve">the </w:t>
      </w:r>
      <w:r w:rsidRPr="002C6872">
        <w:t xml:space="preserve">work of the </w:t>
      </w:r>
      <w:r w:rsidR="0004290C" w:rsidRPr="002C6872">
        <w:t xml:space="preserve">Steering </w:t>
      </w:r>
      <w:r w:rsidRPr="002C6872">
        <w:t xml:space="preserve">Group </w:t>
      </w:r>
      <w:proofErr w:type="gramStart"/>
      <w:r w:rsidRPr="002C6872">
        <w:t>continued on</w:t>
      </w:r>
      <w:proofErr w:type="gramEnd"/>
      <w:r w:rsidRPr="002C6872">
        <w:t xml:space="preserve"> developing guidance </w:t>
      </w:r>
      <w:r w:rsidR="00177FD0" w:rsidRPr="002C6872">
        <w:t>for local authorities</w:t>
      </w:r>
      <w:r w:rsidRPr="002C6872">
        <w:t xml:space="preserve"> on Inclusive Play Space, and on guidance for personnel installing public ATM equipment. </w:t>
      </w:r>
    </w:p>
    <w:p w14:paraId="15CCFB62" w14:textId="77777777" w:rsidR="007F3094" w:rsidRPr="002C6872" w:rsidRDefault="007F3094" w:rsidP="007678D4">
      <w:pPr>
        <w:pStyle w:val="Heading2"/>
      </w:pPr>
      <w:bookmarkStart w:id="99" w:name="_Toc299362521"/>
      <w:bookmarkStart w:id="100" w:name="_Toc300742127"/>
      <w:bookmarkStart w:id="101" w:name="_Toc300742876"/>
      <w:bookmarkStart w:id="102" w:name="_Toc300744228"/>
      <w:r w:rsidRPr="002C6872">
        <w:lastRenderedPageBreak/>
        <w:t>Transport</w:t>
      </w:r>
      <w:bookmarkEnd w:id="99"/>
      <w:bookmarkEnd w:id="100"/>
      <w:bookmarkEnd w:id="101"/>
      <w:bookmarkEnd w:id="102"/>
      <w:r w:rsidRPr="002C6872">
        <w:t xml:space="preserve"> </w:t>
      </w:r>
    </w:p>
    <w:p w14:paraId="73D4A0FC" w14:textId="77777777" w:rsidR="007F3094" w:rsidRPr="002C6872" w:rsidRDefault="007F3094" w:rsidP="007F3094">
      <w:pPr>
        <w:pStyle w:val="Heading3"/>
      </w:pPr>
      <w:r w:rsidRPr="002C6872">
        <w:t>Accessible Maritime Passenger Transport</w:t>
      </w:r>
    </w:p>
    <w:p w14:paraId="3F30E134" w14:textId="77777777" w:rsidR="002039D6" w:rsidRPr="002C6872" w:rsidRDefault="007F3094" w:rsidP="007F3094">
      <w:r w:rsidRPr="002C6872">
        <w:t xml:space="preserve">The Minister for Transport published the </w:t>
      </w:r>
      <w:r w:rsidRPr="002C6872">
        <w:rPr>
          <w:b/>
        </w:rPr>
        <w:t xml:space="preserve">Guidelines for Accessible Maritime Passenger Transport </w:t>
      </w:r>
      <w:r w:rsidRPr="002C6872">
        <w:t xml:space="preserve">on 6 March 2010. The development and publication of these guidelines was a partnership initiative between the </w:t>
      </w:r>
      <w:r w:rsidR="00CD6FA4" w:rsidRPr="002C6872">
        <w:t xml:space="preserve">National Disability </w:t>
      </w:r>
      <w:r w:rsidR="00B85293" w:rsidRPr="002C6872">
        <w:t>Authority</w:t>
      </w:r>
      <w:r w:rsidRPr="002C6872">
        <w:t xml:space="preserve"> and the Maritime Section of the Department of Transport. The guidelines are the first of </w:t>
      </w:r>
      <w:r w:rsidR="00177FD0" w:rsidRPr="002C6872">
        <w:t xml:space="preserve">their </w:t>
      </w:r>
      <w:r w:rsidRPr="002C6872">
        <w:t xml:space="preserve">kind in Ireland and provide top tips on all aspects of a journey such as providing accessible information for planning the journey, improvements to shore side facilities in ports, </w:t>
      </w:r>
      <w:proofErr w:type="gramStart"/>
      <w:r w:rsidRPr="002C6872">
        <w:t>harbours</w:t>
      </w:r>
      <w:proofErr w:type="gramEnd"/>
      <w:r w:rsidRPr="002C6872">
        <w:t xml:space="preserve"> and piers, improving access on board vessels, disability awareness training for staff, emergency planning and improving customer relations for all passengers. The guidelines will be distributed to all boat and port operators</w:t>
      </w:r>
      <w:r w:rsidR="00C16EA2" w:rsidRPr="002C6872">
        <w:t xml:space="preserve">, </w:t>
      </w:r>
      <w:r w:rsidRPr="002C6872">
        <w:t xml:space="preserve">relevant </w:t>
      </w:r>
      <w:r w:rsidR="0004290C" w:rsidRPr="002C6872">
        <w:t xml:space="preserve">Government </w:t>
      </w:r>
      <w:proofErr w:type="gramStart"/>
      <w:r w:rsidR="0004290C" w:rsidRPr="002C6872">
        <w:t>D</w:t>
      </w:r>
      <w:r w:rsidRPr="002C6872">
        <w:t>epartments</w:t>
      </w:r>
      <w:proofErr w:type="gramEnd"/>
      <w:r w:rsidRPr="002C6872">
        <w:t xml:space="preserve"> and stakeholders. </w:t>
      </w:r>
    </w:p>
    <w:p w14:paraId="513C52E5" w14:textId="77777777" w:rsidR="007F3094" w:rsidRPr="002C6872" w:rsidRDefault="002039D6" w:rsidP="007F3094">
      <w:r w:rsidRPr="002C6872">
        <w:t xml:space="preserve">The </w:t>
      </w:r>
      <w:r w:rsidR="00CD6FA4" w:rsidRPr="002C6872">
        <w:t xml:space="preserve">National Disability </w:t>
      </w:r>
      <w:r w:rsidRPr="002C6872">
        <w:t xml:space="preserve">Authority, in conjunction with the Department of Transport, held a seminar </w:t>
      </w:r>
      <w:r w:rsidR="007F3094" w:rsidRPr="002C6872">
        <w:t xml:space="preserve">for the </w:t>
      </w:r>
      <w:r w:rsidRPr="002C6872">
        <w:t xml:space="preserve">marine passenger industry to promote the Guidelines, and the </w:t>
      </w:r>
      <w:r w:rsidR="007F3094" w:rsidRPr="002C6872">
        <w:t>accessibility of Ports and Vessels</w:t>
      </w:r>
      <w:r w:rsidRPr="002C6872">
        <w:t xml:space="preserve">. The seminar also discussed </w:t>
      </w:r>
      <w:r w:rsidR="007F3094" w:rsidRPr="002C6872">
        <w:t xml:space="preserve">future changes </w:t>
      </w:r>
      <w:r w:rsidRPr="002C6872">
        <w:t xml:space="preserve">to arise from </w:t>
      </w:r>
      <w:r w:rsidR="007F3094" w:rsidRPr="002C6872">
        <w:t xml:space="preserve">recent developments in the EU, </w:t>
      </w:r>
      <w:r w:rsidRPr="002C6872">
        <w:t xml:space="preserve">such as </w:t>
      </w:r>
      <w:r w:rsidR="007F3094" w:rsidRPr="002C6872">
        <w:t xml:space="preserve">the draft Regulation of the European Parliament and of the Council </w:t>
      </w:r>
      <w:r w:rsidR="00B85293" w:rsidRPr="002C6872">
        <w:t xml:space="preserve">of Ministers </w:t>
      </w:r>
      <w:r w:rsidR="007F3094" w:rsidRPr="002C6872">
        <w:t>concerning the rights of passengers when travelling by sea and inland waterways</w:t>
      </w:r>
      <w:r w:rsidRPr="002C6872">
        <w:t xml:space="preserve">, as well as related </w:t>
      </w:r>
      <w:r w:rsidR="007F3094" w:rsidRPr="002C6872">
        <w:t>national legislation.</w:t>
      </w:r>
    </w:p>
    <w:p w14:paraId="1244EE37" w14:textId="77777777" w:rsidR="007F3094" w:rsidRPr="002C6872" w:rsidRDefault="007F3094" w:rsidP="007F3094">
      <w:pPr>
        <w:pStyle w:val="Heading3"/>
      </w:pPr>
      <w:r w:rsidRPr="002C6872">
        <w:t>Taxis</w:t>
      </w:r>
    </w:p>
    <w:p w14:paraId="79737158" w14:textId="77777777" w:rsidR="00177FD0" w:rsidRPr="002C6872" w:rsidRDefault="00177FD0" w:rsidP="007F3094">
      <w:r w:rsidRPr="002C6872">
        <w:t xml:space="preserve">The </w:t>
      </w:r>
      <w:r w:rsidR="00CD6FA4" w:rsidRPr="002C6872">
        <w:t xml:space="preserve">National Disability </w:t>
      </w:r>
      <w:r w:rsidR="00B85293" w:rsidRPr="002C6872">
        <w:t>Authority</w:t>
      </w:r>
      <w:r w:rsidRPr="002C6872">
        <w:t xml:space="preserve"> provided</w:t>
      </w:r>
      <w:r w:rsidR="007F3094" w:rsidRPr="002C6872">
        <w:rPr>
          <w:b/>
        </w:rPr>
        <w:t xml:space="preserve"> </w:t>
      </w:r>
      <w:r w:rsidR="007F3094" w:rsidRPr="002C6872">
        <w:t xml:space="preserve">ongoing advice through the Taxi Advisory Council and regular contact with </w:t>
      </w:r>
      <w:r w:rsidRPr="002C6872">
        <w:t xml:space="preserve">the </w:t>
      </w:r>
      <w:r w:rsidR="007F3094" w:rsidRPr="002C6872">
        <w:t>Commission</w:t>
      </w:r>
      <w:r w:rsidRPr="002C6872">
        <w:t xml:space="preserve"> for Taxi Regulation</w:t>
      </w:r>
      <w:r w:rsidR="007F3094" w:rsidRPr="002C6872">
        <w:t>. Issues advised on include</w:t>
      </w:r>
      <w:r w:rsidRPr="002C6872">
        <w:t>d</w:t>
      </w:r>
      <w:r w:rsidR="00575BED" w:rsidRPr="002C6872">
        <w:t>:</w:t>
      </w:r>
      <w:r w:rsidR="007F3094" w:rsidRPr="002C6872">
        <w:t xml:space="preserve"> </w:t>
      </w:r>
    </w:p>
    <w:p w14:paraId="5CD0341A" w14:textId="77777777" w:rsidR="00177FD0" w:rsidRPr="002C6872" w:rsidRDefault="007F3094" w:rsidP="002039D6">
      <w:pPr>
        <w:pStyle w:val="ListBullet"/>
        <w:spacing w:line="294" w:lineRule="exact"/>
      </w:pPr>
      <w:r w:rsidRPr="002C6872">
        <w:t>an audit of</w:t>
      </w:r>
      <w:r w:rsidR="00177FD0" w:rsidRPr="002C6872">
        <w:t xml:space="preserve"> taxi r</w:t>
      </w:r>
      <w:r w:rsidRPr="002C6872">
        <w:t xml:space="preserve">anks, their </w:t>
      </w:r>
      <w:r w:rsidR="00177FD0" w:rsidRPr="002C6872">
        <w:t xml:space="preserve">design and location </w:t>
      </w:r>
    </w:p>
    <w:p w14:paraId="3A6BC275" w14:textId="77777777" w:rsidR="00177FD0" w:rsidRPr="002C6872" w:rsidRDefault="00177FD0" w:rsidP="002039D6">
      <w:pPr>
        <w:pStyle w:val="ListBullet"/>
        <w:spacing w:line="294" w:lineRule="exact"/>
      </w:pPr>
      <w:r w:rsidRPr="002C6872">
        <w:t>s</w:t>
      </w:r>
      <w:r w:rsidR="007F3094" w:rsidRPr="002C6872">
        <w:t>pecific accessibility actions in the Commission's action plan 2010-2012</w:t>
      </w:r>
    </w:p>
    <w:p w14:paraId="530FC364" w14:textId="77777777" w:rsidR="00177FD0" w:rsidRPr="002C6872" w:rsidRDefault="007F3094" w:rsidP="002039D6">
      <w:pPr>
        <w:pStyle w:val="ListBullet"/>
        <w:spacing w:line="294" w:lineRule="exact"/>
      </w:pPr>
      <w:r w:rsidRPr="002C6872">
        <w:t xml:space="preserve">the establishment of </w:t>
      </w:r>
      <w:r w:rsidR="00575BED" w:rsidRPr="002C6872">
        <w:t xml:space="preserve">an </w:t>
      </w:r>
      <w:r w:rsidRPr="002C6872">
        <w:t>accessible Small Public Service Vehicle register which is available to consumers on request</w:t>
      </w:r>
      <w:r w:rsidR="00CD6FA4" w:rsidRPr="002C6872">
        <w:t xml:space="preserve"> </w:t>
      </w:r>
      <w:r w:rsidR="00177FD0" w:rsidRPr="002C6872">
        <w:t>and</w:t>
      </w:r>
    </w:p>
    <w:p w14:paraId="1EC7B8B5" w14:textId="77777777" w:rsidR="00177FD0" w:rsidRPr="002C6872" w:rsidRDefault="007F3094" w:rsidP="002039D6">
      <w:pPr>
        <w:pStyle w:val="ListBullet"/>
        <w:spacing w:after="300" w:line="294" w:lineRule="exact"/>
        <w:ind w:left="357" w:hanging="357"/>
      </w:pPr>
      <w:r w:rsidRPr="002C6872">
        <w:t>continuing en</w:t>
      </w:r>
      <w:r w:rsidR="00177FD0" w:rsidRPr="002C6872">
        <w:t>hancement to vehicle sta</w:t>
      </w:r>
      <w:r w:rsidR="00B85293" w:rsidRPr="002C6872">
        <w:t>nda</w:t>
      </w:r>
      <w:r w:rsidR="00177FD0" w:rsidRPr="002C6872">
        <w:t xml:space="preserve">rds, </w:t>
      </w:r>
      <w:r w:rsidRPr="002C6872">
        <w:t>driver training</w:t>
      </w:r>
      <w:r w:rsidR="00177FD0" w:rsidRPr="002C6872">
        <w:t xml:space="preserve"> </w:t>
      </w:r>
      <w:r w:rsidRPr="002C6872">
        <w:t>and inform</w:t>
      </w:r>
      <w:r w:rsidR="002039D6" w:rsidRPr="002C6872">
        <w:t>ation provision</w:t>
      </w:r>
    </w:p>
    <w:p w14:paraId="6F05C860" w14:textId="77777777" w:rsidR="007F3094" w:rsidRPr="002C6872" w:rsidRDefault="007F3094" w:rsidP="002039D6">
      <w:r w:rsidRPr="002C6872">
        <w:t xml:space="preserve">The </w:t>
      </w:r>
      <w:r w:rsidR="00CD6FA4" w:rsidRPr="002C6872">
        <w:t xml:space="preserve">National Disability </w:t>
      </w:r>
      <w:r w:rsidR="00B85293" w:rsidRPr="002C6872">
        <w:t>Authority</w:t>
      </w:r>
      <w:r w:rsidRPr="002C6872">
        <w:t xml:space="preserve"> has expressed its concern at the likely diminution of an already small wheelchair accessible taxi fleet, given the age of the fleet, and has sought to identify practical ways to encourage investment in supply</w:t>
      </w:r>
      <w:r w:rsidR="0056124A" w:rsidRPr="002C6872">
        <w:t xml:space="preserve">. </w:t>
      </w:r>
    </w:p>
    <w:p w14:paraId="4BE4F5CC" w14:textId="77777777" w:rsidR="007F3094" w:rsidRPr="002C6872" w:rsidRDefault="007F3094" w:rsidP="007F3094">
      <w:pPr>
        <w:pStyle w:val="Heading3"/>
      </w:pPr>
      <w:r w:rsidRPr="002C6872">
        <w:t>Advice to other transport bodies</w:t>
      </w:r>
    </w:p>
    <w:p w14:paraId="29B674BE" w14:textId="77777777" w:rsidR="007F3094" w:rsidRPr="002C6872" w:rsidRDefault="007F3094" w:rsidP="007F3094">
      <w:pPr>
        <w:spacing w:after="120"/>
      </w:pPr>
      <w:r w:rsidRPr="002C6872">
        <w:t xml:space="preserve">The </w:t>
      </w:r>
      <w:r w:rsidR="00CD6FA4" w:rsidRPr="002C6872">
        <w:t xml:space="preserve">National Disability </w:t>
      </w:r>
      <w:r w:rsidR="00B85293" w:rsidRPr="002C6872">
        <w:t>Authority</w:t>
      </w:r>
      <w:r w:rsidRPr="002C6872">
        <w:t xml:space="preserve"> continued to engage with other key transport stakeholders and</w:t>
      </w:r>
      <w:r w:rsidR="00177FD0" w:rsidRPr="002C6872">
        <w:t>:</w:t>
      </w:r>
      <w:r w:rsidRPr="002C6872">
        <w:t xml:space="preserve"> </w:t>
      </w:r>
    </w:p>
    <w:p w14:paraId="57A96A80" w14:textId="77777777" w:rsidR="007F3094" w:rsidRPr="002C6872" w:rsidRDefault="007F3094" w:rsidP="002039D6">
      <w:pPr>
        <w:pStyle w:val="ListBullet"/>
        <w:spacing w:line="294" w:lineRule="exact"/>
        <w:ind w:left="357" w:hanging="357"/>
      </w:pPr>
      <w:r w:rsidRPr="002C6872">
        <w:t xml:space="preserve">provided advice to Dublin Airport </w:t>
      </w:r>
      <w:r w:rsidR="00CE0E7F" w:rsidRPr="002C6872">
        <w:t>Authority</w:t>
      </w:r>
      <w:r w:rsidRPr="002C6872">
        <w:t xml:space="preserve"> re consumer guide for people with reduced mobility using airports; access at T2</w:t>
      </w:r>
      <w:r w:rsidR="00177FD0" w:rsidRPr="002C6872">
        <w:t xml:space="preserve"> and accessible transport stops</w:t>
      </w:r>
    </w:p>
    <w:p w14:paraId="1967834C" w14:textId="77777777" w:rsidR="007F3094" w:rsidRPr="002C6872" w:rsidRDefault="007F3094" w:rsidP="00CD6FA4">
      <w:pPr>
        <w:pStyle w:val="ListBullet"/>
        <w:spacing w:line="294" w:lineRule="exact"/>
        <w:ind w:left="357" w:hanging="357"/>
      </w:pPr>
      <w:r w:rsidRPr="002C6872">
        <w:t>held ongoing meetings with Bus Éireann and Dublin Bus</w:t>
      </w:r>
      <w:r w:rsidRPr="002C6872">
        <w:rPr>
          <w:b/>
        </w:rPr>
        <w:t xml:space="preserve"> </w:t>
      </w:r>
      <w:r w:rsidRPr="002C6872">
        <w:t xml:space="preserve">regarding roll out of accessibility initiatives for enhancing transport provision including </w:t>
      </w:r>
      <w:r w:rsidR="00575BED" w:rsidRPr="002C6872">
        <w:t>four</w:t>
      </w:r>
      <w:r w:rsidRPr="002C6872">
        <w:t xml:space="preserve"> trial accessible coach routes and liaised with the Departments of Transport and Environment, </w:t>
      </w:r>
      <w:proofErr w:type="gramStart"/>
      <w:r w:rsidRPr="002C6872">
        <w:t>Heritage</w:t>
      </w:r>
      <w:proofErr w:type="gramEnd"/>
      <w:r w:rsidRPr="002C6872">
        <w:t xml:space="preserve"> and Local Government on the provision of funding in 2010 for accessi</w:t>
      </w:r>
      <w:r w:rsidR="00177FD0" w:rsidRPr="002C6872">
        <w:t>ble coach stops on these routes</w:t>
      </w:r>
    </w:p>
    <w:p w14:paraId="3324C96F" w14:textId="77777777" w:rsidR="007F3094" w:rsidRPr="002C6872" w:rsidRDefault="00177FD0" w:rsidP="00CD6FA4">
      <w:pPr>
        <w:pStyle w:val="ListBullet"/>
        <w:spacing w:line="294" w:lineRule="exact"/>
        <w:ind w:left="357" w:hanging="357"/>
      </w:pPr>
      <w:r w:rsidRPr="002C6872">
        <w:lastRenderedPageBreak/>
        <w:t xml:space="preserve">made a submission to An Bord Pleanála addressing accessibility issues around the proposed </w:t>
      </w:r>
      <w:r w:rsidR="007F3094" w:rsidRPr="002C6872">
        <w:t>L</w:t>
      </w:r>
      <w:r w:rsidRPr="002C6872">
        <w:t xml:space="preserve">uas </w:t>
      </w:r>
      <w:r w:rsidR="007F3094" w:rsidRPr="002C6872">
        <w:t>and DART inter</w:t>
      </w:r>
      <w:r w:rsidRPr="002C6872">
        <w:t>-</w:t>
      </w:r>
      <w:r w:rsidR="007F3094" w:rsidRPr="002C6872">
        <w:t xml:space="preserve">connector. The </w:t>
      </w:r>
      <w:r w:rsidR="00BC6F7E" w:rsidRPr="002C6872">
        <w:t xml:space="preserve">National Disability </w:t>
      </w:r>
      <w:r w:rsidR="00B85293" w:rsidRPr="002C6872">
        <w:t>Authority</w:t>
      </w:r>
      <w:r w:rsidR="007F3094" w:rsidRPr="002C6872">
        <w:t xml:space="preserve"> engaged in further</w:t>
      </w:r>
      <w:r w:rsidRPr="002C6872">
        <w:t xml:space="preserve"> bilateral meetings with </w:t>
      </w:r>
      <w:proofErr w:type="spellStart"/>
      <w:r w:rsidRPr="002C6872">
        <w:t>Iarnró</w:t>
      </w:r>
      <w:r w:rsidR="007F3094" w:rsidRPr="002C6872">
        <w:t>d</w:t>
      </w:r>
      <w:proofErr w:type="spellEnd"/>
      <w:r w:rsidR="007F3094" w:rsidRPr="002C6872">
        <w:t xml:space="preserve"> Éireann to guide on solutions to accessibility</w:t>
      </w:r>
    </w:p>
    <w:p w14:paraId="25508476" w14:textId="77777777" w:rsidR="007F3094" w:rsidRPr="002C6872" w:rsidRDefault="007678D4" w:rsidP="00DC4C65">
      <w:pPr>
        <w:pStyle w:val="Heading2"/>
      </w:pPr>
      <w:bookmarkStart w:id="103" w:name="_Toc299362522"/>
      <w:bookmarkStart w:id="104" w:name="_Toc300742128"/>
      <w:bookmarkStart w:id="105" w:name="_Toc300742877"/>
      <w:bookmarkStart w:id="106" w:name="_Toc300744229"/>
      <w:r w:rsidRPr="002C6872">
        <w:t>Communications and Energy</w:t>
      </w:r>
      <w:bookmarkEnd w:id="103"/>
      <w:bookmarkEnd w:id="104"/>
      <w:bookmarkEnd w:id="105"/>
      <w:bookmarkEnd w:id="106"/>
    </w:p>
    <w:p w14:paraId="1CF6743E" w14:textId="77777777" w:rsidR="007F3094" w:rsidRPr="002C6872" w:rsidRDefault="007F3094" w:rsidP="007F3094">
      <w:pPr>
        <w:pStyle w:val="Heading3"/>
      </w:pPr>
      <w:r w:rsidRPr="002C6872">
        <w:t xml:space="preserve">RTÉ </w:t>
      </w:r>
    </w:p>
    <w:p w14:paraId="35D62C0A" w14:textId="77777777" w:rsidR="007F3094" w:rsidRPr="002C6872" w:rsidRDefault="007F3094" w:rsidP="007F3094">
      <w:pPr>
        <w:rPr>
          <w:b/>
        </w:rPr>
      </w:pPr>
      <w:r w:rsidRPr="002C6872">
        <w:t xml:space="preserve">The </w:t>
      </w:r>
      <w:r w:rsidR="00BC6F7E" w:rsidRPr="002C6872">
        <w:t xml:space="preserve">National Disability </w:t>
      </w:r>
      <w:r w:rsidR="00B85293" w:rsidRPr="002C6872">
        <w:t>Authority</w:t>
      </w:r>
      <w:r w:rsidRPr="002C6872">
        <w:t xml:space="preserve"> made a submission to the Department </w:t>
      </w:r>
      <w:r w:rsidR="007678D4" w:rsidRPr="002C6872">
        <w:t xml:space="preserve">of Communications, Energy and Natural Resources </w:t>
      </w:r>
      <w:r w:rsidRPr="002C6872">
        <w:t>on RTÉ</w:t>
      </w:r>
      <w:r w:rsidR="007678D4" w:rsidRPr="002C6872">
        <w:t>’s</w:t>
      </w:r>
      <w:r w:rsidRPr="002C6872">
        <w:t xml:space="preserve"> New Services Proposal</w:t>
      </w:r>
      <w:r w:rsidR="002039D6" w:rsidRPr="002C6872">
        <w:t xml:space="preserve">. This focused </w:t>
      </w:r>
      <w:r w:rsidR="007678D4" w:rsidRPr="002C6872">
        <w:t>on the wealth of opportunities for universally accessible broadcast services based on</w:t>
      </w:r>
      <w:r w:rsidR="002039D6" w:rsidRPr="002C6872">
        <w:t xml:space="preserve"> the roll-</w:t>
      </w:r>
      <w:r w:rsidR="007678D4" w:rsidRPr="002C6872">
        <w:t xml:space="preserve">out of </w:t>
      </w:r>
      <w:r w:rsidRPr="002C6872">
        <w:t>Digital Terrestrial Television</w:t>
      </w:r>
      <w:r w:rsidR="002039D6" w:rsidRPr="002C6872">
        <w:t xml:space="preserve">. It also covered </w:t>
      </w:r>
      <w:r w:rsidR="007678D4" w:rsidRPr="002C6872">
        <w:t>proposals</w:t>
      </w:r>
      <w:r w:rsidRPr="002C6872">
        <w:t xml:space="preserve"> to effectively deliver on the inclusion of people with disabilities in programming, both as content subjects </w:t>
      </w:r>
      <w:proofErr w:type="gramStart"/>
      <w:r w:rsidR="002039D6" w:rsidRPr="002C6872">
        <w:t xml:space="preserve">and </w:t>
      </w:r>
      <w:r w:rsidRPr="002C6872">
        <w:t>also</w:t>
      </w:r>
      <w:proofErr w:type="gramEnd"/>
      <w:r w:rsidRPr="002C6872">
        <w:t xml:space="preserve"> as participants.</w:t>
      </w:r>
    </w:p>
    <w:p w14:paraId="74645A57" w14:textId="77777777" w:rsidR="007F3094" w:rsidRPr="002C6872" w:rsidRDefault="007F3094" w:rsidP="00B85293">
      <w:pPr>
        <w:spacing w:after="0"/>
      </w:pPr>
      <w:r w:rsidRPr="002C6872">
        <w:t xml:space="preserve">The </w:t>
      </w:r>
      <w:r w:rsidR="00BC6F7E" w:rsidRPr="002C6872">
        <w:t xml:space="preserve">National Disability </w:t>
      </w:r>
      <w:r w:rsidR="00B85293" w:rsidRPr="002C6872">
        <w:t>Authority</w:t>
      </w:r>
      <w:r w:rsidRPr="002C6872">
        <w:t xml:space="preserve"> also m</w:t>
      </w:r>
      <w:r w:rsidR="00575BED" w:rsidRPr="002C6872">
        <w:t>ade a s</w:t>
      </w:r>
      <w:r w:rsidRPr="002C6872">
        <w:t>ubmission to RTÉ on its Public Service Statement Consultation, highlighting issues such as:</w:t>
      </w:r>
    </w:p>
    <w:p w14:paraId="48EAAC39" w14:textId="77777777" w:rsidR="007F3094" w:rsidRPr="002C6872" w:rsidRDefault="007F3094" w:rsidP="002039D6">
      <w:pPr>
        <w:pStyle w:val="ListBullet"/>
        <w:spacing w:line="294" w:lineRule="exact"/>
        <w:ind w:left="357" w:hanging="357"/>
      </w:pPr>
      <w:r w:rsidRPr="002C6872">
        <w:t>the provision of accessible services and programmes</w:t>
      </w:r>
    </w:p>
    <w:p w14:paraId="6DDDE0D8" w14:textId="77777777" w:rsidR="007F3094" w:rsidRPr="002C6872" w:rsidRDefault="007678D4" w:rsidP="002039D6">
      <w:pPr>
        <w:pStyle w:val="ListBullet"/>
        <w:spacing w:line="294" w:lineRule="exact"/>
        <w:ind w:left="357" w:hanging="357"/>
      </w:pPr>
      <w:r w:rsidRPr="002C6872">
        <w:t xml:space="preserve">the inclusion of </w:t>
      </w:r>
      <w:r w:rsidR="007F3094" w:rsidRPr="002C6872">
        <w:t>equality/diversity within mainstream programming and</w:t>
      </w:r>
    </w:p>
    <w:p w14:paraId="7407AC03" w14:textId="77777777" w:rsidR="007F3094" w:rsidRPr="002C6872" w:rsidRDefault="007F3094" w:rsidP="002039D6">
      <w:pPr>
        <w:pStyle w:val="ListBullet"/>
        <w:spacing w:after="300" w:line="294" w:lineRule="exact"/>
        <w:ind w:left="357" w:hanging="357"/>
      </w:pPr>
      <w:r w:rsidRPr="002C6872">
        <w:t>ensuring fair, accurate and balanced representation of people with disabilities, thereby challenging stereotypes especially in relation to people with mental health difficulties</w:t>
      </w:r>
    </w:p>
    <w:p w14:paraId="655EDE82" w14:textId="77777777" w:rsidR="007F3094" w:rsidRPr="002C6872" w:rsidRDefault="007678D4" w:rsidP="00B85293">
      <w:pPr>
        <w:pStyle w:val="Heading3"/>
        <w:spacing w:before="300"/>
      </w:pPr>
      <w:r w:rsidRPr="002C6872">
        <w:t xml:space="preserve">Commission for Communications Regulation </w:t>
      </w:r>
    </w:p>
    <w:p w14:paraId="038AFEF7" w14:textId="77777777" w:rsidR="007F3094" w:rsidRPr="002C6872" w:rsidRDefault="007F3094" w:rsidP="00B85293">
      <w:pPr>
        <w:spacing w:after="120"/>
      </w:pPr>
      <w:r w:rsidRPr="002C6872">
        <w:t>T</w:t>
      </w:r>
      <w:r w:rsidR="007678D4" w:rsidRPr="002C6872">
        <w:t xml:space="preserve">he </w:t>
      </w:r>
      <w:r w:rsidR="00B85293" w:rsidRPr="002C6872">
        <w:t>Authority</w:t>
      </w:r>
      <w:r w:rsidR="007678D4" w:rsidRPr="002C6872">
        <w:t xml:space="preserve"> hosted </w:t>
      </w:r>
      <w:r w:rsidR="00B85293" w:rsidRPr="002C6872">
        <w:t>three</w:t>
      </w:r>
      <w:r w:rsidR="007678D4" w:rsidRPr="002C6872">
        <w:t xml:space="preserve"> meetings of the </w:t>
      </w:r>
      <w:r w:rsidR="00B85293" w:rsidRPr="002C6872">
        <w:t>Commission’s</w:t>
      </w:r>
      <w:r w:rsidRPr="002C6872">
        <w:t xml:space="preserve"> Industry Forum</w:t>
      </w:r>
      <w:r w:rsidRPr="002C6872">
        <w:rPr>
          <w:b/>
        </w:rPr>
        <w:t xml:space="preserve"> </w:t>
      </w:r>
      <w:r w:rsidRPr="002C6872">
        <w:t>on Services for People with Disabilities, for telecommunications providers and disability organisations. Key areas of focus included:</w:t>
      </w:r>
    </w:p>
    <w:p w14:paraId="06640620" w14:textId="77777777" w:rsidR="007F3094" w:rsidRPr="002C6872" w:rsidRDefault="00C60B27" w:rsidP="002039D6">
      <w:pPr>
        <w:pStyle w:val="ListBullet"/>
        <w:spacing w:line="294" w:lineRule="exact"/>
        <w:ind w:left="357" w:hanging="357"/>
      </w:pPr>
      <w:r w:rsidRPr="002C6872">
        <w:t xml:space="preserve">the </w:t>
      </w:r>
      <w:r w:rsidR="007F3094" w:rsidRPr="002C6872">
        <w:t xml:space="preserve">EU Telecoms Package with an emphasis on the implications of these changes for service providers and consumers with disabilities </w:t>
      </w:r>
    </w:p>
    <w:p w14:paraId="464BBC89" w14:textId="77777777" w:rsidR="007F3094" w:rsidRPr="002C6872" w:rsidRDefault="007F3094" w:rsidP="002039D6">
      <w:pPr>
        <w:pStyle w:val="ListBullet"/>
        <w:spacing w:line="294" w:lineRule="exact"/>
        <w:ind w:left="357" w:hanging="357"/>
      </w:pPr>
      <w:r w:rsidRPr="002C6872">
        <w:t xml:space="preserve">the implementation by </w:t>
      </w:r>
      <w:r w:rsidR="00B85293" w:rsidRPr="002C6872">
        <w:t xml:space="preserve">the Commission </w:t>
      </w:r>
      <w:r w:rsidRPr="002C6872">
        <w:t xml:space="preserve">of a quality complaints handling </w:t>
      </w:r>
      <w:r w:rsidR="00C60B27" w:rsidRPr="002C6872">
        <w:t xml:space="preserve">system </w:t>
      </w:r>
      <w:r w:rsidRPr="002C6872">
        <w:t>for the telecommunications industry</w:t>
      </w:r>
    </w:p>
    <w:p w14:paraId="628CB579" w14:textId="77777777" w:rsidR="007F3094" w:rsidRPr="002C6872" w:rsidRDefault="00C60B27" w:rsidP="002039D6">
      <w:pPr>
        <w:pStyle w:val="ListBullet"/>
        <w:spacing w:after="300" w:line="294" w:lineRule="exact"/>
        <w:ind w:left="357" w:hanging="357"/>
      </w:pPr>
      <w:r w:rsidRPr="002C6872">
        <w:t>the conduct</w:t>
      </w:r>
      <w:r w:rsidR="007F3094" w:rsidRPr="002C6872">
        <w:t xml:space="preserve"> of </w:t>
      </w:r>
      <w:r w:rsidRPr="002C6872">
        <w:t xml:space="preserve">the </w:t>
      </w:r>
      <w:r w:rsidR="00B85293" w:rsidRPr="002C6872">
        <w:t>Commission’s</w:t>
      </w:r>
      <w:r w:rsidR="007F3094" w:rsidRPr="002C6872">
        <w:t xml:space="preserve"> Disability User Survey aimed at gaining meaningful insights into the needs of users with disabilities in accessing telecommunications services and </w:t>
      </w:r>
      <w:r w:rsidRPr="002C6872">
        <w:t xml:space="preserve">to </w:t>
      </w:r>
      <w:r w:rsidR="007F3094" w:rsidRPr="002C6872">
        <w:t>inform the work of the Forum for 2011, espe</w:t>
      </w:r>
      <w:r w:rsidRPr="002C6872">
        <w:t>cially in the areas of customer</w:t>
      </w:r>
      <w:r w:rsidR="007F3094" w:rsidRPr="002C6872">
        <w:t xml:space="preserve"> service assistance</w:t>
      </w:r>
      <w:r w:rsidRPr="002C6872">
        <w:t>,</w:t>
      </w:r>
      <w:r w:rsidR="007F3094" w:rsidRPr="002C6872">
        <w:t xml:space="preserve"> usage of existing facilities and switching transactions</w:t>
      </w:r>
    </w:p>
    <w:p w14:paraId="4B1ADDC4" w14:textId="77777777" w:rsidR="007F3094" w:rsidRPr="002C6872" w:rsidRDefault="007F3094" w:rsidP="007F3094">
      <w:r w:rsidRPr="002C6872">
        <w:t xml:space="preserve">The </w:t>
      </w:r>
      <w:r w:rsidR="00BC6F7E" w:rsidRPr="002C6872">
        <w:t xml:space="preserve">National Disability </w:t>
      </w:r>
      <w:r w:rsidR="00B85293" w:rsidRPr="002C6872">
        <w:t xml:space="preserve">Authority also </w:t>
      </w:r>
      <w:r w:rsidR="005E4A3E" w:rsidRPr="002C6872">
        <w:t xml:space="preserve">sent </w:t>
      </w:r>
      <w:proofErr w:type="gramStart"/>
      <w:r w:rsidR="00B85293" w:rsidRPr="002C6872">
        <w:t>a number of</w:t>
      </w:r>
      <w:proofErr w:type="gramEnd"/>
      <w:r w:rsidR="00B85293" w:rsidRPr="002C6872">
        <w:t xml:space="preserve"> </w:t>
      </w:r>
      <w:r w:rsidR="00943124" w:rsidRPr="002C6872">
        <w:t>policy advice paper</w:t>
      </w:r>
      <w:r w:rsidR="005E4A3E" w:rsidRPr="002C6872">
        <w:t>s</w:t>
      </w:r>
      <w:r w:rsidRPr="002C6872">
        <w:t xml:space="preserve"> to</w:t>
      </w:r>
      <w:r w:rsidRPr="002C6872">
        <w:rPr>
          <w:b/>
        </w:rPr>
        <w:t xml:space="preserve"> </w:t>
      </w:r>
      <w:r w:rsidR="00B85293" w:rsidRPr="002C6872">
        <w:t>the</w:t>
      </w:r>
      <w:r w:rsidR="00B85293" w:rsidRPr="002C6872">
        <w:rPr>
          <w:b/>
        </w:rPr>
        <w:t xml:space="preserve"> </w:t>
      </w:r>
      <w:r w:rsidR="00B85293" w:rsidRPr="002C6872">
        <w:t xml:space="preserve">Commission </w:t>
      </w:r>
      <w:r w:rsidR="00DC4C65" w:rsidRPr="002C6872">
        <w:t>covering its</w:t>
      </w:r>
      <w:r w:rsidR="005E4A3E" w:rsidRPr="002C6872">
        <w:t>:</w:t>
      </w:r>
      <w:r w:rsidRPr="002C6872">
        <w:t xml:space="preserve"> Strategic Plan; Universal Service Obligations; Premium Rated Services</w:t>
      </w:r>
      <w:r w:rsidR="00C60B27" w:rsidRPr="002C6872">
        <w:t xml:space="preserve">. The </w:t>
      </w:r>
      <w:r w:rsidR="00BC6F7E" w:rsidRPr="002C6872">
        <w:t xml:space="preserve">National Disability </w:t>
      </w:r>
      <w:r w:rsidR="008A5332" w:rsidRPr="002C6872">
        <w:t xml:space="preserve">Authority </w:t>
      </w:r>
      <w:r w:rsidR="00C60B27" w:rsidRPr="002C6872">
        <w:t>also has continued input as a member of</w:t>
      </w:r>
      <w:r w:rsidRPr="002C6872">
        <w:t xml:space="preserve"> </w:t>
      </w:r>
      <w:r w:rsidR="008A5332" w:rsidRPr="002C6872">
        <w:t>Commission</w:t>
      </w:r>
      <w:r w:rsidRPr="002C6872">
        <w:t>'s Consumer Advisory Panel.</w:t>
      </w:r>
    </w:p>
    <w:p w14:paraId="60BA76E0" w14:textId="77777777" w:rsidR="007F3094" w:rsidRPr="002C6872" w:rsidRDefault="007F3094" w:rsidP="007F3094">
      <w:pPr>
        <w:pStyle w:val="Heading3"/>
      </w:pPr>
      <w:r w:rsidRPr="002C6872">
        <w:t>Commission for Energy Regulation</w:t>
      </w:r>
    </w:p>
    <w:p w14:paraId="6C6F64EF" w14:textId="77777777" w:rsidR="007F3094" w:rsidRPr="002C6872" w:rsidRDefault="007F3094" w:rsidP="007F3094">
      <w:r w:rsidRPr="002C6872">
        <w:t xml:space="preserve">The </w:t>
      </w:r>
      <w:r w:rsidR="00BC6F7E" w:rsidRPr="002C6872">
        <w:t xml:space="preserve">National Disability </w:t>
      </w:r>
      <w:r w:rsidR="008A5332" w:rsidRPr="002C6872">
        <w:t>Authority</w:t>
      </w:r>
      <w:r w:rsidRPr="002C6872">
        <w:t xml:space="preserve"> </w:t>
      </w:r>
      <w:r w:rsidR="00FA6CAB" w:rsidRPr="002C6872">
        <w:t>submitted</w:t>
      </w:r>
      <w:r w:rsidR="00337317" w:rsidRPr="002C6872">
        <w:t xml:space="preserve"> a policy advice paper</w:t>
      </w:r>
      <w:r w:rsidRPr="002C6872">
        <w:t xml:space="preserve"> to </w:t>
      </w:r>
      <w:r w:rsidR="00DC4C65" w:rsidRPr="002C6872">
        <w:t xml:space="preserve">the </w:t>
      </w:r>
      <w:r w:rsidRPr="002C6872">
        <w:t>C</w:t>
      </w:r>
      <w:r w:rsidR="008A5332" w:rsidRPr="002C6872">
        <w:t xml:space="preserve">ommission </w:t>
      </w:r>
      <w:r w:rsidR="00FA6CAB" w:rsidRPr="002C6872">
        <w:t xml:space="preserve">in relation to </w:t>
      </w:r>
      <w:r w:rsidR="00DC4C65" w:rsidRPr="002C6872">
        <w:t xml:space="preserve">its consultation paper </w:t>
      </w:r>
      <w:r w:rsidR="00FA6CAB" w:rsidRPr="002C6872">
        <w:t>on its</w:t>
      </w:r>
      <w:r w:rsidR="00DC4C65" w:rsidRPr="002C6872">
        <w:t xml:space="preserve"> </w:t>
      </w:r>
      <w:r w:rsidR="00FA6CAB" w:rsidRPr="002C6872">
        <w:t>Electricity and Gas Codes of Practice Guidance for Suppliers</w:t>
      </w:r>
      <w:r w:rsidR="00DC4C65" w:rsidRPr="002C6872">
        <w:t xml:space="preserve"> </w:t>
      </w:r>
      <w:r w:rsidR="00FA6CAB" w:rsidRPr="002C6872">
        <w:t xml:space="preserve">2010 </w:t>
      </w:r>
      <w:r w:rsidRPr="002C6872">
        <w:t xml:space="preserve">and had follow up meetings with the Regulator. Suggestions made </w:t>
      </w:r>
      <w:proofErr w:type="gramStart"/>
      <w:r w:rsidRPr="002C6872">
        <w:t xml:space="preserve">by </w:t>
      </w:r>
      <w:r w:rsidR="00575BED" w:rsidRPr="002C6872">
        <w:t xml:space="preserve"> the</w:t>
      </w:r>
      <w:proofErr w:type="gramEnd"/>
      <w:r w:rsidR="00575BED" w:rsidRPr="002C6872">
        <w:t xml:space="preserve"> </w:t>
      </w:r>
      <w:r w:rsidR="00BC6F7E" w:rsidRPr="002C6872">
        <w:t xml:space="preserve">National Disability </w:t>
      </w:r>
      <w:r w:rsidR="008A5332" w:rsidRPr="002C6872">
        <w:lastRenderedPageBreak/>
        <w:t>Authority</w:t>
      </w:r>
      <w:r w:rsidRPr="002C6872">
        <w:t xml:space="preserve"> are reflected in the draft guidelines including disability proofing of sta</w:t>
      </w:r>
      <w:r w:rsidR="008A5332" w:rsidRPr="002C6872">
        <w:t>nda</w:t>
      </w:r>
      <w:r w:rsidRPr="002C6872">
        <w:t>rd services in order to maximise mainstreaming; provision of sta</w:t>
      </w:r>
      <w:r w:rsidR="008A5332" w:rsidRPr="002C6872">
        <w:t>nda</w:t>
      </w:r>
      <w:r w:rsidRPr="002C6872">
        <w:t>rd format information in at least one alternative format of customer's choice</w:t>
      </w:r>
      <w:r w:rsidR="00575BED" w:rsidRPr="002C6872">
        <w:t>;</w:t>
      </w:r>
      <w:r w:rsidRPr="002C6872">
        <w:t xml:space="preserve"> and particular issues relating to vulnerable customers who require electricity for aids and equipment</w:t>
      </w:r>
      <w:r w:rsidR="00DC4C65" w:rsidRPr="002C6872">
        <w:t>,</w:t>
      </w:r>
      <w:r w:rsidRPr="002C6872">
        <w:t xml:space="preserve"> etc because of the nature of their disability. </w:t>
      </w:r>
      <w:r w:rsidR="008A5332" w:rsidRPr="002C6872">
        <w:t xml:space="preserve">The </w:t>
      </w:r>
      <w:r w:rsidR="00BC6F7E" w:rsidRPr="002C6872">
        <w:t xml:space="preserve">National Disability </w:t>
      </w:r>
      <w:r w:rsidR="008A5332" w:rsidRPr="002C6872">
        <w:t>Authority</w:t>
      </w:r>
      <w:r w:rsidRPr="002C6872">
        <w:t xml:space="preserve"> also provided advice to the </w:t>
      </w:r>
      <w:r w:rsidR="00DC4C65" w:rsidRPr="002C6872">
        <w:t>C</w:t>
      </w:r>
      <w:r w:rsidR="008A5332" w:rsidRPr="002C6872">
        <w:t>ommission</w:t>
      </w:r>
      <w:r w:rsidRPr="002C6872">
        <w:rPr>
          <w:b/>
        </w:rPr>
        <w:t xml:space="preserve"> </w:t>
      </w:r>
      <w:r w:rsidRPr="002C6872">
        <w:t xml:space="preserve">on piloting of smart meters and the importance of </w:t>
      </w:r>
      <w:r w:rsidR="00C16EA2" w:rsidRPr="002C6872">
        <w:t>u</w:t>
      </w:r>
      <w:r w:rsidRPr="002C6872">
        <w:t xml:space="preserve">niversal </w:t>
      </w:r>
      <w:r w:rsidR="00C16EA2" w:rsidRPr="002C6872">
        <w:t>d</w:t>
      </w:r>
      <w:r w:rsidRPr="002C6872">
        <w:t>esign.</w:t>
      </w:r>
    </w:p>
    <w:p w14:paraId="088024CE" w14:textId="77777777" w:rsidR="00DB5E5D" w:rsidRPr="002C6872" w:rsidRDefault="00DB5E5D" w:rsidP="00DB5E5D">
      <w:pPr>
        <w:pStyle w:val="Heading2"/>
      </w:pPr>
      <w:bookmarkStart w:id="107" w:name="_Toc299362523"/>
      <w:bookmarkStart w:id="108" w:name="_Toc300742129"/>
      <w:bookmarkStart w:id="109" w:name="_Toc300742878"/>
      <w:bookmarkStart w:id="110" w:name="_Toc300744230"/>
      <w:r w:rsidRPr="002C6872">
        <w:t>National Disability Strategy</w:t>
      </w:r>
      <w:bookmarkEnd w:id="107"/>
      <w:bookmarkEnd w:id="108"/>
      <w:bookmarkEnd w:id="109"/>
      <w:bookmarkEnd w:id="110"/>
    </w:p>
    <w:p w14:paraId="3710AF9B" w14:textId="77777777" w:rsidR="001F058B" w:rsidRPr="002C6872" w:rsidRDefault="001F058B" w:rsidP="001F058B">
      <w:pPr>
        <w:pStyle w:val="Heading3"/>
      </w:pPr>
      <w:r w:rsidRPr="002C6872">
        <w:t>Participation in monitoring structures</w:t>
      </w:r>
    </w:p>
    <w:p w14:paraId="162D8CB3" w14:textId="77777777" w:rsidR="001F058B" w:rsidRPr="002C6872" w:rsidRDefault="001F058B" w:rsidP="001F058B">
      <w:r w:rsidRPr="002C6872">
        <w:t xml:space="preserve">The </w:t>
      </w:r>
      <w:r w:rsidR="00BC6F7E" w:rsidRPr="002C6872">
        <w:t xml:space="preserve">National Disability </w:t>
      </w:r>
      <w:r w:rsidR="008A5332" w:rsidRPr="002C6872">
        <w:t>Authority</w:t>
      </w:r>
      <w:r w:rsidRPr="002C6872">
        <w:t xml:space="preserve"> was a member of the </w:t>
      </w:r>
      <w:r w:rsidR="00C16EA2" w:rsidRPr="002C6872">
        <w:t>s</w:t>
      </w:r>
      <w:r w:rsidRPr="002C6872">
        <w:t xml:space="preserve">ectoral </w:t>
      </w:r>
      <w:r w:rsidR="00C16EA2" w:rsidRPr="002C6872">
        <w:t>p</w:t>
      </w:r>
      <w:r w:rsidRPr="002C6872">
        <w:t xml:space="preserve">lan monitoring committee in each </w:t>
      </w:r>
      <w:r w:rsidR="00C16EA2" w:rsidRPr="002C6872">
        <w:t>G</w:t>
      </w:r>
      <w:r w:rsidR="00BC6F7E" w:rsidRPr="002C6872">
        <w:t xml:space="preserve">overnment </w:t>
      </w:r>
      <w:r w:rsidR="00C16EA2" w:rsidRPr="002C6872">
        <w:t>D</w:t>
      </w:r>
      <w:r w:rsidRPr="002C6872">
        <w:t>ep</w:t>
      </w:r>
      <w:r w:rsidR="008A5332" w:rsidRPr="002C6872">
        <w:t>artmen</w:t>
      </w:r>
      <w:r w:rsidRPr="002C6872">
        <w:t>t, as well as the National Disability Strate</w:t>
      </w:r>
      <w:r w:rsidR="008A5332" w:rsidRPr="002C6872">
        <w:t>gy Stakeholder Monitoring Group</w:t>
      </w:r>
      <w:r w:rsidR="00BC6F7E" w:rsidRPr="002C6872">
        <w:t>.</w:t>
      </w:r>
      <w:r w:rsidRPr="002C6872">
        <w:t xml:space="preserve"> The </w:t>
      </w:r>
      <w:r w:rsidR="00BC6F7E" w:rsidRPr="002C6872">
        <w:t xml:space="preserve">National Disability </w:t>
      </w:r>
      <w:r w:rsidR="008A5332" w:rsidRPr="002C6872">
        <w:t>Authority</w:t>
      </w:r>
      <w:r w:rsidRPr="002C6872">
        <w:t xml:space="preserve"> provided </w:t>
      </w:r>
      <w:r w:rsidR="00337317" w:rsidRPr="002C6872">
        <w:t xml:space="preserve">policy </w:t>
      </w:r>
      <w:r w:rsidRPr="002C6872">
        <w:t xml:space="preserve">advice papers on </w:t>
      </w:r>
      <w:r w:rsidR="00BC6F7E" w:rsidRPr="002C6872">
        <w:t>monitoring strategic and cross-Departmental elements of the National Disability Strategy</w:t>
      </w:r>
      <w:r w:rsidRPr="002C6872">
        <w:t xml:space="preserve"> prior to the bi-annual meetings of the </w:t>
      </w:r>
      <w:r w:rsidR="008A5332" w:rsidRPr="002C6872">
        <w:t>Monitoring Group</w:t>
      </w:r>
      <w:r w:rsidRPr="002C6872">
        <w:t xml:space="preserve">, as well as </w:t>
      </w:r>
      <w:r w:rsidR="00337317" w:rsidRPr="002C6872">
        <w:t xml:space="preserve">policy </w:t>
      </w:r>
      <w:r w:rsidRPr="002C6872">
        <w:t xml:space="preserve">advice papers on the mental health aspects of the National Disability Strategy. </w:t>
      </w:r>
    </w:p>
    <w:p w14:paraId="6C7B7C20" w14:textId="77777777" w:rsidR="0073492C" w:rsidRPr="002C6872" w:rsidRDefault="00955DDB" w:rsidP="007C1D73">
      <w:pPr>
        <w:pStyle w:val="Heading3"/>
      </w:pPr>
      <w:r w:rsidRPr="002C6872">
        <w:t>National Disability Strategy Indicators</w:t>
      </w:r>
    </w:p>
    <w:p w14:paraId="5855D44E" w14:textId="77777777" w:rsidR="00955DDB" w:rsidRPr="002C6872" w:rsidRDefault="0073492C" w:rsidP="00955DDB">
      <w:r w:rsidRPr="002C6872">
        <w:t xml:space="preserve">The </w:t>
      </w:r>
      <w:r w:rsidR="00BC6F7E" w:rsidRPr="002C6872">
        <w:t xml:space="preserve">National Disability </w:t>
      </w:r>
      <w:r w:rsidRPr="002C6872">
        <w:t xml:space="preserve">Authority provided the National Disability Strategy Stakeholder Monitoring Group with a </w:t>
      </w:r>
      <w:r w:rsidR="00337317" w:rsidRPr="002C6872">
        <w:t xml:space="preserve">policy advice </w:t>
      </w:r>
      <w:r w:rsidRPr="002C6872">
        <w:t>paper on some 50 outcome indicators for the National Disability Strategy linked to each of the high-level goals, as well as baseline data under each of the indicators. This data consisted of published data</w:t>
      </w:r>
      <w:r w:rsidR="007C1D73" w:rsidRPr="002C6872">
        <w:t xml:space="preserve"> (</w:t>
      </w:r>
      <w:proofErr w:type="gramStart"/>
      <w:r w:rsidR="007C1D73" w:rsidRPr="002C6872">
        <w:t>e.g.</w:t>
      </w:r>
      <w:proofErr w:type="gramEnd"/>
      <w:r w:rsidR="007C1D73" w:rsidRPr="002C6872">
        <w:t xml:space="preserve"> Census 2006, Quarterly National Household Survey, EU-Survey on Income and Living Conditions)</w:t>
      </w:r>
      <w:r w:rsidR="005A2A10" w:rsidRPr="002C6872">
        <w:t>;</w:t>
      </w:r>
      <w:r w:rsidRPr="002C6872">
        <w:t xml:space="preserve"> special cross-tabulations conducted by the Central Statistics Office at the Authority's request</w:t>
      </w:r>
      <w:r w:rsidR="007C1D73" w:rsidRPr="002C6872">
        <w:t xml:space="preserve"> and disability specific data (e.g. the national disability databases managed by the Health Research Board). </w:t>
      </w:r>
      <w:r w:rsidR="00955DDB" w:rsidRPr="002C6872">
        <w:t xml:space="preserve">In addition, </w:t>
      </w:r>
      <w:r w:rsidR="008A5332" w:rsidRPr="002C6872">
        <w:t>the Authority</w:t>
      </w:r>
      <w:r w:rsidR="00955DDB" w:rsidRPr="002C6872">
        <w:t xml:space="preserve"> commissioned a population-based survey of people with disabilities to gather data that was not available from existing sources</w:t>
      </w:r>
      <w:r w:rsidR="005A2A10" w:rsidRPr="002C6872">
        <w:t>.</w:t>
      </w:r>
      <w:r w:rsidR="00955DDB" w:rsidRPr="002C6872">
        <w:t xml:space="preserve"> </w:t>
      </w:r>
    </w:p>
    <w:p w14:paraId="6FBE97C3" w14:textId="77777777" w:rsidR="001F058B" w:rsidRPr="002C6872" w:rsidRDefault="001F058B" w:rsidP="001F058B">
      <w:pPr>
        <w:pStyle w:val="Heading3"/>
      </w:pPr>
      <w:r w:rsidRPr="002C6872">
        <w:t xml:space="preserve">Disability Stakeholder Group </w:t>
      </w:r>
    </w:p>
    <w:p w14:paraId="7DD11576" w14:textId="77777777" w:rsidR="001F058B" w:rsidRPr="002C6872" w:rsidRDefault="001F058B" w:rsidP="008A5332">
      <w:pPr>
        <w:spacing w:after="120"/>
      </w:pPr>
      <w:r w:rsidRPr="002C6872">
        <w:t xml:space="preserve">The </w:t>
      </w:r>
      <w:r w:rsidR="00BC6F7E" w:rsidRPr="002C6872">
        <w:t xml:space="preserve">National Disability </w:t>
      </w:r>
      <w:r w:rsidR="008A5332" w:rsidRPr="002C6872">
        <w:t>Authority</w:t>
      </w:r>
      <w:r w:rsidRPr="002C6872">
        <w:t xml:space="preserve"> continued to provide the secretariat</w:t>
      </w:r>
      <w:r w:rsidR="008A5332" w:rsidRPr="002C6872">
        <w:t xml:space="preserve"> for the Disability Stakeholder</w:t>
      </w:r>
      <w:r w:rsidRPr="002C6872">
        <w:t xml:space="preserve"> Group, which is an independent grouping drawn from the voluntary and community sector</w:t>
      </w:r>
      <w:r w:rsidR="00180B59" w:rsidRPr="002C6872">
        <w:t xml:space="preserve">, and which is </w:t>
      </w:r>
      <w:r w:rsidR="00A3361D" w:rsidRPr="002C6872">
        <w:t>a member of the National Disability Strategy Stakeholder Monitoring Group as well as a member of the monitoring groups at Departmental level.</w:t>
      </w:r>
      <w:r w:rsidR="00180B59" w:rsidRPr="002C6872">
        <w:t xml:space="preserve"> The Group </w:t>
      </w:r>
      <w:r w:rsidRPr="002C6872">
        <w:t>includes:</w:t>
      </w:r>
    </w:p>
    <w:p w14:paraId="5931595C" w14:textId="77777777" w:rsidR="001F058B" w:rsidRPr="002C6872" w:rsidRDefault="001F058B" w:rsidP="001F058B">
      <w:pPr>
        <w:pStyle w:val="ListBullet"/>
      </w:pPr>
      <w:r w:rsidRPr="002C6872">
        <w:t xml:space="preserve">Disability Federation of </w:t>
      </w:r>
      <w:smartTag w:uri="urn:schemas-microsoft-com:office:smarttags" w:element="country-region">
        <w:smartTag w:uri="urn:schemas-microsoft-com:office:smarttags" w:element="place">
          <w:r w:rsidRPr="002C6872">
            <w:t>Ireland</w:t>
          </w:r>
        </w:smartTag>
      </w:smartTag>
    </w:p>
    <w:p w14:paraId="553E0440" w14:textId="77777777" w:rsidR="001F058B" w:rsidRPr="002C6872" w:rsidRDefault="001F058B" w:rsidP="001F058B">
      <w:pPr>
        <w:pStyle w:val="ListBullet"/>
      </w:pPr>
      <w:r w:rsidRPr="002C6872">
        <w:t xml:space="preserve">Inclusion </w:t>
      </w:r>
      <w:smartTag w:uri="urn:schemas-microsoft-com:office:smarttags" w:element="country-region">
        <w:smartTag w:uri="urn:schemas-microsoft-com:office:smarttags" w:element="place">
          <w:r w:rsidRPr="002C6872">
            <w:t>Ireland</w:t>
          </w:r>
        </w:smartTag>
      </w:smartTag>
    </w:p>
    <w:p w14:paraId="4735DF52" w14:textId="77777777" w:rsidR="001F058B" w:rsidRPr="002C6872" w:rsidRDefault="00575BED" w:rsidP="001F058B">
      <w:pPr>
        <w:pStyle w:val="ListBullet"/>
      </w:pPr>
      <w:r w:rsidRPr="002C6872">
        <w:t>Irish Mental Health Coalition</w:t>
      </w:r>
    </w:p>
    <w:p w14:paraId="78C51EFB" w14:textId="77777777" w:rsidR="001F058B" w:rsidRPr="002C6872" w:rsidRDefault="001F058B" w:rsidP="001F058B">
      <w:pPr>
        <w:pStyle w:val="ListBullet"/>
      </w:pPr>
      <w:r w:rsidRPr="002C6872">
        <w:t>National Federation of Voluntary Bodies</w:t>
      </w:r>
    </w:p>
    <w:p w14:paraId="3D428D5A" w14:textId="77777777" w:rsidR="001F058B" w:rsidRPr="002C6872" w:rsidRDefault="001F058B" w:rsidP="001F058B">
      <w:pPr>
        <w:pStyle w:val="ListBullet"/>
      </w:pPr>
      <w:r w:rsidRPr="002C6872">
        <w:t>Not for Profit Business Association</w:t>
      </w:r>
    </w:p>
    <w:p w14:paraId="3D358D70" w14:textId="77777777" w:rsidR="001F058B" w:rsidRPr="002C6872" w:rsidRDefault="001F058B" w:rsidP="001F058B">
      <w:pPr>
        <w:pStyle w:val="ListBullet"/>
      </w:pPr>
      <w:r w:rsidRPr="002C6872">
        <w:t>People with Disabilities in Ireland Ltd</w:t>
      </w:r>
    </w:p>
    <w:p w14:paraId="4A7FD010" w14:textId="77777777" w:rsidR="00955DDB" w:rsidRPr="002C6872" w:rsidRDefault="00955DDB" w:rsidP="008A5332">
      <w:pPr>
        <w:pStyle w:val="Heading2"/>
        <w:spacing w:before="300"/>
      </w:pPr>
      <w:bookmarkStart w:id="111" w:name="_Toc299362524"/>
      <w:bookmarkStart w:id="112" w:name="_Toc300742130"/>
      <w:bookmarkStart w:id="113" w:name="_Toc300742879"/>
      <w:bookmarkStart w:id="114" w:name="_Toc300744231"/>
      <w:r w:rsidRPr="002C6872">
        <w:lastRenderedPageBreak/>
        <w:t>Employment of people with disabilities in the public service</w:t>
      </w:r>
      <w:bookmarkEnd w:id="111"/>
      <w:bookmarkEnd w:id="112"/>
      <w:bookmarkEnd w:id="113"/>
      <w:bookmarkEnd w:id="114"/>
    </w:p>
    <w:p w14:paraId="245DCF81" w14:textId="77777777" w:rsidR="00955DDB" w:rsidRPr="002C6872" w:rsidRDefault="00955DDB" w:rsidP="00955DDB">
      <w:r w:rsidRPr="002C6872">
        <w:t xml:space="preserve">Public bodies are required to promote and support the employment of people with disabilities in the public service, with a target of having people with disabilities </w:t>
      </w:r>
      <w:r w:rsidR="007C1D73" w:rsidRPr="002C6872">
        <w:t>comprising</w:t>
      </w:r>
      <w:r w:rsidRPr="002C6872">
        <w:t xml:space="preserve"> 3% of their workforce. The </w:t>
      </w:r>
      <w:r w:rsidR="00BC6F7E" w:rsidRPr="002C6872">
        <w:t xml:space="preserve">National Disability </w:t>
      </w:r>
      <w:r w:rsidR="008A5332" w:rsidRPr="002C6872">
        <w:t>Authority</w:t>
      </w:r>
      <w:r w:rsidRPr="002C6872">
        <w:t xml:space="preserve"> has the statutory function to monitor compliance with these provisions. </w:t>
      </w:r>
    </w:p>
    <w:p w14:paraId="3DEE4B99" w14:textId="77777777" w:rsidR="00955DDB" w:rsidRPr="002C6872" w:rsidRDefault="00955DDB" w:rsidP="00955DDB">
      <w:r w:rsidRPr="002C6872">
        <w:t xml:space="preserve">The </w:t>
      </w:r>
      <w:r w:rsidR="00BC6F7E" w:rsidRPr="002C6872">
        <w:t xml:space="preserve">National Disability </w:t>
      </w:r>
      <w:r w:rsidR="008A5332" w:rsidRPr="002C6872">
        <w:t>Authority</w:t>
      </w:r>
      <w:r w:rsidRPr="002C6872">
        <w:t xml:space="preserve">'s Report on compliance in 2009 showed that across the public </w:t>
      </w:r>
      <w:proofErr w:type="gramStart"/>
      <w:r w:rsidRPr="002C6872">
        <w:t>sector as a whole, the</w:t>
      </w:r>
      <w:proofErr w:type="gramEnd"/>
      <w:r w:rsidRPr="002C6872">
        <w:t xml:space="preserve"> proportion of reported staff with disabilities rose to 2.9% in 2009 from 2.7% in 2008. The total number of public service employees with a disability for 2009 was 6,380, an increase of just under 300 over the corresponding 2008 figure. Some of the recorded change is likely to</w:t>
      </w:r>
      <w:r w:rsidR="00A3361D" w:rsidRPr="002C6872">
        <w:t xml:space="preserve"> </w:t>
      </w:r>
      <w:r w:rsidRPr="002C6872">
        <w:t>reflect improved data collection</w:t>
      </w:r>
      <w:r w:rsidR="007C1D73" w:rsidRPr="002C6872">
        <w:t xml:space="preserve"> and rates of disclosure</w:t>
      </w:r>
      <w:r w:rsidR="00A3361D" w:rsidRPr="002C6872">
        <w:t>, as well as any underlying improvement.</w:t>
      </w:r>
    </w:p>
    <w:p w14:paraId="79D70E36" w14:textId="77777777" w:rsidR="00955DDB" w:rsidRPr="002C6872" w:rsidRDefault="00955DDB" w:rsidP="00B14C76">
      <w:r w:rsidRPr="002C6872">
        <w:t>All Government Departments met the 3% tar</w:t>
      </w:r>
      <w:r w:rsidR="001F058B" w:rsidRPr="002C6872">
        <w:t xml:space="preserve">get in 2009 as in 2008; </w:t>
      </w:r>
      <w:r w:rsidRPr="002C6872">
        <w:t xml:space="preserve">4.2% of staff </w:t>
      </w:r>
      <w:r w:rsidR="001F058B" w:rsidRPr="002C6872">
        <w:t xml:space="preserve">for 2009 </w:t>
      </w:r>
      <w:r w:rsidRPr="002C6872">
        <w:t>compared to 3.9% for 2008. 82% of local governmen</w:t>
      </w:r>
      <w:r w:rsidR="008A5332" w:rsidRPr="002C6872">
        <w:t xml:space="preserve">t bodies reached the 3% target indicating that </w:t>
      </w:r>
      <w:r w:rsidRPr="002C6872">
        <w:t>3.7% of people employed across th</w:t>
      </w:r>
      <w:r w:rsidR="008A5332" w:rsidRPr="002C6872">
        <w:t>is</w:t>
      </w:r>
      <w:r w:rsidRPr="002C6872">
        <w:t xml:space="preserve"> sector had </w:t>
      </w:r>
      <w:r w:rsidR="008A5332" w:rsidRPr="002C6872">
        <w:t xml:space="preserve">a </w:t>
      </w:r>
      <w:r w:rsidRPr="002C6872">
        <w:t>disabilit</w:t>
      </w:r>
      <w:r w:rsidR="008A5332" w:rsidRPr="002C6872">
        <w:t>y</w:t>
      </w:r>
      <w:r w:rsidRPr="002C6872">
        <w:t xml:space="preserve">. </w:t>
      </w:r>
    </w:p>
    <w:p w14:paraId="4A492175" w14:textId="77777777" w:rsidR="00955DDB" w:rsidRPr="002C6872" w:rsidRDefault="00955DDB" w:rsidP="00955DDB">
      <w:r w:rsidRPr="002C6872">
        <w:t>There was a slight decrease in the number of public bodies achieving or exceeding the 3% target - 53.5% for 2009 compared to 55% for 2008.</w:t>
      </w:r>
      <w:r w:rsidR="001F058B" w:rsidRPr="002C6872">
        <w:t xml:space="preserve"> </w:t>
      </w:r>
      <w:r w:rsidR="007C1D73" w:rsidRPr="002C6872">
        <w:t>Of note is the fact that</w:t>
      </w:r>
      <w:r w:rsidR="008A5332" w:rsidRPr="002C6872">
        <w:t xml:space="preserve"> </w:t>
      </w:r>
      <w:r w:rsidRPr="002C6872">
        <w:t xml:space="preserve">22% of the reporting bodies had fewer than ten staff each. </w:t>
      </w:r>
    </w:p>
    <w:p w14:paraId="72955872" w14:textId="77777777" w:rsidR="00955DDB" w:rsidRPr="002C6872" w:rsidRDefault="001F058B" w:rsidP="00955DDB">
      <w:r w:rsidRPr="002C6872">
        <w:t xml:space="preserve">Under section </w:t>
      </w:r>
      <w:r w:rsidR="00955DDB" w:rsidRPr="002C6872">
        <w:t xml:space="preserve">49 of the Disability Act 2005, the </w:t>
      </w:r>
      <w:r w:rsidR="00CD4D92" w:rsidRPr="002C6872">
        <w:t xml:space="preserve">National Disability </w:t>
      </w:r>
      <w:r w:rsidR="008A5332" w:rsidRPr="002C6872">
        <w:t>Authority</w:t>
      </w:r>
      <w:r w:rsidR="00955DDB" w:rsidRPr="002C6872">
        <w:t xml:space="preserve"> may formally recommend specific actions, with the consent of the relevant Minister, to a public body that has failed to comply with its legal obligations in this area for two consecutive years, and the public body must comply with those recomme</w:t>
      </w:r>
      <w:r w:rsidR="008A5332" w:rsidRPr="002C6872">
        <w:t>nda</w:t>
      </w:r>
      <w:r w:rsidR="00955DDB" w:rsidRPr="002C6872">
        <w:t xml:space="preserve">tions. Those legal obligations are subject to qualifying phrases such as ‘as far as practicable’ and ‘unless there are good reasons to the contrary’. During 2010, the </w:t>
      </w:r>
      <w:r w:rsidR="00CD4D92" w:rsidRPr="002C6872">
        <w:t xml:space="preserve">National Disability </w:t>
      </w:r>
      <w:r w:rsidR="00CE0E7F" w:rsidRPr="002C6872">
        <w:t>Authority</w:t>
      </w:r>
      <w:r w:rsidR="00955DDB" w:rsidRPr="002C6872">
        <w:t xml:space="preserve"> engaged with </w:t>
      </w:r>
      <w:proofErr w:type="gramStart"/>
      <w:r w:rsidR="00955DDB" w:rsidRPr="002C6872">
        <w:t>a number of</w:t>
      </w:r>
      <w:proofErr w:type="gramEnd"/>
      <w:r w:rsidR="00955DDB" w:rsidRPr="002C6872">
        <w:t xml:space="preserve"> public bodies to identify if there were any factors to explain their performance in relevant successive years. No public body was formally declared as non-compliant, however </w:t>
      </w:r>
      <w:r w:rsidR="007C1D73" w:rsidRPr="002C6872">
        <w:t xml:space="preserve">the Authority’s </w:t>
      </w:r>
      <w:r w:rsidR="00955DDB" w:rsidRPr="002C6872">
        <w:t>advice and guidance was conveyed, on a non-statutory basis, to bodies considered as having significant scope for improvement.</w:t>
      </w:r>
    </w:p>
    <w:p w14:paraId="666F1089" w14:textId="77777777" w:rsidR="00A2204D" w:rsidRPr="002C6872" w:rsidRDefault="0056124A" w:rsidP="00872C46">
      <w:pPr>
        <w:pStyle w:val="Heading1"/>
      </w:pPr>
      <w:r w:rsidRPr="002C6872">
        <w:br w:type="page"/>
      </w:r>
      <w:bookmarkStart w:id="115" w:name="_Toc299360694"/>
      <w:bookmarkStart w:id="116" w:name="_Toc299362476"/>
      <w:bookmarkStart w:id="117" w:name="_Toc299362525"/>
      <w:bookmarkStart w:id="118" w:name="_Toc300742131"/>
      <w:bookmarkStart w:id="119" w:name="_Toc300742880"/>
      <w:bookmarkStart w:id="120" w:name="_Toc300744232"/>
      <w:bookmarkStart w:id="121" w:name="_Toc304371198"/>
      <w:bookmarkStart w:id="122" w:name="_Toc304381920"/>
      <w:r w:rsidR="00A2204D" w:rsidRPr="002C6872">
        <w:lastRenderedPageBreak/>
        <w:t xml:space="preserve">Strategic Priority </w:t>
      </w:r>
      <w:r w:rsidR="00CF6F27">
        <w:t>2</w:t>
      </w:r>
      <w:bookmarkEnd w:id="118"/>
      <w:bookmarkEnd w:id="119"/>
      <w:bookmarkEnd w:id="120"/>
      <w:bookmarkEnd w:id="121"/>
      <w:r w:rsidR="00572BA4">
        <w:t xml:space="preserve">: </w:t>
      </w:r>
      <w:bookmarkStart w:id="123" w:name="_Toc300742132"/>
      <w:bookmarkStart w:id="124" w:name="_Toc300742881"/>
      <w:bookmarkStart w:id="125" w:name="_Toc300744233"/>
      <w:bookmarkStart w:id="126" w:name="_Toc304371199"/>
      <w:r w:rsidR="00A2204D" w:rsidRPr="002C6872">
        <w:t>To provide evidence</w:t>
      </w:r>
      <w:r w:rsidR="00CA3D2B" w:rsidRPr="002C6872">
        <w:t>-</w:t>
      </w:r>
      <w:r w:rsidR="00A2204D" w:rsidRPr="002C6872">
        <w:t>based poli</w:t>
      </w:r>
      <w:r w:rsidR="001F058B" w:rsidRPr="002C6872">
        <w:t>cy advice to promote independence</w:t>
      </w:r>
      <w:r w:rsidR="00A2204D" w:rsidRPr="002C6872">
        <w:t xml:space="preserve"> and the quality of daily life for people with disabilities across the lifecycle</w:t>
      </w:r>
      <w:bookmarkEnd w:id="115"/>
      <w:bookmarkEnd w:id="116"/>
      <w:bookmarkEnd w:id="117"/>
      <w:bookmarkEnd w:id="122"/>
      <w:bookmarkEnd w:id="123"/>
      <w:bookmarkEnd w:id="124"/>
      <w:bookmarkEnd w:id="125"/>
      <w:bookmarkEnd w:id="126"/>
    </w:p>
    <w:p w14:paraId="4DDA532D" w14:textId="77777777" w:rsidR="00AC2331" w:rsidRPr="002C6872" w:rsidRDefault="00AC2331" w:rsidP="00AC2331">
      <w:pPr>
        <w:pStyle w:val="Heading2"/>
      </w:pPr>
      <w:bookmarkStart w:id="127" w:name="_Toc299362526"/>
      <w:bookmarkStart w:id="128" w:name="_Toc300742133"/>
      <w:bookmarkStart w:id="129" w:name="_Toc300742882"/>
      <w:bookmarkStart w:id="130" w:name="_Toc300744234"/>
      <w:r w:rsidRPr="002C6872">
        <w:t>Independent Living</w:t>
      </w:r>
      <w:bookmarkEnd w:id="127"/>
      <w:bookmarkEnd w:id="128"/>
      <w:bookmarkEnd w:id="129"/>
      <w:bookmarkEnd w:id="130"/>
    </w:p>
    <w:p w14:paraId="4BB5C568" w14:textId="77777777" w:rsidR="00AC2331" w:rsidRPr="002C6872" w:rsidRDefault="00AC2331" w:rsidP="00AC2331">
      <w:pPr>
        <w:pStyle w:val="Heading3"/>
      </w:pPr>
      <w:r w:rsidRPr="002C6872">
        <w:t>Focus group consultations</w:t>
      </w:r>
    </w:p>
    <w:p w14:paraId="1762FB61" w14:textId="77777777" w:rsidR="00AC2331" w:rsidRPr="002C6872" w:rsidRDefault="008A5332" w:rsidP="00AC2331">
      <w:pPr>
        <w:spacing w:after="120"/>
      </w:pPr>
      <w:r w:rsidRPr="002C6872">
        <w:t xml:space="preserve">The </w:t>
      </w:r>
      <w:r w:rsidR="00CD4D92" w:rsidRPr="002C6872">
        <w:t xml:space="preserve">National Disability </w:t>
      </w:r>
      <w:r w:rsidRPr="002C6872">
        <w:t>Authority</w:t>
      </w:r>
      <w:r w:rsidR="00AC2331" w:rsidRPr="002C6872">
        <w:t xml:space="preserve"> undertook a consultation process via a series of 15 focus groups in six separate regional venues to hear and document the views on what helps or hinders people with disabilities in being independent and participating in the </w:t>
      </w:r>
      <w:proofErr w:type="gramStart"/>
      <w:r w:rsidR="00AC2331" w:rsidRPr="002C6872">
        <w:t>every day</w:t>
      </w:r>
      <w:proofErr w:type="gramEnd"/>
      <w:r w:rsidR="00AC2331" w:rsidRPr="002C6872">
        <w:t xml:space="preserve"> life of the community. There were separate sessions held for persons with physical and sensory impairments, persons with an intellectual disability, family members, </w:t>
      </w:r>
      <w:proofErr w:type="gramStart"/>
      <w:r w:rsidR="00AC2331" w:rsidRPr="002C6872">
        <w:t>advocates</w:t>
      </w:r>
      <w:proofErr w:type="gramEnd"/>
      <w:r w:rsidR="00AC2331" w:rsidRPr="002C6872">
        <w:t xml:space="preserve"> and frontline staff. Key feedback </w:t>
      </w:r>
      <w:r w:rsidR="009B1A92" w:rsidRPr="002C6872">
        <w:t>found that</w:t>
      </w:r>
      <w:r w:rsidR="00AC2331" w:rsidRPr="002C6872">
        <w:t xml:space="preserve"> </w:t>
      </w:r>
      <w:r w:rsidR="009B1A92" w:rsidRPr="002C6872">
        <w:t xml:space="preserve">people with intellectual disabilities were restricted by routines related to their services and </w:t>
      </w:r>
      <w:r w:rsidR="007C1D73" w:rsidRPr="002C6872">
        <w:t xml:space="preserve">their own </w:t>
      </w:r>
      <w:r w:rsidR="009B1A92" w:rsidRPr="002C6872">
        <w:t>attitudes. People with physical and sensory disabilities want more choice and control in their lives</w:t>
      </w:r>
    </w:p>
    <w:p w14:paraId="4B526E7C" w14:textId="77777777" w:rsidR="00AC2331" w:rsidRPr="002C6872" w:rsidRDefault="008A5332" w:rsidP="00AC2331">
      <w:r w:rsidRPr="002C6872">
        <w:t xml:space="preserve">The </w:t>
      </w:r>
      <w:r w:rsidR="00CD4D92" w:rsidRPr="002C6872">
        <w:t xml:space="preserve">National Disability </w:t>
      </w:r>
      <w:r w:rsidRPr="002C6872">
        <w:t>Authority</w:t>
      </w:r>
      <w:r w:rsidR="00AC2331" w:rsidRPr="002C6872">
        <w:t xml:space="preserve"> has published two</w:t>
      </w:r>
      <w:r w:rsidR="00AC2331" w:rsidRPr="002C6872">
        <w:rPr>
          <w:b/>
        </w:rPr>
        <w:t xml:space="preserve"> </w:t>
      </w:r>
      <w:r w:rsidR="009B1A92" w:rsidRPr="002C6872">
        <w:t>r</w:t>
      </w:r>
      <w:r w:rsidR="00AC2331" w:rsidRPr="002C6872">
        <w:t xml:space="preserve">eports from </w:t>
      </w:r>
      <w:r w:rsidR="009B1A92" w:rsidRPr="002C6872">
        <w:t xml:space="preserve">the </w:t>
      </w:r>
      <w:r w:rsidR="00AC2331" w:rsidRPr="002C6872">
        <w:t>Focus Groups on Independent Living, one o</w:t>
      </w:r>
      <w:r w:rsidR="009B1A92" w:rsidRPr="002C6872">
        <w:t xml:space="preserve">n independent living generally </w:t>
      </w:r>
      <w:r w:rsidR="00010FEC" w:rsidRPr="002C6872">
        <w:t xml:space="preserve">and one </w:t>
      </w:r>
      <w:r w:rsidR="00D24294" w:rsidRPr="002C6872">
        <w:t>viewing</w:t>
      </w:r>
      <w:r w:rsidR="00AC2331" w:rsidRPr="002C6872">
        <w:t xml:space="preserve"> emerging </w:t>
      </w:r>
      <w:r w:rsidRPr="002C6872">
        <w:t>themes</w:t>
      </w:r>
      <w:r w:rsidR="009B1A92" w:rsidRPr="002C6872">
        <w:t xml:space="preserve"> </w:t>
      </w:r>
      <w:r w:rsidR="00AC2331" w:rsidRPr="002C6872">
        <w:t xml:space="preserve">from the </w:t>
      </w:r>
      <w:r w:rsidR="00010FEC" w:rsidRPr="002C6872">
        <w:t xml:space="preserve">Department of Health and Children’s </w:t>
      </w:r>
      <w:r w:rsidR="00AC2331" w:rsidRPr="002C6872">
        <w:t>Value for Money and Policy Review</w:t>
      </w:r>
      <w:r w:rsidR="00AC2331" w:rsidRPr="002C6872">
        <w:rPr>
          <w:b/>
        </w:rPr>
        <w:t>.</w:t>
      </w:r>
      <w:r w:rsidR="00AC2331" w:rsidRPr="002C6872">
        <w:t xml:space="preserve"> </w:t>
      </w:r>
    </w:p>
    <w:p w14:paraId="3465785E" w14:textId="77777777" w:rsidR="00AC2331" w:rsidRPr="002C6872" w:rsidRDefault="00AC2331" w:rsidP="00AC2331">
      <w:pPr>
        <w:pStyle w:val="Heading3"/>
      </w:pPr>
      <w:r w:rsidRPr="002C6872">
        <w:t>Individualised funding including Direct Payments</w:t>
      </w:r>
    </w:p>
    <w:p w14:paraId="33C78883" w14:textId="77777777" w:rsidR="00A81473" w:rsidRPr="002C6872" w:rsidRDefault="00AC2331" w:rsidP="00A81473">
      <w:r w:rsidRPr="002C6872">
        <w:t xml:space="preserve">The </w:t>
      </w:r>
      <w:r w:rsidR="00CD4D92" w:rsidRPr="002C6872">
        <w:t xml:space="preserve">National Disability </w:t>
      </w:r>
      <w:r w:rsidR="00D24294" w:rsidRPr="002C6872">
        <w:t>Authority</w:t>
      </w:r>
      <w:r w:rsidRPr="002C6872">
        <w:t xml:space="preserve"> </w:t>
      </w:r>
      <w:r w:rsidR="00010FEC" w:rsidRPr="002C6872">
        <w:t xml:space="preserve">made </w:t>
      </w:r>
      <w:proofErr w:type="gramStart"/>
      <w:r w:rsidR="00010FEC" w:rsidRPr="002C6872">
        <w:t>a number of</w:t>
      </w:r>
      <w:proofErr w:type="gramEnd"/>
      <w:r w:rsidR="00010FEC" w:rsidRPr="002C6872">
        <w:t xml:space="preserve"> presentations based on its</w:t>
      </w:r>
      <w:r w:rsidRPr="002C6872">
        <w:t xml:space="preserve"> work to date </w:t>
      </w:r>
      <w:r w:rsidR="007C1D73" w:rsidRPr="002C6872">
        <w:t>researching direct payment policy and practice</w:t>
      </w:r>
      <w:r w:rsidR="00695735" w:rsidRPr="002C6872">
        <w:t xml:space="preserve"> to inform</w:t>
      </w:r>
      <w:r w:rsidRPr="002C6872">
        <w:t xml:space="preserve"> a</w:t>
      </w:r>
      <w:r w:rsidR="00337317" w:rsidRPr="002C6872">
        <w:t xml:space="preserve"> policy </w:t>
      </w:r>
      <w:r w:rsidRPr="002C6872">
        <w:t xml:space="preserve">advice paper on Individualised Funding including Direct Payments. </w:t>
      </w:r>
      <w:r w:rsidR="00A81473" w:rsidRPr="002C6872">
        <w:t xml:space="preserve">To support our work on initiatives that promote personalised services and independent living, </w:t>
      </w:r>
      <w:r w:rsidR="00D24294" w:rsidRPr="002C6872">
        <w:t xml:space="preserve">the </w:t>
      </w:r>
      <w:r w:rsidR="00CD4D92" w:rsidRPr="002C6872">
        <w:t xml:space="preserve">National Disability </w:t>
      </w:r>
      <w:r w:rsidR="00D24294" w:rsidRPr="002C6872">
        <w:t>Authority</w:t>
      </w:r>
      <w:r w:rsidR="00A81473" w:rsidRPr="002C6872">
        <w:t xml:space="preserve"> is currently exploring options for the introduction of personal budgets for people with disabilities based on individual support needs. As part of this work</w:t>
      </w:r>
      <w:r w:rsidR="008867AA" w:rsidRPr="002C6872">
        <w:t>,</w:t>
      </w:r>
      <w:r w:rsidR="00A81473" w:rsidRPr="002C6872">
        <w:t xml:space="preserve"> </w:t>
      </w:r>
      <w:r w:rsidR="00D24294" w:rsidRPr="002C6872">
        <w:t xml:space="preserve">the </w:t>
      </w:r>
      <w:r w:rsidR="00CD4D92" w:rsidRPr="002C6872">
        <w:t xml:space="preserve">National Disability </w:t>
      </w:r>
      <w:r w:rsidR="00D24294" w:rsidRPr="002C6872">
        <w:t>Authority</w:t>
      </w:r>
      <w:r w:rsidR="00A81473" w:rsidRPr="002C6872">
        <w:t xml:space="preserve"> was represented at the 2010 Reinventing Quality Conference in the </w:t>
      </w:r>
      <w:smartTag w:uri="urn:schemas-microsoft-com:office:smarttags" w:element="country-region">
        <w:smartTag w:uri="urn:schemas-microsoft-com:office:smarttags" w:element="place">
          <w:r w:rsidR="00A81473" w:rsidRPr="002C6872">
            <w:t>United States</w:t>
          </w:r>
        </w:smartTag>
      </w:smartTag>
      <w:r w:rsidR="00A81473" w:rsidRPr="002C6872">
        <w:t>. A report on this project will be published in 2011.</w:t>
      </w:r>
    </w:p>
    <w:p w14:paraId="08CCE5AE" w14:textId="77777777" w:rsidR="00AC2331" w:rsidRPr="002C6872" w:rsidRDefault="00AC2331" w:rsidP="00AC2331">
      <w:pPr>
        <w:pStyle w:val="Heading2"/>
      </w:pPr>
      <w:bookmarkStart w:id="131" w:name="_Toc299362527"/>
      <w:bookmarkStart w:id="132" w:name="_Toc300742134"/>
      <w:bookmarkStart w:id="133" w:name="_Toc300742883"/>
      <w:bookmarkStart w:id="134" w:name="_Toc300744235"/>
      <w:r w:rsidRPr="002C6872">
        <w:t>Health Services Research</w:t>
      </w:r>
      <w:bookmarkEnd w:id="131"/>
      <w:bookmarkEnd w:id="132"/>
      <w:bookmarkEnd w:id="133"/>
      <w:bookmarkEnd w:id="134"/>
      <w:r w:rsidRPr="002C6872">
        <w:t xml:space="preserve"> </w:t>
      </w:r>
    </w:p>
    <w:p w14:paraId="379400C1" w14:textId="77777777" w:rsidR="00AC2331" w:rsidRPr="002C6872" w:rsidRDefault="00010FEC" w:rsidP="00AC2331">
      <w:r w:rsidRPr="002C6872">
        <w:t xml:space="preserve">As highlighted </w:t>
      </w:r>
      <w:r w:rsidR="00787DD5" w:rsidRPr="002C6872">
        <w:t>in the section on Health,</w:t>
      </w:r>
      <w:r w:rsidR="00695735" w:rsidRPr="002C6872">
        <w:t xml:space="preserve"> </w:t>
      </w:r>
      <w:r w:rsidRPr="002C6872">
        <w:t>the</w:t>
      </w:r>
      <w:r w:rsidR="00AC2331" w:rsidRPr="002C6872">
        <w:t xml:space="preserve"> </w:t>
      </w:r>
      <w:r w:rsidR="00CD4D92" w:rsidRPr="002C6872">
        <w:t xml:space="preserve">National Disability </w:t>
      </w:r>
      <w:r w:rsidR="00D24294" w:rsidRPr="002C6872">
        <w:t>Authority</w:t>
      </w:r>
      <w:r w:rsidR="00AC2331" w:rsidRPr="002C6872">
        <w:t xml:space="preserve"> conducted desk research to identify and document developments in contemporary disability services in select jurisdictions. </w:t>
      </w:r>
      <w:r w:rsidR="00695735" w:rsidRPr="002C6872">
        <w:t>T</w:t>
      </w:r>
      <w:r w:rsidR="00BB359E" w:rsidRPr="002C6872">
        <w:t>his research was also conducted</w:t>
      </w:r>
      <w:r w:rsidR="00695735" w:rsidRPr="002C6872">
        <w:t xml:space="preserve"> having regard to the achievement of independent living as set out in Article 19 of the United Nations Convention on the Rights of Persons with Disabilities and the HSE Review of Congregated Settings</w:t>
      </w:r>
      <w:r w:rsidR="00CD4D92" w:rsidRPr="002C6872">
        <w:t>.</w:t>
      </w:r>
    </w:p>
    <w:p w14:paraId="43EDBCF6" w14:textId="77777777" w:rsidR="00AC2331" w:rsidRPr="002C6872" w:rsidRDefault="005A2A10" w:rsidP="00AC2331">
      <w:r w:rsidRPr="002C6872">
        <w:t xml:space="preserve">The </w:t>
      </w:r>
      <w:r w:rsidR="00CD4D92" w:rsidRPr="002C6872">
        <w:t xml:space="preserve">National Disability </w:t>
      </w:r>
      <w:r w:rsidRPr="002C6872">
        <w:t>Authority</w:t>
      </w:r>
      <w:r w:rsidR="00010FEC" w:rsidRPr="002C6872">
        <w:t xml:space="preserve"> </w:t>
      </w:r>
      <w:r w:rsidR="00695735" w:rsidRPr="002C6872">
        <w:t xml:space="preserve">also </w:t>
      </w:r>
      <w:r w:rsidR="00010FEC" w:rsidRPr="002C6872">
        <w:t xml:space="preserve">produced </w:t>
      </w:r>
      <w:r w:rsidR="003218E6" w:rsidRPr="002C6872">
        <w:t xml:space="preserve">a </w:t>
      </w:r>
      <w:r w:rsidR="005D4DDA" w:rsidRPr="002C6872">
        <w:t xml:space="preserve">document called </w:t>
      </w:r>
      <w:r w:rsidR="00AC2331" w:rsidRPr="002C6872">
        <w:rPr>
          <w:b/>
        </w:rPr>
        <w:t>Contemporary Developments in Disability Services Paper</w:t>
      </w:r>
      <w:r w:rsidR="003218E6" w:rsidRPr="002C6872">
        <w:rPr>
          <w:b/>
          <w:bCs/>
        </w:rPr>
        <w:t xml:space="preserve"> on </w:t>
      </w:r>
      <w:r w:rsidR="00AC2331" w:rsidRPr="002C6872">
        <w:rPr>
          <w:b/>
        </w:rPr>
        <w:t>Developing Servic</w:t>
      </w:r>
      <w:r w:rsidR="003218E6" w:rsidRPr="002C6872">
        <w:rPr>
          <w:b/>
        </w:rPr>
        <w:t>es for People with Disabilities</w:t>
      </w:r>
      <w:r w:rsidR="00695735" w:rsidRPr="002C6872">
        <w:rPr>
          <w:b/>
        </w:rPr>
        <w:t xml:space="preserve"> 2010</w:t>
      </w:r>
      <w:r w:rsidR="00AC2331" w:rsidRPr="002C6872">
        <w:t xml:space="preserve"> which sets out key developments and trends across </w:t>
      </w:r>
      <w:r w:rsidR="00BB359E" w:rsidRPr="002C6872">
        <w:t xml:space="preserve">the </w:t>
      </w:r>
      <w:r w:rsidR="00D24294" w:rsidRPr="002C6872">
        <w:t>six jurisdictions mentioned earlier</w:t>
      </w:r>
      <w:r w:rsidR="00AC2331" w:rsidRPr="002C6872">
        <w:t xml:space="preserve">. </w:t>
      </w:r>
      <w:r w:rsidR="003218E6" w:rsidRPr="002C6872">
        <w:t>This</w:t>
      </w:r>
      <w:r w:rsidR="00AC2331" w:rsidRPr="002C6872">
        <w:t xml:space="preserve"> synthesis report reviews and discusses the challenges that have aris</w:t>
      </w:r>
      <w:r w:rsidR="00010FEC" w:rsidRPr="002C6872">
        <w:t xml:space="preserve">en </w:t>
      </w:r>
      <w:r w:rsidR="00AC2331" w:rsidRPr="002C6872">
        <w:t xml:space="preserve">and considers how specialist disability services are organised in these jurisdictions. It also incorporates learning from </w:t>
      </w:r>
      <w:r w:rsidR="00CD4D92" w:rsidRPr="002C6872">
        <w:t xml:space="preserve">National Disability </w:t>
      </w:r>
      <w:r w:rsidR="00D24294" w:rsidRPr="002C6872">
        <w:t>Authority</w:t>
      </w:r>
      <w:r w:rsidR="00AC2331" w:rsidRPr="002C6872">
        <w:t xml:space="preserve"> site visits to disability services in the </w:t>
      </w:r>
      <w:smartTag w:uri="urn:schemas-microsoft-com:office:smarttags" w:element="country-region">
        <w:smartTag w:uri="urn:schemas-microsoft-com:office:smarttags" w:element="place">
          <w:r w:rsidR="00AC2331" w:rsidRPr="002C6872">
            <w:t>USA</w:t>
          </w:r>
        </w:smartTag>
      </w:smartTag>
      <w:r w:rsidR="00AC2331" w:rsidRPr="002C6872">
        <w:t xml:space="preserve"> and examines strategic policy and practice developments in health, social </w:t>
      </w:r>
      <w:proofErr w:type="gramStart"/>
      <w:r w:rsidR="00AC2331" w:rsidRPr="002C6872">
        <w:t>care</w:t>
      </w:r>
      <w:proofErr w:type="gramEnd"/>
      <w:r w:rsidR="00AC2331" w:rsidRPr="002C6872">
        <w:t xml:space="preserve"> and disability services. These </w:t>
      </w:r>
      <w:r w:rsidR="00AC2331" w:rsidRPr="002C6872">
        <w:lastRenderedPageBreak/>
        <w:t>include the development of quality assurance and sta</w:t>
      </w:r>
      <w:r w:rsidR="00D24294" w:rsidRPr="002C6872">
        <w:t>nda</w:t>
      </w:r>
      <w:r w:rsidR="00AC2331" w:rsidRPr="002C6872">
        <w:t xml:space="preserve">rds for services, changes in the provision of specialist supports such as employment and accommodation services and the development of monitoring systems that focus on personal outcomes for people with disabilities. </w:t>
      </w:r>
      <w:r w:rsidR="00695735" w:rsidRPr="002C6872">
        <w:t>It is intended to produce separate reports on the six jurisdictions in question.</w:t>
      </w:r>
    </w:p>
    <w:p w14:paraId="127702D6" w14:textId="77777777" w:rsidR="005D1BC6" w:rsidRPr="002C6872" w:rsidRDefault="00D24294" w:rsidP="005D1BC6">
      <w:r w:rsidRPr="002C6872">
        <w:t xml:space="preserve">The </w:t>
      </w:r>
      <w:r w:rsidR="00CD4D92" w:rsidRPr="002C6872">
        <w:t xml:space="preserve">National Disability </w:t>
      </w:r>
      <w:r w:rsidRPr="002C6872">
        <w:t>Authority</w:t>
      </w:r>
      <w:r w:rsidR="005D1BC6" w:rsidRPr="002C6872">
        <w:t xml:space="preserve"> has commenced a research project exploring the use of Natural Community Supports for people with disabilities. This research will commence with a literature review outlining policy, research and practice in this area and will be used to guide forthcoming research aiming to explore the views and experiences of people with disabilities regarding natural supports and identifying current initiatives in Ireland that facilitate the use of such supports. </w:t>
      </w:r>
    </w:p>
    <w:p w14:paraId="7AB47A92" w14:textId="77777777" w:rsidR="00AC2331" w:rsidRPr="002C6872" w:rsidRDefault="00695735" w:rsidP="00AC2331">
      <w:pPr>
        <w:pStyle w:val="Heading2"/>
        <w:spacing w:line="240" w:lineRule="auto"/>
      </w:pPr>
      <w:bookmarkStart w:id="135" w:name="_Toc299362528"/>
      <w:bookmarkStart w:id="136" w:name="_Toc300742135"/>
      <w:bookmarkStart w:id="137" w:name="_Toc300742884"/>
      <w:bookmarkStart w:id="138" w:name="_Toc300744236"/>
      <w:r w:rsidRPr="002C6872">
        <w:t>National Disability Authority Annual Conference</w:t>
      </w:r>
      <w:bookmarkEnd w:id="135"/>
      <w:bookmarkEnd w:id="136"/>
      <w:bookmarkEnd w:id="137"/>
      <w:bookmarkEnd w:id="138"/>
      <w:r w:rsidR="00AC2331" w:rsidRPr="002C6872">
        <w:t xml:space="preserve"> </w:t>
      </w:r>
    </w:p>
    <w:p w14:paraId="78CF2108" w14:textId="77777777" w:rsidR="00AC2331" w:rsidRPr="002C6872" w:rsidRDefault="00A81473" w:rsidP="00AC2331">
      <w:r w:rsidRPr="002C6872">
        <w:t xml:space="preserve">The </w:t>
      </w:r>
      <w:r w:rsidR="00CD4D92" w:rsidRPr="002C6872">
        <w:t xml:space="preserve">National Disability </w:t>
      </w:r>
      <w:r w:rsidR="00D24294" w:rsidRPr="002C6872">
        <w:t>Authority</w:t>
      </w:r>
      <w:r w:rsidRPr="002C6872">
        <w:t xml:space="preserve">’s annual conference </w:t>
      </w:r>
      <w:r w:rsidR="00695735" w:rsidRPr="002C6872">
        <w:t xml:space="preserve">on </w:t>
      </w:r>
      <w:r w:rsidR="00CD4D92" w:rsidRPr="002C6872">
        <w:rPr>
          <w:b/>
        </w:rPr>
        <w:t>I</w:t>
      </w:r>
      <w:r w:rsidR="00695735" w:rsidRPr="002C6872">
        <w:rPr>
          <w:b/>
        </w:rPr>
        <w:t xml:space="preserve">ndependent </w:t>
      </w:r>
      <w:r w:rsidR="00CD4D92" w:rsidRPr="002C6872">
        <w:rPr>
          <w:b/>
        </w:rPr>
        <w:t>L</w:t>
      </w:r>
      <w:r w:rsidR="00695735" w:rsidRPr="002C6872">
        <w:rPr>
          <w:b/>
        </w:rPr>
        <w:t xml:space="preserve">iving and </w:t>
      </w:r>
      <w:r w:rsidR="00CD4D92" w:rsidRPr="002C6872">
        <w:rPr>
          <w:b/>
        </w:rPr>
        <w:t>C</w:t>
      </w:r>
      <w:r w:rsidR="00695735" w:rsidRPr="002C6872">
        <w:rPr>
          <w:b/>
        </w:rPr>
        <w:t xml:space="preserve">ommunity </w:t>
      </w:r>
      <w:r w:rsidR="00CD4D92" w:rsidRPr="002C6872">
        <w:rPr>
          <w:b/>
        </w:rPr>
        <w:t>P</w:t>
      </w:r>
      <w:r w:rsidR="00695735" w:rsidRPr="002C6872">
        <w:rPr>
          <w:b/>
        </w:rPr>
        <w:t>articipation</w:t>
      </w:r>
      <w:r w:rsidR="00695735" w:rsidRPr="002C6872">
        <w:t xml:space="preserve"> </w:t>
      </w:r>
      <w:r w:rsidRPr="002C6872">
        <w:t>attracted approximately 200 delegates</w:t>
      </w:r>
      <w:r w:rsidR="00CD4D92" w:rsidRPr="002C6872">
        <w:t>. Le</w:t>
      </w:r>
      <w:r w:rsidRPr="002C6872">
        <w:t>ading international experts presented on good practice initiatives and policy development</w:t>
      </w:r>
      <w:r w:rsidR="008C1AAD" w:rsidRPr="002C6872">
        <w:t>s</w:t>
      </w:r>
      <w:r w:rsidRPr="002C6872">
        <w:t xml:space="preserve"> internationally </w:t>
      </w:r>
      <w:r w:rsidR="008C1AAD" w:rsidRPr="002C6872">
        <w:t xml:space="preserve">which </w:t>
      </w:r>
      <w:r w:rsidRPr="002C6872">
        <w:t xml:space="preserve">promote independent living and community participation for people with disabilities. In addition to the plenary sessions, </w:t>
      </w:r>
      <w:r w:rsidR="00787DD5" w:rsidRPr="002C6872">
        <w:t xml:space="preserve">there were other presentations </w:t>
      </w:r>
      <w:r w:rsidR="00787DD5" w:rsidRPr="002C6872">
        <w:rPr>
          <w:rFonts w:cs="Arial"/>
        </w:rPr>
        <w:t>on:</w:t>
      </w:r>
      <w:r w:rsidRPr="002C6872">
        <w:rPr>
          <w:rFonts w:cs="Arial"/>
        </w:rPr>
        <w:t xml:space="preserve"> </w:t>
      </w:r>
      <w:r w:rsidRPr="002C6872">
        <w:t>design and services to support independent living; how people with disabilities can be supported in communities by communities; and Irish examples of moving people from institutions to community settings</w:t>
      </w:r>
      <w:r w:rsidR="005D1BC6" w:rsidRPr="002C6872">
        <w:t>.</w:t>
      </w:r>
      <w:r w:rsidRPr="002C6872">
        <w:t xml:space="preserve"> The confere</w:t>
      </w:r>
      <w:r w:rsidR="005D1BC6" w:rsidRPr="002C6872">
        <w:t xml:space="preserve">nce proceedings are on the </w:t>
      </w:r>
      <w:r w:rsidR="00CD4D92" w:rsidRPr="002C6872">
        <w:t xml:space="preserve">National Disability </w:t>
      </w:r>
      <w:r w:rsidR="00D24294" w:rsidRPr="002C6872">
        <w:t>Authority’s</w:t>
      </w:r>
      <w:r w:rsidRPr="002C6872">
        <w:t xml:space="preserve"> website (www.</w:t>
      </w:r>
      <w:r w:rsidR="00D24294" w:rsidRPr="002C6872">
        <w:t>nda</w:t>
      </w:r>
      <w:r w:rsidRPr="002C6872">
        <w:t xml:space="preserve">.ie). </w:t>
      </w:r>
    </w:p>
    <w:p w14:paraId="3D33229F" w14:textId="77777777" w:rsidR="00AC2331" w:rsidRPr="002C6872" w:rsidRDefault="00AC2331" w:rsidP="00AC2331">
      <w:pPr>
        <w:pStyle w:val="Heading2"/>
      </w:pPr>
      <w:bookmarkStart w:id="139" w:name="_Toc299362529"/>
      <w:bookmarkStart w:id="140" w:name="_Toc300742136"/>
      <w:bookmarkStart w:id="141" w:name="_Toc300742885"/>
      <w:bookmarkStart w:id="142" w:name="_Toc300744237"/>
      <w:r w:rsidRPr="002C6872">
        <w:t>2010 Research Seminars</w:t>
      </w:r>
      <w:bookmarkEnd w:id="139"/>
      <w:bookmarkEnd w:id="140"/>
      <w:bookmarkEnd w:id="141"/>
      <w:bookmarkEnd w:id="142"/>
    </w:p>
    <w:p w14:paraId="6DC40B32" w14:textId="77777777" w:rsidR="00880981" w:rsidRPr="002C6872" w:rsidRDefault="00AC2331" w:rsidP="00880981">
      <w:pPr>
        <w:spacing w:after="0"/>
      </w:pPr>
      <w:r w:rsidRPr="002C6872">
        <w:t xml:space="preserve">Throughout 2010, a series of research seminars were hosted by </w:t>
      </w:r>
      <w:r w:rsidR="00D24294" w:rsidRPr="002C6872">
        <w:t xml:space="preserve">the </w:t>
      </w:r>
      <w:r w:rsidR="00CD4D92" w:rsidRPr="002C6872">
        <w:t xml:space="preserve">National Disability </w:t>
      </w:r>
      <w:r w:rsidR="00D24294" w:rsidRPr="002C6872">
        <w:t>Authority</w:t>
      </w:r>
      <w:r w:rsidRPr="002C6872">
        <w:t xml:space="preserve"> with</w:t>
      </w:r>
      <w:r w:rsidR="008D6B6E" w:rsidRPr="002C6872">
        <w:t xml:space="preserve"> the aim of showcasing recently </w:t>
      </w:r>
      <w:r w:rsidRPr="002C6872">
        <w:t xml:space="preserve">completed </w:t>
      </w:r>
      <w:r w:rsidR="00CD4D92" w:rsidRPr="002C6872">
        <w:t xml:space="preserve">National Disability </w:t>
      </w:r>
      <w:r w:rsidR="00D24294" w:rsidRPr="002C6872">
        <w:t>Authority</w:t>
      </w:r>
      <w:r w:rsidR="008D6B6E" w:rsidRPr="002C6872">
        <w:t>-</w:t>
      </w:r>
      <w:r w:rsidRPr="002C6872">
        <w:t>funded research and exploring current issues of interest</w:t>
      </w:r>
      <w:r w:rsidR="00880981" w:rsidRPr="002C6872">
        <w:t xml:space="preserve"> including:</w:t>
      </w:r>
    </w:p>
    <w:p w14:paraId="14EE6A6A" w14:textId="77777777" w:rsidR="00880981" w:rsidRPr="002C6872" w:rsidRDefault="00880981" w:rsidP="008E7370">
      <w:pPr>
        <w:pStyle w:val="ListBullet"/>
      </w:pPr>
      <w:r w:rsidRPr="002C6872">
        <w:t>mental health</w:t>
      </w:r>
    </w:p>
    <w:p w14:paraId="197511B1" w14:textId="77777777" w:rsidR="00880981" w:rsidRPr="002C6872" w:rsidRDefault="00880981" w:rsidP="008E7370">
      <w:pPr>
        <w:pStyle w:val="ListBullet"/>
      </w:pPr>
      <w:r w:rsidRPr="002C6872">
        <w:t>supports needs and personal budgets</w:t>
      </w:r>
    </w:p>
    <w:p w14:paraId="3B347B15" w14:textId="77777777" w:rsidR="008E7370" w:rsidRPr="002C6872" w:rsidRDefault="00880981" w:rsidP="008E7370">
      <w:pPr>
        <w:pStyle w:val="ListBullet"/>
      </w:pPr>
      <w:r w:rsidRPr="002C6872">
        <w:t>disability data</w:t>
      </w:r>
    </w:p>
    <w:p w14:paraId="6762AEEA" w14:textId="77777777" w:rsidR="00E75CE8" w:rsidRPr="002C6872" w:rsidRDefault="008E7370" w:rsidP="008E7370">
      <w:pPr>
        <w:pStyle w:val="ListBullet"/>
      </w:pPr>
      <w:r w:rsidRPr="002C6872">
        <w:t>access to mainstream primary education</w:t>
      </w:r>
    </w:p>
    <w:p w14:paraId="4FDD427D" w14:textId="77777777" w:rsidR="00AC2331" w:rsidRPr="002C6872" w:rsidRDefault="00E75CE8" w:rsidP="008E7370">
      <w:pPr>
        <w:pStyle w:val="ListBullet"/>
      </w:pPr>
      <w:r w:rsidRPr="002C6872">
        <w:t>comparative national sign language policies</w:t>
      </w:r>
    </w:p>
    <w:p w14:paraId="764C9C6F" w14:textId="77777777" w:rsidR="008D6B6E" w:rsidRPr="002C6872" w:rsidRDefault="008D6B6E" w:rsidP="008D6B6E">
      <w:pPr>
        <w:pStyle w:val="ListBullet"/>
        <w:spacing w:after="300"/>
        <w:ind w:left="357" w:hanging="357"/>
      </w:pPr>
      <w:r w:rsidRPr="002C6872">
        <w:t>suicide risk factors and prevention</w:t>
      </w:r>
    </w:p>
    <w:p w14:paraId="741A4528" w14:textId="77777777" w:rsidR="008D6B6E" w:rsidRPr="002C6872" w:rsidRDefault="008D6B6E" w:rsidP="008D6B6E">
      <w:pPr>
        <w:pStyle w:val="Heading2"/>
      </w:pPr>
      <w:bookmarkStart w:id="143" w:name="_Toc299362530"/>
      <w:bookmarkStart w:id="144" w:name="_Toc300742137"/>
      <w:bookmarkStart w:id="145" w:name="_Toc300742886"/>
      <w:bookmarkStart w:id="146" w:name="_Toc300744238"/>
      <w:r w:rsidRPr="002C6872">
        <w:t>National Disability Authority</w:t>
      </w:r>
      <w:r w:rsidRPr="002C6872">
        <w:rPr>
          <w:lang w:eastAsia="en-IE"/>
        </w:rPr>
        <w:t xml:space="preserve"> Research </w:t>
      </w:r>
      <w:r w:rsidRPr="002C6872">
        <w:t>Promotion Scheme</w:t>
      </w:r>
      <w:bookmarkEnd w:id="143"/>
      <w:bookmarkEnd w:id="144"/>
      <w:bookmarkEnd w:id="145"/>
      <w:bookmarkEnd w:id="146"/>
    </w:p>
    <w:p w14:paraId="2EDC1308" w14:textId="77777777" w:rsidR="008D6B6E" w:rsidRPr="002C6872" w:rsidRDefault="008D6B6E" w:rsidP="008D6B6E">
      <w:r w:rsidRPr="002C6872">
        <w:t xml:space="preserve">In 2008, the </w:t>
      </w:r>
      <w:r w:rsidR="00D6039D" w:rsidRPr="002C6872">
        <w:t xml:space="preserve">National Disability </w:t>
      </w:r>
      <w:r w:rsidRPr="002C6872">
        <w:t xml:space="preserve">Authority launched a Research Promotion Scheme focused on mental health, and of the four approved projects, one study was completed in 2010: </w:t>
      </w:r>
      <w:r w:rsidRPr="002C6872">
        <w:rPr>
          <w:b/>
          <w:bCs/>
        </w:rPr>
        <w:t>After a Suicide Attempt: A follow up study of young men who attempted suicide</w:t>
      </w:r>
      <w:r w:rsidRPr="002C6872">
        <w:t xml:space="preserve"> by Dr Anne Cleary from UCD. The objective of this study was to follow up </w:t>
      </w:r>
      <w:r w:rsidR="00D6039D" w:rsidRPr="002C6872">
        <w:t xml:space="preserve">on </w:t>
      </w:r>
      <w:r w:rsidRPr="002C6872">
        <w:t xml:space="preserve">a group of 52 men who attempted suicide approximately seven years previously. The research findings suggest that there are key, identifiable, sub-groups amongst those who attempt suicide and that each of these sub-groups requires different treatment and preventive approaches. A series of recommendations were </w:t>
      </w:r>
      <w:r w:rsidRPr="002C6872">
        <w:lastRenderedPageBreak/>
        <w:t>made. The author presented her</w:t>
      </w:r>
      <w:r w:rsidR="00701434" w:rsidRPr="002C6872">
        <w:t xml:space="preserve"> </w:t>
      </w:r>
      <w:r w:rsidRPr="002C6872">
        <w:t xml:space="preserve">findings to one of the </w:t>
      </w:r>
      <w:r w:rsidR="00D6039D" w:rsidRPr="002C6872">
        <w:t>National Disability Authority’s</w:t>
      </w:r>
      <w:r w:rsidRPr="002C6872">
        <w:t xml:space="preserve"> research seminars. </w:t>
      </w:r>
    </w:p>
    <w:p w14:paraId="4BD2EB5A" w14:textId="77777777" w:rsidR="00787DD5" w:rsidRPr="002C6872" w:rsidRDefault="00787DD5" w:rsidP="00787DD5">
      <w:pPr>
        <w:pStyle w:val="Heading2"/>
      </w:pPr>
      <w:bookmarkStart w:id="147" w:name="_Toc299362531"/>
      <w:bookmarkStart w:id="148" w:name="_Toc300742138"/>
      <w:bookmarkStart w:id="149" w:name="_Toc300742887"/>
      <w:bookmarkStart w:id="150" w:name="_Toc300744239"/>
      <w:r w:rsidRPr="002C6872">
        <w:t>Review of the National Disability Authority Scholarship Scheme</w:t>
      </w:r>
      <w:bookmarkEnd w:id="147"/>
      <w:bookmarkEnd w:id="148"/>
      <w:bookmarkEnd w:id="149"/>
      <w:bookmarkEnd w:id="150"/>
    </w:p>
    <w:p w14:paraId="759BC68A" w14:textId="77777777" w:rsidR="00787DD5" w:rsidRPr="002C6872" w:rsidRDefault="00787DD5" w:rsidP="00787DD5">
      <w:r w:rsidRPr="002C6872">
        <w:t xml:space="preserve">A comprehensive review of the National Disability Authority’s scholarship scheme was conducted in 2010. This scheme has funded PhD scholars in a range of disciplines and universities whose topics relate to disability law, </w:t>
      </w:r>
      <w:proofErr w:type="gramStart"/>
      <w:r w:rsidRPr="002C6872">
        <w:t>policy</w:t>
      </w:r>
      <w:proofErr w:type="gramEnd"/>
      <w:r w:rsidRPr="002C6872">
        <w:t xml:space="preserve"> and service provision. The review examined the performance of the scheme and made recommendations for the future.</w:t>
      </w:r>
    </w:p>
    <w:p w14:paraId="741C9D15" w14:textId="77777777" w:rsidR="00AC2331" w:rsidRPr="002C6872" w:rsidRDefault="00A3361D" w:rsidP="00A129FE">
      <w:pPr>
        <w:pStyle w:val="Heading2"/>
      </w:pPr>
      <w:bookmarkStart w:id="151" w:name="_Toc299362532"/>
      <w:bookmarkStart w:id="152" w:name="_Toc300742139"/>
      <w:bookmarkStart w:id="153" w:name="_Toc300742888"/>
      <w:bookmarkStart w:id="154" w:name="_Toc300744240"/>
      <w:r w:rsidRPr="002C6872">
        <w:t xml:space="preserve">Maternity </w:t>
      </w:r>
      <w:r w:rsidR="00AC2331" w:rsidRPr="002C6872">
        <w:t>services for women with disabilities</w:t>
      </w:r>
      <w:bookmarkEnd w:id="151"/>
      <w:bookmarkEnd w:id="152"/>
      <w:bookmarkEnd w:id="153"/>
      <w:bookmarkEnd w:id="154"/>
      <w:r w:rsidR="00AC2331" w:rsidRPr="002C6872">
        <w:t xml:space="preserve"> </w:t>
      </w:r>
    </w:p>
    <w:p w14:paraId="08C31FB3" w14:textId="77777777" w:rsidR="005D1BC6" w:rsidRPr="002C6872" w:rsidRDefault="005D1BC6" w:rsidP="00AC2331">
      <w:r w:rsidRPr="002C6872">
        <w:t>T</w:t>
      </w:r>
      <w:r w:rsidR="00AC2331" w:rsidRPr="002C6872">
        <w:t xml:space="preserve">he third report </w:t>
      </w:r>
      <w:r w:rsidRPr="002C6872">
        <w:t xml:space="preserve">in </w:t>
      </w:r>
      <w:r w:rsidR="00880981" w:rsidRPr="002C6872">
        <w:t xml:space="preserve">the </w:t>
      </w:r>
      <w:r w:rsidR="00D6039D" w:rsidRPr="002C6872">
        <w:t xml:space="preserve">National Disability </w:t>
      </w:r>
      <w:r w:rsidR="00880981" w:rsidRPr="002C6872">
        <w:t xml:space="preserve">Authority’s series of research on </w:t>
      </w:r>
      <w:r w:rsidR="00A3361D" w:rsidRPr="002C6872">
        <w:t xml:space="preserve">maternity and infant services </w:t>
      </w:r>
      <w:r w:rsidR="00880981" w:rsidRPr="002C6872">
        <w:t>for women with disabilities</w:t>
      </w:r>
      <w:r w:rsidRPr="002C6872">
        <w:t xml:space="preserve"> was published in 2010</w:t>
      </w:r>
      <w:r w:rsidR="00A3361D" w:rsidRPr="002C6872">
        <w:t xml:space="preserve">. This report explores women's experiences within the </w:t>
      </w:r>
      <w:proofErr w:type="gramStart"/>
      <w:r w:rsidR="00A3361D" w:rsidRPr="002C6872">
        <w:t>publicly-funded</w:t>
      </w:r>
      <w:proofErr w:type="gramEnd"/>
      <w:r w:rsidR="00A3361D" w:rsidRPr="002C6872">
        <w:t xml:space="preserve"> maternity services. The research i</w:t>
      </w:r>
      <w:r w:rsidR="00AC2331" w:rsidRPr="002C6872">
        <w:t>s based on interviews with mothers with disabilities</w:t>
      </w:r>
      <w:r w:rsidR="00D6039D" w:rsidRPr="002C6872">
        <w:t xml:space="preserve"> </w:t>
      </w:r>
      <w:r w:rsidR="00AC2331" w:rsidRPr="002C6872">
        <w:t xml:space="preserve">on their experiences </w:t>
      </w:r>
      <w:r w:rsidR="00A3361D" w:rsidRPr="002C6872">
        <w:t xml:space="preserve">of the health services, </w:t>
      </w:r>
      <w:r w:rsidR="00AC2331" w:rsidRPr="002C6872">
        <w:t xml:space="preserve">and on focus groups with </w:t>
      </w:r>
      <w:r w:rsidR="00A3361D" w:rsidRPr="002C6872">
        <w:t xml:space="preserve">relevant </w:t>
      </w:r>
      <w:r w:rsidR="00AC2331" w:rsidRPr="002C6872">
        <w:t xml:space="preserve">staff. </w:t>
      </w:r>
      <w:r w:rsidR="00A3361D" w:rsidRPr="002C6872">
        <w:t xml:space="preserve">The report </w:t>
      </w:r>
      <w:r w:rsidR="00AC2331" w:rsidRPr="002C6872">
        <w:t xml:space="preserve">is available on the </w:t>
      </w:r>
      <w:r w:rsidR="00D6039D" w:rsidRPr="002C6872">
        <w:t xml:space="preserve">National Disability </w:t>
      </w:r>
      <w:r w:rsidR="00D24294" w:rsidRPr="002C6872">
        <w:t xml:space="preserve">Authority </w:t>
      </w:r>
      <w:r w:rsidR="00AC2331" w:rsidRPr="002C6872">
        <w:t>website</w:t>
      </w:r>
      <w:r w:rsidR="00D6039D" w:rsidRPr="002C6872">
        <w:t xml:space="preserve"> (www.nda.ie)</w:t>
      </w:r>
      <w:r w:rsidR="00AC2331" w:rsidRPr="002C6872">
        <w:t xml:space="preserve">. </w:t>
      </w:r>
    </w:p>
    <w:p w14:paraId="40A3CD40" w14:textId="77777777" w:rsidR="00AC2331" w:rsidRPr="002C6872" w:rsidRDefault="00787DD5" w:rsidP="00AC2331">
      <w:r w:rsidRPr="002C6872">
        <w:t>The National Disability Authority</w:t>
      </w:r>
      <w:r w:rsidR="00AC2331" w:rsidRPr="002C6872">
        <w:t>,</w:t>
      </w:r>
      <w:r w:rsidR="00D6039D" w:rsidRPr="002C6872">
        <w:t xml:space="preserve"> </w:t>
      </w:r>
      <w:r w:rsidR="00AC2331" w:rsidRPr="002C6872">
        <w:t xml:space="preserve">in conjunction with the </w:t>
      </w:r>
      <w:r w:rsidR="005D1BC6" w:rsidRPr="002C6872">
        <w:t xml:space="preserve">HSE’s </w:t>
      </w:r>
      <w:r w:rsidR="00AC2331" w:rsidRPr="002C6872">
        <w:t xml:space="preserve">Crisis Pregnancy Programme, has produced a literature review on best practice supports available internationally to women with intellectual disabilities who experience crisis pregnancy. This report was commissioned jointly with the </w:t>
      </w:r>
      <w:r w:rsidR="00880981" w:rsidRPr="002C6872">
        <w:t xml:space="preserve">Crisis Pregnancy </w:t>
      </w:r>
      <w:r w:rsidR="00D24294" w:rsidRPr="002C6872">
        <w:t>Programme</w:t>
      </w:r>
      <w:r w:rsidR="00AC2331" w:rsidRPr="002C6872">
        <w:t xml:space="preserve"> and a summary paper of the findings was launched at a national seminar in September. </w:t>
      </w:r>
    </w:p>
    <w:p w14:paraId="6705E511" w14:textId="77777777" w:rsidR="00AC2331" w:rsidRPr="002C6872" w:rsidRDefault="00AC2331" w:rsidP="00AC2331">
      <w:pPr>
        <w:pStyle w:val="Heading2"/>
      </w:pPr>
      <w:bookmarkStart w:id="155" w:name="_Toc299362533"/>
      <w:bookmarkStart w:id="156" w:name="_Toc300742140"/>
      <w:bookmarkStart w:id="157" w:name="_Toc300742889"/>
      <w:bookmarkStart w:id="158" w:name="_Toc300744241"/>
      <w:r w:rsidRPr="002C6872">
        <w:t xml:space="preserve">Mental </w:t>
      </w:r>
      <w:r w:rsidR="005D1BC6" w:rsidRPr="002C6872">
        <w:t>C</w:t>
      </w:r>
      <w:r w:rsidRPr="002C6872">
        <w:t>apacity legislation</w:t>
      </w:r>
      <w:bookmarkEnd w:id="155"/>
      <w:bookmarkEnd w:id="156"/>
      <w:bookmarkEnd w:id="157"/>
      <w:bookmarkEnd w:id="158"/>
    </w:p>
    <w:p w14:paraId="6831AEB1" w14:textId="77777777" w:rsidR="00AC2331" w:rsidRPr="002C6872" w:rsidRDefault="00AC2331" w:rsidP="00AC2331">
      <w:r w:rsidRPr="002C6872">
        <w:t xml:space="preserve">The </w:t>
      </w:r>
      <w:r w:rsidR="00D6039D" w:rsidRPr="002C6872">
        <w:t xml:space="preserve">National Disability </w:t>
      </w:r>
      <w:r w:rsidR="00D24294" w:rsidRPr="002C6872">
        <w:t>Authority</w:t>
      </w:r>
      <w:r w:rsidRPr="002C6872">
        <w:t xml:space="preserve"> continued to ad</w:t>
      </w:r>
      <w:r w:rsidR="005D1BC6" w:rsidRPr="002C6872">
        <w:t xml:space="preserve">vise the Department of Justice </w:t>
      </w:r>
      <w:r w:rsidRPr="002C6872">
        <w:t xml:space="preserve">and Law Reform on issues </w:t>
      </w:r>
      <w:r w:rsidR="00701434" w:rsidRPr="002C6872">
        <w:t xml:space="preserve">related </w:t>
      </w:r>
      <w:r w:rsidRPr="002C6872">
        <w:t xml:space="preserve">to the forthcoming Mental Capacity Bill. The </w:t>
      </w:r>
      <w:r w:rsidR="00D6039D" w:rsidRPr="002C6872">
        <w:t xml:space="preserve">National Disability </w:t>
      </w:r>
      <w:r w:rsidR="00D24294" w:rsidRPr="002C6872">
        <w:t>Authority</w:t>
      </w:r>
      <w:r w:rsidRPr="002C6872">
        <w:t xml:space="preserve"> also advised COSC's Legal Issues Sub-Committee on issues relating to the law on </w:t>
      </w:r>
      <w:r w:rsidR="005D4DDA" w:rsidRPr="002C6872">
        <w:t xml:space="preserve">the </w:t>
      </w:r>
      <w:r w:rsidRPr="002C6872">
        <w:t>capacity of people with mental impairments to consent to sexual relations.</w:t>
      </w:r>
    </w:p>
    <w:p w14:paraId="55079D42" w14:textId="77777777" w:rsidR="00DB5E5D" w:rsidRPr="002C6872" w:rsidRDefault="00DB5E5D" w:rsidP="00DB5E5D">
      <w:pPr>
        <w:pStyle w:val="Heading2"/>
      </w:pPr>
      <w:bookmarkStart w:id="159" w:name="_Toc299362534"/>
      <w:bookmarkStart w:id="160" w:name="_Toc300742141"/>
      <w:bookmarkStart w:id="161" w:name="_Toc300742890"/>
      <w:bookmarkStart w:id="162" w:name="_Toc300744242"/>
      <w:r w:rsidRPr="002C6872">
        <w:t xml:space="preserve">eLearning </w:t>
      </w:r>
      <w:r w:rsidR="00880981" w:rsidRPr="002C6872">
        <w:t>for disability awareness</w:t>
      </w:r>
      <w:bookmarkEnd w:id="159"/>
      <w:bookmarkEnd w:id="160"/>
      <w:bookmarkEnd w:id="161"/>
      <w:bookmarkEnd w:id="162"/>
    </w:p>
    <w:p w14:paraId="2028C877" w14:textId="77777777" w:rsidR="00DB5E5D" w:rsidRPr="002C6872" w:rsidRDefault="00DB5E5D" w:rsidP="00DB5E5D">
      <w:r w:rsidRPr="002C6872">
        <w:t xml:space="preserve">To enhance disability awareness across public sector staff, </w:t>
      </w:r>
      <w:r w:rsidR="00D24294" w:rsidRPr="002C6872">
        <w:t xml:space="preserve">the </w:t>
      </w:r>
      <w:r w:rsidR="00D6039D" w:rsidRPr="002C6872">
        <w:t xml:space="preserve">National Disability </w:t>
      </w:r>
      <w:r w:rsidR="00D24294" w:rsidRPr="002C6872">
        <w:t xml:space="preserve">Authority </w:t>
      </w:r>
      <w:r w:rsidRPr="002C6872">
        <w:t xml:space="preserve">commissioned the development of an eLearning tool to provide Disability Equality Training to public sector staff. This training module will take about one hour to </w:t>
      </w:r>
      <w:proofErr w:type="gramStart"/>
      <w:r w:rsidRPr="002C6872">
        <w:t>complete, and</w:t>
      </w:r>
      <w:proofErr w:type="gramEnd"/>
      <w:r w:rsidRPr="002C6872">
        <w:t xml:space="preserve"> will be made available to Irish public bodie</w:t>
      </w:r>
      <w:r w:rsidR="00880981" w:rsidRPr="002C6872">
        <w:t>s</w:t>
      </w:r>
      <w:r w:rsidRPr="002C6872">
        <w:t>.</w:t>
      </w:r>
    </w:p>
    <w:p w14:paraId="579F4EC0" w14:textId="77777777" w:rsidR="00DB5E5D" w:rsidRPr="002C6872" w:rsidRDefault="00DB5E5D" w:rsidP="00DB5E5D">
      <w:r w:rsidRPr="002C6872">
        <w:t>The detailed design of this module was completed in 2010, following a broad consultation exercise with public bodies and the disability sector. The module will be completed and piloted in 2011.</w:t>
      </w:r>
    </w:p>
    <w:p w14:paraId="159D0D92" w14:textId="77777777" w:rsidR="00C32F4C" w:rsidRPr="002C6872" w:rsidRDefault="00C32F4C" w:rsidP="00C32F4C">
      <w:pPr>
        <w:pStyle w:val="Heading2"/>
      </w:pPr>
      <w:bookmarkStart w:id="163" w:name="_Toc299362535"/>
      <w:bookmarkStart w:id="164" w:name="_Toc300742142"/>
      <w:bookmarkStart w:id="165" w:name="_Toc300742891"/>
      <w:bookmarkStart w:id="166" w:name="_Toc300744243"/>
      <w:r w:rsidRPr="002C6872">
        <w:t>Abuse Research</w:t>
      </w:r>
      <w:bookmarkEnd w:id="163"/>
      <w:bookmarkEnd w:id="164"/>
      <w:bookmarkEnd w:id="165"/>
      <w:bookmarkEnd w:id="166"/>
    </w:p>
    <w:p w14:paraId="451E4A25" w14:textId="77777777" w:rsidR="00C32F4C" w:rsidRPr="002C6872" w:rsidRDefault="00D24294" w:rsidP="00C32F4C">
      <w:r w:rsidRPr="002C6872">
        <w:t>Research to identify the options and methodology for a national study of abuse of people with disabilities was completed.</w:t>
      </w:r>
      <w:r w:rsidR="00C32F4C" w:rsidRPr="002C6872">
        <w:t xml:space="preserve"> </w:t>
      </w:r>
      <w:r w:rsidR="00F46B8F" w:rsidRPr="002C6872">
        <w:t>T</w:t>
      </w:r>
      <w:r w:rsidR="00C32F4C" w:rsidRPr="002C6872">
        <w:t xml:space="preserve">he study team </w:t>
      </w:r>
      <w:r w:rsidR="00A3361D" w:rsidRPr="002C6872">
        <w:t xml:space="preserve">also </w:t>
      </w:r>
      <w:r w:rsidR="00C32F4C" w:rsidRPr="002C6872">
        <w:t>conducted a comprehensive literature review on qualitative research relating to sexual abuse and people with disabilities</w:t>
      </w:r>
      <w:r w:rsidR="00677217" w:rsidRPr="002C6872">
        <w:t xml:space="preserve">. </w:t>
      </w:r>
      <w:r w:rsidR="00C32F4C" w:rsidRPr="002C6872">
        <w:t xml:space="preserve">The literature </w:t>
      </w:r>
      <w:r w:rsidR="00C32F4C" w:rsidRPr="002C6872">
        <w:lastRenderedPageBreak/>
        <w:t xml:space="preserve">reviewed is both Irish and </w:t>
      </w:r>
      <w:proofErr w:type="gramStart"/>
      <w:r w:rsidR="005A2A10" w:rsidRPr="002C6872">
        <w:t>international, and</w:t>
      </w:r>
      <w:proofErr w:type="gramEnd"/>
      <w:r w:rsidR="00880981" w:rsidRPr="002C6872">
        <w:t xml:space="preserve"> will guide the</w:t>
      </w:r>
      <w:r w:rsidRPr="002C6872">
        <w:t xml:space="preserve"> </w:t>
      </w:r>
      <w:r w:rsidR="00D6039D" w:rsidRPr="002C6872">
        <w:t xml:space="preserve">National Disability </w:t>
      </w:r>
      <w:r w:rsidRPr="002C6872">
        <w:t>Authority</w:t>
      </w:r>
      <w:r w:rsidR="00880981" w:rsidRPr="002C6872">
        <w:t>’s</w:t>
      </w:r>
      <w:r w:rsidR="00C32F4C" w:rsidRPr="002C6872">
        <w:t xml:space="preserve"> </w:t>
      </w:r>
      <w:r w:rsidR="00910011" w:rsidRPr="002C6872">
        <w:t xml:space="preserve">future </w:t>
      </w:r>
      <w:r w:rsidR="00C32F4C" w:rsidRPr="002C6872">
        <w:t xml:space="preserve">work to identify mechanisms and strategies which promote prevention and disclosure of abuse. </w:t>
      </w:r>
    </w:p>
    <w:p w14:paraId="360F3872" w14:textId="77777777" w:rsidR="0056124A" w:rsidRPr="002C6872" w:rsidRDefault="0056124A" w:rsidP="005F4490">
      <w:pPr>
        <w:pStyle w:val="Heading2"/>
      </w:pPr>
      <w:bookmarkStart w:id="167" w:name="_Toc299362536"/>
      <w:bookmarkStart w:id="168" w:name="_Toc300742143"/>
      <w:bookmarkStart w:id="169" w:name="_Toc300742892"/>
      <w:bookmarkStart w:id="170" w:name="_Toc300744244"/>
      <w:r w:rsidRPr="002C6872">
        <w:t>Disability Data</w:t>
      </w:r>
      <w:bookmarkEnd w:id="167"/>
      <w:bookmarkEnd w:id="168"/>
      <w:bookmarkEnd w:id="169"/>
      <w:bookmarkEnd w:id="170"/>
    </w:p>
    <w:p w14:paraId="00F54070" w14:textId="77777777" w:rsidR="0056124A" w:rsidRPr="002C6872" w:rsidRDefault="00D24294" w:rsidP="0056124A">
      <w:r w:rsidRPr="002C6872">
        <w:t xml:space="preserve">The </w:t>
      </w:r>
      <w:r w:rsidR="00D6039D" w:rsidRPr="002C6872">
        <w:t xml:space="preserve">National Disability </w:t>
      </w:r>
      <w:r w:rsidRPr="002C6872">
        <w:t>Authority advised</w:t>
      </w:r>
      <w:r w:rsidR="0056124A" w:rsidRPr="002C6872">
        <w:t xml:space="preserve"> the Central Statistics Office </w:t>
      </w:r>
      <w:r w:rsidRPr="002C6872">
        <w:t>on the disability-related questions</w:t>
      </w:r>
      <w:r w:rsidR="0056124A" w:rsidRPr="002C6872">
        <w:t xml:space="preserve"> in Census 2011 and the format in which such data would be published. </w:t>
      </w:r>
      <w:r w:rsidRPr="002C6872">
        <w:t xml:space="preserve">The </w:t>
      </w:r>
      <w:r w:rsidR="0056124A" w:rsidRPr="002C6872">
        <w:t>Com</w:t>
      </w:r>
      <w:r w:rsidRPr="002C6872">
        <w:t>mission for Communications Regulation</w:t>
      </w:r>
      <w:r w:rsidR="0056124A" w:rsidRPr="002C6872">
        <w:t xml:space="preserve"> was also </w:t>
      </w:r>
      <w:r w:rsidR="00787DD5" w:rsidRPr="002C6872">
        <w:t xml:space="preserve">advised on how to make best use of </w:t>
      </w:r>
      <w:r w:rsidR="0056124A" w:rsidRPr="002C6872">
        <w:t>the National Disability Survey as a framework for their survey exploring the views of customers with disabilities.</w:t>
      </w:r>
    </w:p>
    <w:p w14:paraId="5BB5C60D" w14:textId="77777777" w:rsidR="0056124A" w:rsidRPr="002C6872" w:rsidRDefault="0056124A" w:rsidP="0056124A">
      <w:r w:rsidRPr="002C6872">
        <w:t>To enhance our advice on practical initiatives that can be implemented to promote inclusion</w:t>
      </w:r>
      <w:r w:rsidR="00A3361D" w:rsidRPr="002C6872">
        <w:t>,</w:t>
      </w:r>
      <w:r w:rsidRPr="002C6872">
        <w:t xml:space="preserve"> </w:t>
      </w:r>
      <w:r w:rsidR="00D24294" w:rsidRPr="002C6872">
        <w:t xml:space="preserve">the </w:t>
      </w:r>
      <w:r w:rsidR="00D6039D" w:rsidRPr="002C6872">
        <w:t xml:space="preserve">National Disability </w:t>
      </w:r>
      <w:r w:rsidR="00D24294" w:rsidRPr="002C6872">
        <w:t>Authority</w:t>
      </w:r>
      <w:r w:rsidRPr="002C6872">
        <w:t xml:space="preserve"> </w:t>
      </w:r>
      <w:r w:rsidR="00A3361D" w:rsidRPr="002C6872">
        <w:t xml:space="preserve">has done work to document the </w:t>
      </w:r>
      <w:r w:rsidRPr="002C6872">
        <w:t>barriers and facilitator</w:t>
      </w:r>
      <w:r w:rsidR="00677217" w:rsidRPr="002C6872">
        <w:t>s to inclusion for people with n</w:t>
      </w:r>
      <w:r w:rsidRPr="002C6872">
        <w:t>eurological condition</w:t>
      </w:r>
      <w:r w:rsidR="00677217" w:rsidRPr="002C6872">
        <w:t>s</w:t>
      </w:r>
      <w:r w:rsidR="00A3361D" w:rsidRPr="002C6872">
        <w:t xml:space="preserve">, and for those with </w:t>
      </w:r>
      <w:proofErr w:type="gramStart"/>
      <w:r w:rsidRPr="002C6872">
        <w:t>Autism Spectrum Disorders</w:t>
      </w:r>
      <w:proofErr w:type="gramEnd"/>
      <w:r w:rsidR="00AB0C5D" w:rsidRPr="002C6872">
        <w:t xml:space="preserve">. </w:t>
      </w:r>
      <w:r w:rsidR="00A3361D" w:rsidRPr="002C6872">
        <w:t>T</w:t>
      </w:r>
      <w:r w:rsidRPr="002C6872">
        <w:t xml:space="preserve">hese </w:t>
      </w:r>
      <w:r w:rsidR="00337317" w:rsidRPr="002C6872">
        <w:t xml:space="preserve">documents </w:t>
      </w:r>
      <w:r w:rsidRPr="002C6872">
        <w:t xml:space="preserve">collate information on functional difficulties, </w:t>
      </w:r>
      <w:proofErr w:type="gramStart"/>
      <w:r w:rsidRPr="002C6872">
        <w:t>triggers</w:t>
      </w:r>
      <w:proofErr w:type="gramEnd"/>
      <w:r w:rsidRPr="002C6872">
        <w:t xml:space="preserve"> and barriers that people with specific conditions encounter</w:t>
      </w:r>
      <w:r w:rsidR="00A3361D" w:rsidRPr="002C6872">
        <w:t>,</w:t>
      </w:r>
      <w:r w:rsidRPr="002C6872">
        <w:t xml:space="preserve"> and </w:t>
      </w:r>
      <w:r w:rsidR="00A3361D" w:rsidRPr="002C6872">
        <w:t xml:space="preserve">set out information </w:t>
      </w:r>
      <w:r w:rsidRPr="002C6872">
        <w:t>on accommodations that can be made</w:t>
      </w:r>
      <w:r w:rsidR="00A3361D" w:rsidRPr="002C6872">
        <w:t>.</w:t>
      </w:r>
      <w:r w:rsidR="008E7370" w:rsidRPr="002C6872">
        <w:t xml:space="preserve"> </w:t>
      </w:r>
      <w:r w:rsidR="00A3361D" w:rsidRPr="002C6872">
        <w:t xml:space="preserve">This work will </w:t>
      </w:r>
      <w:r w:rsidR="008D6B6E" w:rsidRPr="002C6872">
        <w:t xml:space="preserve">enhance staff knowledge in these areas and will </w:t>
      </w:r>
      <w:r w:rsidRPr="002C6872">
        <w:t xml:space="preserve">inform </w:t>
      </w:r>
      <w:r w:rsidR="00A3361D" w:rsidRPr="002C6872">
        <w:t xml:space="preserve">the </w:t>
      </w:r>
      <w:r w:rsidR="00701434" w:rsidRPr="002C6872">
        <w:t xml:space="preserve">National Disability </w:t>
      </w:r>
      <w:r w:rsidR="00A3361D" w:rsidRPr="002C6872">
        <w:t xml:space="preserve">Authority’s policy advice and its </w:t>
      </w:r>
      <w:r w:rsidRPr="002C6872">
        <w:t>guidance on accessibility.</w:t>
      </w:r>
    </w:p>
    <w:p w14:paraId="677BD7DC" w14:textId="77777777" w:rsidR="0056124A" w:rsidRPr="002C6872" w:rsidRDefault="00CF6F27" w:rsidP="00444647">
      <w:pPr>
        <w:pStyle w:val="Heading1"/>
      </w:pPr>
      <w:bookmarkStart w:id="171" w:name="_Toc299360695"/>
      <w:bookmarkStart w:id="172" w:name="_Toc299362477"/>
      <w:bookmarkStart w:id="173" w:name="_Toc299362537"/>
      <w:r>
        <w:br w:type="page"/>
      </w:r>
      <w:bookmarkStart w:id="174" w:name="_Toc300742144"/>
      <w:bookmarkStart w:id="175" w:name="_Toc300742893"/>
      <w:bookmarkStart w:id="176" w:name="_Toc300744245"/>
      <w:bookmarkStart w:id="177" w:name="_Toc304371200"/>
      <w:bookmarkStart w:id="178" w:name="_Toc304381921"/>
      <w:r>
        <w:lastRenderedPageBreak/>
        <w:t>Strategic Priority 3</w:t>
      </w:r>
      <w:bookmarkEnd w:id="174"/>
      <w:bookmarkEnd w:id="175"/>
      <w:bookmarkEnd w:id="176"/>
      <w:bookmarkEnd w:id="177"/>
      <w:r w:rsidR="00572BA4">
        <w:t>:</w:t>
      </w:r>
      <w:bookmarkStart w:id="179" w:name="_Toc300742145"/>
      <w:bookmarkStart w:id="180" w:name="_Toc300742894"/>
      <w:bookmarkStart w:id="181" w:name="_Toc300744246"/>
      <w:bookmarkStart w:id="182" w:name="_Toc304371201"/>
      <w:r w:rsidR="00572BA4">
        <w:t xml:space="preserve"> </w:t>
      </w:r>
      <w:r w:rsidR="00A2204D" w:rsidRPr="002C6872">
        <w:t>To promote inclusion through accessibility and universal design</w:t>
      </w:r>
      <w:bookmarkEnd w:id="171"/>
      <w:bookmarkEnd w:id="172"/>
      <w:bookmarkEnd w:id="173"/>
      <w:bookmarkEnd w:id="178"/>
      <w:bookmarkEnd w:id="179"/>
      <w:bookmarkEnd w:id="180"/>
      <w:bookmarkEnd w:id="181"/>
      <w:bookmarkEnd w:id="182"/>
    </w:p>
    <w:p w14:paraId="1514F0E3" w14:textId="77777777" w:rsidR="008D6B6E" w:rsidRPr="002C6872" w:rsidRDefault="00335BFD" w:rsidP="008D6B6E">
      <w:pPr>
        <w:pStyle w:val="Heading2"/>
      </w:pPr>
      <w:bookmarkStart w:id="183" w:name="_Toc299362538"/>
      <w:bookmarkStart w:id="184" w:name="_Toc300742146"/>
      <w:bookmarkStart w:id="185" w:name="_Toc300742895"/>
      <w:bookmarkStart w:id="186" w:name="_Toc300744247"/>
      <w:r w:rsidRPr="002C6872">
        <w:t xml:space="preserve">Remit on </w:t>
      </w:r>
      <w:r w:rsidR="008D6B6E" w:rsidRPr="002C6872">
        <w:t>standards</w:t>
      </w:r>
      <w:bookmarkEnd w:id="183"/>
      <w:bookmarkEnd w:id="184"/>
      <w:bookmarkEnd w:id="185"/>
      <w:bookmarkEnd w:id="186"/>
      <w:r w:rsidR="008D6B6E" w:rsidRPr="002C6872">
        <w:t xml:space="preserve"> </w:t>
      </w:r>
    </w:p>
    <w:p w14:paraId="5F69DF66" w14:textId="77777777" w:rsidR="00335BFD" w:rsidRPr="002C6872" w:rsidRDefault="00335BFD" w:rsidP="008F2374">
      <w:r w:rsidRPr="002C6872">
        <w:t xml:space="preserve">The National Disability Authority has a dual role in relation to standards – in relation to advising on standards for programmes and services to be used by people with a disability, and in relation to standards for universal design. </w:t>
      </w:r>
    </w:p>
    <w:p w14:paraId="7BAC28F6" w14:textId="77777777" w:rsidR="008D6B6E" w:rsidRPr="002C6872" w:rsidRDefault="008F2374" w:rsidP="008F2374">
      <w:r w:rsidRPr="002C6872">
        <w:t xml:space="preserve">Under the National Disability Authority Act 1999, the </w:t>
      </w:r>
      <w:r w:rsidR="00D6039D" w:rsidRPr="002C6872">
        <w:t xml:space="preserve">National Disability </w:t>
      </w:r>
      <w:r w:rsidRPr="002C6872">
        <w:t>Authority has a remit to advise on appropriate standards for programmes and services to be provided to people with disabilities as well as advising on the development of these programmes and standards. Th</w:t>
      </w:r>
      <w:r w:rsidR="008D6B6E" w:rsidRPr="002C6872">
        <w:t xml:space="preserve">e </w:t>
      </w:r>
      <w:r w:rsidR="00D6039D" w:rsidRPr="002C6872">
        <w:t xml:space="preserve">National Disability </w:t>
      </w:r>
      <w:r w:rsidR="008D6B6E" w:rsidRPr="002C6872">
        <w:t xml:space="preserve">Authority may also prepare Codes of Practice to submit to the Minister. </w:t>
      </w:r>
    </w:p>
    <w:p w14:paraId="16AC6E90" w14:textId="77777777" w:rsidR="008F2374" w:rsidRPr="002C6872" w:rsidRDefault="008D6B6E" w:rsidP="008F2374">
      <w:r w:rsidRPr="002C6872">
        <w:t>The</w:t>
      </w:r>
      <w:r w:rsidR="00335BFD" w:rsidRPr="002C6872">
        <w:t xml:space="preserve"> </w:t>
      </w:r>
      <w:r w:rsidR="005E4A3E" w:rsidRPr="002C6872">
        <w:t>Centre for</w:t>
      </w:r>
      <w:r w:rsidR="00335BFD" w:rsidRPr="002C6872">
        <w:t xml:space="preserve"> E</w:t>
      </w:r>
      <w:r w:rsidR="008F2374" w:rsidRPr="002C6872">
        <w:t>xcelle</w:t>
      </w:r>
      <w:r w:rsidR="00F61E4F" w:rsidRPr="002C6872">
        <w:t>nce in Universal Design</w:t>
      </w:r>
      <w:r w:rsidR="00335BFD" w:rsidRPr="002C6872">
        <w:t>, set up under the Disability Act 2005 as an integral part of the</w:t>
      </w:r>
      <w:r w:rsidR="00D6039D" w:rsidRPr="002C6872">
        <w:t xml:space="preserve"> National Disability</w:t>
      </w:r>
      <w:r w:rsidR="00335BFD" w:rsidRPr="002C6872">
        <w:t xml:space="preserve"> Authority, has a remit that goes beyond disability to address products, services, environments or information and communications technology that can be used by anyone, regardless of age size, </w:t>
      </w:r>
      <w:proofErr w:type="gramStart"/>
      <w:r w:rsidR="00335BFD" w:rsidRPr="002C6872">
        <w:t>ability</w:t>
      </w:r>
      <w:proofErr w:type="gramEnd"/>
      <w:r w:rsidR="00335BFD" w:rsidRPr="002C6872">
        <w:t xml:space="preserve"> or disability. It has specific functions to contribute to the development and promulgation of standards in relation to universal design, and to liaise with national and international standards bodies in relation to the universal design of electronic systems. </w:t>
      </w:r>
    </w:p>
    <w:p w14:paraId="701A5444" w14:textId="77777777" w:rsidR="001458CA" w:rsidRPr="002C6872" w:rsidRDefault="001458CA" w:rsidP="001458CA">
      <w:pPr>
        <w:pStyle w:val="Heading2"/>
      </w:pPr>
      <w:bookmarkStart w:id="187" w:name="_Toc299362539"/>
      <w:bookmarkStart w:id="188" w:name="_Toc300742147"/>
      <w:bookmarkStart w:id="189" w:name="_Toc300742896"/>
      <w:bookmarkStart w:id="190" w:name="_Toc300744248"/>
      <w:r w:rsidRPr="002C6872">
        <w:t xml:space="preserve">Part M </w:t>
      </w:r>
      <w:r w:rsidR="008F2374" w:rsidRPr="002C6872">
        <w:t>of the Building Regulations</w:t>
      </w:r>
      <w:bookmarkEnd w:id="187"/>
      <w:bookmarkEnd w:id="188"/>
      <w:bookmarkEnd w:id="189"/>
      <w:bookmarkEnd w:id="190"/>
    </w:p>
    <w:p w14:paraId="3D1F9942" w14:textId="77777777" w:rsidR="001458CA" w:rsidRPr="002C6872" w:rsidRDefault="002C0220" w:rsidP="001458CA">
      <w:r w:rsidRPr="002C6872">
        <w:t xml:space="preserve">The </w:t>
      </w:r>
      <w:r w:rsidR="00D6039D" w:rsidRPr="002C6872">
        <w:t xml:space="preserve">National Disability </w:t>
      </w:r>
      <w:r w:rsidRPr="002C6872">
        <w:t>Authority</w:t>
      </w:r>
      <w:r w:rsidR="001458CA" w:rsidRPr="002C6872">
        <w:t xml:space="preserve"> was represented on the Building Regulations Advisory Body and on the working group established to advise the </w:t>
      </w:r>
      <w:r w:rsidRPr="002C6872">
        <w:t>Advisory Body</w:t>
      </w:r>
      <w:r w:rsidR="001458CA" w:rsidRPr="002C6872">
        <w:t xml:space="preserve"> on the development of revised building regulations on accessibility (Part M of the Building Regulations). The revised Part M</w:t>
      </w:r>
      <w:r w:rsidR="001458CA" w:rsidRPr="002C6872">
        <w:rPr>
          <w:rStyle w:val="FootnoteReference"/>
        </w:rPr>
        <w:footnoteReference w:id="5"/>
      </w:r>
      <w:r w:rsidR="001458CA" w:rsidRPr="002C6872">
        <w:t xml:space="preserve"> was approved by the Minister for the Environment, </w:t>
      </w:r>
      <w:proofErr w:type="gramStart"/>
      <w:r w:rsidR="001458CA" w:rsidRPr="002C6872">
        <w:t>Heritage</w:t>
      </w:r>
      <w:proofErr w:type="gramEnd"/>
      <w:r w:rsidR="001458CA" w:rsidRPr="002C6872">
        <w:t xml:space="preserve"> and Local Government in 2010 and will take effect from 2012. </w:t>
      </w:r>
    </w:p>
    <w:p w14:paraId="004749D4" w14:textId="77777777" w:rsidR="005F4490" w:rsidRPr="002C6872" w:rsidRDefault="005D4DDA" w:rsidP="005F4490">
      <w:pPr>
        <w:pStyle w:val="Heading2"/>
      </w:pPr>
      <w:bookmarkStart w:id="191" w:name="_Toc299362540"/>
      <w:bookmarkStart w:id="192" w:name="_Toc300742148"/>
      <w:bookmarkStart w:id="193" w:name="_Toc300742897"/>
      <w:bookmarkStart w:id="194" w:name="_Toc300744249"/>
      <w:r w:rsidRPr="002C6872">
        <w:t xml:space="preserve">Draft </w:t>
      </w:r>
      <w:r w:rsidR="005F4490" w:rsidRPr="002C6872">
        <w:t>Code of Practice on Accessible Heritage Sites</w:t>
      </w:r>
      <w:bookmarkEnd w:id="191"/>
      <w:bookmarkEnd w:id="192"/>
      <w:bookmarkEnd w:id="193"/>
      <w:bookmarkEnd w:id="194"/>
    </w:p>
    <w:p w14:paraId="49E7FD1E" w14:textId="77777777" w:rsidR="005F4490" w:rsidRPr="002C6872" w:rsidRDefault="005D4DDA" w:rsidP="005F4490">
      <w:r w:rsidRPr="002C6872">
        <w:t xml:space="preserve">Following national consultation in 2009, the </w:t>
      </w:r>
      <w:r w:rsidR="00D6039D" w:rsidRPr="002C6872">
        <w:t xml:space="preserve">National Disability </w:t>
      </w:r>
      <w:r w:rsidRPr="002C6872">
        <w:t xml:space="preserve">Authority developed and submitted a draft code of practice to the Minister for Community, Equality and Gaeltacht Affairs to promote the accessibility of heritage sites as set out in section 29 of the Disability Act 2005. This draft Code </w:t>
      </w:r>
      <w:r w:rsidR="00D6039D" w:rsidRPr="002C6872">
        <w:t xml:space="preserve">of Practice </w:t>
      </w:r>
      <w:r w:rsidRPr="002C6872">
        <w:t>aims to support heritage site owners and managers in improving the accessibility of their heritage sites to ensure that people with disabilities can use such sites, where practicable, with ease and dignity</w:t>
      </w:r>
      <w:r w:rsidR="006F18C4">
        <w:t xml:space="preserve">. </w:t>
      </w:r>
      <w:r w:rsidR="005F4490" w:rsidRPr="002C6872">
        <w:t xml:space="preserve">  </w:t>
      </w:r>
    </w:p>
    <w:p w14:paraId="63E63D17" w14:textId="77777777" w:rsidR="005F4490" w:rsidRPr="002C6872" w:rsidRDefault="005F4490" w:rsidP="005F4490">
      <w:pPr>
        <w:pStyle w:val="Heading2"/>
      </w:pPr>
      <w:bookmarkStart w:id="195" w:name="_Toc299362541"/>
      <w:bookmarkStart w:id="196" w:name="_Toc300742149"/>
      <w:bookmarkStart w:id="197" w:name="_Toc300742898"/>
      <w:bookmarkStart w:id="198" w:name="_Toc300744250"/>
      <w:r w:rsidRPr="002C6872">
        <w:t>Excellence through Accessibility award</w:t>
      </w:r>
      <w:bookmarkEnd w:id="195"/>
      <w:bookmarkEnd w:id="196"/>
      <w:bookmarkEnd w:id="197"/>
      <w:bookmarkEnd w:id="198"/>
    </w:p>
    <w:p w14:paraId="12C297BD" w14:textId="77777777" w:rsidR="005F4490" w:rsidRPr="002C6872" w:rsidRDefault="005F4490" w:rsidP="005F4490">
      <w:r w:rsidRPr="002C6872">
        <w:t xml:space="preserve">The </w:t>
      </w:r>
      <w:r w:rsidR="00D6039D" w:rsidRPr="002C6872">
        <w:t xml:space="preserve">National Disability </w:t>
      </w:r>
      <w:r w:rsidR="002C0220" w:rsidRPr="002C6872">
        <w:t>Authority</w:t>
      </w:r>
      <w:r w:rsidRPr="002C6872">
        <w:t xml:space="preserve"> worked with about </w:t>
      </w:r>
      <w:r w:rsidR="005D4DDA" w:rsidRPr="002C6872">
        <w:t>20</w:t>
      </w:r>
      <w:r w:rsidRPr="002C6872">
        <w:t xml:space="preserve"> public bodies throughout 2010 to help them to improve accessibility of public services. Detailed assessments were carried out for </w:t>
      </w:r>
      <w:r w:rsidR="005D4DDA" w:rsidRPr="002C6872">
        <w:t>13</w:t>
      </w:r>
      <w:r w:rsidRPr="002C6872">
        <w:t xml:space="preserve"> </w:t>
      </w:r>
      <w:r w:rsidRPr="002C6872">
        <w:lastRenderedPageBreak/>
        <w:t xml:space="preserve">locations, and the independent </w:t>
      </w:r>
      <w:r w:rsidR="00D6039D" w:rsidRPr="002C6872">
        <w:t xml:space="preserve">Excellence through Accessibility </w:t>
      </w:r>
      <w:r w:rsidRPr="002C6872">
        <w:t xml:space="preserve">Approvals Board confirmed awards for all </w:t>
      </w:r>
      <w:r w:rsidR="005D4DDA" w:rsidRPr="002C6872">
        <w:t>13</w:t>
      </w:r>
      <w:r w:rsidRPr="002C6872">
        <w:t xml:space="preserve"> locations. </w:t>
      </w:r>
    </w:p>
    <w:p w14:paraId="4E43F537" w14:textId="77777777" w:rsidR="00A402DE" w:rsidRPr="002C6872" w:rsidRDefault="00A402DE" w:rsidP="00A402DE">
      <w:pPr>
        <w:pStyle w:val="Heading2"/>
      </w:pPr>
      <w:bookmarkStart w:id="199" w:name="_Toc299362542"/>
      <w:bookmarkStart w:id="200" w:name="_Toc300742150"/>
      <w:bookmarkStart w:id="201" w:name="_Toc300742899"/>
      <w:bookmarkStart w:id="202" w:name="_Toc300744251"/>
      <w:r w:rsidRPr="002C6872">
        <w:t>Promoting Accessibility of Public Services</w:t>
      </w:r>
      <w:bookmarkEnd w:id="199"/>
      <w:bookmarkEnd w:id="200"/>
      <w:bookmarkEnd w:id="201"/>
      <w:bookmarkEnd w:id="202"/>
      <w:r w:rsidRPr="002C6872">
        <w:t xml:space="preserve"> </w:t>
      </w:r>
    </w:p>
    <w:p w14:paraId="20232ABB" w14:textId="77777777" w:rsidR="00A402DE" w:rsidRPr="002C6872" w:rsidRDefault="002C0220" w:rsidP="00A402DE">
      <w:r w:rsidRPr="002C6872">
        <w:t xml:space="preserve">The </w:t>
      </w:r>
      <w:r w:rsidR="00D6039D" w:rsidRPr="002C6872">
        <w:t xml:space="preserve">National Disability </w:t>
      </w:r>
      <w:r w:rsidRPr="002C6872">
        <w:t>Authority</w:t>
      </w:r>
      <w:r w:rsidR="00A402DE" w:rsidRPr="002C6872">
        <w:t xml:space="preserve"> </w:t>
      </w:r>
      <w:r w:rsidR="00910011" w:rsidRPr="002C6872">
        <w:t xml:space="preserve">brought forward </w:t>
      </w:r>
      <w:r w:rsidR="00A402DE" w:rsidRPr="002C6872">
        <w:t>some important new guidance publications for public sector bodies</w:t>
      </w:r>
      <w:r w:rsidR="00D6039D" w:rsidRPr="002C6872">
        <w:t>:</w:t>
      </w:r>
      <w:r w:rsidR="00A402DE" w:rsidRPr="002C6872">
        <w:t xml:space="preserve"> including a revised version of our guidance on </w:t>
      </w:r>
      <w:r w:rsidR="00A402DE" w:rsidRPr="002C6872">
        <w:rPr>
          <w:b/>
        </w:rPr>
        <w:t>Safe Evacuation</w:t>
      </w:r>
      <w:r w:rsidR="005F4490" w:rsidRPr="002C6872">
        <w:rPr>
          <w:b/>
        </w:rPr>
        <w:t xml:space="preserve"> for All</w:t>
      </w:r>
      <w:r w:rsidR="00D6039D" w:rsidRPr="002C6872">
        <w:t>;</w:t>
      </w:r>
      <w:r w:rsidR="00A402DE" w:rsidRPr="002C6872">
        <w:t xml:space="preserve"> new guid</w:t>
      </w:r>
      <w:r w:rsidR="001458CA" w:rsidRPr="002C6872">
        <w:t>ance on accessible procurement</w:t>
      </w:r>
      <w:r w:rsidR="00D6039D" w:rsidRPr="002C6872">
        <w:t>;</w:t>
      </w:r>
      <w:r w:rsidR="001458CA" w:rsidRPr="002C6872">
        <w:t xml:space="preserve"> </w:t>
      </w:r>
      <w:r w:rsidR="00A402DE" w:rsidRPr="002C6872">
        <w:t>and guidance to promote accessibility of primary and seco</w:t>
      </w:r>
      <w:r w:rsidRPr="002C6872">
        <w:t>nda</w:t>
      </w:r>
      <w:r w:rsidR="00A402DE" w:rsidRPr="002C6872">
        <w:t>ry schools.</w:t>
      </w:r>
      <w:r w:rsidR="00910011" w:rsidRPr="002C6872">
        <w:t xml:space="preserve"> </w:t>
      </w:r>
      <w:r w:rsidR="00A402DE" w:rsidRPr="002C6872">
        <w:t>Consultation processes were undertaken on each of these draft publications. These publications are expected to be finalised and launched in 2011.</w:t>
      </w:r>
    </w:p>
    <w:p w14:paraId="002B030E" w14:textId="77777777" w:rsidR="001458CA" w:rsidRPr="002C6872" w:rsidRDefault="001458CA" w:rsidP="001458CA">
      <w:pPr>
        <w:pStyle w:val="Heading2"/>
      </w:pPr>
      <w:bookmarkStart w:id="203" w:name="_Toc299362543"/>
      <w:bookmarkStart w:id="204" w:name="_Toc300742151"/>
      <w:bookmarkStart w:id="205" w:name="_Toc300742900"/>
      <w:bookmarkStart w:id="206" w:name="_Toc300744252"/>
      <w:r w:rsidRPr="002C6872">
        <w:t>Centre for Excellence in Universal Design</w:t>
      </w:r>
      <w:bookmarkEnd w:id="203"/>
      <w:bookmarkEnd w:id="204"/>
      <w:bookmarkEnd w:id="205"/>
      <w:bookmarkEnd w:id="206"/>
    </w:p>
    <w:p w14:paraId="0D20EFA1" w14:textId="77777777" w:rsidR="001458CA" w:rsidRPr="002C6872" w:rsidRDefault="002C0220" w:rsidP="002C0220">
      <w:pPr>
        <w:spacing w:after="120"/>
      </w:pPr>
      <w:r w:rsidRPr="002C6872">
        <w:t>The Authority</w:t>
      </w:r>
      <w:r w:rsidR="001458CA" w:rsidRPr="002C6872">
        <w:t xml:space="preserve">'s work in </w:t>
      </w:r>
      <w:r w:rsidR="005E4A3E" w:rsidRPr="002C6872">
        <w:t>universal design</w:t>
      </w:r>
      <w:r w:rsidR="001458CA" w:rsidRPr="002C6872">
        <w:t xml:space="preserve"> in 2010 focused on:</w:t>
      </w:r>
    </w:p>
    <w:p w14:paraId="4395A82A" w14:textId="77777777" w:rsidR="001458CA" w:rsidRPr="002C6872" w:rsidRDefault="001458CA" w:rsidP="001458CA">
      <w:pPr>
        <w:pStyle w:val="ListBullet"/>
      </w:pPr>
      <w:r w:rsidRPr="002C6872">
        <w:t>building awareness</w:t>
      </w:r>
    </w:p>
    <w:p w14:paraId="5F612FB5" w14:textId="77777777" w:rsidR="001458CA" w:rsidRPr="002C6872" w:rsidRDefault="001458CA" w:rsidP="001458CA">
      <w:pPr>
        <w:pStyle w:val="ListBullet"/>
      </w:pPr>
      <w:r w:rsidRPr="002C6872">
        <w:t xml:space="preserve">working in partnership with key stakeholders to guide development </w:t>
      </w:r>
      <w:proofErr w:type="gramStart"/>
      <w:r w:rsidRPr="002C6872">
        <w:t>of  sta</w:t>
      </w:r>
      <w:r w:rsidR="002C0220" w:rsidRPr="002C6872">
        <w:t>nda</w:t>
      </w:r>
      <w:r w:rsidRPr="002C6872">
        <w:t>rds</w:t>
      </w:r>
      <w:proofErr w:type="gramEnd"/>
      <w:r w:rsidRPr="002C6872">
        <w:t xml:space="preserve"> in universal design</w:t>
      </w:r>
    </w:p>
    <w:p w14:paraId="2E702938" w14:textId="77777777" w:rsidR="001458CA" w:rsidRPr="002C6872" w:rsidRDefault="001458CA" w:rsidP="001458CA">
      <w:pPr>
        <w:pStyle w:val="ListBullet"/>
      </w:pPr>
      <w:r w:rsidRPr="002C6872">
        <w:t xml:space="preserve">collaborating with academics about the integration of </w:t>
      </w:r>
      <w:r w:rsidR="005E4A3E" w:rsidRPr="002C6872">
        <w:t>universal design</w:t>
      </w:r>
      <w:r w:rsidRPr="002C6872">
        <w:t xml:space="preserve"> in relevant curricula at third level</w:t>
      </w:r>
    </w:p>
    <w:p w14:paraId="1FEA037E" w14:textId="77777777" w:rsidR="001458CA" w:rsidRPr="002C6872" w:rsidRDefault="00E61111" w:rsidP="002C0220">
      <w:pPr>
        <w:pStyle w:val="Heading3"/>
        <w:spacing w:before="300"/>
      </w:pPr>
      <w:r w:rsidRPr="002C6872">
        <w:t>24 Hour Design Challenge</w:t>
      </w:r>
    </w:p>
    <w:p w14:paraId="6F94AA73" w14:textId="77777777" w:rsidR="001458CA" w:rsidRPr="002C6872" w:rsidRDefault="001458CA" w:rsidP="00F61E4F">
      <w:r w:rsidRPr="002C6872">
        <w:t>The C</w:t>
      </w:r>
      <w:r w:rsidR="002C0220" w:rsidRPr="002C6872">
        <w:t>entre</w:t>
      </w:r>
      <w:r w:rsidRPr="002C6872">
        <w:t xml:space="preserve"> </w:t>
      </w:r>
      <w:r w:rsidR="005D4DDA" w:rsidRPr="002C6872">
        <w:t xml:space="preserve">successfully </w:t>
      </w:r>
      <w:r w:rsidR="00910011" w:rsidRPr="002C6872">
        <w:t xml:space="preserve">organised </w:t>
      </w:r>
      <w:r w:rsidR="005D4DDA" w:rsidRPr="002C6872">
        <w:t xml:space="preserve">the </w:t>
      </w:r>
      <w:proofErr w:type="gramStart"/>
      <w:r w:rsidRPr="002C6872">
        <w:t>24 Hour</w:t>
      </w:r>
      <w:proofErr w:type="gramEnd"/>
      <w:r w:rsidRPr="002C6872">
        <w:t xml:space="preserve"> Universal Design Challenge </w:t>
      </w:r>
      <w:r w:rsidR="005D4DDA" w:rsidRPr="002C6872">
        <w:t xml:space="preserve">2010 </w:t>
      </w:r>
      <w:r w:rsidR="00F61E4F" w:rsidRPr="002C6872">
        <w:t>with the theme of “Technology in the City</w:t>
      </w:r>
      <w:r w:rsidR="00F61E4F" w:rsidRPr="002C6872">
        <w:rPr>
          <w:b/>
          <w:bCs/>
        </w:rPr>
        <w:t>”</w:t>
      </w:r>
      <w:r w:rsidR="00F61E4F" w:rsidRPr="002C6872">
        <w:t xml:space="preserve"> focusing on new designs to improve the accessibility and usability of information and services offerings in public places. The </w:t>
      </w:r>
      <w:r w:rsidRPr="002C6872">
        <w:t xml:space="preserve">event was integrated with the </w:t>
      </w:r>
      <w:r w:rsidR="008D2CD4" w:rsidRPr="002C6872">
        <w:t xml:space="preserve">National Disability </w:t>
      </w:r>
      <w:r w:rsidR="002C0220" w:rsidRPr="002C6872">
        <w:t>Authority-</w:t>
      </w:r>
      <w:r w:rsidRPr="002C6872">
        <w:t>sponsored Euro</w:t>
      </w:r>
      <w:r w:rsidR="002C0220" w:rsidRPr="002C6872">
        <w:t xml:space="preserve">pean Design for </w:t>
      </w:r>
      <w:r w:rsidR="005D4DDA" w:rsidRPr="002C6872">
        <w:t xml:space="preserve">All </w:t>
      </w:r>
      <w:proofErr w:type="spellStart"/>
      <w:r w:rsidR="005D4DDA" w:rsidRPr="002C6872">
        <w:t>eA</w:t>
      </w:r>
      <w:r w:rsidRPr="002C6872">
        <w:t>ccessibility</w:t>
      </w:r>
      <w:proofErr w:type="spellEnd"/>
      <w:r w:rsidRPr="002C6872">
        <w:t xml:space="preserve"> Network AGM and conference entitled </w:t>
      </w:r>
      <w:r w:rsidR="005D4DDA" w:rsidRPr="002C6872">
        <w:t>“</w:t>
      </w:r>
      <w:r w:rsidRPr="002C6872">
        <w:t>Technology in the City</w:t>
      </w:r>
      <w:r w:rsidR="005D4DDA" w:rsidRPr="002C6872">
        <w:t>”</w:t>
      </w:r>
      <w:r w:rsidR="008D2CD4" w:rsidRPr="002C6872">
        <w:t>.</w:t>
      </w:r>
      <w:r w:rsidRPr="002C6872">
        <w:t xml:space="preserve"> </w:t>
      </w:r>
      <w:r w:rsidR="002C0220" w:rsidRPr="002C6872">
        <w:t>The m</w:t>
      </w:r>
      <w:r w:rsidRPr="002C6872">
        <w:t>erging of the two events raised the</w:t>
      </w:r>
      <w:r w:rsidR="005D4DDA" w:rsidRPr="002C6872">
        <w:t>ir</w:t>
      </w:r>
      <w:r w:rsidRPr="002C6872">
        <w:t xml:space="preserve"> overall profile</w:t>
      </w:r>
      <w:r w:rsidR="008D2CD4" w:rsidRPr="002C6872">
        <w:t xml:space="preserve">, </w:t>
      </w:r>
      <w:r w:rsidRPr="002C6872">
        <w:t xml:space="preserve">facilitated interaction among a range of professionals and realised significant staff efficiencies and cost savings. </w:t>
      </w:r>
    </w:p>
    <w:p w14:paraId="355BE807" w14:textId="77777777" w:rsidR="00E61111" w:rsidRPr="002C6872" w:rsidRDefault="00E61111" w:rsidP="00E61111">
      <w:pPr>
        <w:pStyle w:val="Heading3"/>
      </w:pPr>
      <w:r w:rsidRPr="002C6872">
        <w:t xml:space="preserve">European Design for All </w:t>
      </w:r>
      <w:proofErr w:type="spellStart"/>
      <w:r w:rsidRPr="002C6872">
        <w:t>eAccessibility</w:t>
      </w:r>
      <w:proofErr w:type="spellEnd"/>
      <w:r w:rsidRPr="002C6872">
        <w:t xml:space="preserve"> Network</w:t>
      </w:r>
    </w:p>
    <w:p w14:paraId="21E11DE6" w14:textId="77777777" w:rsidR="00E61111" w:rsidRPr="002C6872" w:rsidRDefault="002C0220" w:rsidP="00E61111">
      <w:r w:rsidRPr="002C6872">
        <w:t>The Centre</w:t>
      </w:r>
      <w:r w:rsidR="00E61111" w:rsidRPr="002C6872">
        <w:t xml:space="preserve"> took over the role of the</w:t>
      </w:r>
      <w:r w:rsidRPr="002C6872">
        <w:t xml:space="preserve"> </w:t>
      </w:r>
      <w:r w:rsidR="00E61111" w:rsidRPr="002C6872">
        <w:t xml:space="preserve">Design for All Network secretariat in 2010, along with its responsibility as the national contact centre on </w:t>
      </w:r>
      <w:proofErr w:type="spellStart"/>
      <w:r w:rsidR="00E61111" w:rsidRPr="002C6872">
        <w:t>eAccessibility</w:t>
      </w:r>
      <w:proofErr w:type="spellEnd"/>
      <w:r w:rsidR="00E61111" w:rsidRPr="002C6872">
        <w:t xml:space="preserve">. The role included sharing information on </w:t>
      </w:r>
      <w:r w:rsidRPr="002C6872">
        <w:t>the Centre</w:t>
      </w:r>
      <w:r w:rsidR="00E61111" w:rsidRPr="002C6872">
        <w:t>'s work and gathering information on best practices and new develop</w:t>
      </w:r>
      <w:r w:rsidR="005D4DDA" w:rsidRPr="002C6872">
        <w:t>ments on ICT accessibility and universal d</w:t>
      </w:r>
      <w:r w:rsidR="00E61111" w:rsidRPr="002C6872">
        <w:t>esign from around</w:t>
      </w:r>
      <w:r w:rsidR="00F61E4F" w:rsidRPr="002C6872">
        <w:t xml:space="preserve"> </w:t>
      </w:r>
      <w:smartTag w:uri="urn:schemas-microsoft-com:office:smarttags" w:element="place">
        <w:r w:rsidR="00F61E4F" w:rsidRPr="002C6872">
          <w:t>Europe</w:t>
        </w:r>
      </w:smartTag>
      <w:r w:rsidR="00E61111" w:rsidRPr="002C6872">
        <w:t xml:space="preserve">. </w:t>
      </w:r>
    </w:p>
    <w:p w14:paraId="5444D3B9" w14:textId="77777777" w:rsidR="00E61111" w:rsidRPr="002C6872" w:rsidRDefault="00E61111" w:rsidP="00E61111">
      <w:pPr>
        <w:pStyle w:val="Heading3"/>
      </w:pPr>
      <w:r w:rsidRPr="002C6872">
        <w:t>Awareness raising</w:t>
      </w:r>
    </w:p>
    <w:p w14:paraId="6F7B51DF" w14:textId="77777777" w:rsidR="00E61111" w:rsidRPr="002C6872" w:rsidRDefault="00E61111" w:rsidP="007E17A3">
      <w:pPr>
        <w:spacing w:after="120"/>
      </w:pPr>
      <w:r w:rsidRPr="002C6872">
        <w:t xml:space="preserve">The </w:t>
      </w:r>
      <w:r w:rsidR="008D2CD4" w:rsidRPr="002C6872">
        <w:t xml:space="preserve">National Disability </w:t>
      </w:r>
      <w:r w:rsidR="002C0220" w:rsidRPr="002C6872">
        <w:t>Authority</w:t>
      </w:r>
      <w:r w:rsidRPr="002C6872">
        <w:t xml:space="preserve"> hosted, collaborated </w:t>
      </w:r>
      <w:proofErr w:type="gramStart"/>
      <w:r w:rsidRPr="002C6872">
        <w:t>on</w:t>
      </w:r>
      <w:proofErr w:type="gramEnd"/>
      <w:r w:rsidRPr="002C6872">
        <w:t xml:space="preserve"> and participated in a number of events for stakeholders in 2</w:t>
      </w:r>
      <w:r w:rsidR="005D4DDA" w:rsidRPr="002C6872">
        <w:t>009 focusing on key aspects of universal d</w:t>
      </w:r>
      <w:r w:rsidRPr="002C6872">
        <w:t>esign including:</w:t>
      </w:r>
    </w:p>
    <w:p w14:paraId="6900C6E7" w14:textId="77777777" w:rsidR="00E61111" w:rsidRPr="002C6872" w:rsidRDefault="00F61E4F" w:rsidP="00335BFD">
      <w:pPr>
        <w:pStyle w:val="ListBullet"/>
        <w:spacing w:line="294" w:lineRule="exact"/>
        <w:ind w:left="357" w:hanging="357"/>
        <w:rPr>
          <w:lang w:eastAsia="en-GB"/>
        </w:rPr>
      </w:pPr>
      <w:r w:rsidRPr="002C6872">
        <w:t xml:space="preserve">a seminar on </w:t>
      </w:r>
      <w:r w:rsidR="00E61111" w:rsidRPr="002C6872">
        <w:t xml:space="preserve">Shared Spaces, </w:t>
      </w:r>
      <w:r w:rsidR="001458CA" w:rsidRPr="002C6872">
        <w:t>in par</w:t>
      </w:r>
      <w:r w:rsidR="005D4DDA" w:rsidRPr="002C6872">
        <w:t>tnership with Engineers Ireland</w:t>
      </w:r>
    </w:p>
    <w:p w14:paraId="5DDB8586" w14:textId="77777777" w:rsidR="001458CA" w:rsidRPr="002C6872" w:rsidRDefault="00F61E4F" w:rsidP="00335BFD">
      <w:pPr>
        <w:pStyle w:val="ListBullet"/>
        <w:spacing w:line="294" w:lineRule="exact"/>
        <w:ind w:left="357" w:hanging="357"/>
        <w:rPr>
          <w:lang w:eastAsia="en-GB"/>
        </w:rPr>
      </w:pPr>
      <w:r w:rsidRPr="002C6872">
        <w:t xml:space="preserve">a seminar on </w:t>
      </w:r>
      <w:r w:rsidR="005D4DDA" w:rsidRPr="002C6872">
        <w:rPr>
          <w:bCs/>
        </w:rPr>
        <w:t>universal d</w:t>
      </w:r>
      <w:r w:rsidR="001458CA" w:rsidRPr="002C6872">
        <w:rPr>
          <w:bCs/>
        </w:rPr>
        <w:t xml:space="preserve">esign in legislation, </w:t>
      </w:r>
      <w:proofErr w:type="gramStart"/>
      <w:r w:rsidR="001458CA" w:rsidRPr="002C6872">
        <w:rPr>
          <w:bCs/>
        </w:rPr>
        <w:t>policy</w:t>
      </w:r>
      <w:proofErr w:type="gramEnd"/>
      <w:r w:rsidR="001458CA" w:rsidRPr="002C6872">
        <w:rPr>
          <w:bCs/>
        </w:rPr>
        <w:t xml:space="preserve"> and practice</w:t>
      </w:r>
    </w:p>
    <w:p w14:paraId="499E5E50" w14:textId="77777777" w:rsidR="001458CA" w:rsidRPr="002C6872" w:rsidRDefault="00F61E4F" w:rsidP="00335BFD">
      <w:pPr>
        <w:pStyle w:val="ListBullet"/>
        <w:spacing w:line="294" w:lineRule="exact"/>
        <w:ind w:left="357" w:hanging="357"/>
        <w:rPr>
          <w:lang w:eastAsia="en-GB"/>
        </w:rPr>
      </w:pPr>
      <w:r w:rsidRPr="002C6872">
        <w:t xml:space="preserve">a seminar on </w:t>
      </w:r>
      <w:r w:rsidR="00E61111" w:rsidRPr="002C6872">
        <w:t>community-based</w:t>
      </w:r>
      <w:r w:rsidR="001458CA" w:rsidRPr="002C6872">
        <w:t xml:space="preserve"> systems</w:t>
      </w:r>
      <w:r w:rsidR="00E61111" w:rsidRPr="002C6872">
        <w:t>,</w:t>
      </w:r>
      <w:r w:rsidR="001458CA" w:rsidRPr="002C6872">
        <w:t xml:space="preserve"> </w:t>
      </w:r>
      <w:proofErr w:type="gramStart"/>
      <w:r w:rsidR="001458CA" w:rsidRPr="002C6872">
        <w:t>reform</w:t>
      </w:r>
      <w:proofErr w:type="gramEnd"/>
      <w:r w:rsidR="001458CA" w:rsidRPr="002C6872">
        <w:t xml:space="preserve"> and legislative initiatives to increase mainstream housing opportunities</w:t>
      </w:r>
      <w:r w:rsidR="00E61111" w:rsidRPr="002C6872">
        <w:t xml:space="preserve"> for persons with disabilities </w:t>
      </w:r>
      <w:r w:rsidR="001458CA" w:rsidRPr="002C6872">
        <w:t xml:space="preserve">in </w:t>
      </w:r>
      <w:smartTag w:uri="urn:schemas-microsoft-com:office:smarttags" w:element="State">
        <w:smartTag w:uri="urn:schemas-microsoft-com:office:smarttags" w:element="place">
          <w:r w:rsidR="001458CA" w:rsidRPr="002C6872">
            <w:t>Iowa</w:t>
          </w:r>
        </w:smartTag>
      </w:smartTag>
      <w:r w:rsidR="001458CA" w:rsidRPr="002C6872">
        <w:t xml:space="preserve"> </w:t>
      </w:r>
    </w:p>
    <w:p w14:paraId="5B950DD5" w14:textId="77777777" w:rsidR="00E61111" w:rsidRPr="002C6872" w:rsidRDefault="00E61111" w:rsidP="00335BFD">
      <w:pPr>
        <w:pStyle w:val="ListBullet"/>
        <w:spacing w:line="294" w:lineRule="exact"/>
        <w:ind w:left="357" w:hanging="357"/>
        <w:rPr>
          <w:lang w:eastAsia="en-GB"/>
        </w:rPr>
      </w:pPr>
      <w:r w:rsidRPr="002C6872">
        <w:t xml:space="preserve">a </w:t>
      </w:r>
      <w:r w:rsidR="00CB441D" w:rsidRPr="002C6872">
        <w:t>workshop focused on how universal d</w:t>
      </w:r>
      <w:r w:rsidRPr="002C6872">
        <w:t>esign is currently being taught and applied at DIT along with how it may influence the DIT</w:t>
      </w:r>
      <w:r w:rsidR="00CB441D" w:rsidRPr="002C6872">
        <w:t xml:space="preserve"> </w:t>
      </w:r>
      <w:proofErr w:type="spellStart"/>
      <w:r w:rsidR="00CB441D" w:rsidRPr="002C6872">
        <w:t>Grangegorman</w:t>
      </w:r>
      <w:proofErr w:type="spellEnd"/>
      <w:r w:rsidR="00CB441D" w:rsidRPr="002C6872">
        <w:t xml:space="preserve"> campus initiative</w:t>
      </w:r>
    </w:p>
    <w:p w14:paraId="00409E5E" w14:textId="77777777" w:rsidR="00E61111" w:rsidRPr="002C6872" w:rsidRDefault="00E61111" w:rsidP="00335BFD">
      <w:pPr>
        <w:pStyle w:val="ListBullet"/>
        <w:spacing w:line="294" w:lineRule="exact"/>
        <w:ind w:left="357" w:hanging="357"/>
        <w:rPr>
          <w:lang w:eastAsia="en-GB"/>
        </w:rPr>
      </w:pPr>
      <w:r w:rsidRPr="002C6872">
        <w:lastRenderedPageBreak/>
        <w:t xml:space="preserve">a series of workshops </w:t>
      </w:r>
      <w:r w:rsidR="00CB441D" w:rsidRPr="002C6872">
        <w:t>to demonstrate how universal d</w:t>
      </w:r>
      <w:r w:rsidRPr="002C6872">
        <w:t>esign methodologies ca</w:t>
      </w:r>
      <w:r w:rsidR="00CB441D" w:rsidRPr="002C6872">
        <w:t>n be directly implemented into l</w:t>
      </w:r>
      <w:r w:rsidRPr="002C6872">
        <w:t xml:space="preserve">ocal </w:t>
      </w:r>
      <w:r w:rsidR="00CB441D" w:rsidRPr="002C6872">
        <w:t>a</w:t>
      </w:r>
      <w:r w:rsidR="00CE0E7F" w:rsidRPr="002C6872">
        <w:t>uthority</w:t>
      </w:r>
      <w:r w:rsidRPr="002C6872">
        <w:t xml:space="preserve"> planning and practice</w:t>
      </w:r>
    </w:p>
    <w:p w14:paraId="4A082489" w14:textId="77777777" w:rsidR="001458CA" w:rsidRPr="002C6872" w:rsidRDefault="002C0220" w:rsidP="002C0220">
      <w:pPr>
        <w:spacing w:before="300"/>
      </w:pPr>
      <w:r w:rsidRPr="002C6872">
        <w:t>The Centre</w:t>
      </w:r>
      <w:r w:rsidR="001458CA" w:rsidRPr="002C6872">
        <w:t xml:space="preserve"> supported the editing and gathering of content for a </w:t>
      </w:r>
      <w:r w:rsidR="001458CA" w:rsidRPr="002C6872">
        <w:rPr>
          <w:b/>
        </w:rPr>
        <w:t xml:space="preserve">Toolkit on </w:t>
      </w:r>
      <w:proofErr w:type="spellStart"/>
      <w:r w:rsidR="00CB441D" w:rsidRPr="002C6872">
        <w:rPr>
          <w:b/>
          <w:bCs/>
        </w:rPr>
        <w:t>e</w:t>
      </w:r>
      <w:r w:rsidR="001458CA" w:rsidRPr="002C6872">
        <w:rPr>
          <w:b/>
          <w:bCs/>
        </w:rPr>
        <w:t>Accessibility</w:t>
      </w:r>
      <w:proofErr w:type="spellEnd"/>
      <w:r w:rsidR="001458CA" w:rsidRPr="002C6872">
        <w:rPr>
          <w:b/>
          <w:bCs/>
        </w:rPr>
        <w:t xml:space="preserve"> for Policy Makers</w:t>
      </w:r>
      <w:r w:rsidR="001458CA" w:rsidRPr="002C6872">
        <w:rPr>
          <w:b/>
        </w:rPr>
        <w:t xml:space="preserve"> on ICT</w:t>
      </w:r>
      <w:r w:rsidR="001458CA" w:rsidRPr="002C6872">
        <w:t xml:space="preserve"> in line with obligations under the United Nations Convention on the Rights of Pe</w:t>
      </w:r>
      <w:r w:rsidR="004773C7" w:rsidRPr="002C6872">
        <w:t>rsons</w:t>
      </w:r>
      <w:r w:rsidR="001458CA" w:rsidRPr="002C6872">
        <w:t xml:space="preserve"> with Disabilities. The information is freely available on the website: www.e-accessibilitytoolkit.org</w:t>
      </w:r>
    </w:p>
    <w:p w14:paraId="356E71F1" w14:textId="77777777" w:rsidR="00C32F4C" w:rsidRPr="002C6872" w:rsidRDefault="004773C7" w:rsidP="004773C7">
      <w:pPr>
        <w:pStyle w:val="Heading3"/>
      </w:pPr>
      <w:r w:rsidRPr="002C6872">
        <w:t>Sta</w:t>
      </w:r>
      <w:r w:rsidR="002C0220" w:rsidRPr="002C6872">
        <w:t>nda</w:t>
      </w:r>
      <w:r w:rsidRPr="002C6872">
        <w:t>rds</w:t>
      </w:r>
      <w:r w:rsidR="00F61E4F" w:rsidRPr="002C6872">
        <w:t xml:space="preserve"> in </w:t>
      </w:r>
      <w:r w:rsidR="005E4A3E" w:rsidRPr="002C6872">
        <w:t>universal design</w:t>
      </w:r>
    </w:p>
    <w:p w14:paraId="6915E811" w14:textId="77777777" w:rsidR="00C32F4C" w:rsidRPr="002C6872" w:rsidRDefault="003E2A6D" w:rsidP="00C32F4C">
      <w:pPr>
        <w:rPr>
          <w:rFonts w:cs="Arial"/>
        </w:rPr>
      </w:pPr>
      <w:r w:rsidRPr="002C6872">
        <w:rPr>
          <w:rFonts w:eastAsia="Batang"/>
        </w:rPr>
        <w:t xml:space="preserve">The </w:t>
      </w:r>
      <w:r w:rsidR="002C0220" w:rsidRPr="002C6872">
        <w:rPr>
          <w:rFonts w:eastAsia="Batang"/>
        </w:rPr>
        <w:t>Centre</w:t>
      </w:r>
      <w:r w:rsidRPr="002C6872">
        <w:rPr>
          <w:rFonts w:eastAsia="Batang"/>
        </w:rPr>
        <w:t xml:space="preserve"> chairs the Accessibility for All Sta</w:t>
      </w:r>
      <w:r w:rsidR="002C0220" w:rsidRPr="002C6872">
        <w:rPr>
          <w:rFonts w:eastAsia="Batang"/>
        </w:rPr>
        <w:t>nda</w:t>
      </w:r>
      <w:r w:rsidRPr="002C6872">
        <w:rPr>
          <w:rFonts w:eastAsia="Batang"/>
        </w:rPr>
        <w:t>rds Consultative Committee which is run by the National Sta</w:t>
      </w:r>
      <w:r w:rsidR="002C0220" w:rsidRPr="002C6872">
        <w:rPr>
          <w:rFonts w:eastAsia="Batang"/>
        </w:rPr>
        <w:t>nda</w:t>
      </w:r>
      <w:r w:rsidRPr="002C6872">
        <w:rPr>
          <w:rFonts w:eastAsia="Batang"/>
        </w:rPr>
        <w:t xml:space="preserve">rds </w:t>
      </w:r>
      <w:r w:rsidR="00CE0E7F" w:rsidRPr="002C6872">
        <w:rPr>
          <w:rFonts w:eastAsia="Batang"/>
        </w:rPr>
        <w:t>Authority</w:t>
      </w:r>
      <w:r w:rsidRPr="002C6872">
        <w:rPr>
          <w:rFonts w:eastAsia="Batang"/>
        </w:rPr>
        <w:t xml:space="preserve"> of Ireland.</w:t>
      </w:r>
      <w:r w:rsidR="002C0220" w:rsidRPr="002C6872">
        <w:rPr>
          <w:rFonts w:cs="Arial"/>
        </w:rPr>
        <w:t xml:space="preserve"> </w:t>
      </w:r>
      <w:r w:rsidR="00C32F4C" w:rsidRPr="002C6872">
        <w:rPr>
          <w:rFonts w:cs="Arial"/>
          <w:lang w:eastAsia="en-GB"/>
        </w:rPr>
        <w:t xml:space="preserve">The </w:t>
      </w:r>
      <w:r w:rsidRPr="002C6872">
        <w:rPr>
          <w:rFonts w:cs="Arial"/>
          <w:lang w:eastAsia="en-GB"/>
        </w:rPr>
        <w:t>C</w:t>
      </w:r>
      <w:r w:rsidR="002C0220" w:rsidRPr="002C6872">
        <w:rPr>
          <w:rFonts w:cs="Arial"/>
          <w:lang w:eastAsia="en-GB"/>
        </w:rPr>
        <w:t>entre</w:t>
      </w:r>
      <w:r w:rsidR="00C32F4C" w:rsidRPr="002C6872">
        <w:rPr>
          <w:rFonts w:cs="Arial"/>
          <w:lang w:eastAsia="en-GB"/>
        </w:rPr>
        <w:t xml:space="preserve"> reviewed the latest draft of the</w:t>
      </w:r>
      <w:r w:rsidR="00C32F4C" w:rsidRPr="002C6872">
        <w:rPr>
          <w:rFonts w:cs="Arial"/>
          <w:b/>
          <w:bCs/>
          <w:lang w:eastAsia="en-GB"/>
        </w:rPr>
        <w:t xml:space="preserve"> International Sta</w:t>
      </w:r>
      <w:r w:rsidR="002C0220" w:rsidRPr="002C6872">
        <w:rPr>
          <w:rFonts w:cs="Arial"/>
          <w:b/>
          <w:bCs/>
          <w:lang w:eastAsia="en-GB"/>
        </w:rPr>
        <w:t>nda</w:t>
      </w:r>
      <w:r w:rsidR="00C32F4C" w:rsidRPr="002C6872">
        <w:rPr>
          <w:rFonts w:cs="Arial"/>
          <w:b/>
          <w:bCs/>
          <w:lang w:eastAsia="en-GB"/>
        </w:rPr>
        <w:t xml:space="preserve">rd </w:t>
      </w:r>
      <w:r w:rsidR="00C32F4C" w:rsidRPr="002C6872">
        <w:rPr>
          <w:rFonts w:cs="Arial"/>
          <w:b/>
          <w:lang w:eastAsia="en-GB"/>
        </w:rPr>
        <w:t xml:space="preserve">ISO/DIS 21542 - </w:t>
      </w:r>
      <w:r w:rsidR="00C32F4C" w:rsidRPr="002C6872">
        <w:rPr>
          <w:rFonts w:cs="Arial"/>
          <w:b/>
          <w:bCs/>
          <w:lang w:eastAsia="en-GB"/>
        </w:rPr>
        <w:t>Building construction: Accessibility and usability of the built environment</w:t>
      </w:r>
      <w:r w:rsidR="00F61E4F" w:rsidRPr="002C6872">
        <w:rPr>
          <w:rFonts w:cs="Arial"/>
          <w:bCs/>
          <w:lang w:eastAsia="en-GB"/>
        </w:rPr>
        <w:t>. C</w:t>
      </w:r>
      <w:r w:rsidR="00C32F4C" w:rsidRPr="002C6872">
        <w:rPr>
          <w:rFonts w:cs="Arial"/>
          <w:bCs/>
          <w:lang w:eastAsia="en-GB"/>
        </w:rPr>
        <w:t xml:space="preserve">omments were submitted by </w:t>
      </w:r>
      <w:r w:rsidR="002C0220" w:rsidRPr="002C6872">
        <w:rPr>
          <w:rFonts w:cs="Arial"/>
          <w:bCs/>
          <w:lang w:eastAsia="en-GB"/>
        </w:rPr>
        <w:t xml:space="preserve">the </w:t>
      </w:r>
      <w:r w:rsidR="002C0220" w:rsidRPr="002C6872">
        <w:rPr>
          <w:rFonts w:eastAsia="Batang"/>
        </w:rPr>
        <w:t>National Standards Authority of Ireland</w:t>
      </w:r>
      <w:r w:rsidR="00C32F4C" w:rsidRPr="002C6872">
        <w:rPr>
          <w:rFonts w:cs="Arial"/>
          <w:bCs/>
          <w:lang w:eastAsia="en-GB"/>
        </w:rPr>
        <w:t xml:space="preserve"> to the </w:t>
      </w:r>
      <w:r w:rsidR="00C32F4C" w:rsidRPr="002C6872">
        <w:rPr>
          <w:rFonts w:cs="Arial"/>
        </w:rPr>
        <w:t>International Sta</w:t>
      </w:r>
      <w:r w:rsidR="002C0220" w:rsidRPr="002C6872">
        <w:rPr>
          <w:rFonts w:cs="Arial"/>
        </w:rPr>
        <w:t>ndards Organi</w:t>
      </w:r>
      <w:r w:rsidR="00F61E4F" w:rsidRPr="002C6872">
        <w:rPr>
          <w:rFonts w:cs="Arial"/>
        </w:rPr>
        <w:t>s</w:t>
      </w:r>
      <w:r w:rsidR="002C0220" w:rsidRPr="002C6872">
        <w:rPr>
          <w:rFonts w:cs="Arial"/>
        </w:rPr>
        <w:t>ation.</w:t>
      </w:r>
    </w:p>
    <w:p w14:paraId="0874B2E4" w14:textId="77777777" w:rsidR="00B4003A" w:rsidRPr="002C6872" w:rsidRDefault="00B4003A" w:rsidP="00C32F4C">
      <w:r w:rsidRPr="002C6872">
        <w:t>The C</w:t>
      </w:r>
      <w:r w:rsidR="002C0220" w:rsidRPr="002C6872">
        <w:t>entre</w:t>
      </w:r>
      <w:r w:rsidRPr="002C6872">
        <w:t xml:space="preserve"> chaired the development of a new European </w:t>
      </w:r>
      <w:r w:rsidR="002C0220" w:rsidRPr="002C6872">
        <w:t xml:space="preserve">Standards Organization’s </w:t>
      </w:r>
      <w:r w:rsidR="00F61E4F" w:rsidRPr="002C6872">
        <w:t xml:space="preserve">(CEN) </w:t>
      </w:r>
      <w:r w:rsidRPr="002C6872">
        <w:t>sta</w:t>
      </w:r>
      <w:r w:rsidR="002C0220" w:rsidRPr="002C6872">
        <w:t>ndard</w:t>
      </w:r>
      <w:r w:rsidRPr="002C6872">
        <w:t xml:space="preserve"> on Universal Design Curriculum for ICT Professionals. Consensus was reached on </w:t>
      </w:r>
      <w:r w:rsidR="00F46B8F" w:rsidRPr="002C6872">
        <w:t>this</w:t>
      </w:r>
      <w:r w:rsidRPr="002C6872">
        <w:t xml:space="preserve"> in November 2010. </w:t>
      </w:r>
    </w:p>
    <w:p w14:paraId="7FFF78B7" w14:textId="77777777" w:rsidR="00C32F4C" w:rsidRPr="002C6872" w:rsidRDefault="00F61E4F" w:rsidP="00C32F4C">
      <w:pPr>
        <w:rPr>
          <w:rFonts w:ascii="Verdana" w:hAnsi="Verdana"/>
        </w:rPr>
      </w:pPr>
      <w:r w:rsidRPr="002C6872">
        <w:t xml:space="preserve">Work to develop </w:t>
      </w:r>
      <w:r w:rsidRPr="002C6872">
        <w:rPr>
          <w:b/>
        </w:rPr>
        <w:t>Building for Everyone</w:t>
      </w:r>
      <w:r w:rsidRPr="002C6872">
        <w:rPr>
          <w:i/>
        </w:rPr>
        <w:t>,</w:t>
      </w:r>
      <w:r w:rsidRPr="002C6872">
        <w:t xml:space="preserve"> from a universal design perspective, as a series of nine booklets, extended into 2010. The aim is to publish in 2011.</w:t>
      </w:r>
    </w:p>
    <w:p w14:paraId="06C704E9" w14:textId="77777777" w:rsidR="00C32F4C" w:rsidRPr="002C6872" w:rsidRDefault="00C32F4C" w:rsidP="007A574B">
      <w:pPr>
        <w:pStyle w:val="Heading3"/>
      </w:pPr>
      <w:r w:rsidRPr="002C6872">
        <w:t xml:space="preserve">Education </w:t>
      </w:r>
    </w:p>
    <w:p w14:paraId="1C141F03" w14:textId="77777777" w:rsidR="007A574B" w:rsidRPr="002C6872" w:rsidRDefault="00F46B8F" w:rsidP="00C32F4C">
      <w:r w:rsidRPr="002C6872">
        <w:t>The Centre</w:t>
      </w:r>
      <w:r w:rsidR="008D2CD4" w:rsidRPr="002C6872">
        <w:t>,</w:t>
      </w:r>
      <w:r w:rsidR="007A574B" w:rsidRPr="002C6872">
        <w:t xml:space="preserve"> in a partnership research project with Trinity College Dublin</w:t>
      </w:r>
      <w:r w:rsidR="008D2CD4" w:rsidRPr="002C6872">
        <w:t>,</w:t>
      </w:r>
      <w:r w:rsidR="007A574B" w:rsidRPr="002C6872">
        <w:t xml:space="preserve"> exam</w:t>
      </w:r>
      <w:r w:rsidR="00CB441D" w:rsidRPr="002C6872">
        <w:t>ined international practice on universal d</w:t>
      </w:r>
      <w:r w:rsidR="007A574B" w:rsidRPr="002C6872">
        <w:t>esign content as part of third level education in engineering and design courses. In addi</w:t>
      </w:r>
      <w:r w:rsidR="00CB441D" w:rsidRPr="002C6872">
        <w:t>tion</w:t>
      </w:r>
      <w:r w:rsidR="008D2CD4" w:rsidRPr="002C6872">
        <w:t>,</w:t>
      </w:r>
      <w:r w:rsidR="00CB441D" w:rsidRPr="002C6872">
        <w:t xml:space="preserve"> the research explored how universal d</w:t>
      </w:r>
      <w:r w:rsidR="007A574B" w:rsidRPr="002C6872">
        <w:t xml:space="preserve">esign was being taught and applied at the </w:t>
      </w:r>
      <w:smartTag w:uri="urn:schemas-microsoft-com:office:smarttags" w:element="place">
        <w:smartTag w:uri="urn:schemas-microsoft-com:office:smarttags" w:element="PlaceName">
          <w:r w:rsidR="007A574B" w:rsidRPr="002C6872">
            <w:t>Trinity</w:t>
          </w:r>
        </w:smartTag>
        <w:r w:rsidR="007A574B" w:rsidRPr="002C6872">
          <w:t xml:space="preserve"> </w:t>
        </w:r>
        <w:smartTag w:uri="urn:schemas-microsoft-com:office:smarttags" w:element="PlaceType">
          <w:r w:rsidR="007A574B" w:rsidRPr="002C6872">
            <w:t>College</w:t>
          </w:r>
        </w:smartTag>
      </w:smartTag>
      <w:r w:rsidR="007A574B" w:rsidRPr="002C6872">
        <w:t xml:space="preserve"> campus. </w:t>
      </w:r>
    </w:p>
    <w:p w14:paraId="4AF66AB0" w14:textId="77777777" w:rsidR="00C32F4C" w:rsidRPr="002C6872" w:rsidRDefault="00C32F4C" w:rsidP="00C32F4C">
      <w:r w:rsidRPr="002C6872">
        <w:t>The C</w:t>
      </w:r>
      <w:r w:rsidR="00F46B8F" w:rsidRPr="002C6872">
        <w:t>entre</w:t>
      </w:r>
      <w:r w:rsidRPr="002C6872">
        <w:t xml:space="preserve"> manages two research fellowship projects sponsored by the </w:t>
      </w:r>
      <w:r w:rsidR="008D2CD4" w:rsidRPr="002C6872">
        <w:t xml:space="preserve">National Disability </w:t>
      </w:r>
      <w:r w:rsidR="00F46B8F" w:rsidRPr="002C6872">
        <w:t>Authority</w:t>
      </w:r>
      <w:r w:rsidRPr="002C6872">
        <w:t xml:space="preserve"> along with the Irish Research Council for Science, Engineering and Technology. The </w:t>
      </w:r>
      <w:r w:rsidR="008D2CD4" w:rsidRPr="002C6872">
        <w:t xml:space="preserve">National Disability </w:t>
      </w:r>
      <w:r w:rsidR="00F46B8F" w:rsidRPr="002C6872">
        <w:t xml:space="preserve">Authority, </w:t>
      </w:r>
      <w:r w:rsidRPr="002C6872">
        <w:t xml:space="preserve">as the </w:t>
      </w:r>
      <w:r w:rsidR="00F46B8F" w:rsidRPr="002C6872">
        <w:t>Enterprise</w:t>
      </w:r>
      <w:r w:rsidRPr="002C6872">
        <w:t xml:space="preserve"> Partner</w:t>
      </w:r>
      <w:r w:rsidR="00F46B8F" w:rsidRPr="002C6872">
        <w:t>,</w:t>
      </w:r>
      <w:r w:rsidRPr="002C6872">
        <w:t xml:space="preserve"> provides one third of the funding for the researcher and the </w:t>
      </w:r>
      <w:r w:rsidR="007A574B" w:rsidRPr="002C6872">
        <w:t>C</w:t>
      </w:r>
      <w:r w:rsidR="00F46B8F" w:rsidRPr="002C6872">
        <w:t>entre’s</w:t>
      </w:r>
      <w:r w:rsidR="007A574B" w:rsidRPr="002C6872">
        <w:t xml:space="preserve"> staff research mentor liai</w:t>
      </w:r>
      <w:r w:rsidRPr="002C6872">
        <w:t>ses with the ac</w:t>
      </w:r>
      <w:r w:rsidR="00F46B8F" w:rsidRPr="002C6872">
        <w:t>a</w:t>
      </w:r>
      <w:r w:rsidRPr="002C6872">
        <w:t xml:space="preserve">demic mentor to advise the </w:t>
      </w:r>
      <w:r w:rsidR="005A2A10" w:rsidRPr="002C6872">
        <w:t>researcher</w:t>
      </w:r>
      <w:r w:rsidRPr="002C6872">
        <w:t xml:space="preserve"> during the projects. The two active research projects </w:t>
      </w:r>
      <w:r w:rsidR="007A574B" w:rsidRPr="002C6872">
        <w:t>are</w:t>
      </w:r>
      <w:r w:rsidRPr="002C6872">
        <w:t>:</w:t>
      </w:r>
    </w:p>
    <w:p w14:paraId="6A67CF68" w14:textId="77777777" w:rsidR="007A574B" w:rsidRPr="002C6872" w:rsidRDefault="00C32F4C" w:rsidP="00335BFD">
      <w:pPr>
        <w:pStyle w:val="ListBullet"/>
        <w:spacing w:line="294" w:lineRule="exact"/>
        <w:ind w:left="357" w:hanging="357"/>
      </w:pPr>
      <w:r w:rsidRPr="002C6872">
        <w:rPr>
          <w:b/>
        </w:rPr>
        <w:t xml:space="preserve">Research in Universal Product Design, </w:t>
      </w:r>
      <w:proofErr w:type="gramStart"/>
      <w:r w:rsidRPr="002C6872">
        <w:rPr>
          <w:b/>
        </w:rPr>
        <w:t>Methods</w:t>
      </w:r>
      <w:proofErr w:type="gramEnd"/>
      <w:r w:rsidRPr="002C6872">
        <w:rPr>
          <w:b/>
        </w:rPr>
        <w:t xml:space="preserve"> and Processes</w:t>
      </w:r>
      <w:r w:rsidR="007A574B" w:rsidRPr="002C6872">
        <w:t xml:space="preserve">:  </w:t>
      </w:r>
      <w:r w:rsidRPr="002C6872">
        <w:t>A post doctoral research fellow mentored by the Trinity College Dublin Centre of Biomedical Enginee</w:t>
      </w:r>
      <w:r w:rsidR="00CB441D" w:rsidRPr="002C6872">
        <w:t>ring examining applications of universal d</w:t>
      </w:r>
      <w:r w:rsidRPr="002C6872">
        <w:t xml:space="preserve">esign in medical product development through a case study of best practice as a basis for the development of frameworks for associated third level curriculum </w:t>
      </w:r>
    </w:p>
    <w:p w14:paraId="2B8CB115" w14:textId="77777777" w:rsidR="00C32F4C" w:rsidRPr="002C6872" w:rsidRDefault="00C32F4C" w:rsidP="00335BFD">
      <w:pPr>
        <w:pStyle w:val="ListBullet"/>
        <w:spacing w:line="294" w:lineRule="exact"/>
        <w:ind w:left="357" w:hanging="357"/>
      </w:pPr>
      <w:r w:rsidRPr="002C6872">
        <w:rPr>
          <w:b/>
        </w:rPr>
        <w:t>Universal Design Rating for the Built Environment</w:t>
      </w:r>
      <w:r w:rsidR="007A574B" w:rsidRPr="002C6872">
        <w:t xml:space="preserve">:  </w:t>
      </w:r>
      <w:r w:rsidRPr="002C6872">
        <w:t>A post graduate research fellow mentored by Trinity College Du</w:t>
      </w:r>
      <w:r w:rsidR="00CB441D" w:rsidRPr="002C6872">
        <w:t>blin</w:t>
      </w:r>
      <w:r w:rsidRPr="002C6872">
        <w:t xml:space="preserve"> </w:t>
      </w:r>
      <w:proofErr w:type="spellStart"/>
      <w:r w:rsidRPr="002C6872">
        <w:t>TrinityHaus</w:t>
      </w:r>
      <w:proofErr w:type="spellEnd"/>
      <w:r w:rsidRPr="002C6872">
        <w:t xml:space="preserve"> within the </w:t>
      </w:r>
      <w:smartTag w:uri="urn:schemas-microsoft-com:office:smarttags" w:element="place">
        <w:smartTag w:uri="urn:schemas-microsoft-com:office:smarttags" w:element="PlaceType">
          <w:r w:rsidRPr="002C6872">
            <w:t>School</w:t>
          </w:r>
        </w:smartTag>
        <w:r w:rsidRPr="002C6872">
          <w:t xml:space="preserve"> of </w:t>
        </w:r>
        <w:smartTag w:uri="urn:schemas-microsoft-com:office:smarttags" w:element="PlaceName">
          <w:r w:rsidRPr="002C6872">
            <w:t>Engineering</w:t>
          </w:r>
        </w:smartTag>
      </w:smartTag>
      <w:r w:rsidRPr="002C6872">
        <w:t xml:space="preserve"> </w:t>
      </w:r>
    </w:p>
    <w:p w14:paraId="4F724679" w14:textId="77777777" w:rsidR="009C4D62" w:rsidRPr="002C6872" w:rsidRDefault="0056124A" w:rsidP="00335BFD">
      <w:pPr>
        <w:pStyle w:val="Heading1"/>
        <w:spacing w:line="240" w:lineRule="auto"/>
      </w:pPr>
      <w:r w:rsidRPr="002C6872">
        <w:br w:type="page"/>
      </w:r>
      <w:bookmarkStart w:id="207" w:name="_Toc299360696"/>
      <w:bookmarkStart w:id="208" w:name="_Toc299362478"/>
      <w:bookmarkStart w:id="209" w:name="_Toc299362544"/>
      <w:bookmarkStart w:id="210" w:name="_Toc300742152"/>
      <w:bookmarkStart w:id="211" w:name="_Toc300742901"/>
      <w:bookmarkStart w:id="212" w:name="_Toc300744253"/>
      <w:bookmarkStart w:id="213" w:name="_Toc304371202"/>
      <w:bookmarkStart w:id="214" w:name="_Toc304381922"/>
      <w:r w:rsidR="00CF6F27">
        <w:lastRenderedPageBreak/>
        <w:t xml:space="preserve">Strategic Priority </w:t>
      </w:r>
      <w:bookmarkEnd w:id="210"/>
      <w:bookmarkEnd w:id="211"/>
      <w:bookmarkEnd w:id="212"/>
      <w:bookmarkEnd w:id="213"/>
      <w:r w:rsidR="00572BA4">
        <w:t xml:space="preserve">4: </w:t>
      </w:r>
      <w:bookmarkStart w:id="215" w:name="_Toc300742153"/>
      <w:bookmarkStart w:id="216" w:name="_Toc300742902"/>
      <w:bookmarkStart w:id="217" w:name="_Toc300744254"/>
      <w:bookmarkStart w:id="218" w:name="_Toc304371203"/>
      <w:r w:rsidR="00A2204D" w:rsidRPr="002C6872">
        <w:t xml:space="preserve">To build the </w:t>
      </w:r>
      <w:r w:rsidR="00F46B8F" w:rsidRPr="002C6872">
        <w:t>National Disability Authority</w:t>
      </w:r>
      <w:r w:rsidR="00A2204D" w:rsidRPr="002C6872">
        <w:t>’s capacity to deliver on its strategic goals</w:t>
      </w:r>
      <w:bookmarkEnd w:id="207"/>
      <w:bookmarkEnd w:id="208"/>
      <w:bookmarkEnd w:id="209"/>
      <w:bookmarkEnd w:id="214"/>
      <w:bookmarkEnd w:id="215"/>
      <w:bookmarkEnd w:id="216"/>
      <w:bookmarkEnd w:id="217"/>
      <w:bookmarkEnd w:id="218"/>
    </w:p>
    <w:p w14:paraId="6E06739C" w14:textId="77777777" w:rsidR="00BB5B68" w:rsidRPr="002C6872" w:rsidRDefault="00BB5B68" w:rsidP="00BB5B68">
      <w:pPr>
        <w:pStyle w:val="Heading2"/>
      </w:pPr>
      <w:bookmarkStart w:id="219" w:name="_Toc299362545"/>
      <w:bookmarkStart w:id="220" w:name="_Toc300742154"/>
      <w:bookmarkStart w:id="221" w:name="_Toc300742903"/>
      <w:bookmarkStart w:id="222" w:name="_Toc300744255"/>
      <w:r w:rsidRPr="002C6872">
        <w:t>Training and Development</w:t>
      </w:r>
      <w:bookmarkEnd w:id="219"/>
      <w:bookmarkEnd w:id="220"/>
      <w:bookmarkEnd w:id="221"/>
      <w:bookmarkEnd w:id="222"/>
    </w:p>
    <w:p w14:paraId="088E17D8" w14:textId="77777777" w:rsidR="00BB5B68" w:rsidRPr="002C6872" w:rsidRDefault="00BB5B68" w:rsidP="00BB5B68">
      <w:r w:rsidRPr="002C6872">
        <w:t xml:space="preserve">In recognition of the importance of strong leadership for effectively delivering organisational strategy the </w:t>
      </w:r>
      <w:r w:rsidR="008C1AAD" w:rsidRPr="002C6872">
        <w:t xml:space="preserve">National Disability </w:t>
      </w:r>
      <w:r w:rsidR="00CE0E7F" w:rsidRPr="002C6872">
        <w:t>A</w:t>
      </w:r>
      <w:r w:rsidR="00F46B8F" w:rsidRPr="002C6872">
        <w:t>uthority</w:t>
      </w:r>
      <w:r w:rsidRPr="002C6872">
        <w:t xml:space="preserve"> tendered for the provision of a customised leadership development training programme for senior and middle managers in 2009, as provided for in the </w:t>
      </w:r>
      <w:r w:rsidR="008C1AAD" w:rsidRPr="002C6872">
        <w:t xml:space="preserve">National Disability </w:t>
      </w:r>
      <w:r w:rsidR="00F46B8F" w:rsidRPr="002C6872">
        <w:t>Authority’s</w:t>
      </w:r>
      <w:r w:rsidR="00CB441D" w:rsidRPr="002C6872">
        <w:t xml:space="preserve"> HR Strategy 2007-20</w:t>
      </w:r>
      <w:r w:rsidRPr="002C6872">
        <w:t xml:space="preserve">09. The aim of the programme was to </w:t>
      </w:r>
      <w:r w:rsidRPr="002C6872">
        <w:rPr>
          <w:rFonts w:cs="Tahoma"/>
        </w:rPr>
        <w:t xml:space="preserve">foster and promote a consistent leadership style in </w:t>
      </w:r>
      <w:r w:rsidR="00F46B8F" w:rsidRPr="002C6872">
        <w:rPr>
          <w:rFonts w:cs="Tahoma"/>
        </w:rPr>
        <w:t xml:space="preserve">the </w:t>
      </w:r>
      <w:r w:rsidR="008C1AAD" w:rsidRPr="002C6872">
        <w:t xml:space="preserve">National Disability </w:t>
      </w:r>
      <w:r w:rsidR="00F46B8F" w:rsidRPr="002C6872">
        <w:t>Authority</w:t>
      </w:r>
      <w:r w:rsidRPr="002C6872">
        <w:rPr>
          <w:rFonts w:cs="Tahoma"/>
        </w:rPr>
        <w:t xml:space="preserve">, underpinned by the mission, vision and values of the organisation and to support the effectively delivery of the </w:t>
      </w:r>
      <w:r w:rsidR="008C1AAD" w:rsidRPr="002C6872">
        <w:t xml:space="preserve">National Disability </w:t>
      </w:r>
      <w:r w:rsidR="00F46B8F" w:rsidRPr="002C6872">
        <w:t>Authority’s</w:t>
      </w:r>
      <w:r w:rsidRPr="002C6872">
        <w:rPr>
          <w:rFonts w:cs="Tahoma"/>
        </w:rPr>
        <w:t xml:space="preserve"> Strategic Plan and the Programme for Government</w:t>
      </w:r>
      <w:r w:rsidRPr="002C6872">
        <w:t xml:space="preserve">. An assessment phase, to help inform the customisation of the training programme, was completed in December 2009 followed by the delivery of </w:t>
      </w:r>
      <w:r w:rsidR="001D5BF8" w:rsidRPr="002C6872">
        <w:t xml:space="preserve">a </w:t>
      </w:r>
      <w:r w:rsidRPr="002C6872">
        <w:t xml:space="preserve">training module for all senior and middle managers in 2010. </w:t>
      </w:r>
    </w:p>
    <w:p w14:paraId="4E3569CC" w14:textId="77777777" w:rsidR="007E59AC" w:rsidRPr="002C6872" w:rsidRDefault="007E59AC" w:rsidP="007E59AC">
      <w:pPr>
        <w:pStyle w:val="Heading2"/>
      </w:pPr>
      <w:bookmarkStart w:id="223" w:name="_Toc299362546"/>
      <w:bookmarkStart w:id="224" w:name="_Toc300742155"/>
      <w:bookmarkStart w:id="225" w:name="_Toc300742904"/>
      <w:bookmarkStart w:id="226" w:name="_Toc300744256"/>
      <w:r w:rsidRPr="002C6872">
        <w:t>Finance and Governance</w:t>
      </w:r>
      <w:bookmarkEnd w:id="223"/>
      <w:bookmarkEnd w:id="224"/>
      <w:bookmarkEnd w:id="225"/>
      <w:bookmarkEnd w:id="226"/>
    </w:p>
    <w:p w14:paraId="72289704" w14:textId="77777777" w:rsidR="007E59AC" w:rsidRPr="002C6872" w:rsidRDefault="007E59AC" w:rsidP="007E59AC">
      <w:pPr>
        <w:rPr>
          <w:rFonts w:cs="Arial"/>
        </w:rPr>
      </w:pPr>
      <w:r w:rsidRPr="002C6872">
        <w:rPr>
          <w:rFonts w:cs="Arial"/>
        </w:rPr>
        <w:t xml:space="preserve">In June 2010, following a re-shuffle of Government Departments, the </w:t>
      </w:r>
      <w:r w:rsidR="008C1AAD" w:rsidRPr="002C6872">
        <w:t xml:space="preserve">National Disability </w:t>
      </w:r>
      <w:r w:rsidR="00F46B8F" w:rsidRPr="002C6872">
        <w:t>Authority</w:t>
      </w:r>
      <w:r w:rsidRPr="002C6872">
        <w:rPr>
          <w:rFonts w:cs="Arial"/>
        </w:rPr>
        <w:t xml:space="preserve"> transferred to the Department of Community, Equality and Gaeltacht Affairs. As a result, and in support of continued efficiencies, the </w:t>
      </w:r>
      <w:r w:rsidR="008C1AAD" w:rsidRPr="002C6872">
        <w:t xml:space="preserve">National Disability </w:t>
      </w:r>
      <w:r w:rsidR="00F46B8F" w:rsidRPr="002C6872">
        <w:t>Authority</w:t>
      </w:r>
      <w:r w:rsidRPr="002C6872">
        <w:rPr>
          <w:rFonts w:cs="Arial"/>
        </w:rPr>
        <w:t xml:space="preserve"> commenced work on the transfer of creditor payments, payroll and travel and subsistence processing to the shared service facility of the Department of Community, Equality and Gaeltacht Affairs in December 2010. </w:t>
      </w:r>
    </w:p>
    <w:p w14:paraId="1A36617A" w14:textId="77777777" w:rsidR="007E59AC" w:rsidRPr="002C6872" w:rsidRDefault="007E59AC" w:rsidP="007E59AC">
      <w:pPr>
        <w:rPr>
          <w:rFonts w:cs="Arial"/>
        </w:rPr>
      </w:pPr>
      <w:r w:rsidRPr="002C6872">
        <w:rPr>
          <w:rFonts w:cs="Arial"/>
        </w:rPr>
        <w:t>In line with good governance</w:t>
      </w:r>
      <w:r w:rsidR="008C1AAD" w:rsidRPr="002C6872">
        <w:rPr>
          <w:rFonts w:cs="Arial"/>
        </w:rPr>
        <w:t>,</w:t>
      </w:r>
      <w:r w:rsidRPr="002C6872">
        <w:rPr>
          <w:rFonts w:cs="Arial"/>
        </w:rPr>
        <w:t xml:space="preserve"> the </w:t>
      </w:r>
      <w:r w:rsidR="008C1AAD" w:rsidRPr="002C6872">
        <w:t xml:space="preserve">National Disability </w:t>
      </w:r>
      <w:r w:rsidR="00F46B8F" w:rsidRPr="002C6872">
        <w:t>Authority</w:t>
      </w:r>
      <w:r w:rsidRPr="002C6872">
        <w:rPr>
          <w:rFonts w:cs="Arial"/>
        </w:rPr>
        <w:t xml:space="preserve"> conducted a review of internal financial controls in April 2010 which helped inform the approval of the Financial Statements 2009. The </w:t>
      </w:r>
      <w:r w:rsidR="008C1AAD" w:rsidRPr="002C6872">
        <w:t xml:space="preserve">National Disability </w:t>
      </w:r>
      <w:r w:rsidR="00F46B8F" w:rsidRPr="002C6872">
        <w:t>Authority</w:t>
      </w:r>
      <w:r w:rsidRPr="002C6872">
        <w:rPr>
          <w:rFonts w:cs="Arial"/>
        </w:rPr>
        <w:t xml:space="preserve"> also commissioned a review and update of the </w:t>
      </w:r>
      <w:r w:rsidRPr="002C6872">
        <w:rPr>
          <w:rFonts w:cs="Arial"/>
          <w:b/>
        </w:rPr>
        <w:t xml:space="preserve">Corporate Governance Manual </w:t>
      </w:r>
      <w:r w:rsidRPr="002C6872">
        <w:rPr>
          <w:rFonts w:cs="Arial"/>
        </w:rPr>
        <w:t xml:space="preserve">to reflect current best practice, and </w:t>
      </w:r>
      <w:proofErr w:type="gramStart"/>
      <w:r w:rsidRPr="002C6872">
        <w:rPr>
          <w:rFonts w:cs="Arial"/>
        </w:rPr>
        <w:t>in particular to</w:t>
      </w:r>
      <w:proofErr w:type="gramEnd"/>
      <w:r w:rsidRPr="002C6872">
        <w:rPr>
          <w:rFonts w:cs="Arial"/>
        </w:rPr>
        <w:t xml:space="preserve"> incorporate the requirements of the revised </w:t>
      </w:r>
      <w:r w:rsidRPr="002C6872">
        <w:rPr>
          <w:rFonts w:cs="Arial"/>
          <w:b/>
        </w:rPr>
        <w:t xml:space="preserve">Code </w:t>
      </w:r>
      <w:r w:rsidR="00943124" w:rsidRPr="002C6872">
        <w:rPr>
          <w:rFonts w:cs="Arial"/>
          <w:b/>
        </w:rPr>
        <w:t xml:space="preserve">of Practice </w:t>
      </w:r>
      <w:r w:rsidRPr="002C6872">
        <w:rPr>
          <w:rFonts w:cs="Arial"/>
          <w:b/>
        </w:rPr>
        <w:t>for the Governance of State Bodies 2009</w:t>
      </w:r>
      <w:r w:rsidRPr="002C6872">
        <w:rPr>
          <w:rFonts w:cs="Arial"/>
        </w:rPr>
        <w:t xml:space="preserve">. This work was on-going at the end of </w:t>
      </w:r>
      <w:r w:rsidR="00CB441D" w:rsidRPr="002C6872">
        <w:rPr>
          <w:rFonts w:cs="Arial"/>
        </w:rPr>
        <w:t xml:space="preserve">the </w:t>
      </w:r>
      <w:r w:rsidRPr="002C6872">
        <w:rPr>
          <w:rFonts w:cs="Arial"/>
        </w:rPr>
        <w:t>year.</w:t>
      </w:r>
    </w:p>
    <w:p w14:paraId="334643E3" w14:textId="77777777" w:rsidR="00BB5B68" w:rsidRPr="002C6872" w:rsidRDefault="00BB5B68" w:rsidP="00BB5B68">
      <w:pPr>
        <w:pStyle w:val="Heading2"/>
      </w:pPr>
      <w:bookmarkStart w:id="227" w:name="_Toc299362547"/>
      <w:bookmarkStart w:id="228" w:name="_Toc300742156"/>
      <w:bookmarkStart w:id="229" w:name="_Toc300742905"/>
      <w:bookmarkStart w:id="230" w:name="_Toc300744257"/>
      <w:r w:rsidRPr="002C6872">
        <w:t>Information and Record Systems</w:t>
      </w:r>
      <w:bookmarkEnd w:id="227"/>
      <w:bookmarkEnd w:id="228"/>
      <w:bookmarkEnd w:id="229"/>
      <w:bookmarkEnd w:id="230"/>
    </w:p>
    <w:p w14:paraId="29A728A5" w14:textId="77777777" w:rsidR="00BB5B68" w:rsidRPr="002C6872" w:rsidRDefault="00BB5B68" w:rsidP="00BB5B68">
      <w:pPr>
        <w:rPr>
          <w:rFonts w:cs="Arial"/>
          <w:color w:val="000000"/>
        </w:rPr>
      </w:pPr>
      <w:r w:rsidRPr="002C6872">
        <w:t xml:space="preserve">During 2010 the </w:t>
      </w:r>
      <w:r w:rsidR="008C1AAD" w:rsidRPr="002C6872">
        <w:t xml:space="preserve">National Disability </w:t>
      </w:r>
      <w:r w:rsidR="00F46B8F" w:rsidRPr="002C6872">
        <w:t>Authority</w:t>
      </w:r>
      <w:r w:rsidRPr="002C6872">
        <w:t xml:space="preserve"> developed a bespoke database to store the superannuation history and details of current and former employees. </w:t>
      </w:r>
      <w:r w:rsidRPr="002C6872">
        <w:rPr>
          <w:rFonts w:cs="Arial"/>
          <w:color w:val="000000"/>
        </w:rPr>
        <w:t xml:space="preserve">The database will help </w:t>
      </w:r>
      <w:r w:rsidR="00F46B8F" w:rsidRPr="002C6872">
        <w:rPr>
          <w:rFonts w:cs="Arial"/>
          <w:color w:val="000000"/>
        </w:rPr>
        <w:t xml:space="preserve">the </w:t>
      </w:r>
      <w:r w:rsidR="008C1AAD" w:rsidRPr="002C6872">
        <w:t xml:space="preserve">National Disability </w:t>
      </w:r>
      <w:r w:rsidR="00F46B8F" w:rsidRPr="002C6872">
        <w:t>Authority</w:t>
      </w:r>
      <w:r w:rsidRPr="002C6872">
        <w:rPr>
          <w:rFonts w:cs="Arial"/>
          <w:color w:val="000000"/>
        </w:rPr>
        <w:t xml:space="preserve"> meet its statutory obligations and legal requirements concerning pension entitlements and ensures that the information is stored and maintained in a central</w:t>
      </w:r>
      <w:r w:rsidR="00CB441D" w:rsidRPr="002C6872">
        <w:rPr>
          <w:rFonts w:cs="Arial"/>
          <w:color w:val="000000"/>
        </w:rPr>
        <w:t>,</w:t>
      </w:r>
      <w:r w:rsidRPr="002C6872">
        <w:rPr>
          <w:rFonts w:cs="Arial"/>
          <w:color w:val="000000"/>
        </w:rPr>
        <w:t xml:space="preserve"> secure area. In </w:t>
      </w:r>
      <w:proofErr w:type="gramStart"/>
      <w:r w:rsidRPr="002C6872">
        <w:rPr>
          <w:rFonts w:cs="Arial"/>
          <w:color w:val="000000"/>
        </w:rPr>
        <w:t>addition</w:t>
      </w:r>
      <w:proofErr w:type="gramEnd"/>
      <w:r w:rsidRPr="002C6872">
        <w:rPr>
          <w:rFonts w:cs="Arial"/>
          <w:color w:val="000000"/>
        </w:rPr>
        <w:t xml:space="preserve"> it provides easy and quick access to detailed information, as well as a forecast of pension entitlement upon retirement age.</w:t>
      </w:r>
    </w:p>
    <w:p w14:paraId="0CCEF8DE" w14:textId="77777777" w:rsidR="00BB5B68" w:rsidRPr="002C6872" w:rsidRDefault="00BB5B68" w:rsidP="00BB5B68">
      <w:pPr>
        <w:rPr>
          <w:rFonts w:cs="Arial"/>
          <w:color w:val="000000"/>
        </w:rPr>
      </w:pPr>
      <w:r w:rsidRPr="002C6872">
        <w:rPr>
          <w:rFonts w:cs="Arial"/>
          <w:color w:val="000000"/>
        </w:rPr>
        <w:t xml:space="preserve">Work also commenced on the enhancement of the </w:t>
      </w:r>
      <w:r w:rsidR="008C1AAD" w:rsidRPr="002C6872">
        <w:t xml:space="preserve">National Disability </w:t>
      </w:r>
      <w:r w:rsidR="00F46B8F" w:rsidRPr="002C6872">
        <w:t>Authority’s</w:t>
      </w:r>
      <w:r w:rsidRPr="002C6872">
        <w:rPr>
          <w:rFonts w:cs="Arial"/>
          <w:color w:val="000000"/>
        </w:rPr>
        <w:t xml:space="preserve"> Fixed Asset Register into a comprehensive information database to effectively </w:t>
      </w:r>
      <w:r w:rsidR="007E59AC" w:rsidRPr="002C6872">
        <w:rPr>
          <w:rFonts w:cs="Arial"/>
          <w:color w:val="000000"/>
        </w:rPr>
        <w:t>monitor records and track assets</w:t>
      </w:r>
      <w:r w:rsidRPr="002C6872">
        <w:rPr>
          <w:rFonts w:cs="Arial"/>
          <w:color w:val="000000"/>
        </w:rPr>
        <w:t>.</w:t>
      </w:r>
    </w:p>
    <w:p w14:paraId="7B2E1597" w14:textId="77777777" w:rsidR="007E59AC" w:rsidRPr="002C6872" w:rsidRDefault="007E59AC" w:rsidP="007E59AC">
      <w:pPr>
        <w:pStyle w:val="Heading2"/>
      </w:pPr>
      <w:bookmarkStart w:id="231" w:name="_Toc299362548"/>
      <w:bookmarkStart w:id="232" w:name="_Toc300742157"/>
      <w:bookmarkStart w:id="233" w:name="_Toc300742906"/>
      <w:bookmarkStart w:id="234" w:name="_Toc300744258"/>
      <w:r w:rsidRPr="002C6872">
        <w:lastRenderedPageBreak/>
        <w:t>Partnership</w:t>
      </w:r>
      <w:bookmarkEnd w:id="231"/>
      <w:bookmarkEnd w:id="232"/>
      <w:bookmarkEnd w:id="233"/>
      <w:bookmarkEnd w:id="234"/>
    </w:p>
    <w:p w14:paraId="31FF43DB" w14:textId="77777777" w:rsidR="007E59AC" w:rsidRPr="002C6872" w:rsidRDefault="007E59AC" w:rsidP="009A79AF">
      <w:pPr>
        <w:rPr>
          <w:rFonts w:cs="Arial"/>
        </w:rPr>
      </w:pPr>
      <w:r w:rsidRPr="002C6872">
        <w:rPr>
          <w:rFonts w:cs="Arial"/>
        </w:rPr>
        <w:t xml:space="preserve">The </w:t>
      </w:r>
      <w:r w:rsidR="008C1AAD" w:rsidRPr="002C6872">
        <w:t xml:space="preserve">National Disability </w:t>
      </w:r>
      <w:r w:rsidR="00F46B8F" w:rsidRPr="002C6872">
        <w:t>Authority’s</w:t>
      </w:r>
      <w:r w:rsidRPr="002C6872">
        <w:rPr>
          <w:rFonts w:cs="Arial"/>
        </w:rPr>
        <w:t xml:space="preserve"> partnership committee held four meetings during 2010. Areas that the committee contribute</w:t>
      </w:r>
      <w:r w:rsidR="009A79AF" w:rsidRPr="002C6872">
        <w:rPr>
          <w:rFonts w:cs="Arial"/>
        </w:rPr>
        <w:t xml:space="preserve">d to during the year included:  </w:t>
      </w:r>
      <w:r w:rsidR="00F46B8F" w:rsidRPr="002C6872">
        <w:rPr>
          <w:rFonts w:cs="Arial"/>
        </w:rPr>
        <w:t>the</w:t>
      </w:r>
      <w:r w:rsidRPr="002C6872">
        <w:rPr>
          <w:rFonts w:cs="Arial"/>
        </w:rPr>
        <w:t xml:space="preserve"> Access and Energy Officer Plan; </w:t>
      </w:r>
      <w:r w:rsidR="00F46B8F" w:rsidRPr="002C6872">
        <w:rPr>
          <w:rFonts w:cs="Arial"/>
        </w:rPr>
        <w:t>the</w:t>
      </w:r>
      <w:r w:rsidRPr="002C6872">
        <w:rPr>
          <w:rFonts w:cs="Arial"/>
        </w:rPr>
        <w:t xml:space="preserve"> Customer Action Plan, feedback on the Communications Strategy and corresponding action plan; and </w:t>
      </w:r>
      <w:r w:rsidR="00CB441D" w:rsidRPr="002C6872">
        <w:rPr>
          <w:rFonts w:cs="Arial"/>
        </w:rPr>
        <w:t xml:space="preserve">a </w:t>
      </w:r>
      <w:r w:rsidRPr="002C6872">
        <w:rPr>
          <w:rFonts w:cs="Arial"/>
        </w:rPr>
        <w:t xml:space="preserve">process for </w:t>
      </w:r>
      <w:r w:rsidR="00CB441D" w:rsidRPr="002C6872">
        <w:rPr>
          <w:rFonts w:cs="Arial"/>
        </w:rPr>
        <w:t xml:space="preserve">a </w:t>
      </w:r>
      <w:r w:rsidRPr="002C6872">
        <w:rPr>
          <w:rFonts w:cs="Arial"/>
        </w:rPr>
        <w:t xml:space="preserve">review of the operations of the partnership committee in 2011. </w:t>
      </w:r>
    </w:p>
    <w:p w14:paraId="28DB0818" w14:textId="77777777" w:rsidR="00B14C76" w:rsidRPr="002C6872" w:rsidRDefault="00B14C76" w:rsidP="00B14C76">
      <w:pPr>
        <w:pStyle w:val="Heading2"/>
      </w:pPr>
      <w:bookmarkStart w:id="235" w:name="_Toc299362549"/>
      <w:bookmarkStart w:id="236" w:name="_Toc300742158"/>
      <w:bookmarkStart w:id="237" w:name="_Toc300742907"/>
      <w:bookmarkStart w:id="238" w:name="_Toc300744259"/>
      <w:r w:rsidRPr="002C6872">
        <w:rPr>
          <w:lang w:eastAsia="en-IE"/>
        </w:rPr>
        <w:t>Access Officer</w:t>
      </w:r>
      <w:bookmarkEnd w:id="235"/>
      <w:bookmarkEnd w:id="236"/>
      <w:bookmarkEnd w:id="237"/>
      <w:bookmarkEnd w:id="238"/>
    </w:p>
    <w:p w14:paraId="75D24AE5" w14:textId="77777777" w:rsidR="00B14C76" w:rsidRPr="002C6872" w:rsidRDefault="00B14C76" w:rsidP="00B14C76">
      <w:pPr>
        <w:rPr>
          <w:lang w:eastAsia="en-IE"/>
        </w:rPr>
      </w:pPr>
      <w:r w:rsidRPr="002C6872">
        <w:rPr>
          <w:lang w:eastAsia="en-IE"/>
        </w:rPr>
        <w:t xml:space="preserve">The Disability Act 2005 requires every public body to have a least one Access Officer. The </w:t>
      </w:r>
      <w:r w:rsidR="008C1AAD" w:rsidRPr="002C6872">
        <w:t xml:space="preserve">National Disability </w:t>
      </w:r>
      <w:r w:rsidR="00F46B8F" w:rsidRPr="002C6872">
        <w:t>Authority</w:t>
      </w:r>
      <w:r w:rsidRPr="002C6872">
        <w:rPr>
          <w:lang w:eastAsia="en-IE"/>
        </w:rPr>
        <w:t xml:space="preserve">'s Access Officer arranged </w:t>
      </w:r>
      <w:r w:rsidR="001D5BF8" w:rsidRPr="002C6872">
        <w:rPr>
          <w:lang w:eastAsia="en-IE"/>
        </w:rPr>
        <w:t>appropriate assistance</w:t>
      </w:r>
      <w:r w:rsidRPr="002C6872">
        <w:rPr>
          <w:lang w:eastAsia="en-IE"/>
        </w:rPr>
        <w:t xml:space="preserve"> for people with disabilities who used the </w:t>
      </w:r>
      <w:r w:rsidR="008C1AAD" w:rsidRPr="002C6872">
        <w:t xml:space="preserve">National Disability </w:t>
      </w:r>
      <w:r w:rsidR="00F46B8F" w:rsidRPr="002C6872">
        <w:t>Authority</w:t>
      </w:r>
      <w:r w:rsidRPr="002C6872">
        <w:rPr>
          <w:lang w:eastAsia="en-IE"/>
        </w:rPr>
        <w:t>'s informatio</w:t>
      </w:r>
      <w:r w:rsidR="00F46B8F" w:rsidRPr="002C6872">
        <w:rPr>
          <w:lang w:eastAsia="en-IE"/>
        </w:rPr>
        <w:t>n and services during 2010. The</w:t>
      </w:r>
      <w:r w:rsidRPr="002C6872">
        <w:rPr>
          <w:lang w:eastAsia="en-IE"/>
        </w:rPr>
        <w:t xml:space="preserve"> Access Officer's contact details are av</w:t>
      </w:r>
      <w:r w:rsidR="00F46B8F" w:rsidRPr="002C6872">
        <w:rPr>
          <w:lang w:eastAsia="en-IE"/>
        </w:rPr>
        <w:t>ailable on the home page of the</w:t>
      </w:r>
      <w:r w:rsidRPr="002C6872">
        <w:rPr>
          <w:lang w:eastAsia="en-IE"/>
        </w:rPr>
        <w:t xml:space="preserve"> website.</w:t>
      </w:r>
    </w:p>
    <w:p w14:paraId="1F902CA7" w14:textId="77777777" w:rsidR="00A402DE" w:rsidRPr="002C6872" w:rsidRDefault="00A402DE" w:rsidP="00A402DE">
      <w:pPr>
        <w:pStyle w:val="Heading2"/>
      </w:pPr>
      <w:bookmarkStart w:id="239" w:name="_Toc299362550"/>
      <w:bookmarkStart w:id="240" w:name="_Toc300742159"/>
      <w:bookmarkStart w:id="241" w:name="_Toc300742908"/>
      <w:bookmarkStart w:id="242" w:name="_Toc300744260"/>
      <w:r w:rsidRPr="002C6872">
        <w:t>Communication Strategy</w:t>
      </w:r>
      <w:bookmarkEnd w:id="239"/>
      <w:bookmarkEnd w:id="240"/>
      <w:bookmarkEnd w:id="241"/>
      <w:bookmarkEnd w:id="242"/>
    </w:p>
    <w:p w14:paraId="790DC713" w14:textId="77777777" w:rsidR="00331BFB" w:rsidRPr="002C6872" w:rsidRDefault="00A402DE" w:rsidP="00331BFB">
      <w:pPr>
        <w:rPr>
          <w:rFonts w:cs="Arial"/>
          <w:b/>
          <w:color w:val="000000"/>
        </w:rPr>
      </w:pPr>
      <w:r w:rsidRPr="002C6872">
        <w:t xml:space="preserve">Following consultation with </w:t>
      </w:r>
      <w:r w:rsidR="008C1AAD" w:rsidRPr="002C6872">
        <w:t xml:space="preserve">National Disability </w:t>
      </w:r>
      <w:r w:rsidR="00F46B8F" w:rsidRPr="002C6872">
        <w:t>Authority’s</w:t>
      </w:r>
      <w:r w:rsidRPr="002C6872">
        <w:t xml:space="preserve"> external stakeholders, and internally with staff, </w:t>
      </w:r>
      <w:r w:rsidR="00F46B8F" w:rsidRPr="002C6872">
        <w:t>a</w:t>
      </w:r>
      <w:r w:rsidRPr="002C6872">
        <w:t xml:space="preserve"> </w:t>
      </w:r>
      <w:r w:rsidRPr="002C6872">
        <w:rPr>
          <w:b/>
        </w:rPr>
        <w:t>Communication Strategy 2010-2012</w:t>
      </w:r>
      <w:r w:rsidRPr="002C6872">
        <w:t xml:space="preserve"> and associated action plan was developed</w:t>
      </w:r>
      <w:r w:rsidR="00331BFB" w:rsidRPr="002C6872">
        <w:rPr>
          <w:rFonts w:cs="Arial"/>
          <w:color w:val="000000"/>
        </w:rPr>
        <w:t xml:space="preserve"> </w:t>
      </w:r>
      <w:r w:rsidR="007E59AC" w:rsidRPr="002C6872">
        <w:rPr>
          <w:rFonts w:cs="Arial"/>
          <w:color w:val="000000"/>
        </w:rPr>
        <w:t>to</w:t>
      </w:r>
      <w:r w:rsidR="00331BFB" w:rsidRPr="002C6872">
        <w:rPr>
          <w:rFonts w:cs="Arial"/>
          <w:color w:val="000000"/>
        </w:rPr>
        <w:t xml:space="preserve"> </w:t>
      </w:r>
      <w:r w:rsidR="007E59AC" w:rsidRPr="002C6872">
        <w:rPr>
          <w:rFonts w:cs="Arial"/>
          <w:color w:val="000000"/>
        </w:rPr>
        <w:t xml:space="preserve">support the </w:t>
      </w:r>
      <w:r w:rsidR="00331BFB" w:rsidRPr="002C6872">
        <w:rPr>
          <w:rFonts w:cs="Arial"/>
          <w:color w:val="000000"/>
        </w:rPr>
        <w:t xml:space="preserve">delivery of the </w:t>
      </w:r>
      <w:r w:rsidR="00331BFB" w:rsidRPr="002C6872">
        <w:rPr>
          <w:rFonts w:cs="Arial"/>
          <w:b/>
          <w:color w:val="000000"/>
        </w:rPr>
        <w:t xml:space="preserve">Strategic Plan 2010-2012. </w:t>
      </w:r>
    </w:p>
    <w:p w14:paraId="209B1DE3" w14:textId="77777777" w:rsidR="00331BFB" w:rsidRPr="002C6872" w:rsidRDefault="00331BFB" w:rsidP="00331BFB">
      <w:pPr>
        <w:pStyle w:val="Heading2"/>
      </w:pPr>
      <w:bookmarkStart w:id="243" w:name="_Toc299362551"/>
      <w:bookmarkStart w:id="244" w:name="_Toc300742160"/>
      <w:bookmarkStart w:id="245" w:name="_Toc300742909"/>
      <w:bookmarkStart w:id="246" w:name="_Toc300744261"/>
      <w:r w:rsidRPr="002C6872">
        <w:t>Health and Safety</w:t>
      </w:r>
      <w:bookmarkEnd w:id="243"/>
      <w:bookmarkEnd w:id="244"/>
      <w:bookmarkEnd w:id="245"/>
      <w:bookmarkEnd w:id="246"/>
    </w:p>
    <w:p w14:paraId="79D65C36" w14:textId="77777777" w:rsidR="00331BFB" w:rsidRPr="002C6872" w:rsidRDefault="00331BFB" w:rsidP="00331BFB">
      <w:pPr>
        <w:rPr>
          <w:rFonts w:cs="Arial"/>
          <w:color w:val="000000"/>
          <w:lang w:eastAsia="en-IE"/>
        </w:rPr>
      </w:pPr>
      <w:r w:rsidRPr="002C6872">
        <w:rPr>
          <w:rFonts w:cs="Arial"/>
          <w:color w:val="000000"/>
          <w:lang w:eastAsia="en-IE"/>
        </w:rPr>
        <w:t>As part of the on-going work under health and safety to enhance the overall accessibility of evacuation rout</w:t>
      </w:r>
      <w:r w:rsidR="00F46B8F" w:rsidRPr="002C6872">
        <w:rPr>
          <w:rFonts w:cs="Arial"/>
          <w:color w:val="000000"/>
          <w:lang w:eastAsia="en-IE"/>
        </w:rPr>
        <w:t>es</w:t>
      </w:r>
      <w:r w:rsidRPr="002C6872">
        <w:rPr>
          <w:rFonts w:cs="Arial"/>
          <w:color w:val="000000"/>
          <w:lang w:eastAsia="en-IE"/>
        </w:rPr>
        <w:t>, the up</w:t>
      </w:r>
      <w:r w:rsidR="007E59AC" w:rsidRPr="002C6872">
        <w:rPr>
          <w:rFonts w:cs="Arial"/>
          <w:color w:val="000000"/>
          <w:lang w:eastAsia="en-IE"/>
        </w:rPr>
        <w:t>grade of the front building lift</w:t>
      </w:r>
      <w:r w:rsidRPr="002C6872">
        <w:rPr>
          <w:rFonts w:cs="Arial"/>
          <w:color w:val="000000"/>
          <w:lang w:eastAsia="en-IE"/>
        </w:rPr>
        <w:t xml:space="preserve"> for use in an emergency evacuation was completed. </w:t>
      </w:r>
    </w:p>
    <w:p w14:paraId="2F9C8026" w14:textId="77777777" w:rsidR="007E59AC" w:rsidRPr="002C6872" w:rsidRDefault="007E59AC" w:rsidP="007E59AC">
      <w:pPr>
        <w:pStyle w:val="Heading2"/>
      </w:pPr>
      <w:bookmarkStart w:id="247" w:name="_Toc299362552"/>
      <w:bookmarkStart w:id="248" w:name="_Toc300742161"/>
      <w:bookmarkStart w:id="249" w:name="_Toc300742910"/>
      <w:bookmarkStart w:id="250" w:name="_Toc300744262"/>
      <w:r w:rsidRPr="002C6872">
        <w:t>Library Service</w:t>
      </w:r>
      <w:bookmarkEnd w:id="247"/>
      <w:bookmarkEnd w:id="248"/>
      <w:bookmarkEnd w:id="249"/>
      <w:bookmarkEnd w:id="250"/>
    </w:p>
    <w:p w14:paraId="21ED0773" w14:textId="77777777" w:rsidR="007E59AC" w:rsidRPr="002C6872" w:rsidRDefault="007E59AC" w:rsidP="007E59AC">
      <w:r w:rsidRPr="002C6872">
        <w:t xml:space="preserve">The </w:t>
      </w:r>
      <w:r w:rsidR="008C1AAD" w:rsidRPr="002C6872">
        <w:t xml:space="preserve">National Disability </w:t>
      </w:r>
      <w:r w:rsidR="00F46B8F" w:rsidRPr="002C6872">
        <w:t xml:space="preserve">Authority </w:t>
      </w:r>
      <w:r w:rsidRPr="002C6872">
        <w:t xml:space="preserve">holds over 55,000 items on disability and related topics, providing a resource to support evidence-based information, </w:t>
      </w:r>
      <w:proofErr w:type="gramStart"/>
      <w:r w:rsidRPr="002C6872">
        <w:t>advice</w:t>
      </w:r>
      <w:proofErr w:type="gramEnd"/>
      <w:r w:rsidRPr="002C6872">
        <w:t xml:space="preserve"> and guidance. The extensive collection is made up of books, journals, newsletters, newspaper articles, DVDs, </w:t>
      </w:r>
      <w:proofErr w:type="gramStart"/>
      <w:r w:rsidRPr="002C6872">
        <w:t>videos</w:t>
      </w:r>
      <w:proofErr w:type="gramEnd"/>
      <w:r w:rsidRPr="002C6872">
        <w:t xml:space="preserve"> and CD-ROMs. As well as offering an online catalogue, the </w:t>
      </w:r>
      <w:proofErr w:type="gramStart"/>
      <w:r w:rsidRPr="002C6872">
        <w:t>Library</w:t>
      </w:r>
      <w:proofErr w:type="gramEnd"/>
      <w:r w:rsidRPr="002C6872">
        <w:t xml:space="preserve"> also provides books and journal articles by post. People can visit the </w:t>
      </w:r>
      <w:proofErr w:type="gramStart"/>
      <w:r w:rsidRPr="002C6872">
        <w:t>Library</w:t>
      </w:r>
      <w:proofErr w:type="gramEnd"/>
      <w:r w:rsidRPr="002C6872">
        <w:t xml:space="preserve"> for more in-depth work. The </w:t>
      </w:r>
      <w:proofErr w:type="gramStart"/>
      <w:r w:rsidRPr="002C6872">
        <w:t>Library</w:t>
      </w:r>
      <w:proofErr w:type="gramEnd"/>
      <w:r w:rsidRPr="002C6872">
        <w:t xml:space="preserve"> also sources books and articles, for staff, from other larger library resources. The </w:t>
      </w:r>
      <w:proofErr w:type="gramStart"/>
      <w:r w:rsidRPr="002C6872">
        <w:t>Library</w:t>
      </w:r>
      <w:proofErr w:type="gramEnd"/>
      <w:r w:rsidRPr="002C6872">
        <w:t xml:space="preserve"> is operated on a part-time basis, providing telephone access each weekday morning and taking appointments for two days each week. </w:t>
      </w:r>
    </w:p>
    <w:p w14:paraId="1D4391DC" w14:textId="77777777" w:rsidR="007E59AC" w:rsidRPr="002C6872" w:rsidRDefault="007E59AC" w:rsidP="00331BFB">
      <w:r w:rsidRPr="002C6872">
        <w:t xml:space="preserve">During 2010, the </w:t>
      </w:r>
      <w:proofErr w:type="gramStart"/>
      <w:r w:rsidRPr="002C6872">
        <w:t>Library</w:t>
      </w:r>
      <w:proofErr w:type="gramEnd"/>
      <w:r w:rsidRPr="002C6872">
        <w:t xml:space="preserve"> answered 935 queries (one-third of which came from staff), with 49 new members joining up during the year. The </w:t>
      </w:r>
      <w:proofErr w:type="gramStart"/>
      <w:r w:rsidRPr="002C6872">
        <w:t>Library</w:t>
      </w:r>
      <w:proofErr w:type="gramEnd"/>
      <w:r w:rsidRPr="002C6872">
        <w:t xml:space="preserve"> also provided 192 books on loan and 272 journal articles.</w:t>
      </w:r>
    </w:p>
    <w:p w14:paraId="443F588C" w14:textId="77777777" w:rsidR="00872C46" w:rsidRDefault="00B3690F" w:rsidP="00CF6F27">
      <w:pPr>
        <w:pStyle w:val="Heading1"/>
      </w:pPr>
      <w:bookmarkStart w:id="251" w:name="_Toc299360697"/>
      <w:bookmarkStart w:id="252" w:name="_Toc299362479"/>
      <w:bookmarkStart w:id="253" w:name="_Toc299362553"/>
      <w:bookmarkStart w:id="254" w:name="_Toc300742162"/>
      <w:bookmarkStart w:id="255" w:name="_Toc300742911"/>
      <w:r>
        <w:br w:type="page"/>
      </w:r>
      <w:bookmarkStart w:id="256" w:name="_Toc300744263"/>
      <w:bookmarkStart w:id="257" w:name="_Toc304371204"/>
      <w:bookmarkStart w:id="258" w:name="_Toc304381923"/>
      <w:r w:rsidR="00872C46">
        <w:lastRenderedPageBreak/>
        <w:br w:type="page"/>
      </w:r>
      <w:r w:rsidR="00444647">
        <w:lastRenderedPageBreak/>
        <w:t>Financial Statements 2010</w:t>
      </w:r>
      <w:bookmarkEnd w:id="251"/>
      <w:bookmarkEnd w:id="252"/>
      <w:bookmarkEnd w:id="253"/>
      <w:bookmarkEnd w:id="254"/>
      <w:bookmarkEnd w:id="255"/>
      <w:bookmarkEnd w:id="256"/>
      <w:bookmarkEnd w:id="257"/>
      <w:bookmarkEnd w:id="258"/>
    </w:p>
    <w:p w14:paraId="4D34D278" w14:textId="77777777" w:rsidR="00B3690F" w:rsidRDefault="00872C46" w:rsidP="00CF6F27">
      <w:pPr>
        <w:pStyle w:val="Heading1"/>
      </w:pPr>
      <w:r>
        <w:br w:type="page"/>
      </w:r>
    </w:p>
    <w:p w14:paraId="7E7B16BD" w14:textId="77777777" w:rsidR="00444647" w:rsidRDefault="00444647" w:rsidP="00444647">
      <w:pPr>
        <w:pStyle w:val="Heading1"/>
      </w:pPr>
      <w:r>
        <w:lastRenderedPageBreak/>
        <w:br w:type="page"/>
      </w:r>
      <w:bookmarkStart w:id="259" w:name="_Toc299360698"/>
      <w:bookmarkStart w:id="260" w:name="_Toc299361976"/>
      <w:bookmarkStart w:id="261" w:name="_Toc299362480"/>
      <w:bookmarkStart w:id="262" w:name="_Toc299362554"/>
      <w:bookmarkStart w:id="263" w:name="_Toc300741420"/>
      <w:bookmarkStart w:id="264" w:name="_Toc300741734"/>
      <w:bookmarkStart w:id="265" w:name="_Toc300742163"/>
      <w:bookmarkStart w:id="266" w:name="_Toc300742912"/>
      <w:bookmarkStart w:id="267" w:name="_Toc300744264"/>
      <w:bookmarkStart w:id="268" w:name="_Toc304371205"/>
      <w:bookmarkStart w:id="269" w:name="_Toc304381924"/>
      <w:r>
        <w:lastRenderedPageBreak/>
        <w:t>Contents</w:t>
      </w:r>
      <w:bookmarkEnd w:id="259"/>
      <w:bookmarkEnd w:id="260"/>
      <w:bookmarkEnd w:id="261"/>
      <w:bookmarkEnd w:id="262"/>
      <w:bookmarkEnd w:id="263"/>
      <w:bookmarkEnd w:id="264"/>
      <w:bookmarkEnd w:id="265"/>
      <w:bookmarkEnd w:id="266"/>
      <w:bookmarkEnd w:id="267"/>
      <w:bookmarkEnd w:id="268"/>
      <w:bookmarkEnd w:id="269"/>
    </w:p>
    <w:p w14:paraId="532445FF" w14:textId="77777777" w:rsidR="003F4DEE" w:rsidRDefault="00CF6F27" w:rsidP="00716D67">
      <w:pPr>
        <w:pStyle w:val="TOC1"/>
        <w:rPr>
          <w:rFonts w:ascii="Times New Roman" w:hAnsi="Times New Roman"/>
          <w:lang w:val="en-GB" w:eastAsia="en-GB"/>
        </w:rPr>
      </w:pPr>
      <w:r>
        <w:fldChar w:fldCharType="begin"/>
      </w:r>
      <w:r>
        <w:instrText xml:space="preserve"> TOC \o "1-2" \h \z \u </w:instrText>
      </w:r>
      <w:r>
        <w:fldChar w:fldCharType="separate"/>
      </w:r>
      <w:hyperlink w:anchor="_Toc300742913" w:history="1">
        <w:r w:rsidR="003F4DEE" w:rsidRPr="00234276">
          <w:rPr>
            <w:rStyle w:val="Hyperlink"/>
          </w:rPr>
          <w:t>National Disability Authority Members and other Information</w:t>
        </w:r>
        <w:r w:rsidR="003F4DEE">
          <w:rPr>
            <w:webHidden/>
          </w:rPr>
          <w:tab/>
        </w:r>
        <w:r w:rsidR="003F4DEE">
          <w:rPr>
            <w:webHidden/>
          </w:rPr>
          <w:fldChar w:fldCharType="begin"/>
        </w:r>
        <w:r w:rsidR="003F4DEE">
          <w:rPr>
            <w:webHidden/>
          </w:rPr>
          <w:instrText xml:space="preserve"> PAGEREF _Toc300742913 \h </w:instrText>
        </w:r>
        <w:r w:rsidR="003F4DEE">
          <w:rPr>
            <w:webHidden/>
          </w:rPr>
          <w:fldChar w:fldCharType="separate"/>
        </w:r>
        <w:r w:rsidR="00C7626C">
          <w:rPr>
            <w:webHidden/>
          </w:rPr>
          <w:t>35</w:t>
        </w:r>
        <w:r w:rsidR="003F4DEE">
          <w:rPr>
            <w:webHidden/>
          </w:rPr>
          <w:fldChar w:fldCharType="end"/>
        </w:r>
      </w:hyperlink>
    </w:p>
    <w:p w14:paraId="319E32DC" w14:textId="77777777" w:rsidR="003F4DEE" w:rsidRDefault="003F4DEE" w:rsidP="003F4DEE">
      <w:pPr>
        <w:pStyle w:val="TOC2"/>
        <w:tabs>
          <w:tab w:val="right" w:leader="dot" w:pos="8636"/>
        </w:tabs>
        <w:ind w:left="0"/>
        <w:rPr>
          <w:rFonts w:ascii="Times New Roman" w:hAnsi="Times New Roman"/>
          <w:noProof/>
          <w:lang w:val="en-GB" w:eastAsia="en-GB"/>
        </w:rPr>
      </w:pPr>
      <w:hyperlink w:anchor="_Toc300742915" w:history="1">
        <w:r w:rsidRPr="00234276">
          <w:rPr>
            <w:rStyle w:val="Hyperlink"/>
            <w:noProof/>
          </w:rPr>
          <w:t>NDA Functions and Powers</w:t>
        </w:r>
        <w:r>
          <w:rPr>
            <w:noProof/>
            <w:webHidden/>
          </w:rPr>
          <w:tab/>
        </w:r>
        <w:r>
          <w:rPr>
            <w:noProof/>
            <w:webHidden/>
          </w:rPr>
          <w:fldChar w:fldCharType="begin"/>
        </w:r>
        <w:r>
          <w:rPr>
            <w:noProof/>
            <w:webHidden/>
          </w:rPr>
          <w:instrText xml:space="preserve"> PAGEREF _Toc300742915 \h </w:instrText>
        </w:r>
        <w:r w:rsidR="00716D67">
          <w:rPr>
            <w:noProof/>
          </w:rPr>
        </w:r>
        <w:r>
          <w:rPr>
            <w:noProof/>
            <w:webHidden/>
          </w:rPr>
          <w:fldChar w:fldCharType="separate"/>
        </w:r>
        <w:r w:rsidR="00C7626C">
          <w:rPr>
            <w:noProof/>
            <w:webHidden/>
          </w:rPr>
          <w:t>37</w:t>
        </w:r>
        <w:r>
          <w:rPr>
            <w:noProof/>
            <w:webHidden/>
          </w:rPr>
          <w:fldChar w:fldCharType="end"/>
        </w:r>
      </w:hyperlink>
    </w:p>
    <w:p w14:paraId="1D11F8FE" w14:textId="77777777" w:rsidR="003F4DEE" w:rsidRDefault="003F4DEE" w:rsidP="00716D67">
      <w:pPr>
        <w:pStyle w:val="TOC1"/>
        <w:rPr>
          <w:rFonts w:ascii="Times New Roman" w:hAnsi="Times New Roman"/>
          <w:lang w:val="en-GB" w:eastAsia="en-GB"/>
        </w:rPr>
      </w:pPr>
      <w:hyperlink w:anchor="_Toc300742917" w:history="1">
        <w:r w:rsidRPr="00234276">
          <w:rPr>
            <w:rStyle w:val="Hyperlink"/>
          </w:rPr>
          <w:t>Statement of Responsibilities of Authority Members</w:t>
        </w:r>
        <w:r>
          <w:rPr>
            <w:webHidden/>
          </w:rPr>
          <w:tab/>
        </w:r>
        <w:r>
          <w:rPr>
            <w:webHidden/>
          </w:rPr>
          <w:fldChar w:fldCharType="begin"/>
        </w:r>
        <w:r>
          <w:rPr>
            <w:webHidden/>
          </w:rPr>
          <w:instrText xml:space="preserve"> PAGEREF _Toc300742917 \h </w:instrText>
        </w:r>
        <w:r>
          <w:rPr>
            <w:webHidden/>
          </w:rPr>
          <w:fldChar w:fldCharType="separate"/>
        </w:r>
        <w:r w:rsidR="00C7626C">
          <w:rPr>
            <w:webHidden/>
          </w:rPr>
          <w:t>39</w:t>
        </w:r>
        <w:r>
          <w:rPr>
            <w:webHidden/>
          </w:rPr>
          <w:fldChar w:fldCharType="end"/>
        </w:r>
      </w:hyperlink>
    </w:p>
    <w:p w14:paraId="5589DE4C" w14:textId="77777777" w:rsidR="003F4DEE" w:rsidRDefault="003F4DEE" w:rsidP="00716D67">
      <w:pPr>
        <w:pStyle w:val="TOC1"/>
        <w:rPr>
          <w:rFonts w:ascii="Times New Roman" w:hAnsi="Times New Roman"/>
          <w:lang w:val="en-GB" w:eastAsia="en-GB"/>
        </w:rPr>
      </w:pPr>
      <w:hyperlink w:anchor="_Toc300742918" w:history="1">
        <w:r w:rsidRPr="00234276">
          <w:rPr>
            <w:rStyle w:val="Hyperlink"/>
          </w:rPr>
          <w:t>Statement on Internal Financial Control</w:t>
        </w:r>
        <w:r>
          <w:rPr>
            <w:webHidden/>
          </w:rPr>
          <w:tab/>
        </w:r>
        <w:r>
          <w:rPr>
            <w:webHidden/>
          </w:rPr>
          <w:fldChar w:fldCharType="begin"/>
        </w:r>
        <w:r>
          <w:rPr>
            <w:webHidden/>
          </w:rPr>
          <w:instrText xml:space="preserve"> PAGEREF _Toc300742918 \h </w:instrText>
        </w:r>
        <w:r>
          <w:rPr>
            <w:webHidden/>
          </w:rPr>
          <w:fldChar w:fldCharType="separate"/>
        </w:r>
        <w:r w:rsidR="00C7626C">
          <w:rPr>
            <w:webHidden/>
          </w:rPr>
          <w:t>40</w:t>
        </w:r>
        <w:r>
          <w:rPr>
            <w:webHidden/>
          </w:rPr>
          <w:fldChar w:fldCharType="end"/>
        </w:r>
      </w:hyperlink>
    </w:p>
    <w:p w14:paraId="2521E207" w14:textId="77777777" w:rsidR="003F4DEE" w:rsidRDefault="003F4DEE" w:rsidP="00716D67">
      <w:pPr>
        <w:pStyle w:val="TOC1"/>
        <w:rPr>
          <w:rFonts w:ascii="Times New Roman" w:hAnsi="Times New Roman"/>
          <w:lang w:val="en-GB" w:eastAsia="en-GB"/>
        </w:rPr>
      </w:pPr>
      <w:hyperlink w:anchor="_Toc300742919" w:history="1">
        <w:r w:rsidRPr="00234276">
          <w:rPr>
            <w:rStyle w:val="Hyperlink"/>
          </w:rPr>
          <w:t>Report of the Comptroller and Auditor General</w:t>
        </w:r>
        <w:r>
          <w:rPr>
            <w:webHidden/>
          </w:rPr>
          <w:tab/>
        </w:r>
        <w:r>
          <w:rPr>
            <w:webHidden/>
          </w:rPr>
          <w:fldChar w:fldCharType="begin"/>
        </w:r>
        <w:r>
          <w:rPr>
            <w:webHidden/>
          </w:rPr>
          <w:instrText xml:space="preserve"> PAGEREF _Toc300742919 \h </w:instrText>
        </w:r>
        <w:r>
          <w:rPr>
            <w:webHidden/>
          </w:rPr>
          <w:fldChar w:fldCharType="separate"/>
        </w:r>
        <w:r w:rsidR="00C7626C">
          <w:rPr>
            <w:webHidden/>
          </w:rPr>
          <w:t>43</w:t>
        </w:r>
        <w:r>
          <w:rPr>
            <w:webHidden/>
          </w:rPr>
          <w:fldChar w:fldCharType="end"/>
        </w:r>
      </w:hyperlink>
    </w:p>
    <w:p w14:paraId="1FE8E6E9" w14:textId="77777777" w:rsidR="003F4DEE" w:rsidRDefault="003F4DEE" w:rsidP="00716D67">
      <w:pPr>
        <w:pStyle w:val="TOC1"/>
        <w:rPr>
          <w:rFonts w:ascii="Times New Roman" w:hAnsi="Times New Roman"/>
          <w:lang w:val="en-GB" w:eastAsia="en-GB"/>
        </w:rPr>
      </w:pPr>
      <w:hyperlink w:anchor="_Toc300742925" w:history="1">
        <w:r w:rsidRPr="00234276">
          <w:rPr>
            <w:rStyle w:val="Hyperlink"/>
          </w:rPr>
          <w:t>Statement of Accounting Policies</w:t>
        </w:r>
        <w:r>
          <w:rPr>
            <w:webHidden/>
          </w:rPr>
          <w:tab/>
        </w:r>
        <w:r>
          <w:rPr>
            <w:webHidden/>
          </w:rPr>
          <w:fldChar w:fldCharType="begin"/>
        </w:r>
        <w:r>
          <w:rPr>
            <w:webHidden/>
          </w:rPr>
          <w:instrText xml:space="preserve"> PAGEREF _Toc300742925 \h </w:instrText>
        </w:r>
        <w:r>
          <w:rPr>
            <w:webHidden/>
          </w:rPr>
          <w:fldChar w:fldCharType="separate"/>
        </w:r>
        <w:r w:rsidR="00C7626C">
          <w:rPr>
            <w:webHidden/>
          </w:rPr>
          <w:t>45</w:t>
        </w:r>
        <w:r>
          <w:rPr>
            <w:webHidden/>
          </w:rPr>
          <w:fldChar w:fldCharType="end"/>
        </w:r>
      </w:hyperlink>
    </w:p>
    <w:p w14:paraId="44EF2D3F" w14:textId="77777777" w:rsidR="003F4DEE" w:rsidRDefault="003F4DEE" w:rsidP="003F4DEE">
      <w:pPr>
        <w:pStyle w:val="TOC2"/>
        <w:tabs>
          <w:tab w:val="right" w:leader="dot" w:pos="8636"/>
        </w:tabs>
        <w:ind w:left="0"/>
        <w:rPr>
          <w:rFonts w:ascii="Times New Roman" w:hAnsi="Times New Roman"/>
          <w:noProof/>
          <w:lang w:val="en-GB" w:eastAsia="en-GB"/>
        </w:rPr>
      </w:pPr>
      <w:hyperlink w:anchor="_Toc300742932" w:history="1">
        <w:r>
          <w:rPr>
            <w:rStyle w:val="Hyperlink"/>
            <w:noProof/>
          </w:rPr>
          <w:t xml:space="preserve">Income and Expenditure Account </w:t>
        </w:r>
        <w:r>
          <w:rPr>
            <w:noProof/>
            <w:webHidden/>
          </w:rPr>
          <w:tab/>
        </w:r>
        <w:r>
          <w:rPr>
            <w:noProof/>
            <w:webHidden/>
          </w:rPr>
          <w:fldChar w:fldCharType="begin"/>
        </w:r>
        <w:r>
          <w:rPr>
            <w:noProof/>
            <w:webHidden/>
          </w:rPr>
          <w:instrText xml:space="preserve"> PAGEREF _Toc300742932 \h </w:instrText>
        </w:r>
        <w:r w:rsidR="00716D67">
          <w:rPr>
            <w:noProof/>
          </w:rPr>
        </w:r>
        <w:r>
          <w:rPr>
            <w:noProof/>
            <w:webHidden/>
          </w:rPr>
          <w:fldChar w:fldCharType="separate"/>
        </w:r>
        <w:r w:rsidR="00C7626C">
          <w:rPr>
            <w:noProof/>
            <w:webHidden/>
          </w:rPr>
          <w:t>47</w:t>
        </w:r>
        <w:r>
          <w:rPr>
            <w:noProof/>
            <w:webHidden/>
          </w:rPr>
          <w:fldChar w:fldCharType="end"/>
        </w:r>
      </w:hyperlink>
    </w:p>
    <w:p w14:paraId="26A790FF" w14:textId="77777777" w:rsidR="003F4DEE" w:rsidRDefault="003F4DEE" w:rsidP="003F4DEE">
      <w:pPr>
        <w:pStyle w:val="TOC2"/>
        <w:tabs>
          <w:tab w:val="right" w:leader="dot" w:pos="8636"/>
        </w:tabs>
        <w:ind w:left="0"/>
        <w:rPr>
          <w:rFonts w:ascii="Times New Roman" w:hAnsi="Times New Roman"/>
          <w:noProof/>
          <w:lang w:val="en-GB" w:eastAsia="en-GB"/>
        </w:rPr>
      </w:pPr>
      <w:hyperlink w:anchor="_Toc300742933" w:history="1">
        <w:r w:rsidRPr="00234276">
          <w:rPr>
            <w:rStyle w:val="Hyperlink"/>
            <w:noProof/>
            <w:lang w:val="en-GB" w:eastAsia="en-GB"/>
          </w:rPr>
          <w:t>Balance Sheet</w:t>
        </w:r>
        <w:r>
          <w:rPr>
            <w:noProof/>
            <w:webHidden/>
          </w:rPr>
          <w:tab/>
        </w:r>
        <w:r>
          <w:rPr>
            <w:noProof/>
            <w:webHidden/>
          </w:rPr>
          <w:fldChar w:fldCharType="begin"/>
        </w:r>
        <w:r>
          <w:rPr>
            <w:noProof/>
            <w:webHidden/>
          </w:rPr>
          <w:instrText xml:space="preserve"> PAGEREF _Toc300742933 \h </w:instrText>
        </w:r>
        <w:r w:rsidR="00716D67">
          <w:rPr>
            <w:noProof/>
          </w:rPr>
        </w:r>
        <w:r>
          <w:rPr>
            <w:noProof/>
            <w:webHidden/>
          </w:rPr>
          <w:fldChar w:fldCharType="separate"/>
        </w:r>
        <w:r w:rsidR="00C7626C">
          <w:rPr>
            <w:noProof/>
            <w:webHidden/>
          </w:rPr>
          <w:t>48</w:t>
        </w:r>
        <w:r>
          <w:rPr>
            <w:noProof/>
            <w:webHidden/>
          </w:rPr>
          <w:fldChar w:fldCharType="end"/>
        </w:r>
      </w:hyperlink>
    </w:p>
    <w:p w14:paraId="05724894" w14:textId="77777777" w:rsidR="003F4DEE" w:rsidRDefault="003F4DEE" w:rsidP="003F4DEE">
      <w:pPr>
        <w:pStyle w:val="TOC2"/>
        <w:tabs>
          <w:tab w:val="right" w:leader="dot" w:pos="8636"/>
        </w:tabs>
        <w:ind w:left="0"/>
        <w:rPr>
          <w:rFonts w:ascii="Times New Roman" w:hAnsi="Times New Roman"/>
          <w:noProof/>
          <w:lang w:val="en-GB" w:eastAsia="en-GB"/>
        </w:rPr>
      </w:pPr>
      <w:hyperlink w:anchor="_Toc300742934" w:history="1">
        <w:r w:rsidRPr="00234276">
          <w:rPr>
            <w:rStyle w:val="Hyperlink"/>
            <w:noProof/>
            <w:lang w:val="en-GB" w:eastAsia="en-GB"/>
          </w:rPr>
          <w:t>Cash Flow Statement</w:t>
        </w:r>
        <w:r>
          <w:rPr>
            <w:noProof/>
            <w:webHidden/>
          </w:rPr>
          <w:tab/>
        </w:r>
        <w:r>
          <w:rPr>
            <w:noProof/>
            <w:webHidden/>
          </w:rPr>
          <w:fldChar w:fldCharType="begin"/>
        </w:r>
        <w:r>
          <w:rPr>
            <w:noProof/>
            <w:webHidden/>
          </w:rPr>
          <w:instrText xml:space="preserve"> PAGEREF _Toc300742934 \h </w:instrText>
        </w:r>
        <w:r w:rsidR="00716D67">
          <w:rPr>
            <w:noProof/>
          </w:rPr>
        </w:r>
        <w:r>
          <w:rPr>
            <w:noProof/>
            <w:webHidden/>
          </w:rPr>
          <w:fldChar w:fldCharType="separate"/>
        </w:r>
        <w:r w:rsidR="00C7626C">
          <w:rPr>
            <w:noProof/>
            <w:webHidden/>
          </w:rPr>
          <w:t>49</w:t>
        </w:r>
        <w:r>
          <w:rPr>
            <w:noProof/>
            <w:webHidden/>
          </w:rPr>
          <w:fldChar w:fldCharType="end"/>
        </w:r>
      </w:hyperlink>
    </w:p>
    <w:p w14:paraId="0C570340" w14:textId="77777777" w:rsidR="003F4DEE" w:rsidRDefault="003F4DEE" w:rsidP="003F4DEE">
      <w:pPr>
        <w:pStyle w:val="TOC2"/>
        <w:tabs>
          <w:tab w:val="right" w:leader="dot" w:pos="8636"/>
        </w:tabs>
        <w:ind w:left="0"/>
      </w:pPr>
      <w:hyperlink w:anchor="_Toc300742935" w:history="1">
        <w:r w:rsidRPr="00234276">
          <w:rPr>
            <w:rStyle w:val="Hyperlink"/>
            <w:noProof/>
          </w:rPr>
          <w:t>Notes to Financial</w:t>
        </w:r>
        <w:r w:rsidRPr="00234276">
          <w:rPr>
            <w:rStyle w:val="Hyperlink"/>
            <w:noProof/>
          </w:rPr>
          <w:t xml:space="preserve"> </w:t>
        </w:r>
        <w:r w:rsidRPr="00234276">
          <w:rPr>
            <w:rStyle w:val="Hyperlink"/>
            <w:noProof/>
          </w:rPr>
          <w:t>Statements</w:t>
        </w:r>
        <w:r>
          <w:rPr>
            <w:noProof/>
            <w:webHidden/>
          </w:rPr>
          <w:tab/>
        </w:r>
        <w:r>
          <w:rPr>
            <w:noProof/>
            <w:webHidden/>
          </w:rPr>
          <w:fldChar w:fldCharType="begin"/>
        </w:r>
        <w:r>
          <w:rPr>
            <w:noProof/>
            <w:webHidden/>
          </w:rPr>
          <w:instrText xml:space="preserve"> PAGEREF _Toc300742935 \h </w:instrText>
        </w:r>
        <w:r w:rsidR="00716D67">
          <w:rPr>
            <w:noProof/>
          </w:rPr>
        </w:r>
        <w:r>
          <w:rPr>
            <w:noProof/>
            <w:webHidden/>
          </w:rPr>
          <w:fldChar w:fldCharType="separate"/>
        </w:r>
        <w:r w:rsidR="00C7626C">
          <w:rPr>
            <w:noProof/>
            <w:webHidden/>
          </w:rPr>
          <w:t>50</w:t>
        </w:r>
        <w:r>
          <w:rPr>
            <w:noProof/>
            <w:webHidden/>
          </w:rPr>
          <w:fldChar w:fldCharType="end"/>
        </w:r>
      </w:hyperlink>
      <w:r w:rsidR="00CF6F27">
        <w:fldChar w:fldCharType="end"/>
      </w:r>
      <w:r w:rsidR="00444647">
        <w:tab/>
      </w:r>
      <w:bookmarkStart w:id="270" w:name="_Toc299360699"/>
      <w:bookmarkStart w:id="271" w:name="_Toc299361977"/>
      <w:bookmarkStart w:id="272" w:name="_Toc299362481"/>
      <w:bookmarkStart w:id="273" w:name="_Toc299362555"/>
      <w:bookmarkStart w:id="274" w:name="_Toc300741421"/>
      <w:bookmarkStart w:id="275" w:name="_Toc300741735"/>
    </w:p>
    <w:p w14:paraId="01246B8C" w14:textId="77777777" w:rsidR="00444647" w:rsidRDefault="003F4DEE" w:rsidP="003F4DEE">
      <w:pPr>
        <w:pStyle w:val="Heading2"/>
      </w:pPr>
      <w:r>
        <w:br w:type="page"/>
      </w:r>
      <w:bookmarkStart w:id="276" w:name="_Toc300742913"/>
      <w:bookmarkStart w:id="277" w:name="_Toc300744265"/>
      <w:r w:rsidR="00130803">
        <w:lastRenderedPageBreak/>
        <w:t xml:space="preserve">National Disability </w:t>
      </w:r>
      <w:r w:rsidR="00444647" w:rsidRPr="00300E3E">
        <w:t>Authority Members and other Information</w:t>
      </w:r>
      <w:bookmarkEnd w:id="270"/>
      <w:bookmarkEnd w:id="271"/>
      <w:bookmarkEnd w:id="272"/>
      <w:bookmarkEnd w:id="273"/>
      <w:bookmarkEnd w:id="274"/>
      <w:bookmarkEnd w:id="275"/>
      <w:bookmarkEnd w:id="276"/>
      <w:bookmarkEnd w:id="277"/>
    </w:p>
    <w:p w14:paraId="6D3E7D4C" w14:textId="77777777" w:rsidR="00130803" w:rsidRDefault="00130803" w:rsidP="00130803">
      <w:pPr>
        <w:pStyle w:val="TableTitle"/>
      </w:pPr>
      <w:r>
        <w:t>National Disability Authority Members</w:t>
      </w:r>
      <w:r w:rsidRPr="00130803">
        <w:t xml:space="preserve"> </w:t>
      </w:r>
      <w:r>
        <w:t>(January</w:t>
      </w:r>
      <w:r w:rsidR="005F16C7">
        <w:t xml:space="preserve"> 1st – December 31st</w:t>
      </w:r>
      <w:proofErr w:type="gramStart"/>
      <w:r>
        <w:t xml:space="preserve"> 2010</w:t>
      </w:r>
      <w:proofErr w:type="gramEnd"/>
      <w:r>
        <w:t>)</w:t>
      </w:r>
    </w:p>
    <w:tbl>
      <w:tblPr>
        <w:tblW w:w="9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214"/>
        <w:gridCol w:w="2810"/>
        <w:gridCol w:w="2034"/>
        <w:gridCol w:w="2034"/>
      </w:tblGrid>
      <w:tr w:rsidR="00444647" w:rsidRPr="00444647" w14:paraId="4CF046DE" w14:textId="77777777" w:rsidTr="00EE061F">
        <w:tblPrEx>
          <w:tblCellMar>
            <w:top w:w="0" w:type="dxa"/>
            <w:bottom w:w="0" w:type="dxa"/>
          </w:tblCellMar>
        </w:tblPrEx>
        <w:trPr>
          <w:tblHeader/>
        </w:trPr>
        <w:tc>
          <w:tcPr>
            <w:tcW w:w="2214" w:type="dxa"/>
            <w:shd w:val="clear" w:color="auto" w:fill="auto"/>
          </w:tcPr>
          <w:p w14:paraId="1159C998" w14:textId="77777777" w:rsidR="00444647" w:rsidRPr="00444647" w:rsidRDefault="00444647" w:rsidP="00130803">
            <w:pPr>
              <w:pStyle w:val="TableHead"/>
              <w:spacing w:line="240" w:lineRule="auto"/>
            </w:pPr>
          </w:p>
        </w:tc>
        <w:tc>
          <w:tcPr>
            <w:tcW w:w="2810" w:type="dxa"/>
            <w:shd w:val="clear" w:color="auto" w:fill="auto"/>
            <w:vAlign w:val="center"/>
          </w:tcPr>
          <w:p w14:paraId="3C978A56" w14:textId="77777777" w:rsidR="00444647" w:rsidRPr="00130803" w:rsidRDefault="00444647" w:rsidP="00130803">
            <w:pPr>
              <w:pStyle w:val="TableHead"/>
              <w:spacing w:line="240" w:lineRule="auto"/>
              <w:jc w:val="right"/>
              <w:rPr>
                <w:sz w:val="20"/>
                <w:szCs w:val="20"/>
              </w:rPr>
            </w:pPr>
            <w:r w:rsidRPr="00130803">
              <w:rPr>
                <w:rFonts w:cs="Arial"/>
                <w:sz w:val="20"/>
                <w:szCs w:val="20"/>
              </w:rPr>
              <w:t>Number of meetings attended during this period</w:t>
            </w:r>
          </w:p>
        </w:tc>
        <w:tc>
          <w:tcPr>
            <w:tcW w:w="2034" w:type="dxa"/>
            <w:shd w:val="clear" w:color="auto" w:fill="auto"/>
            <w:vAlign w:val="center"/>
          </w:tcPr>
          <w:p w14:paraId="1CA2CEF9" w14:textId="77777777" w:rsidR="00444647" w:rsidRPr="00130803" w:rsidRDefault="00444647" w:rsidP="00130803">
            <w:pPr>
              <w:pStyle w:val="TableHead"/>
              <w:spacing w:line="240" w:lineRule="auto"/>
              <w:jc w:val="right"/>
              <w:rPr>
                <w:rFonts w:cs="Arial"/>
                <w:sz w:val="20"/>
                <w:szCs w:val="20"/>
              </w:rPr>
            </w:pPr>
            <w:r w:rsidRPr="00130803">
              <w:rPr>
                <w:rFonts w:cs="Arial"/>
                <w:sz w:val="20"/>
                <w:szCs w:val="20"/>
              </w:rPr>
              <w:t>Fees</w:t>
            </w:r>
          </w:p>
        </w:tc>
        <w:tc>
          <w:tcPr>
            <w:tcW w:w="2034" w:type="dxa"/>
            <w:shd w:val="clear" w:color="auto" w:fill="auto"/>
            <w:vAlign w:val="center"/>
          </w:tcPr>
          <w:p w14:paraId="2CEAF61B" w14:textId="77777777" w:rsidR="00444647" w:rsidRPr="00130803" w:rsidRDefault="00444647" w:rsidP="00130803">
            <w:pPr>
              <w:pStyle w:val="TableHead"/>
              <w:spacing w:line="240" w:lineRule="auto"/>
              <w:jc w:val="right"/>
              <w:rPr>
                <w:rFonts w:cs="Arial"/>
                <w:sz w:val="20"/>
                <w:szCs w:val="20"/>
              </w:rPr>
            </w:pPr>
            <w:r w:rsidRPr="00130803">
              <w:rPr>
                <w:rFonts w:cs="Arial"/>
                <w:sz w:val="20"/>
                <w:szCs w:val="20"/>
              </w:rPr>
              <w:t>Expenses</w:t>
            </w:r>
          </w:p>
        </w:tc>
      </w:tr>
      <w:tr w:rsidR="00444647" w:rsidRPr="00444647" w14:paraId="5379BAA9" w14:textId="77777777" w:rsidTr="00EE061F">
        <w:tblPrEx>
          <w:tblCellMar>
            <w:top w:w="0" w:type="dxa"/>
            <w:bottom w:w="0" w:type="dxa"/>
          </w:tblCellMar>
        </w:tblPrEx>
        <w:tc>
          <w:tcPr>
            <w:tcW w:w="2214" w:type="dxa"/>
            <w:shd w:val="clear" w:color="auto" w:fill="auto"/>
          </w:tcPr>
          <w:p w14:paraId="38DBA36B" w14:textId="77777777" w:rsidR="00444647" w:rsidRPr="00860880" w:rsidRDefault="00444647" w:rsidP="00CA495E">
            <w:pPr>
              <w:pStyle w:val="TableNote"/>
              <w:spacing w:line="240" w:lineRule="auto"/>
              <w:jc w:val="left"/>
            </w:pPr>
            <w:r w:rsidRPr="00860880">
              <w:t xml:space="preserve">Mr. Peter Mc Kevitt, </w:t>
            </w:r>
            <w:r w:rsidR="00130803">
              <w:t>(</w:t>
            </w:r>
            <w:r w:rsidRPr="00860880">
              <w:t>Chairman</w:t>
            </w:r>
            <w:r w:rsidR="00130803">
              <w:t>)</w:t>
            </w:r>
            <w:r w:rsidRPr="00860880">
              <w:t xml:space="preserve"> </w:t>
            </w:r>
          </w:p>
        </w:tc>
        <w:tc>
          <w:tcPr>
            <w:tcW w:w="2810" w:type="dxa"/>
            <w:shd w:val="clear" w:color="auto" w:fill="auto"/>
            <w:vAlign w:val="center"/>
          </w:tcPr>
          <w:p w14:paraId="5D190182" w14:textId="77777777" w:rsidR="00444647" w:rsidRPr="00402DD7" w:rsidRDefault="00444647" w:rsidP="00CA495E">
            <w:pPr>
              <w:pStyle w:val="TableNote"/>
              <w:spacing w:line="240" w:lineRule="auto"/>
              <w:jc w:val="right"/>
              <w:rPr>
                <w:rFonts w:cs="Arial"/>
              </w:rPr>
            </w:pPr>
            <w:r>
              <w:rPr>
                <w:rFonts w:cs="Arial"/>
              </w:rPr>
              <w:t>8/10</w:t>
            </w:r>
          </w:p>
        </w:tc>
        <w:tc>
          <w:tcPr>
            <w:tcW w:w="2034" w:type="dxa"/>
            <w:shd w:val="clear" w:color="auto" w:fill="auto"/>
            <w:vAlign w:val="center"/>
          </w:tcPr>
          <w:p w14:paraId="235BB690" w14:textId="77777777" w:rsidR="00444647" w:rsidRPr="00D16AEC" w:rsidRDefault="00444647" w:rsidP="00CA495E">
            <w:pPr>
              <w:pStyle w:val="TableNote"/>
              <w:spacing w:line="240" w:lineRule="auto"/>
              <w:jc w:val="right"/>
              <w:rPr>
                <w:rFonts w:cs="Arial"/>
              </w:rPr>
            </w:pPr>
            <w:r>
              <w:rPr>
                <w:rFonts w:cs="Arial"/>
              </w:rPr>
              <w:t>€8,978.00</w:t>
            </w:r>
          </w:p>
        </w:tc>
        <w:tc>
          <w:tcPr>
            <w:tcW w:w="2034" w:type="dxa"/>
            <w:shd w:val="clear" w:color="auto" w:fill="auto"/>
            <w:vAlign w:val="center"/>
          </w:tcPr>
          <w:p w14:paraId="10778017" w14:textId="77777777" w:rsidR="00444647" w:rsidRDefault="00444647" w:rsidP="00CA495E">
            <w:pPr>
              <w:pStyle w:val="TableNote"/>
              <w:spacing w:line="240" w:lineRule="auto"/>
              <w:jc w:val="right"/>
            </w:pPr>
            <w:r>
              <w:t>€51.20</w:t>
            </w:r>
          </w:p>
        </w:tc>
      </w:tr>
      <w:tr w:rsidR="00444647" w:rsidRPr="00444647" w14:paraId="53DBF914" w14:textId="77777777" w:rsidTr="00EE061F">
        <w:tblPrEx>
          <w:tblCellMar>
            <w:top w:w="0" w:type="dxa"/>
            <w:bottom w:w="0" w:type="dxa"/>
          </w:tblCellMar>
        </w:tblPrEx>
        <w:tc>
          <w:tcPr>
            <w:tcW w:w="2214" w:type="dxa"/>
            <w:shd w:val="clear" w:color="auto" w:fill="auto"/>
          </w:tcPr>
          <w:p w14:paraId="7FFACA18" w14:textId="77777777" w:rsidR="00444647" w:rsidRPr="00860880" w:rsidRDefault="00444647" w:rsidP="00CA495E">
            <w:pPr>
              <w:pStyle w:val="TableNote"/>
              <w:spacing w:line="240" w:lineRule="auto"/>
              <w:jc w:val="left"/>
            </w:pPr>
            <w:r w:rsidRPr="00860880">
              <w:t xml:space="preserve">Dr. Tony Bates </w:t>
            </w:r>
            <w:r w:rsidRPr="00860880">
              <w:tab/>
            </w:r>
          </w:p>
        </w:tc>
        <w:tc>
          <w:tcPr>
            <w:tcW w:w="2810" w:type="dxa"/>
            <w:shd w:val="clear" w:color="auto" w:fill="auto"/>
            <w:vAlign w:val="center"/>
          </w:tcPr>
          <w:p w14:paraId="5327FFB7" w14:textId="77777777" w:rsidR="00444647" w:rsidRPr="00402DD7" w:rsidRDefault="00444647" w:rsidP="00CA495E">
            <w:pPr>
              <w:pStyle w:val="TableNote"/>
              <w:spacing w:line="240" w:lineRule="auto"/>
              <w:jc w:val="right"/>
              <w:rPr>
                <w:rFonts w:cs="Arial"/>
              </w:rPr>
            </w:pPr>
            <w:r>
              <w:rPr>
                <w:rFonts w:cs="Arial"/>
              </w:rPr>
              <w:t>6/10</w:t>
            </w:r>
          </w:p>
        </w:tc>
        <w:tc>
          <w:tcPr>
            <w:tcW w:w="2034" w:type="dxa"/>
            <w:shd w:val="clear" w:color="auto" w:fill="auto"/>
            <w:vAlign w:val="center"/>
          </w:tcPr>
          <w:p w14:paraId="4089F934" w14:textId="77777777" w:rsidR="00444647" w:rsidRPr="004F5A22" w:rsidRDefault="00444647" w:rsidP="00CA495E">
            <w:pPr>
              <w:pStyle w:val="TableNote"/>
              <w:spacing w:line="240" w:lineRule="auto"/>
              <w:jc w:val="right"/>
              <w:rPr>
                <w:rFonts w:cs="Arial"/>
              </w:rPr>
            </w:pPr>
            <w:r w:rsidRPr="004F5A22">
              <w:rPr>
                <w:rFonts w:cs="Arial"/>
              </w:rPr>
              <w:t>€</w:t>
            </w:r>
            <w:r>
              <w:rPr>
                <w:rFonts w:cs="Arial"/>
              </w:rPr>
              <w:t>5,985.00</w:t>
            </w:r>
          </w:p>
        </w:tc>
        <w:tc>
          <w:tcPr>
            <w:tcW w:w="2034" w:type="dxa"/>
            <w:shd w:val="clear" w:color="auto" w:fill="auto"/>
            <w:vAlign w:val="center"/>
          </w:tcPr>
          <w:p w14:paraId="082A250C" w14:textId="77777777" w:rsidR="00444647" w:rsidRPr="004F5A22" w:rsidRDefault="00444647" w:rsidP="00CA495E">
            <w:pPr>
              <w:pStyle w:val="TableNote"/>
              <w:spacing w:line="240" w:lineRule="auto"/>
              <w:jc w:val="right"/>
              <w:rPr>
                <w:rFonts w:cs="Arial"/>
              </w:rPr>
            </w:pPr>
          </w:p>
        </w:tc>
      </w:tr>
      <w:tr w:rsidR="00444647" w:rsidRPr="00444647" w14:paraId="283BD2D5" w14:textId="77777777" w:rsidTr="00EE061F">
        <w:tblPrEx>
          <w:tblCellMar>
            <w:top w:w="0" w:type="dxa"/>
            <w:bottom w:w="0" w:type="dxa"/>
          </w:tblCellMar>
        </w:tblPrEx>
        <w:tc>
          <w:tcPr>
            <w:tcW w:w="2214" w:type="dxa"/>
            <w:shd w:val="clear" w:color="auto" w:fill="auto"/>
          </w:tcPr>
          <w:p w14:paraId="38EF4530" w14:textId="77777777" w:rsidR="00444647" w:rsidRPr="00860880" w:rsidRDefault="00444647" w:rsidP="00CA495E">
            <w:pPr>
              <w:pStyle w:val="TableNote"/>
              <w:spacing w:line="240" w:lineRule="auto"/>
              <w:jc w:val="left"/>
            </w:pPr>
            <w:r w:rsidRPr="00860880">
              <w:t xml:space="preserve">Ms. Caroline Burrell </w:t>
            </w:r>
          </w:p>
        </w:tc>
        <w:tc>
          <w:tcPr>
            <w:tcW w:w="2810" w:type="dxa"/>
            <w:shd w:val="clear" w:color="auto" w:fill="auto"/>
            <w:vAlign w:val="center"/>
          </w:tcPr>
          <w:p w14:paraId="4E3E22DF" w14:textId="77777777" w:rsidR="00444647" w:rsidRPr="00402DD7" w:rsidRDefault="00444647" w:rsidP="00CA495E">
            <w:pPr>
              <w:pStyle w:val="TableNote"/>
              <w:spacing w:line="240" w:lineRule="auto"/>
              <w:jc w:val="right"/>
              <w:rPr>
                <w:rFonts w:cs="Arial"/>
              </w:rPr>
            </w:pPr>
            <w:r>
              <w:rPr>
                <w:rFonts w:cs="Arial"/>
              </w:rPr>
              <w:t>10/10</w:t>
            </w:r>
          </w:p>
        </w:tc>
        <w:tc>
          <w:tcPr>
            <w:tcW w:w="2034" w:type="dxa"/>
            <w:shd w:val="clear" w:color="auto" w:fill="auto"/>
            <w:vAlign w:val="center"/>
          </w:tcPr>
          <w:p w14:paraId="40CC9616" w14:textId="77777777" w:rsidR="00444647" w:rsidRDefault="00444647" w:rsidP="00CA495E">
            <w:pPr>
              <w:pStyle w:val="TableNote"/>
              <w:spacing w:line="240" w:lineRule="auto"/>
              <w:jc w:val="right"/>
            </w:pPr>
            <w:r>
              <w:t>€5,985.00</w:t>
            </w:r>
          </w:p>
        </w:tc>
        <w:tc>
          <w:tcPr>
            <w:tcW w:w="2034" w:type="dxa"/>
            <w:shd w:val="clear" w:color="auto" w:fill="auto"/>
            <w:vAlign w:val="center"/>
          </w:tcPr>
          <w:p w14:paraId="03A69201" w14:textId="77777777" w:rsidR="00444647" w:rsidRDefault="00444647" w:rsidP="00CA495E">
            <w:pPr>
              <w:pStyle w:val="TableNote"/>
              <w:spacing w:line="240" w:lineRule="auto"/>
              <w:jc w:val="right"/>
            </w:pPr>
            <w:r>
              <w:t>€186.07</w:t>
            </w:r>
          </w:p>
        </w:tc>
      </w:tr>
      <w:tr w:rsidR="00444647" w:rsidRPr="00444647" w14:paraId="58947349" w14:textId="77777777" w:rsidTr="00EE061F">
        <w:tblPrEx>
          <w:tblCellMar>
            <w:top w:w="0" w:type="dxa"/>
            <w:bottom w:w="0" w:type="dxa"/>
          </w:tblCellMar>
        </w:tblPrEx>
        <w:tc>
          <w:tcPr>
            <w:tcW w:w="2214" w:type="dxa"/>
            <w:shd w:val="clear" w:color="auto" w:fill="auto"/>
          </w:tcPr>
          <w:p w14:paraId="1A13FE23" w14:textId="77777777" w:rsidR="00444647" w:rsidRPr="00860880" w:rsidRDefault="00444647" w:rsidP="00CA495E">
            <w:pPr>
              <w:pStyle w:val="TableNote"/>
              <w:spacing w:line="240" w:lineRule="auto"/>
              <w:jc w:val="left"/>
            </w:pPr>
            <w:r w:rsidRPr="00860880">
              <w:t xml:space="preserve">Mr. Frank </w:t>
            </w:r>
            <w:proofErr w:type="spellStart"/>
            <w:r w:rsidRPr="00860880">
              <w:t>Cunneen</w:t>
            </w:r>
            <w:proofErr w:type="spellEnd"/>
            <w:r w:rsidRPr="00860880">
              <w:t xml:space="preserve"> </w:t>
            </w:r>
          </w:p>
        </w:tc>
        <w:tc>
          <w:tcPr>
            <w:tcW w:w="2810" w:type="dxa"/>
            <w:shd w:val="clear" w:color="auto" w:fill="auto"/>
            <w:vAlign w:val="center"/>
          </w:tcPr>
          <w:p w14:paraId="0C094681" w14:textId="77777777" w:rsidR="00444647" w:rsidRPr="00402DD7" w:rsidRDefault="00444647" w:rsidP="00CA495E">
            <w:pPr>
              <w:pStyle w:val="TableNote"/>
              <w:spacing w:line="240" w:lineRule="auto"/>
              <w:jc w:val="right"/>
              <w:rPr>
                <w:rFonts w:cs="Arial"/>
              </w:rPr>
            </w:pPr>
            <w:r>
              <w:rPr>
                <w:rFonts w:cs="Arial"/>
              </w:rPr>
              <w:t>9/10</w:t>
            </w:r>
          </w:p>
        </w:tc>
        <w:tc>
          <w:tcPr>
            <w:tcW w:w="2034" w:type="dxa"/>
            <w:shd w:val="clear" w:color="auto" w:fill="auto"/>
            <w:vAlign w:val="center"/>
          </w:tcPr>
          <w:p w14:paraId="5AE288C5" w14:textId="77777777" w:rsidR="00444647" w:rsidRDefault="00444647" w:rsidP="00CA495E">
            <w:pPr>
              <w:pStyle w:val="TableNote"/>
              <w:spacing w:line="240" w:lineRule="auto"/>
              <w:jc w:val="right"/>
            </w:pPr>
            <w:r>
              <w:t>€5,985.00</w:t>
            </w:r>
          </w:p>
        </w:tc>
        <w:tc>
          <w:tcPr>
            <w:tcW w:w="2034" w:type="dxa"/>
            <w:shd w:val="clear" w:color="auto" w:fill="auto"/>
            <w:vAlign w:val="center"/>
          </w:tcPr>
          <w:p w14:paraId="3FA5D977" w14:textId="77777777" w:rsidR="00444647" w:rsidRDefault="00444647" w:rsidP="00CA495E">
            <w:pPr>
              <w:pStyle w:val="TableNote"/>
              <w:spacing w:line="240" w:lineRule="auto"/>
              <w:jc w:val="right"/>
            </w:pPr>
          </w:p>
        </w:tc>
      </w:tr>
      <w:tr w:rsidR="00444647" w:rsidRPr="00444647" w14:paraId="6C98E6A0" w14:textId="77777777" w:rsidTr="00EE061F">
        <w:tblPrEx>
          <w:tblCellMar>
            <w:top w:w="0" w:type="dxa"/>
            <w:bottom w:w="0" w:type="dxa"/>
          </w:tblCellMar>
        </w:tblPrEx>
        <w:tc>
          <w:tcPr>
            <w:tcW w:w="2214" w:type="dxa"/>
            <w:shd w:val="clear" w:color="auto" w:fill="auto"/>
          </w:tcPr>
          <w:p w14:paraId="5217952E" w14:textId="77777777" w:rsidR="00444647" w:rsidRPr="00860880" w:rsidRDefault="00444647" w:rsidP="00CA495E">
            <w:pPr>
              <w:pStyle w:val="TableNote"/>
              <w:spacing w:line="240" w:lineRule="auto"/>
              <w:jc w:val="left"/>
            </w:pPr>
            <w:r w:rsidRPr="00860880">
              <w:t xml:space="preserve">Ms. Tara Cunningham </w:t>
            </w:r>
          </w:p>
        </w:tc>
        <w:tc>
          <w:tcPr>
            <w:tcW w:w="2810" w:type="dxa"/>
            <w:shd w:val="clear" w:color="auto" w:fill="auto"/>
            <w:vAlign w:val="center"/>
          </w:tcPr>
          <w:p w14:paraId="6DC2E17F" w14:textId="77777777" w:rsidR="00444647" w:rsidRPr="00402DD7" w:rsidRDefault="00444647" w:rsidP="00CA495E">
            <w:pPr>
              <w:pStyle w:val="TableNote"/>
              <w:spacing w:line="240" w:lineRule="auto"/>
              <w:jc w:val="right"/>
              <w:rPr>
                <w:rFonts w:cs="Arial"/>
              </w:rPr>
            </w:pPr>
            <w:r>
              <w:rPr>
                <w:rFonts w:cs="Arial"/>
              </w:rPr>
              <w:t>8/10</w:t>
            </w:r>
          </w:p>
        </w:tc>
        <w:tc>
          <w:tcPr>
            <w:tcW w:w="2034" w:type="dxa"/>
            <w:shd w:val="clear" w:color="auto" w:fill="auto"/>
            <w:vAlign w:val="center"/>
          </w:tcPr>
          <w:p w14:paraId="6851B288" w14:textId="77777777" w:rsidR="00444647" w:rsidRDefault="00444647" w:rsidP="00CA495E">
            <w:pPr>
              <w:pStyle w:val="TableNote"/>
              <w:spacing w:line="240" w:lineRule="auto"/>
              <w:jc w:val="right"/>
            </w:pPr>
            <w:r>
              <w:t>€5,985.00</w:t>
            </w:r>
          </w:p>
        </w:tc>
        <w:tc>
          <w:tcPr>
            <w:tcW w:w="2034" w:type="dxa"/>
            <w:shd w:val="clear" w:color="auto" w:fill="auto"/>
            <w:vAlign w:val="center"/>
          </w:tcPr>
          <w:p w14:paraId="213AECBE" w14:textId="77777777" w:rsidR="00444647" w:rsidRDefault="00444647" w:rsidP="00CA495E">
            <w:pPr>
              <w:pStyle w:val="TableNote"/>
              <w:spacing w:line="240" w:lineRule="auto"/>
              <w:jc w:val="right"/>
            </w:pPr>
          </w:p>
        </w:tc>
      </w:tr>
      <w:tr w:rsidR="00444647" w:rsidRPr="00444647" w14:paraId="29F8FB0C" w14:textId="77777777" w:rsidTr="00EE061F">
        <w:tblPrEx>
          <w:tblCellMar>
            <w:top w:w="0" w:type="dxa"/>
            <w:bottom w:w="0" w:type="dxa"/>
          </w:tblCellMar>
        </w:tblPrEx>
        <w:tc>
          <w:tcPr>
            <w:tcW w:w="2214" w:type="dxa"/>
            <w:shd w:val="clear" w:color="auto" w:fill="auto"/>
          </w:tcPr>
          <w:p w14:paraId="40D46B68" w14:textId="77777777" w:rsidR="00444647" w:rsidRPr="00860880" w:rsidRDefault="00444647" w:rsidP="00CA495E">
            <w:pPr>
              <w:pStyle w:val="TableNote"/>
              <w:spacing w:line="240" w:lineRule="auto"/>
              <w:jc w:val="left"/>
            </w:pPr>
            <w:r w:rsidRPr="00860880">
              <w:t xml:space="preserve">Mr. Colm Desmond </w:t>
            </w:r>
          </w:p>
        </w:tc>
        <w:tc>
          <w:tcPr>
            <w:tcW w:w="2810" w:type="dxa"/>
            <w:shd w:val="clear" w:color="auto" w:fill="auto"/>
            <w:vAlign w:val="center"/>
          </w:tcPr>
          <w:p w14:paraId="3029422F" w14:textId="77777777" w:rsidR="00444647" w:rsidRPr="00402DD7" w:rsidRDefault="00444647" w:rsidP="00CA495E">
            <w:pPr>
              <w:pStyle w:val="TableNote"/>
              <w:spacing w:line="240" w:lineRule="auto"/>
              <w:jc w:val="right"/>
              <w:rPr>
                <w:rFonts w:cs="Arial"/>
              </w:rPr>
            </w:pPr>
            <w:r>
              <w:rPr>
                <w:rFonts w:cs="Arial"/>
              </w:rPr>
              <w:t>8/10</w:t>
            </w:r>
          </w:p>
        </w:tc>
        <w:tc>
          <w:tcPr>
            <w:tcW w:w="2034" w:type="dxa"/>
            <w:shd w:val="clear" w:color="auto" w:fill="auto"/>
            <w:vAlign w:val="center"/>
          </w:tcPr>
          <w:p w14:paraId="39DCD0E7" w14:textId="77777777" w:rsidR="00444647" w:rsidRPr="004F5A22" w:rsidRDefault="00444647" w:rsidP="00CA495E">
            <w:pPr>
              <w:pStyle w:val="TableNote"/>
              <w:spacing w:line="240" w:lineRule="auto"/>
              <w:jc w:val="right"/>
              <w:rPr>
                <w:rFonts w:cs="Arial"/>
              </w:rPr>
            </w:pPr>
          </w:p>
        </w:tc>
        <w:tc>
          <w:tcPr>
            <w:tcW w:w="2034" w:type="dxa"/>
            <w:shd w:val="clear" w:color="auto" w:fill="auto"/>
            <w:vAlign w:val="center"/>
          </w:tcPr>
          <w:p w14:paraId="674700DD" w14:textId="77777777" w:rsidR="00444647" w:rsidRPr="004F5A22" w:rsidRDefault="00444647" w:rsidP="00CA495E">
            <w:pPr>
              <w:pStyle w:val="TableNote"/>
              <w:spacing w:line="240" w:lineRule="auto"/>
              <w:jc w:val="right"/>
              <w:rPr>
                <w:rFonts w:cs="Arial"/>
              </w:rPr>
            </w:pPr>
          </w:p>
        </w:tc>
      </w:tr>
      <w:tr w:rsidR="00444647" w:rsidRPr="00444647" w14:paraId="5C655BFB" w14:textId="77777777" w:rsidTr="00EE061F">
        <w:tblPrEx>
          <w:tblCellMar>
            <w:top w:w="0" w:type="dxa"/>
            <w:bottom w:w="0" w:type="dxa"/>
          </w:tblCellMar>
        </w:tblPrEx>
        <w:tc>
          <w:tcPr>
            <w:tcW w:w="2214" w:type="dxa"/>
            <w:shd w:val="clear" w:color="auto" w:fill="auto"/>
          </w:tcPr>
          <w:p w14:paraId="4FC3D041" w14:textId="77777777" w:rsidR="00444647" w:rsidRPr="00860880" w:rsidRDefault="00444647" w:rsidP="00CA495E">
            <w:pPr>
              <w:pStyle w:val="TableNote"/>
              <w:spacing w:line="240" w:lineRule="auto"/>
              <w:jc w:val="left"/>
            </w:pPr>
            <w:r w:rsidRPr="00860880">
              <w:t xml:space="preserve">Ms. Fiona Duignan </w:t>
            </w:r>
          </w:p>
        </w:tc>
        <w:tc>
          <w:tcPr>
            <w:tcW w:w="2810" w:type="dxa"/>
            <w:shd w:val="clear" w:color="auto" w:fill="auto"/>
            <w:vAlign w:val="center"/>
          </w:tcPr>
          <w:p w14:paraId="26191FBD" w14:textId="77777777" w:rsidR="00444647" w:rsidRPr="00402DD7" w:rsidRDefault="00444647" w:rsidP="00CA495E">
            <w:pPr>
              <w:pStyle w:val="TableNote"/>
              <w:spacing w:line="240" w:lineRule="auto"/>
              <w:jc w:val="right"/>
              <w:rPr>
                <w:rFonts w:cs="Arial"/>
              </w:rPr>
            </w:pPr>
            <w:r>
              <w:rPr>
                <w:rFonts w:cs="Arial"/>
              </w:rPr>
              <w:t>8/10</w:t>
            </w:r>
          </w:p>
        </w:tc>
        <w:tc>
          <w:tcPr>
            <w:tcW w:w="2034" w:type="dxa"/>
            <w:shd w:val="clear" w:color="auto" w:fill="auto"/>
            <w:vAlign w:val="center"/>
          </w:tcPr>
          <w:p w14:paraId="2CE34C22" w14:textId="77777777" w:rsidR="00444647" w:rsidRPr="004F5A22" w:rsidRDefault="00444647" w:rsidP="00CA495E">
            <w:pPr>
              <w:pStyle w:val="TableNote"/>
              <w:spacing w:line="240" w:lineRule="auto"/>
              <w:jc w:val="right"/>
              <w:rPr>
                <w:rFonts w:cs="Arial"/>
              </w:rPr>
            </w:pPr>
            <w:r>
              <w:t>€5,985.00</w:t>
            </w:r>
          </w:p>
        </w:tc>
        <w:tc>
          <w:tcPr>
            <w:tcW w:w="2034" w:type="dxa"/>
            <w:shd w:val="clear" w:color="auto" w:fill="auto"/>
            <w:vAlign w:val="center"/>
          </w:tcPr>
          <w:p w14:paraId="26EC9037" w14:textId="77777777" w:rsidR="00444647" w:rsidRPr="004F5A22" w:rsidRDefault="00444647" w:rsidP="00CA495E">
            <w:pPr>
              <w:pStyle w:val="TableNote"/>
              <w:spacing w:line="240" w:lineRule="auto"/>
              <w:jc w:val="right"/>
              <w:rPr>
                <w:rFonts w:cs="Arial"/>
              </w:rPr>
            </w:pPr>
          </w:p>
        </w:tc>
      </w:tr>
      <w:tr w:rsidR="00444647" w:rsidRPr="00444647" w14:paraId="1319FF34" w14:textId="77777777" w:rsidTr="00EE061F">
        <w:tblPrEx>
          <w:tblCellMar>
            <w:top w:w="0" w:type="dxa"/>
            <w:bottom w:w="0" w:type="dxa"/>
          </w:tblCellMar>
        </w:tblPrEx>
        <w:tc>
          <w:tcPr>
            <w:tcW w:w="2214" w:type="dxa"/>
            <w:shd w:val="clear" w:color="auto" w:fill="auto"/>
          </w:tcPr>
          <w:p w14:paraId="37868965" w14:textId="77777777" w:rsidR="00444647" w:rsidRPr="00860880" w:rsidRDefault="00444647" w:rsidP="00CA495E">
            <w:pPr>
              <w:pStyle w:val="TableNote"/>
              <w:spacing w:line="240" w:lineRule="auto"/>
              <w:jc w:val="left"/>
            </w:pPr>
            <w:r w:rsidRPr="00860880">
              <w:t xml:space="preserve">Ms. Linda </w:t>
            </w:r>
            <w:proofErr w:type="spellStart"/>
            <w:r w:rsidRPr="00860880">
              <w:t>Grealy</w:t>
            </w:r>
            <w:proofErr w:type="spellEnd"/>
            <w:r w:rsidRPr="00860880">
              <w:t xml:space="preserve"> </w:t>
            </w:r>
          </w:p>
        </w:tc>
        <w:tc>
          <w:tcPr>
            <w:tcW w:w="2810" w:type="dxa"/>
            <w:shd w:val="clear" w:color="auto" w:fill="auto"/>
            <w:vAlign w:val="center"/>
          </w:tcPr>
          <w:p w14:paraId="3F51C008" w14:textId="77777777" w:rsidR="00444647" w:rsidRPr="00402DD7" w:rsidRDefault="00444647" w:rsidP="00CA495E">
            <w:pPr>
              <w:pStyle w:val="TableNote"/>
              <w:spacing w:line="240" w:lineRule="auto"/>
              <w:jc w:val="right"/>
              <w:rPr>
                <w:rFonts w:cs="Arial"/>
              </w:rPr>
            </w:pPr>
            <w:r>
              <w:rPr>
                <w:rFonts w:cs="Arial"/>
              </w:rPr>
              <w:t>8/10</w:t>
            </w:r>
          </w:p>
        </w:tc>
        <w:tc>
          <w:tcPr>
            <w:tcW w:w="2034" w:type="dxa"/>
            <w:shd w:val="clear" w:color="auto" w:fill="auto"/>
            <w:vAlign w:val="center"/>
          </w:tcPr>
          <w:p w14:paraId="3E40D2AA" w14:textId="77777777" w:rsidR="00444647" w:rsidRDefault="00444647" w:rsidP="00CA495E">
            <w:pPr>
              <w:pStyle w:val="TableNote"/>
              <w:spacing w:line="240" w:lineRule="auto"/>
              <w:jc w:val="right"/>
            </w:pPr>
          </w:p>
        </w:tc>
        <w:tc>
          <w:tcPr>
            <w:tcW w:w="2034" w:type="dxa"/>
            <w:shd w:val="clear" w:color="auto" w:fill="auto"/>
            <w:vAlign w:val="center"/>
          </w:tcPr>
          <w:p w14:paraId="57DEA2D7" w14:textId="77777777" w:rsidR="00444647" w:rsidRDefault="00444647" w:rsidP="00CA495E">
            <w:pPr>
              <w:pStyle w:val="TableNote"/>
              <w:spacing w:line="240" w:lineRule="auto"/>
              <w:jc w:val="right"/>
            </w:pPr>
          </w:p>
        </w:tc>
      </w:tr>
      <w:tr w:rsidR="00444647" w:rsidRPr="00444647" w14:paraId="14C926DF" w14:textId="77777777" w:rsidTr="00EE061F">
        <w:tblPrEx>
          <w:tblCellMar>
            <w:top w:w="0" w:type="dxa"/>
            <w:bottom w:w="0" w:type="dxa"/>
          </w:tblCellMar>
        </w:tblPrEx>
        <w:tc>
          <w:tcPr>
            <w:tcW w:w="2214" w:type="dxa"/>
            <w:shd w:val="clear" w:color="auto" w:fill="auto"/>
          </w:tcPr>
          <w:p w14:paraId="67603359" w14:textId="77777777" w:rsidR="00444647" w:rsidRPr="00860880" w:rsidRDefault="00444647" w:rsidP="00CA495E">
            <w:pPr>
              <w:pStyle w:val="TableNote"/>
              <w:spacing w:line="240" w:lineRule="auto"/>
              <w:jc w:val="left"/>
            </w:pPr>
            <w:r w:rsidRPr="00860880">
              <w:t xml:space="preserve">Mr. Shane Hogan </w:t>
            </w:r>
          </w:p>
        </w:tc>
        <w:tc>
          <w:tcPr>
            <w:tcW w:w="2810" w:type="dxa"/>
            <w:shd w:val="clear" w:color="auto" w:fill="auto"/>
            <w:vAlign w:val="center"/>
          </w:tcPr>
          <w:p w14:paraId="709EC5C8" w14:textId="77777777" w:rsidR="00444647" w:rsidRPr="00402DD7" w:rsidRDefault="00444647" w:rsidP="00CA495E">
            <w:pPr>
              <w:pStyle w:val="TableNote"/>
              <w:spacing w:line="240" w:lineRule="auto"/>
              <w:jc w:val="right"/>
              <w:rPr>
                <w:rFonts w:cs="Arial"/>
              </w:rPr>
            </w:pPr>
            <w:r>
              <w:rPr>
                <w:rFonts w:cs="Arial"/>
              </w:rPr>
              <w:t>10/10</w:t>
            </w:r>
          </w:p>
        </w:tc>
        <w:tc>
          <w:tcPr>
            <w:tcW w:w="2034" w:type="dxa"/>
            <w:shd w:val="clear" w:color="auto" w:fill="auto"/>
            <w:vAlign w:val="center"/>
          </w:tcPr>
          <w:p w14:paraId="16166B71" w14:textId="77777777" w:rsidR="00444647" w:rsidRPr="004F5A22" w:rsidRDefault="00444647" w:rsidP="00CA495E">
            <w:pPr>
              <w:pStyle w:val="TableNote"/>
              <w:spacing w:line="240" w:lineRule="auto"/>
              <w:jc w:val="right"/>
              <w:rPr>
                <w:rFonts w:cs="Arial"/>
              </w:rPr>
            </w:pPr>
          </w:p>
        </w:tc>
        <w:tc>
          <w:tcPr>
            <w:tcW w:w="2034" w:type="dxa"/>
            <w:shd w:val="clear" w:color="auto" w:fill="auto"/>
            <w:vAlign w:val="center"/>
          </w:tcPr>
          <w:p w14:paraId="7524832C" w14:textId="77777777" w:rsidR="00444647" w:rsidRPr="004F5A22" w:rsidRDefault="00444647" w:rsidP="00CA495E">
            <w:pPr>
              <w:pStyle w:val="TableNote"/>
              <w:spacing w:line="240" w:lineRule="auto"/>
              <w:jc w:val="right"/>
              <w:rPr>
                <w:rFonts w:cs="Arial"/>
              </w:rPr>
            </w:pPr>
          </w:p>
        </w:tc>
      </w:tr>
      <w:tr w:rsidR="00444647" w:rsidRPr="00444647" w14:paraId="388CE1D4" w14:textId="77777777" w:rsidTr="00EE061F">
        <w:tblPrEx>
          <w:tblCellMar>
            <w:top w:w="0" w:type="dxa"/>
            <w:bottom w:w="0" w:type="dxa"/>
          </w:tblCellMar>
        </w:tblPrEx>
        <w:tc>
          <w:tcPr>
            <w:tcW w:w="2214" w:type="dxa"/>
            <w:shd w:val="clear" w:color="auto" w:fill="auto"/>
          </w:tcPr>
          <w:p w14:paraId="03E50478" w14:textId="77777777" w:rsidR="00444647" w:rsidRPr="00860880" w:rsidRDefault="00444647" w:rsidP="00CA495E">
            <w:pPr>
              <w:pStyle w:val="TableNote"/>
              <w:spacing w:line="240" w:lineRule="auto"/>
              <w:jc w:val="left"/>
            </w:pPr>
            <w:r w:rsidRPr="00860880">
              <w:t xml:space="preserve">Mr. David Joyce </w:t>
            </w:r>
          </w:p>
        </w:tc>
        <w:tc>
          <w:tcPr>
            <w:tcW w:w="2810" w:type="dxa"/>
            <w:shd w:val="clear" w:color="auto" w:fill="auto"/>
            <w:vAlign w:val="center"/>
          </w:tcPr>
          <w:p w14:paraId="03E91FB4" w14:textId="77777777" w:rsidR="00444647" w:rsidRPr="00402DD7" w:rsidRDefault="00444647" w:rsidP="00CA495E">
            <w:pPr>
              <w:pStyle w:val="TableNote"/>
              <w:spacing w:line="240" w:lineRule="auto"/>
              <w:jc w:val="right"/>
              <w:rPr>
                <w:rFonts w:cs="Arial"/>
              </w:rPr>
            </w:pPr>
            <w:r>
              <w:rPr>
                <w:rFonts w:cs="Arial"/>
              </w:rPr>
              <w:t>7/10</w:t>
            </w:r>
          </w:p>
        </w:tc>
        <w:tc>
          <w:tcPr>
            <w:tcW w:w="2034" w:type="dxa"/>
            <w:shd w:val="clear" w:color="auto" w:fill="auto"/>
            <w:vAlign w:val="center"/>
          </w:tcPr>
          <w:p w14:paraId="2171E108" w14:textId="77777777" w:rsidR="00444647" w:rsidRPr="004F5A22" w:rsidRDefault="00444647" w:rsidP="00CA495E">
            <w:pPr>
              <w:pStyle w:val="TableNote"/>
              <w:spacing w:line="240" w:lineRule="auto"/>
              <w:jc w:val="right"/>
              <w:rPr>
                <w:rFonts w:cs="Arial"/>
              </w:rPr>
            </w:pPr>
            <w:r>
              <w:t>€5,985.00</w:t>
            </w:r>
          </w:p>
        </w:tc>
        <w:tc>
          <w:tcPr>
            <w:tcW w:w="2034" w:type="dxa"/>
            <w:shd w:val="clear" w:color="auto" w:fill="auto"/>
            <w:vAlign w:val="center"/>
          </w:tcPr>
          <w:p w14:paraId="28D2C2EE" w14:textId="77777777" w:rsidR="00444647" w:rsidRPr="004F5A22" w:rsidRDefault="00444647" w:rsidP="00CA495E">
            <w:pPr>
              <w:pStyle w:val="TableNote"/>
              <w:spacing w:line="240" w:lineRule="auto"/>
              <w:jc w:val="right"/>
              <w:rPr>
                <w:rFonts w:cs="Arial"/>
              </w:rPr>
            </w:pPr>
          </w:p>
        </w:tc>
      </w:tr>
      <w:tr w:rsidR="00444647" w:rsidRPr="00444647" w14:paraId="302E9DD8" w14:textId="77777777" w:rsidTr="00EE061F">
        <w:tblPrEx>
          <w:tblCellMar>
            <w:top w:w="0" w:type="dxa"/>
            <w:bottom w:w="0" w:type="dxa"/>
          </w:tblCellMar>
        </w:tblPrEx>
        <w:tc>
          <w:tcPr>
            <w:tcW w:w="2214" w:type="dxa"/>
            <w:shd w:val="clear" w:color="auto" w:fill="auto"/>
          </w:tcPr>
          <w:p w14:paraId="0FC052CB" w14:textId="77777777" w:rsidR="00444647" w:rsidRPr="00860880" w:rsidRDefault="00444647" w:rsidP="00CA495E">
            <w:pPr>
              <w:pStyle w:val="TableNote"/>
              <w:spacing w:line="240" w:lineRule="auto"/>
              <w:jc w:val="left"/>
            </w:pPr>
            <w:r w:rsidRPr="00860880">
              <w:t xml:space="preserve">Mr. Des Kenny </w:t>
            </w:r>
          </w:p>
        </w:tc>
        <w:tc>
          <w:tcPr>
            <w:tcW w:w="2810" w:type="dxa"/>
            <w:shd w:val="clear" w:color="auto" w:fill="auto"/>
            <w:vAlign w:val="center"/>
          </w:tcPr>
          <w:p w14:paraId="6034E1E1" w14:textId="77777777" w:rsidR="00444647" w:rsidRPr="00402DD7" w:rsidRDefault="00444647" w:rsidP="00CA495E">
            <w:pPr>
              <w:pStyle w:val="TableNote"/>
              <w:spacing w:line="240" w:lineRule="auto"/>
              <w:jc w:val="right"/>
              <w:rPr>
                <w:rFonts w:cs="Arial"/>
              </w:rPr>
            </w:pPr>
            <w:r>
              <w:rPr>
                <w:rFonts w:cs="Arial"/>
              </w:rPr>
              <w:t>9/10</w:t>
            </w:r>
          </w:p>
        </w:tc>
        <w:tc>
          <w:tcPr>
            <w:tcW w:w="2034" w:type="dxa"/>
            <w:shd w:val="clear" w:color="auto" w:fill="auto"/>
            <w:vAlign w:val="center"/>
          </w:tcPr>
          <w:p w14:paraId="67CA4E0D" w14:textId="77777777" w:rsidR="00444647" w:rsidRDefault="00444647" w:rsidP="00CA495E">
            <w:pPr>
              <w:pStyle w:val="TableNote"/>
              <w:spacing w:line="240" w:lineRule="auto"/>
              <w:jc w:val="right"/>
            </w:pPr>
            <w:r>
              <w:t>€5,985.00</w:t>
            </w:r>
          </w:p>
        </w:tc>
        <w:tc>
          <w:tcPr>
            <w:tcW w:w="2034" w:type="dxa"/>
            <w:shd w:val="clear" w:color="auto" w:fill="auto"/>
            <w:vAlign w:val="center"/>
          </w:tcPr>
          <w:p w14:paraId="57213657" w14:textId="77777777" w:rsidR="00444647" w:rsidRDefault="00444647" w:rsidP="00CA495E">
            <w:pPr>
              <w:pStyle w:val="TableNote"/>
              <w:spacing w:line="240" w:lineRule="auto"/>
              <w:jc w:val="right"/>
            </w:pPr>
          </w:p>
        </w:tc>
      </w:tr>
      <w:tr w:rsidR="00444647" w:rsidRPr="00444647" w14:paraId="3C5A9116" w14:textId="77777777" w:rsidTr="00EE061F">
        <w:tblPrEx>
          <w:tblCellMar>
            <w:top w:w="0" w:type="dxa"/>
            <w:bottom w:w="0" w:type="dxa"/>
          </w:tblCellMar>
        </w:tblPrEx>
        <w:tc>
          <w:tcPr>
            <w:tcW w:w="2214" w:type="dxa"/>
            <w:shd w:val="clear" w:color="auto" w:fill="auto"/>
          </w:tcPr>
          <w:p w14:paraId="076A3313" w14:textId="77777777" w:rsidR="00444647" w:rsidRPr="00860880" w:rsidRDefault="00444647" w:rsidP="00CA495E">
            <w:pPr>
              <w:pStyle w:val="TableNote"/>
              <w:spacing w:line="240" w:lineRule="auto"/>
              <w:jc w:val="left"/>
            </w:pPr>
            <w:r w:rsidRPr="00860880">
              <w:t xml:space="preserve">Ms. Mary Lavelle </w:t>
            </w:r>
          </w:p>
        </w:tc>
        <w:tc>
          <w:tcPr>
            <w:tcW w:w="2810" w:type="dxa"/>
            <w:shd w:val="clear" w:color="auto" w:fill="auto"/>
            <w:vAlign w:val="center"/>
          </w:tcPr>
          <w:p w14:paraId="10361DF2" w14:textId="77777777" w:rsidR="00444647" w:rsidRPr="00402DD7" w:rsidRDefault="00444647" w:rsidP="00CA495E">
            <w:pPr>
              <w:pStyle w:val="TableNote"/>
              <w:spacing w:line="240" w:lineRule="auto"/>
              <w:jc w:val="right"/>
              <w:rPr>
                <w:rFonts w:cs="Arial"/>
              </w:rPr>
            </w:pPr>
            <w:r>
              <w:rPr>
                <w:rFonts w:cs="Arial"/>
              </w:rPr>
              <w:t>9/10</w:t>
            </w:r>
          </w:p>
        </w:tc>
        <w:tc>
          <w:tcPr>
            <w:tcW w:w="2034" w:type="dxa"/>
            <w:shd w:val="clear" w:color="auto" w:fill="auto"/>
            <w:vAlign w:val="center"/>
          </w:tcPr>
          <w:p w14:paraId="07278FAE" w14:textId="77777777" w:rsidR="00444647" w:rsidRDefault="00444647" w:rsidP="00CA495E">
            <w:pPr>
              <w:pStyle w:val="TableNote"/>
              <w:spacing w:line="240" w:lineRule="auto"/>
              <w:jc w:val="right"/>
            </w:pPr>
            <w:r>
              <w:t>€5,985.00</w:t>
            </w:r>
          </w:p>
        </w:tc>
        <w:tc>
          <w:tcPr>
            <w:tcW w:w="2034" w:type="dxa"/>
            <w:shd w:val="clear" w:color="auto" w:fill="auto"/>
            <w:vAlign w:val="center"/>
          </w:tcPr>
          <w:p w14:paraId="13BFB39F" w14:textId="77777777" w:rsidR="00444647" w:rsidRDefault="00444647" w:rsidP="00CA495E">
            <w:pPr>
              <w:pStyle w:val="TableNote"/>
              <w:spacing w:line="240" w:lineRule="auto"/>
              <w:jc w:val="right"/>
            </w:pPr>
          </w:p>
        </w:tc>
      </w:tr>
      <w:tr w:rsidR="00444647" w:rsidRPr="00444647" w14:paraId="1590C7D1" w14:textId="77777777" w:rsidTr="00EE061F">
        <w:tblPrEx>
          <w:tblCellMar>
            <w:top w:w="0" w:type="dxa"/>
            <w:bottom w:w="0" w:type="dxa"/>
          </w:tblCellMar>
        </w:tblPrEx>
        <w:tc>
          <w:tcPr>
            <w:tcW w:w="2214" w:type="dxa"/>
            <w:shd w:val="clear" w:color="auto" w:fill="auto"/>
          </w:tcPr>
          <w:p w14:paraId="797CC6EA" w14:textId="77777777" w:rsidR="00444647" w:rsidRPr="00860880" w:rsidRDefault="00444647" w:rsidP="00CA495E">
            <w:pPr>
              <w:pStyle w:val="TableNote"/>
              <w:spacing w:line="240" w:lineRule="auto"/>
              <w:jc w:val="left"/>
            </w:pPr>
            <w:r w:rsidRPr="00860880">
              <w:t xml:space="preserve">Ms. Joanne McCarthy </w:t>
            </w:r>
          </w:p>
        </w:tc>
        <w:tc>
          <w:tcPr>
            <w:tcW w:w="2810" w:type="dxa"/>
            <w:shd w:val="clear" w:color="auto" w:fill="auto"/>
            <w:vAlign w:val="center"/>
          </w:tcPr>
          <w:p w14:paraId="42E7FB9D" w14:textId="77777777" w:rsidR="00444647" w:rsidRPr="00402DD7" w:rsidRDefault="00444647" w:rsidP="00CA495E">
            <w:pPr>
              <w:pStyle w:val="TableNote"/>
              <w:spacing w:line="240" w:lineRule="auto"/>
              <w:jc w:val="right"/>
              <w:rPr>
                <w:rFonts w:cs="Arial"/>
              </w:rPr>
            </w:pPr>
            <w:r>
              <w:rPr>
                <w:rFonts w:cs="Arial"/>
              </w:rPr>
              <w:t>7/10</w:t>
            </w:r>
          </w:p>
        </w:tc>
        <w:tc>
          <w:tcPr>
            <w:tcW w:w="2034" w:type="dxa"/>
            <w:shd w:val="clear" w:color="auto" w:fill="auto"/>
            <w:vAlign w:val="center"/>
          </w:tcPr>
          <w:p w14:paraId="58AC9292" w14:textId="77777777" w:rsidR="00444647" w:rsidRDefault="00444647" w:rsidP="00CA495E">
            <w:pPr>
              <w:pStyle w:val="TableNote"/>
              <w:spacing w:line="240" w:lineRule="auto"/>
              <w:jc w:val="right"/>
            </w:pPr>
            <w:r>
              <w:t>€5,985.00</w:t>
            </w:r>
          </w:p>
        </w:tc>
        <w:tc>
          <w:tcPr>
            <w:tcW w:w="2034" w:type="dxa"/>
            <w:shd w:val="clear" w:color="auto" w:fill="auto"/>
            <w:vAlign w:val="center"/>
          </w:tcPr>
          <w:p w14:paraId="6F7FD163" w14:textId="77777777" w:rsidR="00444647" w:rsidRDefault="00444647" w:rsidP="00CA495E">
            <w:pPr>
              <w:pStyle w:val="TableNote"/>
              <w:spacing w:line="240" w:lineRule="auto"/>
              <w:jc w:val="right"/>
            </w:pPr>
          </w:p>
        </w:tc>
      </w:tr>
    </w:tbl>
    <w:p w14:paraId="6E4E5259" w14:textId="77777777" w:rsidR="00130803" w:rsidRDefault="00130803" w:rsidP="00444647"/>
    <w:p w14:paraId="4DBA0DBA" w14:textId="77777777" w:rsidR="00444647" w:rsidRDefault="00130803" w:rsidP="00444647">
      <w:r>
        <w:rPr>
          <w:b/>
        </w:rPr>
        <w:br w:type="page"/>
      </w:r>
      <w:r w:rsidRPr="00130803">
        <w:rPr>
          <w:b/>
        </w:rPr>
        <w:lastRenderedPageBreak/>
        <w:t>Director:</w:t>
      </w:r>
      <w:r>
        <w:tab/>
      </w:r>
      <w:r w:rsidR="00444647" w:rsidRPr="00730F66">
        <w:t>Siobhan Barron</w:t>
      </w:r>
      <w:r w:rsidR="00444647" w:rsidRPr="00730F66">
        <w:tab/>
      </w:r>
      <w:r w:rsidR="00444647" w:rsidRPr="00730F66">
        <w:tab/>
      </w:r>
      <w:r w:rsidR="00444647" w:rsidRPr="00730F66">
        <w:tab/>
      </w:r>
    </w:p>
    <w:p w14:paraId="75AD79E6" w14:textId="77777777" w:rsidR="00444647" w:rsidRDefault="00130803" w:rsidP="00130803">
      <w:pPr>
        <w:spacing w:line="240" w:lineRule="auto"/>
        <w:ind w:left="1440" w:hanging="1440"/>
      </w:pPr>
      <w:r w:rsidRPr="00130803">
        <w:rPr>
          <w:b/>
        </w:rPr>
        <w:t>Solicitors:</w:t>
      </w:r>
      <w:r>
        <w:tab/>
      </w:r>
      <w:r w:rsidR="00444647" w:rsidRPr="00730F66">
        <w:t>Kilcullen &amp; Associates</w:t>
      </w:r>
      <w:r>
        <w:br/>
        <w:t>183 Rathmines Rd</w:t>
      </w:r>
      <w:r>
        <w:br/>
      </w:r>
      <w:proofErr w:type="spellStart"/>
      <w:r>
        <w:t>Lwr</w:t>
      </w:r>
      <w:r w:rsidR="00444647" w:rsidRPr="00730F66">
        <w:t>Dublin</w:t>
      </w:r>
      <w:proofErr w:type="spellEnd"/>
      <w:r w:rsidR="00444647" w:rsidRPr="00730F66">
        <w:t xml:space="preserve"> 6</w:t>
      </w:r>
      <w:r w:rsidR="00444647">
        <w:t>.</w:t>
      </w:r>
    </w:p>
    <w:p w14:paraId="1B2A6AE3" w14:textId="77777777" w:rsidR="00444647" w:rsidRDefault="00444647" w:rsidP="00444647">
      <w:r w:rsidRPr="00130803">
        <w:rPr>
          <w:b/>
        </w:rPr>
        <w:t>Bankers:</w:t>
      </w:r>
      <w:r w:rsidR="00130803">
        <w:rPr>
          <w:b/>
        </w:rPr>
        <w:tab/>
      </w:r>
      <w:r w:rsidRPr="00730F66">
        <w:t xml:space="preserve">Bank of </w:t>
      </w:r>
      <w:smartTag w:uri="urn:schemas-microsoft-com:office:smarttags" w:element="address">
        <w:smartTag w:uri="urn:schemas-microsoft-com:office:smarttags" w:element="Street">
          <w:r w:rsidRPr="00730F66">
            <w:t>Ireland</w:t>
          </w:r>
          <w:r>
            <w:br/>
            <w:t xml:space="preserve">                      Upper Leeson Street</w:t>
          </w:r>
        </w:smartTag>
        <w:r>
          <w:br/>
          <w:t xml:space="preserve">                      </w:t>
        </w:r>
        <w:smartTag w:uri="urn:schemas-microsoft-com:office:smarttags" w:element="City">
          <w:r w:rsidRPr="00730F66">
            <w:t>Dublin</w:t>
          </w:r>
        </w:smartTag>
      </w:smartTag>
      <w:r w:rsidRPr="00730F66">
        <w:t xml:space="preserve"> 4</w:t>
      </w:r>
      <w:r>
        <w:t>.</w:t>
      </w:r>
    </w:p>
    <w:p w14:paraId="45534388" w14:textId="77777777" w:rsidR="00444647" w:rsidRPr="00730F66" w:rsidRDefault="00444647" w:rsidP="00444647">
      <w:r w:rsidRPr="00130803">
        <w:rPr>
          <w:b/>
        </w:rPr>
        <w:t>Auditors:</w:t>
      </w:r>
      <w:r w:rsidRPr="00730F66">
        <w:t xml:space="preserve">  </w:t>
      </w:r>
      <w:r>
        <w:t xml:space="preserve">    Comptroller &amp; Auditor General</w:t>
      </w:r>
      <w:r>
        <w:br/>
        <w:t xml:space="preserve">                      </w:t>
      </w:r>
      <w:smartTag w:uri="urn:schemas-microsoft-com:office:smarttags" w:element="PlaceName">
        <w:r w:rsidRPr="00730F66">
          <w:t>Dublin</w:t>
        </w:r>
      </w:smartTag>
      <w:r w:rsidRPr="00730F66">
        <w:t xml:space="preserve"> </w:t>
      </w:r>
      <w:smartTag w:uri="urn:schemas-microsoft-com:office:smarttags" w:element="PlaceType">
        <w:r w:rsidRPr="00730F66">
          <w:t>Cast</w:t>
        </w:r>
        <w:r>
          <w:t>le</w:t>
        </w:r>
      </w:smartTag>
      <w:r>
        <w:br/>
        <w:t xml:space="preserve">                      </w:t>
      </w:r>
      <w:smartTag w:uri="urn:schemas-microsoft-com:office:smarttags" w:element="City">
        <w:smartTag w:uri="urn:schemas-microsoft-com:office:smarttags" w:element="place">
          <w:r w:rsidRPr="00730F66">
            <w:t>Dublin</w:t>
          </w:r>
        </w:smartTag>
      </w:smartTag>
      <w:r w:rsidRPr="00730F66">
        <w:t xml:space="preserve"> 2</w:t>
      </w:r>
      <w:r>
        <w:t>.</w:t>
      </w:r>
    </w:p>
    <w:p w14:paraId="265293AC" w14:textId="77777777" w:rsidR="00444647" w:rsidRDefault="00444647" w:rsidP="00130803">
      <w:pPr>
        <w:pStyle w:val="Heading1"/>
      </w:pPr>
      <w:r>
        <w:br w:type="page"/>
      </w:r>
      <w:bookmarkStart w:id="278" w:name="_Toc299360700"/>
      <w:bookmarkStart w:id="279" w:name="_Toc299361978"/>
      <w:bookmarkStart w:id="280" w:name="_Toc299362482"/>
      <w:bookmarkStart w:id="281" w:name="_Toc299362556"/>
      <w:bookmarkStart w:id="282" w:name="_Toc300741422"/>
      <w:bookmarkStart w:id="283" w:name="_Toc300741736"/>
      <w:bookmarkStart w:id="284" w:name="_Toc300742165"/>
      <w:bookmarkStart w:id="285" w:name="_Toc300742914"/>
      <w:bookmarkStart w:id="286" w:name="_Toc300744266"/>
      <w:bookmarkStart w:id="287" w:name="_Toc304371206"/>
      <w:bookmarkStart w:id="288" w:name="_Toc304381925"/>
      <w:r w:rsidRPr="00300E3E">
        <w:lastRenderedPageBreak/>
        <w:t>National Disability Authority</w:t>
      </w:r>
      <w:bookmarkEnd w:id="278"/>
      <w:bookmarkEnd w:id="279"/>
      <w:bookmarkEnd w:id="280"/>
      <w:bookmarkEnd w:id="281"/>
      <w:bookmarkEnd w:id="282"/>
      <w:bookmarkEnd w:id="283"/>
      <w:bookmarkEnd w:id="284"/>
      <w:bookmarkEnd w:id="285"/>
      <w:bookmarkEnd w:id="286"/>
      <w:bookmarkEnd w:id="287"/>
      <w:bookmarkEnd w:id="288"/>
    </w:p>
    <w:p w14:paraId="48F7EA1A" w14:textId="77777777" w:rsidR="00444647" w:rsidRPr="00730F66" w:rsidRDefault="00444647" w:rsidP="00444647">
      <w:r w:rsidRPr="00730F66">
        <w:t xml:space="preserve">The National Disability Authority was established on June 12, </w:t>
      </w:r>
      <w:proofErr w:type="gramStart"/>
      <w:r w:rsidRPr="00730F66">
        <w:t>2000</w:t>
      </w:r>
      <w:proofErr w:type="gramEnd"/>
      <w:r w:rsidRPr="00730F66">
        <w:t xml:space="preserve"> under Section 6 of the National Disability Authority Act 1999.</w:t>
      </w:r>
    </w:p>
    <w:p w14:paraId="69DCBF42" w14:textId="77777777" w:rsidR="00444647" w:rsidRDefault="00444647" w:rsidP="00130803">
      <w:pPr>
        <w:pStyle w:val="Heading2"/>
      </w:pPr>
      <w:bookmarkStart w:id="289" w:name="_Toc299362557"/>
      <w:bookmarkStart w:id="290" w:name="_Toc300742915"/>
      <w:bookmarkStart w:id="291" w:name="_Toc300744267"/>
      <w:r>
        <w:t>NDA Functions and Powers</w:t>
      </w:r>
      <w:bookmarkEnd w:id="289"/>
      <w:bookmarkEnd w:id="290"/>
      <w:bookmarkEnd w:id="291"/>
    </w:p>
    <w:p w14:paraId="54A242AF" w14:textId="77777777" w:rsidR="00444647" w:rsidRPr="00D4400D" w:rsidRDefault="00444647" w:rsidP="00444647">
      <w:pPr>
        <w:spacing w:after="240"/>
      </w:pPr>
      <w:r w:rsidRPr="00D4400D">
        <w:t>The principal function of the NDA is to advise the Minister for Justice, Equality and Law Reform regarding issues of policy and practice relating to disability.</w:t>
      </w:r>
      <w:r>
        <w:t xml:space="preserve"> Ministerial responsibility for the NDA transferred to the Department of Community, Equality and Gaeltach</w:t>
      </w:r>
      <w:r w:rsidR="00130803">
        <w:t>t</w:t>
      </w:r>
      <w:r>
        <w:t xml:space="preserve"> Affairs from the Department of Justice, Equality and Law Reform on 1 June </w:t>
      </w:r>
      <w:proofErr w:type="gramStart"/>
      <w:r>
        <w:t>2010  under</w:t>
      </w:r>
      <w:proofErr w:type="gramEnd"/>
      <w:r>
        <w:t xml:space="preserve"> SI 217 of 2010</w:t>
      </w:r>
    </w:p>
    <w:p w14:paraId="6FE50924" w14:textId="77777777" w:rsidR="00444647" w:rsidRPr="00D4400D" w:rsidRDefault="00444647" w:rsidP="00444647">
      <w:pPr>
        <w:spacing w:after="240"/>
      </w:pPr>
      <w:proofErr w:type="gramStart"/>
      <w:r w:rsidRPr="00D4400D">
        <w:t>Particular functions</w:t>
      </w:r>
      <w:proofErr w:type="gramEnd"/>
      <w:r w:rsidRPr="00D4400D">
        <w:t xml:space="preserve"> of the Authority under Section 8 of the National Disability Authority Act 1999</w:t>
      </w:r>
      <w:r w:rsidRPr="00D4400D">
        <w:rPr>
          <w:b/>
        </w:rPr>
        <w:t xml:space="preserve"> </w:t>
      </w:r>
      <w:r w:rsidRPr="00D4400D">
        <w:t>include:</w:t>
      </w:r>
    </w:p>
    <w:p w14:paraId="409C948D" w14:textId="77777777" w:rsidR="00444647" w:rsidRPr="00D4400D" w:rsidRDefault="00444647" w:rsidP="00130803">
      <w:pPr>
        <w:pStyle w:val="ListBullet"/>
      </w:pPr>
      <w:r w:rsidRPr="00D4400D">
        <w:t>To act as a central, national body which will assist the Minister in the coordination and development of policy in relation to persons with disabilities</w:t>
      </w:r>
    </w:p>
    <w:p w14:paraId="51FBC368" w14:textId="77777777" w:rsidR="00444647" w:rsidRPr="00D4400D" w:rsidRDefault="00444647" w:rsidP="00130803">
      <w:pPr>
        <w:pStyle w:val="ListBullet"/>
      </w:pPr>
      <w:r w:rsidRPr="00D4400D">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p>
    <w:p w14:paraId="428452FC" w14:textId="77777777" w:rsidR="00444647" w:rsidRPr="00D4400D" w:rsidRDefault="00444647" w:rsidP="00130803">
      <w:pPr>
        <w:pStyle w:val="ListBullet"/>
      </w:pPr>
      <w:r w:rsidRPr="00D4400D">
        <w:t xml:space="preserve">To advise the Minister on appropriate standards for programmes and services provided or to be provided to persons with disabilities and to act as an advisory body </w:t>
      </w:r>
      <w:proofErr w:type="gramStart"/>
      <w:r w:rsidRPr="00D4400D">
        <w:t>with regard to</w:t>
      </w:r>
      <w:proofErr w:type="gramEnd"/>
      <w:r w:rsidRPr="00D4400D">
        <w:t xml:space="preserve"> the development of general and specific standards in relation to such programmes and services</w:t>
      </w:r>
    </w:p>
    <w:p w14:paraId="69705E18" w14:textId="77777777" w:rsidR="00444647" w:rsidRPr="00D4400D" w:rsidRDefault="00444647" w:rsidP="00130803">
      <w:pPr>
        <w:pStyle w:val="ListBullet"/>
      </w:pPr>
      <w:r w:rsidRPr="00D4400D">
        <w:t>To monitor the implementation of standards and codes of practice in programmes and services provided to persons with disabilities and to report to the Minister thereon</w:t>
      </w:r>
    </w:p>
    <w:p w14:paraId="16D6A2AD" w14:textId="77777777" w:rsidR="00444647" w:rsidRPr="00D4400D" w:rsidRDefault="00444647" w:rsidP="00130803">
      <w:pPr>
        <w:pStyle w:val="ListBullet"/>
      </w:pPr>
      <w:r w:rsidRPr="00D4400D">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14:paraId="432B862A" w14:textId="77777777" w:rsidR="00444647" w:rsidRPr="00D4400D" w:rsidRDefault="00444647" w:rsidP="00130803">
      <w:pPr>
        <w:pStyle w:val="ListBullet"/>
      </w:pPr>
      <w:r w:rsidRPr="00D4400D">
        <w:t>To prepare codes of practice for the purpose of achieving the aim of good standards and quality in the provision of programmes and services provided or to be provided to persons with disabilities</w:t>
      </w:r>
    </w:p>
    <w:p w14:paraId="77C6BF63" w14:textId="77777777" w:rsidR="00444647" w:rsidRPr="00D4400D" w:rsidRDefault="00444647" w:rsidP="00130803">
      <w:pPr>
        <w:pStyle w:val="ListBullet"/>
      </w:pPr>
      <w:r w:rsidRPr="00D4400D">
        <w:t>To recognise the achievement of good standards and quality in the provision of programmes and services to persons with disabilities, including through the provision of a disability equality awards system</w:t>
      </w:r>
    </w:p>
    <w:p w14:paraId="1EA939C5" w14:textId="77777777" w:rsidR="00444647" w:rsidRPr="00D4400D" w:rsidRDefault="00444647" w:rsidP="00130803">
      <w:pPr>
        <w:pStyle w:val="ListBullet"/>
      </w:pPr>
      <w:r w:rsidRPr="00D4400D">
        <w:t>To prepare strategic p</w:t>
      </w:r>
      <w:r w:rsidR="00130803">
        <w:t>lans</w:t>
      </w:r>
    </w:p>
    <w:p w14:paraId="5D19F755" w14:textId="77777777" w:rsidR="00444647" w:rsidRPr="00D4400D" w:rsidRDefault="00444647" w:rsidP="00444647">
      <w:r w:rsidRPr="00D4400D">
        <w:t>Additional functions of the Authority under the Disability Act 2005 include:</w:t>
      </w:r>
    </w:p>
    <w:p w14:paraId="48325DA2" w14:textId="77777777" w:rsidR="00444647" w:rsidRPr="00D4400D" w:rsidRDefault="00444647" w:rsidP="00444647">
      <w:pPr>
        <w:pStyle w:val="ListBullet"/>
      </w:pPr>
      <w:r w:rsidRPr="00D4400D">
        <w:t xml:space="preserve">To prepare codes of practice relating to the accessibility of public buildings, services, </w:t>
      </w:r>
      <w:proofErr w:type="gramStart"/>
      <w:r w:rsidRPr="00D4400D">
        <w:t>information</w:t>
      </w:r>
      <w:proofErr w:type="gramEnd"/>
      <w:r w:rsidRPr="00D4400D">
        <w:t xml:space="preserve"> and heritage sites and to the employment of people with disabilities in the public sector at the request of the Minister (Part 3)</w:t>
      </w:r>
    </w:p>
    <w:p w14:paraId="4F3EDCF4" w14:textId="77777777" w:rsidR="00444647" w:rsidRPr="00D4400D" w:rsidRDefault="00444647" w:rsidP="00444647">
      <w:pPr>
        <w:pStyle w:val="ListBullet"/>
      </w:pPr>
      <w:r w:rsidRPr="00D4400D">
        <w:lastRenderedPageBreak/>
        <w:t>To monitor compliance with statutory targets for recruitment and employment of people with disabilities in the public sector, recommend actions to be taken where these targets are not being met, and prepare codes of practice where requested (Part 5)</w:t>
      </w:r>
    </w:p>
    <w:p w14:paraId="39AF52F5" w14:textId="77777777" w:rsidR="00444647" w:rsidRPr="00D4400D" w:rsidRDefault="00444647" w:rsidP="00444647">
      <w:pPr>
        <w:pStyle w:val="ListBullet"/>
      </w:pPr>
      <w:r w:rsidRPr="00D4400D">
        <w:t xml:space="preserve">To establish a Centre for Excellence in Universal Design in the built environment and information technology which will promote the principles of universal design that may be accessed, </w:t>
      </w:r>
      <w:proofErr w:type="gramStart"/>
      <w:r w:rsidRPr="00D4400D">
        <w:t>understood</w:t>
      </w:r>
      <w:proofErr w:type="gramEnd"/>
      <w:r w:rsidRPr="00D4400D">
        <w:t xml:space="preserve"> and used to the greatest practicable extent by people with disabilities:</w:t>
      </w:r>
    </w:p>
    <w:p w14:paraId="160E6470" w14:textId="77777777" w:rsidR="00444647" w:rsidRPr="00D4400D" w:rsidRDefault="00444647" w:rsidP="00444647">
      <w:pPr>
        <w:pStyle w:val="ListBullet2"/>
      </w:pPr>
      <w:r w:rsidRPr="00D4400D">
        <w:t>in the most independent and natural manner</w:t>
      </w:r>
    </w:p>
    <w:p w14:paraId="412FD196" w14:textId="77777777" w:rsidR="00444647" w:rsidRPr="00D4400D" w:rsidRDefault="00444647" w:rsidP="00444647">
      <w:pPr>
        <w:pStyle w:val="ListBullet2"/>
      </w:pPr>
      <w:r w:rsidRPr="00D4400D">
        <w:t>in the widest possible range of situations</w:t>
      </w:r>
    </w:p>
    <w:p w14:paraId="62884A78" w14:textId="77777777" w:rsidR="00444647" w:rsidRDefault="00444647" w:rsidP="00444647">
      <w:pPr>
        <w:pStyle w:val="ListBullet2"/>
      </w:pPr>
      <w:r w:rsidRPr="00D4400D">
        <w:t xml:space="preserve">without the need for adaptation, modification, assistive </w:t>
      </w:r>
      <w:proofErr w:type="gramStart"/>
      <w:r w:rsidRPr="00D4400D">
        <w:t>devices</w:t>
      </w:r>
      <w:proofErr w:type="gramEnd"/>
      <w:r w:rsidRPr="00D4400D">
        <w:t xml:space="preserve"> o</w:t>
      </w:r>
      <w:r w:rsidR="00130803">
        <w:t>r specialised solution (Part 6)</w:t>
      </w:r>
    </w:p>
    <w:p w14:paraId="219DDBC6" w14:textId="77777777" w:rsidR="00444647" w:rsidRPr="00D4400D" w:rsidRDefault="00444647" w:rsidP="00FB743D">
      <w:pPr>
        <w:pStyle w:val="Heading2"/>
      </w:pPr>
      <w:bookmarkStart w:id="292" w:name="_Toc299362558"/>
      <w:bookmarkStart w:id="293" w:name="_Toc300742167"/>
      <w:bookmarkStart w:id="294" w:name="_Toc300742916"/>
      <w:bookmarkStart w:id="295" w:name="_Toc300744268"/>
      <w:r w:rsidRPr="00D4400D">
        <w:t>Statutory powers</w:t>
      </w:r>
      <w:bookmarkEnd w:id="292"/>
      <w:bookmarkEnd w:id="293"/>
      <w:bookmarkEnd w:id="294"/>
      <w:bookmarkEnd w:id="295"/>
    </w:p>
    <w:p w14:paraId="40051046" w14:textId="77777777" w:rsidR="00444647" w:rsidRPr="00D4400D" w:rsidRDefault="00444647" w:rsidP="00444647">
      <w:pPr>
        <w:tabs>
          <w:tab w:val="left" w:pos="1440"/>
        </w:tabs>
        <w:spacing w:after="240"/>
      </w:pPr>
      <w:r w:rsidRPr="00D4400D">
        <w:t xml:space="preserve">In order to fulfil its statutory </w:t>
      </w:r>
      <w:proofErr w:type="gramStart"/>
      <w:r w:rsidRPr="00D4400D">
        <w:t>functions</w:t>
      </w:r>
      <w:proofErr w:type="gramEnd"/>
      <w:r w:rsidRPr="00D4400D">
        <w:t xml:space="preserve"> the Authority has certain statutory powers under the National Disability Authority Act 1999:</w:t>
      </w:r>
    </w:p>
    <w:p w14:paraId="1D4E2300" w14:textId="77777777" w:rsidR="00444647" w:rsidRPr="00D4400D" w:rsidRDefault="00444647" w:rsidP="00444647">
      <w:pPr>
        <w:pStyle w:val="ListBullet"/>
      </w:pPr>
      <w:r w:rsidRPr="00D4400D">
        <w:t>The Authority has right of access to information (including data) of relevance to its functions which is held by public bodies (Section 13)</w:t>
      </w:r>
    </w:p>
    <w:p w14:paraId="59A17B1C" w14:textId="77777777" w:rsidR="00444647" w:rsidRPr="00D4400D" w:rsidRDefault="00444647" w:rsidP="00444647">
      <w:pPr>
        <w:pStyle w:val="ListBullet"/>
      </w:pPr>
      <w:r w:rsidRPr="00D4400D">
        <w:t>The Authority may seek information on any matter which concerns the provision of programmes or services for persons with disabilities that is provided by statutory duty and that is publicly funded in whole or in part (Section 14)</w:t>
      </w:r>
    </w:p>
    <w:p w14:paraId="22FCBF49" w14:textId="77777777" w:rsidR="00444647" w:rsidRPr="00D4400D" w:rsidRDefault="00444647" w:rsidP="00444647">
      <w:pPr>
        <w:pStyle w:val="ListBullet"/>
      </w:pPr>
      <w:r w:rsidRPr="00D4400D">
        <w:t>The Authority makes recommendations for the review, reduction or withdrawal of moneys provided by the Oireachtas for any programme or service where it feels it is being provided in an inadequate or unsatisfactory manner or is not being provided to people with disabilities (Section 15(4))</w:t>
      </w:r>
    </w:p>
    <w:p w14:paraId="55430C64" w14:textId="77777777" w:rsidR="00444647" w:rsidRDefault="00444647" w:rsidP="00444647">
      <w:r w:rsidRPr="00D4400D">
        <w:t>The Authority makes annual reports and other reports to the Minister with respect to its functions (Section 15).</w:t>
      </w:r>
    </w:p>
    <w:p w14:paraId="083F2D00" w14:textId="77777777" w:rsidR="00444647" w:rsidRPr="00730F66" w:rsidRDefault="00CA495E" w:rsidP="00FB743D">
      <w:pPr>
        <w:pStyle w:val="Heading1"/>
      </w:pPr>
      <w:r>
        <w:br w:type="page"/>
      </w:r>
      <w:bookmarkStart w:id="296" w:name="_Toc299360701"/>
      <w:bookmarkStart w:id="297" w:name="_Toc299361979"/>
      <w:bookmarkStart w:id="298" w:name="_Toc299362483"/>
      <w:bookmarkStart w:id="299" w:name="_Toc299362559"/>
      <w:bookmarkStart w:id="300" w:name="_Toc300741423"/>
      <w:bookmarkStart w:id="301" w:name="_Toc300741737"/>
      <w:bookmarkStart w:id="302" w:name="_Toc300742917"/>
      <w:bookmarkStart w:id="303" w:name="_Toc300744269"/>
      <w:bookmarkStart w:id="304" w:name="_Toc304371207"/>
      <w:bookmarkStart w:id="305" w:name="_Toc304381926"/>
      <w:r w:rsidR="00444647" w:rsidRPr="00730F66">
        <w:lastRenderedPageBreak/>
        <w:t>Statement of Responsibilities of Authority Members</w:t>
      </w:r>
      <w:bookmarkEnd w:id="296"/>
      <w:bookmarkEnd w:id="297"/>
      <w:bookmarkEnd w:id="298"/>
      <w:bookmarkEnd w:id="299"/>
      <w:bookmarkEnd w:id="300"/>
      <w:bookmarkEnd w:id="301"/>
      <w:bookmarkEnd w:id="302"/>
      <w:bookmarkEnd w:id="303"/>
      <w:bookmarkEnd w:id="304"/>
      <w:bookmarkEnd w:id="305"/>
    </w:p>
    <w:p w14:paraId="7AAE1637" w14:textId="77777777" w:rsidR="00444647" w:rsidRDefault="00444647" w:rsidP="00444647">
      <w:r w:rsidRPr="00730F66">
        <w:t>The Authority is required by Section 17 of the National Disability Act 1999 to prepare financial statements for each financial year which give a true and fair view of the state of the affairs of the Authority and of its income and expenditure for that period.</w:t>
      </w:r>
    </w:p>
    <w:p w14:paraId="0397252F" w14:textId="77777777" w:rsidR="00444647" w:rsidRDefault="00444647" w:rsidP="00444647">
      <w:r w:rsidRPr="00730F66">
        <w:t>In preparing those financial statements the Authority is required to:</w:t>
      </w:r>
    </w:p>
    <w:p w14:paraId="587A3073" w14:textId="77777777" w:rsidR="00444647" w:rsidRDefault="00444647" w:rsidP="00444647">
      <w:pPr>
        <w:pStyle w:val="ListBullet"/>
      </w:pPr>
      <w:r w:rsidRPr="00730F66">
        <w:t>select suitable accounting polic</w:t>
      </w:r>
      <w:r w:rsidR="00FB743D">
        <w:t>ies and apply them consistently</w:t>
      </w:r>
    </w:p>
    <w:p w14:paraId="62A18457" w14:textId="77777777" w:rsidR="00444647" w:rsidRDefault="00444647" w:rsidP="00444647">
      <w:pPr>
        <w:pStyle w:val="ListBullet"/>
      </w:pPr>
      <w:r w:rsidRPr="00730F66">
        <w:t xml:space="preserve">make judgements and estimates </w:t>
      </w:r>
      <w:r w:rsidR="00FB743D">
        <w:t>that are reasonable and prudent</w:t>
      </w:r>
    </w:p>
    <w:p w14:paraId="695EF244" w14:textId="77777777" w:rsidR="00444647" w:rsidRDefault="00444647" w:rsidP="00444647">
      <w:pPr>
        <w:pStyle w:val="ListBullet"/>
      </w:pPr>
      <w:r w:rsidRPr="00730F66">
        <w:t>comply with applicable Accounting Standards subject to any material departures disclosed and explai</w:t>
      </w:r>
      <w:r w:rsidR="00FB743D">
        <w:t>ned in the Financial Statements</w:t>
      </w:r>
    </w:p>
    <w:p w14:paraId="7A8113C9" w14:textId="77777777" w:rsidR="00444647" w:rsidRDefault="00444647" w:rsidP="00444647">
      <w:pPr>
        <w:pStyle w:val="ListBullet"/>
      </w:pPr>
      <w:r w:rsidRPr="00730F66">
        <w:t>prepare the financial statements on a going concern basis unless it is inappropriate to presume that the National Disability Authority will continue in existe</w:t>
      </w:r>
      <w:r w:rsidR="00FB743D">
        <w:t>nce</w:t>
      </w:r>
    </w:p>
    <w:p w14:paraId="44E0F43D" w14:textId="77777777" w:rsidR="00444647" w:rsidRDefault="00444647" w:rsidP="00444647">
      <w:r w:rsidRPr="00730F66">
        <w:t xml:space="preserve">The Authority is responsible for maintaining proper accounting records, which disclose with reasonable accuracy at any time the financial </w:t>
      </w:r>
      <w:r>
        <w:t xml:space="preserve">position of the Authority and </w:t>
      </w:r>
      <w:r w:rsidRPr="00730F66">
        <w:t>enable it to ensure that the financial statements comply with the Act. It is also responsible for safeguarding the assets of the National Disability Authority and hence for taking reasonable steps for the prevention and detection of fraud and other irregularities.</w:t>
      </w:r>
    </w:p>
    <w:p w14:paraId="0506A97F" w14:textId="77777777" w:rsidR="00444647" w:rsidRDefault="00444647" w:rsidP="00444647">
      <w:r w:rsidRPr="00730F66">
        <w:t>On behalf of the Authority</w:t>
      </w:r>
    </w:p>
    <w:p w14:paraId="6BA11EBD" w14:textId="77777777" w:rsidR="00444647" w:rsidRPr="00C066E8" w:rsidRDefault="00444647" w:rsidP="00444647">
      <w:pPr>
        <w:rPr>
          <w:u w:val="single"/>
        </w:rPr>
      </w:pPr>
      <w:r w:rsidRPr="00CA495E">
        <w:rPr>
          <w:b/>
        </w:rPr>
        <w:t>Chairperson</w:t>
      </w:r>
      <w:r w:rsidR="00CA495E">
        <w:tab/>
      </w:r>
      <w:r w:rsidR="00CA495E">
        <w:tab/>
        <w:t xml:space="preserve">Peter </w:t>
      </w:r>
      <w:proofErr w:type="spellStart"/>
      <w:r w:rsidR="00CA495E">
        <w:t>McKevitt</w:t>
      </w:r>
      <w:proofErr w:type="spellEnd"/>
    </w:p>
    <w:p w14:paraId="1F251BF1" w14:textId="77777777" w:rsidR="00CA495E" w:rsidRDefault="00444647" w:rsidP="00444647">
      <w:r w:rsidRPr="00CA495E">
        <w:rPr>
          <w:b/>
        </w:rPr>
        <w:t>Director</w:t>
      </w:r>
      <w:r w:rsidR="00CA495E">
        <w:tab/>
      </w:r>
      <w:r w:rsidR="00CA495E">
        <w:tab/>
        <w:t>Siobhan Barron</w:t>
      </w:r>
    </w:p>
    <w:p w14:paraId="6DADB9F3" w14:textId="77777777" w:rsidR="00444647" w:rsidRPr="00C066E8" w:rsidRDefault="00444647" w:rsidP="00444647">
      <w:pPr>
        <w:rPr>
          <w:u w:val="single"/>
        </w:rPr>
      </w:pPr>
      <w:r w:rsidRPr="00CA495E">
        <w:rPr>
          <w:b/>
        </w:rPr>
        <w:t>Date</w:t>
      </w:r>
      <w:r>
        <w:tab/>
      </w:r>
      <w:r>
        <w:tab/>
      </w:r>
      <w:r w:rsidR="00CA495E">
        <w:tab/>
        <w:t>16 June 2011</w:t>
      </w:r>
    </w:p>
    <w:p w14:paraId="3CC39178" w14:textId="77777777" w:rsidR="00444647" w:rsidRDefault="00CA495E" w:rsidP="00CA495E">
      <w:pPr>
        <w:pStyle w:val="Heading1"/>
      </w:pPr>
      <w:r>
        <w:br w:type="page"/>
      </w:r>
      <w:bookmarkStart w:id="306" w:name="_Toc299360702"/>
      <w:bookmarkStart w:id="307" w:name="_Toc299361980"/>
      <w:bookmarkStart w:id="308" w:name="_Toc299362484"/>
      <w:bookmarkStart w:id="309" w:name="_Toc299362560"/>
      <w:bookmarkStart w:id="310" w:name="_Toc300741424"/>
      <w:bookmarkStart w:id="311" w:name="_Toc300741738"/>
      <w:bookmarkStart w:id="312" w:name="_Toc300742918"/>
      <w:bookmarkStart w:id="313" w:name="_Toc300744270"/>
      <w:bookmarkStart w:id="314" w:name="_Toc304371208"/>
      <w:bookmarkStart w:id="315" w:name="_Toc304381927"/>
      <w:r w:rsidR="00444647" w:rsidRPr="00300E3E">
        <w:lastRenderedPageBreak/>
        <w:t>Statement on Internal Financial Control</w:t>
      </w:r>
      <w:r w:rsidR="00444647">
        <w:t xml:space="preserve"> f</w:t>
      </w:r>
      <w:r w:rsidR="00444647" w:rsidRPr="00300E3E">
        <w:t xml:space="preserve">or the year ended 31 December </w:t>
      </w:r>
      <w:r w:rsidR="00444647">
        <w:t>2010</w:t>
      </w:r>
      <w:bookmarkEnd w:id="306"/>
      <w:bookmarkEnd w:id="307"/>
      <w:bookmarkEnd w:id="308"/>
      <w:bookmarkEnd w:id="309"/>
      <w:bookmarkEnd w:id="310"/>
      <w:bookmarkEnd w:id="311"/>
      <w:bookmarkEnd w:id="312"/>
      <w:bookmarkEnd w:id="313"/>
      <w:bookmarkEnd w:id="314"/>
      <w:bookmarkEnd w:id="315"/>
    </w:p>
    <w:p w14:paraId="35B07B8A" w14:textId="77777777" w:rsidR="00444647" w:rsidRDefault="00444647" w:rsidP="00444647">
      <w:r>
        <w:t>On behalf of the Board of the National Disability Authority, I acknowledge our responsibility for ensuring that an effective system of internal financial controls is maintained and operated</w:t>
      </w:r>
    </w:p>
    <w:p w14:paraId="4E8039E5" w14:textId="77777777" w:rsidR="00444647" w:rsidRDefault="00444647" w:rsidP="00444647">
      <w:r w:rsidRPr="00730F66">
        <w:t>The systems can provide only reasonable, and not absolute, assurance that the assets are safeguarded, transactions authorised and properly recorded, and that material errors or irregularities are either prevented or would be detected in a timely manner.</w:t>
      </w:r>
    </w:p>
    <w:p w14:paraId="2839DB16" w14:textId="77777777" w:rsidR="00444647" w:rsidRDefault="00444647" w:rsidP="00444647">
      <w:r w:rsidRPr="00730F66">
        <w:t>The Authority has taken steps to ensure an appropriate control environment is in place by:</w:t>
      </w:r>
    </w:p>
    <w:p w14:paraId="4E96AD1D" w14:textId="77777777" w:rsidR="00444647" w:rsidRPr="00730F66" w:rsidRDefault="00444647" w:rsidP="00444647">
      <w:pPr>
        <w:pStyle w:val="ListBullet"/>
      </w:pPr>
      <w:r w:rsidRPr="00730F66">
        <w:t>Establishing formal procedures through various committee functions to monitor the activities and safeguard the assets of the organisation</w:t>
      </w:r>
    </w:p>
    <w:p w14:paraId="057C0E60" w14:textId="77777777" w:rsidR="00444647" w:rsidRPr="00730F66" w:rsidRDefault="00444647" w:rsidP="00444647">
      <w:pPr>
        <w:pStyle w:val="ListBullet"/>
      </w:pPr>
      <w:r w:rsidRPr="00730F66">
        <w:t>Clearly defining and documenting management responsibilities and powers</w:t>
      </w:r>
    </w:p>
    <w:p w14:paraId="03402E61" w14:textId="77777777" w:rsidR="00444647" w:rsidRDefault="00444647" w:rsidP="00444647">
      <w:pPr>
        <w:pStyle w:val="ListBullet"/>
      </w:pPr>
      <w:r w:rsidRPr="00730F66">
        <w:t>Developing a strong culture of accountability across</w:t>
      </w:r>
      <w:r w:rsidR="00CA495E">
        <w:t xml:space="preserve"> all levels of the organisation</w:t>
      </w:r>
    </w:p>
    <w:p w14:paraId="503FE6E0" w14:textId="77777777" w:rsidR="00444647" w:rsidRDefault="00444647" w:rsidP="00444647">
      <w:pPr>
        <w:pStyle w:val="ListBullet"/>
        <w:numPr>
          <w:ilvl w:val="0"/>
          <w:numId w:val="0"/>
        </w:numPr>
      </w:pPr>
      <w:r w:rsidRPr="00730F66">
        <w:t xml:space="preserve">The Authority has also established processes to identify and evaluate business risks. This is achieved in a </w:t>
      </w:r>
      <w:proofErr w:type="gramStart"/>
      <w:r w:rsidRPr="00730F66">
        <w:t>numbers of ways</w:t>
      </w:r>
      <w:proofErr w:type="gramEnd"/>
      <w:r w:rsidRPr="00730F66">
        <w:t xml:space="preserve"> including:</w:t>
      </w:r>
    </w:p>
    <w:p w14:paraId="3E88FC97" w14:textId="77777777" w:rsidR="00444647" w:rsidRPr="00730F66" w:rsidRDefault="00444647" w:rsidP="00444647">
      <w:pPr>
        <w:pStyle w:val="ListBullet"/>
      </w:pPr>
      <w:r w:rsidRPr="00730F66">
        <w:t>Identifying the nature, extent and financial implications of risks facing the National Disability Authority</w:t>
      </w:r>
    </w:p>
    <w:p w14:paraId="284EF5D6" w14:textId="77777777" w:rsidR="00444647" w:rsidRPr="00730F66" w:rsidRDefault="00444647" w:rsidP="00444647">
      <w:pPr>
        <w:pStyle w:val="ListBullet"/>
      </w:pPr>
      <w:r w:rsidRPr="00730F66">
        <w:t xml:space="preserve">Assessing the likelihood of identified risks occurring. The NDA has prepared a risk register </w:t>
      </w:r>
      <w:r>
        <w:t xml:space="preserve">including strategic, operational, information technology, financial and </w:t>
      </w:r>
      <w:r w:rsidRPr="00730F66">
        <w:t>reputational /compliance risks</w:t>
      </w:r>
      <w:r>
        <w:t>. In addition, risk analysis is completed at project planning and scoping stage</w:t>
      </w:r>
    </w:p>
    <w:p w14:paraId="7839E96E" w14:textId="77777777" w:rsidR="00444647" w:rsidRPr="00730F66" w:rsidRDefault="00444647" w:rsidP="00444647">
      <w:pPr>
        <w:pStyle w:val="ListBullet"/>
      </w:pPr>
      <w:r w:rsidRPr="00730F66">
        <w:t>Assessing the National Disability Authority’s ability to manage and mitigate the risks that do occur</w:t>
      </w:r>
    </w:p>
    <w:p w14:paraId="60BD273B" w14:textId="77777777" w:rsidR="00444647" w:rsidRPr="00730F66" w:rsidRDefault="00444647" w:rsidP="00444647">
      <w:pPr>
        <w:pStyle w:val="ListBullet"/>
      </w:pPr>
      <w:r w:rsidRPr="00730F66">
        <w:t>Working closely with Government and various agencies and institutions to ensure that there is a clear understanding of the National Disability Authority’s goals and support for the Authority’s strategies to achieve those goals</w:t>
      </w:r>
    </w:p>
    <w:p w14:paraId="5396EF74" w14:textId="77777777" w:rsidR="00444647" w:rsidRPr="00730F66" w:rsidRDefault="00444647" w:rsidP="00444647">
      <w:pPr>
        <w:pStyle w:val="ListBullet"/>
      </w:pPr>
      <w:r w:rsidRPr="00730F66">
        <w:t>Carrying out regular reviews of strategic plans both short and long term and evaluating the risks to bringing those plans to fruition</w:t>
      </w:r>
    </w:p>
    <w:p w14:paraId="606D19FE" w14:textId="77777777" w:rsidR="00444647" w:rsidRPr="00730F66" w:rsidRDefault="00444647" w:rsidP="00444647">
      <w:pPr>
        <w:pStyle w:val="ListBullet"/>
      </w:pPr>
      <w:r w:rsidRPr="00730F66">
        <w:t xml:space="preserve">Setting annual and </w:t>
      </w:r>
      <w:proofErr w:type="gramStart"/>
      <w:r w:rsidRPr="00730F66">
        <w:t>lo</w:t>
      </w:r>
      <w:r>
        <w:t>nger term</w:t>
      </w:r>
      <w:proofErr w:type="gramEnd"/>
      <w:r>
        <w:t xml:space="preserve"> targets for each area</w:t>
      </w:r>
      <w:r w:rsidRPr="00730F66">
        <w:t xml:space="preserve"> of our business followed by the regular reporting on the results achieved</w:t>
      </w:r>
    </w:p>
    <w:p w14:paraId="548B11D8" w14:textId="77777777" w:rsidR="00444647" w:rsidRDefault="00444647" w:rsidP="00444647">
      <w:pPr>
        <w:pStyle w:val="ListBullet"/>
      </w:pPr>
      <w:r w:rsidRPr="00730F66">
        <w:t>Establishing and enforcing extensive standard procedures and provision under which financial assistance may be made available to projects, including provisions requiring repayment if the project does not fulfil c</w:t>
      </w:r>
      <w:r w:rsidR="00CA495E">
        <w:t>ommitments made by the promoter</w:t>
      </w:r>
    </w:p>
    <w:p w14:paraId="76386CDF" w14:textId="77777777" w:rsidR="00444647" w:rsidRDefault="00444647" w:rsidP="00444647">
      <w:r w:rsidRPr="00730F66">
        <w:t xml:space="preserve">The system of internal financial control is based on a framework of regular management information, administrative procedures including segregation of duties, and a system of delegation and accountability. </w:t>
      </w:r>
      <w:proofErr w:type="gramStart"/>
      <w:r w:rsidRPr="00730F66">
        <w:t>In particular it</w:t>
      </w:r>
      <w:proofErr w:type="gramEnd"/>
      <w:r w:rsidRPr="00730F66">
        <w:t xml:space="preserve"> includes:</w:t>
      </w:r>
    </w:p>
    <w:p w14:paraId="6DB5AC4F" w14:textId="77777777" w:rsidR="00444647" w:rsidRPr="00730F66" w:rsidRDefault="00444647" w:rsidP="00444647">
      <w:pPr>
        <w:pStyle w:val="ListBullet"/>
      </w:pPr>
      <w:r w:rsidRPr="00730F66">
        <w:t xml:space="preserve">A comprehensive budget system with an annual budget which is reviewed and agreed by the Authority </w:t>
      </w:r>
    </w:p>
    <w:p w14:paraId="6DA031EE" w14:textId="77777777" w:rsidR="00444647" w:rsidRPr="00730F66" w:rsidRDefault="00444647" w:rsidP="00444647">
      <w:pPr>
        <w:pStyle w:val="ListBullet"/>
      </w:pPr>
      <w:r w:rsidRPr="00730F66">
        <w:lastRenderedPageBreak/>
        <w:t>Regular reviews by the Authority of periodic and annual financial reports which indicate financial performance against forecasts</w:t>
      </w:r>
    </w:p>
    <w:p w14:paraId="35A87292" w14:textId="77777777" w:rsidR="00444647" w:rsidRPr="00730F66" w:rsidRDefault="00444647" w:rsidP="00444647">
      <w:pPr>
        <w:pStyle w:val="ListBullet"/>
      </w:pPr>
      <w:r w:rsidRPr="00730F66">
        <w:t>Setting targets to measure financial and other performances</w:t>
      </w:r>
    </w:p>
    <w:p w14:paraId="1A400F4D" w14:textId="77777777" w:rsidR="00444647" w:rsidRPr="00730F66" w:rsidRDefault="00444647" w:rsidP="00444647">
      <w:pPr>
        <w:pStyle w:val="ListBullet"/>
      </w:pPr>
      <w:r w:rsidRPr="00730F66">
        <w:t>Clearly defined capital investment control guidelines</w:t>
      </w:r>
    </w:p>
    <w:p w14:paraId="2697C2A8" w14:textId="77777777" w:rsidR="00FB743D" w:rsidRDefault="00444647" w:rsidP="00444647">
      <w:pPr>
        <w:pStyle w:val="ListBullet"/>
      </w:pPr>
      <w:r w:rsidRPr="00730F66">
        <w:t>Formal project management disciplines.</w:t>
      </w:r>
    </w:p>
    <w:p w14:paraId="27137E06" w14:textId="77777777" w:rsidR="00444647" w:rsidRDefault="00444647" w:rsidP="00444647">
      <w:r w:rsidRPr="00730F66">
        <w:t xml:space="preserve">The Authority has outsourced an Internal Audit Service, which operates in accordance with the Framework Code of Best Practice, set out in the </w:t>
      </w:r>
      <w:r>
        <w:t xml:space="preserve">Revised </w:t>
      </w:r>
      <w:r w:rsidRPr="00730F66">
        <w:t>Code of Practice on the Governance of State Bodies</w:t>
      </w:r>
      <w:r>
        <w:t xml:space="preserve"> 2009</w:t>
      </w:r>
      <w:r w:rsidRPr="00730F66">
        <w:t xml:space="preserve">. </w:t>
      </w:r>
      <w:r>
        <w:t>During 2010 the</w:t>
      </w:r>
      <w:r w:rsidRPr="00730F66">
        <w:t xml:space="preserve"> Internal Audit Service </w:t>
      </w:r>
      <w:r>
        <w:t>was</w:t>
      </w:r>
      <w:r w:rsidRPr="00730F66">
        <w:t xml:space="preserve"> carried out by the Department of Justice Equality and Law Reform</w:t>
      </w:r>
      <w:r w:rsidRPr="00B01B9A">
        <w:rPr>
          <w:rFonts w:cs="Arial"/>
        </w:rPr>
        <w:t xml:space="preserve">. </w:t>
      </w:r>
      <w:r w:rsidRPr="00B01B9A">
        <w:rPr>
          <w:rFonts w:cs="Arial"/>
          <w:color w:val="000000"/>
          <w:lang w:val="en-GB" w:eastAsia="en-GB"/>
        </w:rPr>
        <w:t>The NDA returned to the Department of Justice, Equality and Defence on 1 April 2011 from the Department of Community, Equality and Gaeltacht Affairs and during 2011, the Internal Audit Service will be carried out by the Department of Justice, Equality and Defence.</w:t>
      </w:r>
      <w:r w:rsidRPr="00730F66">
        <w:t>The Internal Audit Service reports regularly to the Audit Committee. In the current year</w:t>
      </w:r>
      <w:r>
        <w:t>,</w:t>
      </w:r>
      <w:r w:rsidRPr="00730F66">
        <w:t xml:space="preserve"> Internal Audit has completed </w:t>
      </w:r>
      <w:r>
        <w:t>a report</w:t>
      </w:r>
      <w:r w:rsidRPr="00730F66">
        <w:t xml:space="preserve"> </w:t>
      </w:r>
      <w:proofErr w:type="gramStart"/>
      <w:r w:rsidRPr="00730F66">
        <w:t>in the area of</w:t>
      </w:r>
      <w:proofErr w:type="gramEnd"/>
      <w:r w:rsidRPr="00730F66">
        <w:t xml:space="preserve"> </w:t>
      </w:r>
      <w:r>
        <w:t xml:space="preserve">Fixed Assets. </w:t>
      </w:r>
      <w:r w:rsidRPr="00730F66">
        <w:t xml:space="preserve">No major issues were identified in </w:t>
      </w:r>
      <w:r>
        <w:t>the</w:t>
      </w:r>
      <w:r w:rsidRPr="00730F66">
        <w:t xml:space="preserve"> report.</w:t>
      </w:r>
    </w:p>
    <w:p w14:paraId="31D68199" w14:textId="77777777" w:rsidR="00444647" w:rsidRPr="00730F66" w:rsidRDefault="00444647" w:rsidP="00444647">
      <w:r w:rsidRPr="00730F66">
        <w:t xml:space="preserve">The Authority has responsibility for overseeing the implementation of the Internal Audit Service recommendations to ensure proper and effective financial control procedures are maintained and </w:t>
      </w:r>
      <w:r>
        <w:t>oversees the internal audit function and related p</w:t>
      </w:r>
      <w:r w:rsidRPr="00730F66">
        <w:t>lans to include any new identified areas.</w:t>
      </w:r>
    </w:p>
    <w:p w14:paraId="0D36A71F" w14:textId="77777777" w:rsidR="00444647" w:rsidRDefault="00444647" w:rsidP="00444647">
      <w:r w:rsidRPr="00730F66">
        <w:t>The Authority’s monitoring and review of the effectiveness of the systems of internal financial control is informed by:</w:t>
      </w:r>
    </w:p>
    <w:p w14:paraId="04B61041" w14:textId="77777777" w:rsidR="00444647" w:rsidRPr="00730F66" w:rsidRDefault="00444647" w:rsidP="00444647">
      <w:pPr>
        <w:pStyle w:val="ListBullet"/>
      </w:pPr>
      <w:r w:rsidRPr="00730F66">
        <w:t xml:space="preserve">the work of the Internal Audit </w:t>
      </w:r>
      <w:proofErr w:type="gramStart"/>
      <w:r w:rsidRPr="00730F66">
        <w:t>Service  and</w:t>
      </w:r>
      <w:proofErr w:type="gramEnd"/>
      <w:r w:rsidRPr="00730F66">
        <w:t xml:space="preserve"> the contribution of the Audit Committee which oversees the work of the Internal Auditor and of the corporate governance environment;</w:t>
      </w:r>
    </w:p>
    <w:p w14:paraId="579A45BC" w14:textId="77777777" w:rsidR="00444647" w:rsidRPr="00730F66" w:rsidRDefault="00444647" w:rsidP="00444647">
      <w:pPr>
        <w:pStyle w:val="ListBullet"/>
      </w:pPr>
      <w:r w:rsidRPr="00730F66">
        <w:t xml:space="preserve">the executive managers with the National Disability Authority who have responsibility for the development and the maintenance of the financial control </w:t>
      </w:r>
      <w:proofErr w:type="gramStart"/>
      <w:r w:rsidRPr="00730F66">
        <w:t>framework ;</w:t>
      </w:r>
      <w:proofErr w:type="gramEnd"/>
    </w:p>
    <w:p w14:paraId="54721902" w14:textId="77777777" w:rsidR="00444647" w:rsidRPr="00730F66" w:rsidRDefault="00444647" w:rsidP="00444647">
      <w:pPr>
        <w:pStyle w:val="ListBullet"/>
      </w:pPr>
      <w:r w:rsidRPr="00730F66">
        <w:t xml:space="preserve">the Finance committee who </w:t>
      </w:r>
      <w:proofErr w:type="gramStart"/>
      <w:r w:rsidRPr="00730F66">
        <w:t>report</w:t>
      </w:r>
      <w:proofErr w:type="gramEnd"/>
      <w:r w:rsidRPr="00730F66">
        <w:t xml:space="preserve"> </w:t>
      </w:r>
      <w:r>
        <w:t xml:space="preserve">at least </w:t>
      </w:r>
      <w:r w:rsidRPr="00730F66">
        <w:t>quarterly on financial expenditure and related issues and</w:t>
      </w:r>
    </w:p>
    <w:p w14:paraId="38364828" w14:textId="77777777" w:rsidR="00FB743D" w:rsidRDefault="00444647" w:rsidP="00444647">
      <w:pPr>
        <w:pStyle w:val="ListBullet"/>
      </w:pPr>
      <w:r w:rsidRPr="00730F66">
        <w:t>the issues raised by the Comptroller and Auditor General</w:t>
      </w:r>
      <w:r>
        <w:t>.</w:t>
      </w:r>
    </w:p>
    <w:p w14:paraId="157AE5A0" w14:textId="77777777" w:rsidR="00444647" w:rsidRDefault="00444647" w:rsidP="00444647">
      <w:r>
        <w:t xml:space="preserve">I confirm that the Authority has carried out a formal review of the effectiveness of the systems of internal financial controls in </w:t>
      </w:r>
      <w:r w:rsidRPr="00764B8D">
        <w:t>2010.</w:t>
      </w:r>
    </w:p>
    <w:p w14:paraId="26C7DC5B" w14:textId="77777777" w:rsidR="00444647" w:rsidRDefault="00444647" w:rsidP="00444647">
      <w:r>
        <w:t>Peter Mc Kevitt</w:t>
      </w:r>
    </w:p>
    <w:p w14:paraId="5C5D4F7F" w14:textId="77777777" w:rsidR="00444647" w:rsidRDefault="00444647" w:rsidP="00444647">
      <w:r w:rsidRPr="00730F66">
        <w:t>Chair</w:t>
      </w:r>
      <w:r>
        <w:t>man</w:t>
      </w:r>
    </w:p>
    <w:p w14:paraId="02BF9D12" w14:textId="77777777" w:rsidR="00444647" w:rsidRDefault="00CA495E" w:rsidP="00444647">
      <w:r>
        <w:t>16 June 2011</w:t>
      </w:r>
      <w:r w:rsidR="00444647">
        <w:t xml:space="preserve">  </w:t>
      </w:r>
    </w:p>
    <w:p w14:paraId="0BF97E87" w14:textId="77777777" w:rsidR="00C822AE" w:rsidRDefault="008D25AB" w:rsidP="008D25AB">
      <w:pPr>
        <w:pStyle w:val="Heading1"/>
      </w:pPr>
      <w:r>
        <w:br w:type="page"/>
      </w:r>
      <w:bookmarkStart w:id="316" w:name="_Toc299360703"/>
      <w:bookmarkStart w:id="317" w:name="_Toc299361981"/>
      <w:bookmarkStart w:id="318" w:name="_Toc299362485"/>
      <w:bookmarkStart w:id="319" w:name="_Toc299362561"/>
      <w:bookmarkStart w:id="320" w:name="_Toc300741425"/>
      <w:bookmarkStart w:id="321" w:name="_Toc300741739"/>
      <w:bookmarkStart w:id="322" w:name="_Toc300742919"/>
      <w:bookmarkStart w:id="323" w:name="_Toc300744271"/>
      <w:bookmarkStart w:id="324" w:name="_Toc304371209"/>
      <w:bookmarkStart w:id="325" w:name="_Toc304381928"/>
      <w:r w:rsidR="00C822AE">
        <w:lastRenderedPageBreak/>
        <w:t>Report of the Comptroller and Auditor General for presentation to the Houses of the Oireachtas</w:t>
      </w:r>
      <w:bookmarkEnd w:id="316"/>
      <w:bookmarkEnd w:id="317"/>
      <w:bookmarkEnd w:id="318"/>
      <w:bookmarkEnd w:id="319"/>
      <w:bookmarkEnd w:id="320"/>
      <w:bookmarkEnd w:id="321"/>
      <w:bookmarkEnd w:id="322"/>
      <w:bookmarkEnd w:id="323"/>
      <w:bookmarkEnd w:id="324"/>
      <w:bookmarkEnd w:id="325"/>
    </w:p>
    <w:p w14:paraId="7D77C35A" w14:textId="77777777" w:rsidR="00985F1B" w:rsidRDefault="008D25AB" w:rsidP="008D25AB">
      <w:pPr>
        <w:rPr>
          <w:szCs w:val="25"/>
        </w:rPr>
      </w:pPr>
      <w:r>
        <w:t>I have audited the financial statements of the National Disability Authority for the year ended 31 December 2010 under the National Disability Authority Act 1999</w:t>
      </w:r>
      <w:r>
        <w:rPr>
          <w:szCs w:val="25"/>
        </w:rPr>
        <w:t xml:space="preserve">. </w:t>
      </w:r>
    </w:p>
    <w:p w14:paraId="768E615F" w14:textId="77777777" w:rsidR="008D25AB" w:rsidRDefault="008D25AB" w:rsidP="008D25AB">
      <w:r>
        <w:t xml:space="preserve">The financial statements, which have been prepared under the accounting policies set out therein, comprise the Statement of Accounting Policies, the Income and Expenditure Account, the Statement of Total Recognised Gains and Losses, the Balance Sheet, the Cash Flow </w:t>
      </w:r>
      <w:proofErr w:type="gramStart"/>
      <w:r>
        <w:t>Statement</w:t>
      </w:r>
      <w:proofErr w:type="gramEnd"/>
      <w:r>
        <w:t xml:space="preserve"> and the related notes. The financial reporting framework that has been applied in their preparation is applicable law and Generally Accepted Accounting Practice in </w:t>
      </w:r>
      <w:smartTag w:uri="urn:schemas-microsoft-com:office:smarttags" w:element="country-region">
        <w:smartTag w:uri="urn:schemas-microsoft-com:office:smarttags" w:element="place">
          <w:r>
            <w:t>Ireland</w:t>
          </w:r>
        </w:smartTag>
      </w:smartTag>
      <w:r>
        <w:t>.</w:t>
      </w:r>
    </w:p>
    <w:p w14:paraId="4F3A7D03" w14:textId="77777777" w:rsidR="008D25AB" w:rsidRDefault="008D25AB" w:rsidP="008D25AB">
      <w:pPr>
        <w:pStyle w:val="Heading2"/>
        <w:rPr>
          <w:szCs w:val="22"/>
        </w:rPr>
      </w:pPr>
      <w:bookmarkStart w:id="326" w:name="_Toc299362562"/>
      <w:bookmarkStart w:id="327" w:name="_Toc300742171"/>
      <w:bookmarkStart w:id="328" w:name="_Toc300742920"/>
      <w:bookmarkStart w:id="329" w:name="_Toc300744272"/>
      <w:r>
        <w:t>Responsibilities of the Members of the Authority</w:t>
      </w:r>
      <w:bookmarkEnd w:id="326"/>
      <w:bookmarkEnd w:id="327"/>
      <w:bookmarkEnd w:id="328"/>
      <w:bookmarkEnd w:id="329"/>
    </w:p>
    <w:p w14:paraId="11DAAD8A" w14:textId="77777777" w:rsidR="008D25AB" w:rsidRDefault="008D25AB" w:rsidP="008D25AB">
      <w:r>
        <w:t xml:space="preserve">The Authority is responsible for the preparation of the financial statements, for ensuring that they give a true and fair view </w:t>
      </w:r>
      <w:r>
        <w:rPr>
          <w:lang w:val="en-US"/>
        </w:rPr>
        <w:t xml:space="preserve">of the state of the National Disability Authority’s affairs and of its income and expenditure, </w:t>
      </w:r>
      <w:r>
        <w:t>and for ensuring the regularity of transactions.</w:t>
      </w:r>
    </w:p>
    <w:p w14:paraId="0D404B9F" w14:textId="77777777" w:rsidR="008D25AB" w:rsidRDefault="008D25AB" w:rsidP="008D25AB">
      <w:pPr>
        <w:pStyle w:val="Heading2"/>
      </w:pPr>
      <w:bookmarkStart w:id="330" w:name="_Toc299362563"/>
      <w:bookmarkStart w:id="331" w:name="_Toc300742172"/>
      <w:bookmarkStart w:id="332" w:name="_Toc300742921"/>
      <w:bookmarkStart w:id="333" w:name="_Toc300744273"/>
      <w:r>
        <w:t>Responsibilities of the Comptroller and Auditor General</w:t>
      </w:r>
      <w:bookmarkEnd w:id="330"/>
      <w:bookmarkEnd w:id="331"/>
      <w:bookmarkEnd w:id="332"/>
      <w:bookmarkEnd w:id="333"/>
    </w:p>
    <w:p w14:paraId="76A1C6FC" w14:textId="77777777" w:rsidR="008D25AB" w:rsidRDefault="008D25AB" w:rsidP="008D25AB">
      <w:r>
        <w:t xml:space="preserve">My responsibility is to audit the financial statements and report on them in accordance with applicable law.  </w:t>
      </w:r>
    </w:p>
    <w:p w14:paraId="375BA28A" w14:textId="77777777" w:rsidR="008D25AB" w:rsidRDefault="008D25AB" w:rsidP="008D25AB">
      <w:r>
        <w:rPr>
          <w:lang w:val="en-US"/>
        </w:rPr>
        <w:t>My audit is conducted by reference to the special considerations which attach to State bodies in relation to their management and operation.</w:t>
      </w:r>
    </w:p>
    <w:p w14:paraId="51775EAD" w14:textId="77777777" w:rsidR="008D25AB" w:rsidRDefault="008D25AB" w:rsidP="008D25AB">
      <w:r>
        <w:t>My audit is carried out in accordance with the International Standards on Auditing (</w:t>
      </w:r>
      <w:smartTag w:uri="urn:schemas-microsoft-com:office:smarttags" w:element="country-region">
        <w:r>
          <w:t>UK</w:t>
        </w:r>
      </w:smartTag>
      <w:r>
        <w:t xml:space="preserve"> and </w:t>
      </w:r>
      <w:smartTag w:uri="urn:schemas-microsoft-com:office:smarttags" w:element="country-region">
        <w:smartTag w:uri="urn:schemas-microsoft-com:office:smarttags" w:element="place">
          <w:r>
            <w:t>Ireland</w:t>
          </w:r>
        </w:smartTag>
      </w:smartTag>
      <w:r>
        <w:t>) and in compliance with the Auditing Practices Board’s Ethical Standards for Auditors.</w:t>
      </w:r>
    </w:p>
    <w:p w14:paraId="6B77E4D1" w14:textId="77777777" w:rsidR="008D25AB" w:rsidRDefault="008D25AB" w:rsidP="008D25AB">
      <w:pPr>
        <w:pStyle w:val="Heading2"/>
      </w:pPr>
      <w:bookmarkStart w:id="334" w:name="_Toc299362564"/>
      <w:bookmarkStart w:id="335" w:name="_Toc300742173"/>
      <w:bookmarkStart w:id="336" w:name="_Toc300742922"/>
      <w:bookmarkStart w:id="337" w:name="_Toc300744274"/>
      <w:r>
        <w:t>Scope of Audit of the Financial Statements</w:t>
      </w:r>
      <w:bookmarkEnd w:id="334"/>
      <w:bookmarkEnd w:id="335"/>
      <w:bookmarkEnd w:id="336"/>
      <w:bookmarkEnd w:id="337"/>
    </w:p>
    <w:p w14:paraId="71921B30" w14:textId="77777777" w:rsidR="008D25AB" w:rsidRDefault="008D25AB" w:rsidP="008D25AB">
      <w:pPr>
        <w:rPr>
          <w:lang w:val="en-US"/>
        </w:rPr>
      </w:pPr>
      <w:r>
        <w:rPr>
          <w:lang w:val="en-US"/>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t>
      </w:r>
    </w:p>
    <w:p w14:paraId="0D29E49F" w14:textId="77777777" w:rsidR="008D25AB" w:rsidRDefault="008D25AB" w:rsidP="008D25AB">
      <w:pPr>
        <w:pStyle w:val="ListBullet"/>
      </w:pPr>
      <w:r>
        <w:t>whether the accounting policies are appropriate to the Authority’s circumstances, and have been consistently applied and adequately disclosed</w:t>
      </w:r>
    </w:p>
    <w:p w14:paraId="1B3455B2" w14:textId="77777777" w:rsidR="008D25AB" w:rsidRDefault="008D25AB" w:rsidP="008D25AB">
      <w:pPr>
        <w:pStyle w:val="ListBullet"/>
      </w:pPr>
      <w:r>
        <w:t>the reasonableness of significant accounting estimates made in the preparation of the financial statements, and</w:t>
      </w:r>
    </w:p>
    <w:p w14:paraId="41C84E67" w14:textId="77777777" w:rsidR="008D25AB" w:rsidRDefault="008D25AB" w:rsidP="008D25AB">
      <w:pPr>
        <w:pStyle w:val="ListBullet"/>
      </w:pPr>
      <w:r>
        <w:t>the overall presentation of the financial statements</w:t>
      </w:r>
    </w:p>
    <w:p w14:paraId="3C749CDC" w14:textId="77777777" w:rsidR="008D25AB" w:rsidRDefault="008D25AB" w:rsidP="008D25AB">
      <w:r>
        <w:t xml:space="preserve">I also seek to obtain evidence about the regularity of financial transactions </w:t>
      </w:r>
      <w:proofErr w:type="gramStart"/>
      <w:r>
        <w:t>in the course of</w:t>
      </w:r>
      <w:proofErr w:type="gramEnd"/>
      <w:r>
        <w:t xml:space="preserve"> audit. </w:t>
      </w:r>
    </w:p>
    <w:p w14:paraId="60B27CC9" w14:textId="77777777" w:rsidR="008D25AB" w:rsidRDefault="008D25AB" w:rsidP="008D25AB">
      <w:r>
        <w:t xml:space="preserve">In addition, I read all the financial and non-financial information in the annual report to identify material inconsistencies with the audited financial statements. If I become aware of any apparent material misstatements or </w:t>
      </w:r>
      <w:proofErr w:type="gramStart"/>
      <w:r>
        <w:t>inconsistencies</w:t>
      </w:r>
      <w:proofErr w:type="gramEnd"/>
      <w:r>
        <w:t xml:space="preserve"> I consider the implications for my report.</w:t>
      </w:r>
    </w:p>
    <w:p w14:paraId="3A6A1532" w14:textId="77777777" w:rsidR="008D25AB" w:rsidRDefault="008D25AB" w:rsidP="008D25AB">
      <w:pPr>
        <w:pStyle w:val="Heading2"/>
      </w:pPr>
      <w:bookmarkStart w:id="338" w:name="_Toc299362565"/>
      <w:bookmarkStart w:id="339" w:name="_Toc300742174"/>
      <w:bookmarkStart w:id="340" w:name="_Toc300742923"/>
      <w:bookmarkStart w:id="341" w:name="_Toc300744275"/>
      <w:r>
        <w:lastRenderedPageBreak/>
        <w:t>Opinion on the Financial Statements</w:t>
      </w:r>
      <w:bookmarkEnd w:id="338"/>
      <w:bookmarkEnd w:id="339"/>
      <w:bookmarkEnd w:id="340"/>
      <w:bookmarkEnd w:id="341"/>
    </w:p>
    <w:p w14:paraId="12BBE167" w14:textId="77777777" w:rsidR="008D25AB" w:rsidRDefault="008D25AB" w:rsidP="008D25AB">
      <w:pPr>
        <w:rPr>
          <w:lang w:val="en-US"/>
        </w:rPr>
      </w:pPr>
      <w:r>
        <w:rPr>
          <w:lang w:val="en-US"/>
        </w:rPr>
        <w:t xml:space="preserve">In my opinion, the financial statements, which have been properly prepared in accordance with Generally Accepted Accounting Practice in </w:t>
      </w:r>
      <w:smartTag w:uri="urn:schemas-microsoft-com:office:smarttags" w:element="country-region">
        <w:smartTag w:uri="urn:schemas-microsoft-com:office:smarttags" w:element="place">
          <w:r>
            <w:rPr>
              <w:lang w:val="en-US"/>
            </w:rPr>
            <w:t>Ireland</w:t>
          </w:r>
        </w:smartTag>
      </w:smartTag>
      <w:r>
        <w:rPr>
          <w:lang w:val="en-US"/>
        </w:rPr>
        <w:t xml:space="preserve">, give a true and fair view of the state of the Authority’s affairs </w:t>
      </w:r>
      <w:proofErr w:type="gramStart"/>
      <w:r>
        <w:rPr>
          <w:lang w:val="en-US"/>
        </w:rPr>
        <w:t>at</w:t>
      </w:r>
      <w:proofErr w:type="gramEnd"/>
      <w:r>
        <w:rPr>
          <w:lang w:val="en-US"/>
        </w:rPr>
        <w:t xml:space="preserve"> </w:t>
      </w:r>
      <w:r>
        <w:t xml:space="preserve">31 December 2010 </w:t>
      </w:r>
      <w:r>
        <w:rPr>
          <w:lang w:val="en-US"/>
        </w:rPr>
        <w:t>and of its income and expenditure for the year then ended.</w:t>
      </w:r>
    </w:p>
    <w:p w14:paraId="4CC2F5C6" w14:textId="77777777" w:rsidR="008D25AB" w:rsidRDefault="008D25AB" w:rsidP="008D25AB">
      <w:pPr>
        <w:rPr>
          <w:lang w:val="en-US"/>
        </w:rPr>
      </w:pPr>
      <w:r>
        <w:rPr>
          <w:lang w:val="en-US"/>
        </w:rPr>
        <w:t xml:space="preserve">In my opinion, proper books of account have been kept by Authority.  The financial statements </w:t>
      </w:r>
      <w:proofErr w:type="gramStart"/>
      <w:r>
        <w:rPr>
          <w:lang w:val="en-US"/>
        </w:rPr>
        <w:t>are in agreement</w:t>
      </w:r>
      <w:proofErr w:type="gramEnd"/>
      <w:r>
        <w:rPr>
          <w:lang w:val="en-US"/>
        </w:rPr>
        <w:t xml:space="preserve"> with the books of account.</w:t>
      </w:r>
    </w:p>
    <w:p w14:paraId="6E5B8019" w14:textId="77777777" w:rsidR="008D25AB" w:rsidRDefault="008D25AB" w:rsidP="008D25AB">
      <w:pPr>
        <w:pStyle w:val="Heading2"/>
      </w:pPr>
      <w:bookmarkStart w:id="342" w:name="_Toc299362566"/>
      <w:bookmarkStart w:id="343" w:name="_Toc300742175"/>
      <w:bookmarkStart w:id="344" w:name="_Toc300742924"/>
      <w:bookmarkStart w:id="345" w:name="_Toc300744276"/>
      <w:r>
        <w:t>Matters on which I Report by Exception</w:t>
      </w:r>
      <w:bookmarkEnd w:id="342"/>
      <w:bookmarkEnd w:id="343"/>
      <w:bookmarkEnd w:id="344"/>
      <w:bookmarkEnd w:id="345"/>
    </w:p>
    <w:p w14:paraId="474E30C0" w14:textId="77777777" w:rsidR="008D25AB" w:rsidRDefault="008D25AB" w:rsidP="008D25AB">
      <w:pPr>
        <w:rPr>
          <w:lang w:val="en-US"/>
        </w:rPr>
      </w:pPr>
      <w:r>
        <w:rPr>
          <w:lang w:val="en-US"/>
        </w:rPr>
        <w:t>I report by exception if</w:t>
      </w:r>
    </w:p>
    <w:p w14:paraId="1DB0FE5C" w14:textId="77777777" w:rsidR="008D25AB" w:rsidRDefault="008D25AB" w:rsidP="008D25AB">
      <w:pPr>
        <w:pStyle w:val="ListBullet"/>
      </w:pPr>
      <w:r>
        <w:t>I have not received all the information and explanations I required for my audit, or</w:t>
      </w:r>
    </w:p>
    <w:p w14:paraId="2A1AC346" w14:textId="77777777" w:rsidR="008D25AB" w:rsidRDefault="008D25AB" w:rsidP="008D25AB">
      <w:pPr>
        <w:pStyle w:val="ListBullet"/>
      </w:pPr>
      <w:r>
        <w:t xml:space="preserve">my audit noted any material instance where moneys have not been applied for the purposes intended or where the transactions did not conform to the authorities governing them, or </w:t>
      </w:r>
    </w:p>
    <w:p w14:paraId="5FC22294" w14:textId="77777777" w:rsidR="008D25AB" w:rsidRDefault="008D25AB" w:rsidP="008D25AB">
      <w:pPr>
        <w:pStyle w:val="ListBullet"/>
      </w:pPr>
      <w:r>
        <w:t>the information given in the Authority’s Annual Report for the year for which the financial statements are prepared is not consistent with the financial statements, or</w:t>
      </w:r>
    </w:p>
    <w:p w14:paraId="35B572EA" w14:textId="77777777" w:rsidR="008D25AB" w:rsidRDefault="008D25AB" w:rsidP="008D25AB">
      <w:pPr>
        <w:pStyle w:val="ListBullet"/>
      </w:pPr>
      <w:r>
        <w:t>the Statement on Internal Financial Control does not reflect the Authority’s compliance with the Code of Practice for the Governance of State Bodies, or</w:t>
      </w:r>
    </w:p>
    <w:p w14:paraId="0D064B1C" w14:textId="77777777" w:rsidR="008D25AB" w:rsidRDefault="008D25AB" w:rsidP="008D25AB">
      <w:pPr>
        <w:pStyle w:val="ListBullet"/>
      </w:pPr>
      <w:r>
        <w:t xml:space="preserve">I find there are other material matters relating to the </w:t>
      </w:r>
      <w:proofErr w:type="gramStart"/>
      <w:r>
        <w:t>manner in which</w:t>
      </w:r>
      <w:proofErr w:type="gramEnd"/>
      <w:r>
        <w:t xml:space="preserve"> public business has been conducted.</w:t>
      </w:r>
    </w:p>
    <w:p w14:paraId="457C2B51" w14:textId="77777777" w:rsidR="008D25AB" w:rsidRDefault="008D25AB" w:rsidP="008D25AB">
      <w:pPr>
        <w:rPr>
          <w:lang w:val="en-US"/>
        </w:rPr>
      </w:pPr>
      <w:r>
        <w:rPr>
          <w:lang w:val="en-US"/>
        </w:rPr>
        <w:t xml:space="preserve">I have nothing to report </w:t>
      </w:r>
      <w:proofErr w:type="gramStart"/>
      <w:r>
        <w:rPr>
          <w:lang w:val="en-US"/>
        </w:rPr>
        <w:t>in regard to</w:t>
      </w:r>
      <w:proofErr w:type="gramEnd"/>
      <w:r>
        <w:rPr>
          <w:lang w:val="en-US"/>
        </w:rPr>
        <w:t xml:space="preserve"> those matters upon which reporting is by exception.</w:t>
      </w:r>
    </w:p>
    <w:p w14:paraId="47969A77" w14:textId="77777777" w:rsidR="008D25AB" w:rsidRPr="008D25AB" w:rsidRDefault="008D25AB" w:rsidP="008D25AB">
      <w:pPr>
        <w:rPr>
          <w:b/>
        </w:rPr>
      </w:pPr>
      <w:r w:rsidRPr="008D25AB">
        <w:rPr>
          <w:b/>
        </w:rPr>
        <w:t>Andrew Harkness</w:t>
      </w:r>
      <w:r w:rsidRPr="008D25AB">
        <w:rPr>
          <w:b/>
        </w:rPr>
        <w:br/>
        <w:t xml:space="preserve">For and on behalf of the Comptroller and Auditor General      </w:t>
      </w:r>
      <w:r w:rsidRPr="008D25AB">
        <w:rPr>
          <w:b/>
        </w:rPr>
        <w:br/>
        <w:t>July 2011</w:t>
      </w:r>
    </w:p>
    <w:p w14:paraId="77B0B17A" w14:textId="77777777" w:rsidR="00444647" w:rsidRDefault="008D25AB" w:rsidP="008D25AB">
      <w:pPr>
        <w:pStyle w:val="Heading1"/>
      </w:pPr>
      <w:r>
        <w:br w:type="page"/>
      </w:r>
      <w:bookmarkStart w:id="346" w:name="_Toc299360704"/>
      <w:bookmarkStart w:id="347" w:name="_Toc299361982"/>
      <w:bookmarkStart w:id="348" w:name="_Toc299362486"/>
      <w:bookmarkStart w:id="349" w:name="_Toc299362567"/>
      <w:bookmarkStart w:id="350" w:name="_Toc300741426"/>
      <w:bookmarkStart w:id="351" w:name="_Toc300741740"/>
      <w:bookmarkStart w:id="352" w:name="_Toc300742925"/>
      <w:bookmarkStart w:id="353" w:name="_Toc300744277"/>
      <w:bookmarkStart w:id="354" w:name="_Toc304371210"/>
      <w:bookmarkStart w:id="355" w:name="_Toc304381929"/>
      <w:r w:rsidR="00444647" w:rsidRPr="00300E3E">
        <w:lastRenderedPageBreak/>
        <w:t>S</w:t>
      </w:r>
      <w:r w:rsidR="00444647">
        <w:t>tatement of Accounting</w:t>
      </w:r>
      <w:r w:rsidR="00444647" w:rsidRPr="00300E3E">
        <w:t xml:space="preserve"> P</w:t>
      </w:r>
      <w:r w:rsidR="00444647">
        <w:t>olicies</w:t>
      </w:r>
      <w:bookmarkEnd w:id="346"/>
      <w:bookmarkEnd w:id="347"/>
      <w:bookmarkEnd w:id="348"/>
      <w:bookmarkEnd w:id="349"/>
      <w:bookmarkEnd w:id="350"/>
      <w:bookmarkEnd w:id="351"/>
      <w:bookmarkEnd w:id="352"/>
      <w:bookmarkEnd w:id="353"/>
      <w:bookmarkEnd w:id="354"/>
      <w:bookmarkEnd w:id="355"/>
    </w:p>
    <w:p w14:paraId="509584E3" w14:textId="77777777" w:rsidR="00444647" w:rsidRDefault="00444647" w:rsidP="00CA495E">
      <w:pPr>
        <w:pStyle w:val="Heading2"/>
      </w:pPr>
      <w:bookmarkStart w:id="356" w:name="_Toc299362568"/>
      <w:bookmarkStart w:id="357" w:name="_Toc300742926"/>
      <w:bookmarkStart w:id="358" w:name="_Toc300744278"/>
      <w:r>
        <w:t>Basis of Accounting</w:t>
      </w:r>
      <w:bookmarkEnd w:id="356"/>
      <w:bookmarkEnd w:id="357"/>
      <w:bookmarkEnd w:id="358"/>
    </w:p>
    <w:p w14:paraId="1317E424" w14:textId="77777777" w:rsidR="00444647" w:rsidRDefault="00444647" w:rsidP="00444647">
      <w:r>
        <w:t>The financial statements have been prepared using the accruals method of accounting, except as indicated below and in accordance with generally accepted accounting principles under the historical cost convention.</w:t>
      </w:r>
    </w:p>
    <w:p w14:paraId="1697ED3B" w14:textId="77777777" w:rsidR="00444647" w:rsidRDefault="00444647" w:rsidP="00444647">
      <w:r>
        <w:t>Financial Reporting Standards recommended by the recognised accountancy bodies are adopted as they become operative.</w:t>
      </w:r>
    </w:p>
    <w:p w14:paraId="5D74B418" w14:textId="77777777" w:rsidR="00444647" w:rsidRDefault="00444647" w:rsidP="00CA495E">
      <w:pPr>
        <w:pStyle w:val="Heading2"/>
      </w:pPr>
      <w:bookmarkStart w:id="359" w:name="_Toc299362569"/>
      <w:bookmarkStart w:id="360" w:name="_Toc300742927"/>
      <w:bookmarkStart w:id="361" w:name="_Toc300744279"/>
      <w:r>
        <w:t>Oireachtas Grant Income</w:t>
      </w:r>
      <w:bookmarkEnd w:id="359"/>
      <w:bookmarkEnd w:id="360"/>
      <w:bookmarkEnd w:id="361"/>
    </w:p>
    <w:p w14:paraId="612DD761" w14:textId="77777777" w:rsidR="00444647" w:rsidRPr="003971A2" w:rsidRDefault="00444647" w:rsidP="00444647">
      <w:pPr>
        <w:rPr>
          <w:b/>
        </w:rPr>
      </w:pPr>
      <w:r>
        <w:t>The income from this source represents the amounts provided to the NDA by the sponsoring departments through the direct payment of salary and other costs.</w:t>
      </w:r>
    </w:p>
    <w:p w14:paraId="36AC9C33" w14:textId="77777777" w:rsidR="00444647" w:rsidRDefault="00444647" w:rsidP="00CA495E">
      <w:pPr>
        <w:pStyle w:val="Heading2"/>
      </w:pPr>
      <w:bookmarkStart w:id="362" w:name="_Toc299362570"/>
      <w:bookmarkStart w:id="363" w:name="_Toc300742928"/>
      <w:bookmarkStart w:id="364" w:name="_Toc300744280"/>
      <w:r>
        <w:t>Other Income – Department of Education and Skills</w:t>
      </w:r>
      <w:bookmarkEnd w:id="362"/>
      <w:bookmarkEnd w:id="363"/>
      <w:bookmarkEnd w:id="364"/>
    </w:p>
    <w:p w14:paraId="16F122F4" w14:textId="77777777" w:rsidR="00444647" w:rsidRPr="00EA5CF3" w:rsidRDefault="00444647" w:rsidP="00444647">
      <w:pPr>
        <w:rPr>
          <w:b/>
        </w:rPr>
      </w:pPr>
      <w:r>
        <w:t xml:space="preserve">Recoupment from the Department of Education and Skills in respect of salaries and superannuation met by the National Disability Authority is accounted for on an </w:t>
      </w:r>
      <w:proofErr w:type="gramStart"/>
      <w:r>
        <w:t>accruals</w:t>
      </w:r>
      <w:proofErr w:type="gramEnd"/>
      <w:r>
        <w:t xml:space="preserve"> basis.</w:t>
      </w:r>
    </w:p>
    <w:p w14:paraId="3BD696A0" w14:textId="77777777" w:rsidR="00444647" w:rsidRDefault="00444647" w:rsidP="00CA495E">
      <w:pPr>
        <w:pStyle w:val="Heading2"/>
      </w:pPr>
      <w:bookmarkStart w:id="365" w:name="_Toc299362571"/>
      <w:bookmarkStart w:id="366" w:name="_Toc300742929"/>
      <w:bookmarkStart w:id="367" w:name="_Toc300744281"/>
      <w:r>
        <w:t>Fixed Assets and Depreciation</w:t>
      </w:r>
      <w:bookmarkEnd w:id="365"/>
      <w:bookmarkEnd w:id="366"/>
      <w:bookmarkEnd w:id="367"/>
    </w:p>
    <w:p w14:paraId="325D4381" w14:textId="77777777" w:rsidR="00444647" w:rsidRDefault="00444647" w:rsidP="00444647">
      <w:r>
        <w:t xml:space="preserve">Fixed Assets are shown at original cost or valuation less accumulated depreciation. </w:t>
      </w:r>
    </w:p>
    <w:p w14:paraId="3EF37B5D" w14:textId="77777777" w:rsidR="00444647" w:rsidRDefault="00444647" w:rsidP="00444647">
      <w:r>
        <w:t>Depreciation is provided at the following annual rates:</w:t>
      </w:r>
    </w:p>
    <w:p w14:paraId="1DD06DE9" w14:textId="77777777" w:rsidR="00444647" w:rsidRDefault="00444647" w:rsidP="00444647">
      <w:r>
        <w:t xml:space="preserve">Office Furniture and Equipment               20.00 % (Straight Line) </w:t>
      </w:r>
    </w:p>
    <w:p w14:paraId="6015564A" w14:textId="77777777" w:rsidR="00444647" w:rsidRDefault="00444647" w:rsidP="00444647">
      <w:r>
        <w:t>Computer Hardware and Software           33.33 % (Straight Line)</w:t>
      </w:r>
    </w:p>
    <w:p w14:paraId="2D9C3C23" w14:textId="77777777" w:rsidR="00FB743D" w:rsidRDefault="00444647" w:rsidP="00444647">
      <w:r>
        <w:t>Premises                                                   2.50 % (Reducing Balance Basis)</w:t>
      </w:r>
    </w:p>
    <w:p w14:paraId="5DBBC9BA" w14:textId="77777777" w:rsidR="00444647" w:rsidRDefault="00444647" w:rsidP="00CA495E">
      <w:pPr>
        <w:pStyle w:val="Heading2"/>
      </w:pPr>
      <w:bookmarkStart w:id="368" w:name="_Toc299362572"/>
      <w:bookmarkStart w:id="369" w:name="_Toc300742930"/>
      <w:bookmarkStart w:id="370" w:name="_Toc300744282"/>
      <w:r>
        <w:t>Capital Account</w:t>
      </w:r>
      <w:bookmarkEnd w:id="368"/>
      <w:bookmarkEnd w:id="369"/>
      <w:bookmarkEnd w:id="370"/>
    </w:p>
    <w:p w14:paraId="0836DB8F" w14:textId="77777777" w:rsidR="00444647" w:rsidRDefault="00444647" w:rsidP="00444647">
      <w:r>
        <w:t>The Capital Account represents the unamortised amount of income allocated for the purchase of fixed assets.</w:t>
      </w:r>
    </w:p>
    <w:p w14:paraId="3B91C182" w14:textId="77777777" w:rsidR="00444647" w:rsidRPr="003971A2" w:rsidRDefault="00444647" w:rsidP="00CA495E">
      <w:pPr>
        <w:pStyle w:val="Heading2"/>
      </w:pPr>
      <w:bookmarkStart w:id="371" w:name="_Toc299362573"/>
      <w:bookmarkStart w:id="372" w:name="_Toc300742931"/>
      <w:bookmarkStart w:id="373" w:name="_Toc300744283"/>
      <w:r w:rsidRPr="003971A2">
        <w:t>Pensions</w:t>
      </w:r>
      <w:bookmarkEnd w:id="371"/>
      <w:bookmarkEnd w:id="372"/>
      <w:bookmarkEnd w:id="373"/>
    </w:p>
    <w:p w14:paraId="61B979C8" w14:textId="77777777" w:rsidR="00444647" w:rsidRDefault="00444647" w:rsidP="00444647">
      <w:r>
        <w:t>The National Disability Authority operates a defined bene</w:t>
      </w:r>
      <w:r w:rsidRPr="009E12F9">
        <w:t>fit pension scheme which is funded annually on a pay as you go basis from monies available to it, including monies</w:t>
      </w:r>
      <w:r>
        <w:t xml:space="preserve"> provided by the Department of Justice Equality and Law Reform and from contributions deducted from staff salaries. </w:t>
      </w:r>
    </w:p>
    <w:p w14:paraId="2381DA87" w14:textId="77777777" w:rsidR="00444647" w:rsidRDefault="00444647" w:rsidP="00444647">
      <w:r>
        <w:t xml:space="preserve">Pension costs reflect pension benefits earned by employees in the period and are shown net of staff pension contributions which are retained by the National Disability Authority. An amount corresponding to the pension charge is recognised as income to the extent that it is </w:t>
      </w:r>
      <w:proofErr w:type="gramStart"/>
      <w:r>
        <w:t>recoverable, and</w:t>
      </w:r>
      <w:proofErr w:type="gramEnd"/>
      <w:r>
        <w:t xml:space="preserve"> offset by grants received in the year to discharge pension payments.</w:t>
      </w:r>
    </w:p>
    <w:p w14:paraId="47A943F6" w14:textId="77777777" w:rsidR="00444647" w:rsidRDefault="00444647" w:rsidP="00444647">
      <w:r>
        <w:lastRenderedPageBreak/>
        <w:t>Actuarial gains or losses arising on scheme liabilities are reflected in the Statement of Total Recognised Gains and Losses and a corresponding adjustment is recognised in the amount recoverable from the Department of Justice, Equality &amp; Law Reform.</w:t>
      </w:r>
    </w:p>
    <w:p w14:paraId="43A102D1" w14:textId="77777777" w:rsidR="00EE061F" w:rsidRDefault="00444647" w:rsidP="00444647">
      <w:r>
        <w:t>Pension liabilities represent the present value of future pension payments earned by staff to date. Deferred pension funding represents the corresponding asset to be recovered in future periods from the Department of Justice, Equality &amp; Law Reform.</w:t>
      </w:r>
    </w:p>
    <w:p w14:paraId="12F5EC96" w14:textId="77777777" w:rsidR="00F62A79" w:rsidRPr="00F62A79" w:rsidRDefault="00490F84" w:rsidP="003F4DEE">
      <w:pPr>
        <w:pStyle w:val="Heading2"/>
      </w:pPr>
      <w:r>
        <w:br w:type="page"/>
      </w:r>
      <w:bookmarkStart w:id="374" w:name="_Toc300742932"/>
      <w:bookmarkStart w:id="375" w:name="_Toc300744284"/>
      <w:r w:rsidR="00F62A79" w:rsidRPr="00F62A79">
        <w:lastRenderedPageBreak/>
        <w:t>Income and Expenditure Account for the year ended 31 December 2010</w:t>
      </w:r>
      <w:bookmarkEnd w:id="374"/>
      <w:bookmarkEnd w:id="37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356"/>
        <w:gridCol w:w="1356"/>
        <w:gridCol w:w="1356"/>
      </w:tblGrid>
      <w:tr w:rsidR="00F62A79" w:rsidRPr="00F62A79" w14:paraId="2B4F63F2" w14:textId="77777777" w:rsidTr="00CC48A5">
        <w:tblPrEx>
          <w:tblCellMar>
            <w:top w:w="0" w:type="dxa"/>
            <w:bottom w:w="0" w:type="dxa"/>
          </w:tblCellMar>
        </w:tblPrEx>
        <w:trPr>
          <w:tblHeader/>
        </w:trPr>
        <w:tc>
          <w:tcPr>
            <w:tcW w:w="4788" w:type="dxa"/>
            <w:shd w:val="clear" w:color="auto" w:fill="auto"/>
          </w:tcPr>
          <w:p w14:paraId="7F81F61A" w14:textId="77777777" w:rsidR="00F62A79" w:rsidRPr="00064183" w:rsidRDefault="00F62A79" w:rsidP="00F62A79">
            <w:pPr>
              <w:pStyle w:val="TableHead"/>
              <w:jc w:val="right"/>
            </w:pPr>
          </w:p>
        </w:tc>
        <w:tc>
          <w:tcPr>
            <w:tcW w:w="1356" w:type="dxa"/>
            <w:shd w:val="clear" w:color="auto" w:fill="auto"/>
          </w:tcPr>
          <w:p w14:paraId="37CB4BD1" w14:textId="77777777" w:rsidR="00F62A79" w:rsidRPr="00064183" w:rsidRDefault="00F62A79" w:rsidP="00F62A79">
            <w:pPr>
              <w:pStyle w:val="TableHead"/>
              <w:jc w:val="right"/>
            </w:pPr>
            <w:r w:rsidRPr="00064183">
              <w:t>Notes</w:t>
            </w:r>
          </w:p>
        </w:tc>
        <w:tc>
          <w:tcPr>
            <w:tcW w:w="1356" w:type="dxa"/>
            <w:shd w:val="clear" w:color="auto" w:fill="auto"/>
          </w:tcPr>
          <w:p w14:paraId="0D285AE2" w14:textId="77777777" w:rsidR="00F62A79" w:rsidRPr="00064183" w:rsidRDefault="00F62A79" w:rsidP="00F62A79">
            <w:pPr>
              <w:pStyle w:val="TableHead"/>
              <w:jc w:val="right"/>
            </w:pPr>
            <w:r w:rsidRPr="00064183">
              <w:t>2010</w:t>
            </w:r>
          </w:p>
        </w:tc>
        <w:tc>
          <w:tcPr>
            <w:tcW w:w="1356" w:type="dxa"/>
            <w:shd w:val="clear" w:color="auto" w:fill="auto"/>
          </w:tcPr>
          <w:p w14:paraId="60334E4A" w14:textId="77777777" w:rsidR="00F62A79" w:rsidRPr="00064183" w:rsidRDefault="00F62A79" w:rsidP="00F62A79">
            <w:pPr>
              <w:pStyle w:val="TableHead"/>
              <w:jc w:val="right"/>
            </w:pPr>
            <w:r w:rsidRPr="00064183">
              <w:t>2009</w:t>
            </w:r>
          </w:p>
        </w:tc>
      </w:tr>
      <w:tr w:rsidR="00F62A79" w:rsidRPr="00F62A79" w14:paraId="043837CA" w14:textId="77777777" w:rsidTr="00CC48A5">
        <w:tblPrEx>
          <w:tblCellMar>
            <w:top w:w="0" w:type="dxa"/>
            <w:bottom w:w="0" w:type="dxa"/>
          </w:tblCellMar>
        </w:tblPrEx>
        <w:tc>
          <w:tcPr>
            <w:tcW w:w="4788" w:type="dxa"/>
            <w:shd w:val="clear" w:color="auto" w:fill="auto"/>
          </w:tcPr>
          <w:p w14:paraId="1FBA0672" w14:textId="77777777" w:rsidR="00F62A79" w:rsidRPr="00064183" w:rsidRDefault="00F62A79" w:rsidP="00F62A79">
            <w:pPr>
              <w:pStyle w:val="TableRowHead"/>
            </w:pPr>
          </w:p>
        </w:tc>
        <w:tc>
          <w:tcPr>
            <w:tcW w:w="1356" w:type="dxa"/>
            <w:shd w:val="clear" w:color="auto" w:fill="auto"/>
          </w:tcPr>
          <w:p w14:paraId="3E95FA7D" w14:textId="77777777" w:rsidR="00F62A79" w:rsidRPr="00064183" w:rsidRDefault="00F62A79" w:rsidP="00F62A79">
            <w:pPr>
              <w:pStyle w:val="TableCell"/>
              <w:jc w:val="right"/>
            </w:pPr>
          </w:p>
        </w:tc>
        <w:tc>
          <w:tcPr>
            <w:tcW w:w="1356" w:type="dxa"/>
            <w:shd w:val="clear" w:color="auto" w:fill="auto"/>
            <w:vAlign w:val="bottom"/>
          </w:tcPr>
          <w:p w14:paraId="1AB7544C" w14:textId="77777777" w:rsidR="00F62A79" w:rsidRPr="00064183" w:rsidRDefault="00F62A79" w:rsidP="00F868E5">
            <w:pPr>
              <w:spacing w:after="0" w:line="240" w:lineRule="auto"/>
              <w:jc w:val="right"/>
              <w:rPr>
                <w:rFonts w:cs="Arial"/>
                <w:b/>
                <w:bCs/>
                <w:lang w:val="en-GB" w:eastAsia="en-GB"/>
              </w:rPr>
            </w:pPr>
            <w:r w:rsidRPr="00064183">
              <w:rPr>
                <w:rFonts w:cs="Arial"/>
                <w:b/>
                <w:bCs/>
                <w:lang w:val="en-GB" w:eastAsia="en-GB"/>
              </w:rPr>
              <w:t xml:space="preserve">          €</w:t>
            </w:r>
          </w:p>
        </w:tc>
        <w:tc>
          <w:tcPr>
            <w:tcW w:w="1356" w:type="dxa"/>
            <w:shd w:val="clear" w:color="auto" w:fill="auto"/>
            <w:vAlign w:val="bottom"/>
          </w:tcPr>
          <w:p w14:paraId="062994A5" w14:textId="77777777" w:rsidR="00F62A79" w:rsidRPr="00064183" w:rsidRDefault="00F62A79" w:rsidP="00F868E5">
            <w:pPr>
              <w:spacing w:after="0" w:line="240" w:lineRule="auto"/>
              <w:jc w:val="right"/>
              <w:rPr>
                <w:rFonts w:cs="Arial"/>
                <w:b/>
                <w:bCs/>
                <w:lang w:val="en-GB" w:eastAsia="en-GB"/>
              </w:rPr>
            </w:pPr>
            <w:r w:rsidRPr="00064183">
              <w:rPr>
                <w:rFonts w:cs="Arial"/>
                <w:b/>
                <w:bCs/>
                <w:lang w:val="en-GB" w:eastAsia="en-GB"/>
              </w:rPr>
              <w:t xml:space="preserve">          €</w:t>
            </w:r>
          </w:p>
        </w:tc>
      </w:tr>
      <w:tr w:rsidR="00F62A79" w:rsidRPr="00F62A79" w14:paraId="35A58198" w14:textId="77777777" w:rsidTr="00CC48A5">
        <w:tblPrEx>
          <w:tblCellMar>
            <w:top w:w="0" w:type="dxa"/>
            <w:bottom w:w="0" w:type="dxa"/>
          </w:tblCellMar>
        </w:tblPrEx>
        <w:tc>
          <w:tcPr>
            <w:tcW w:w="8856" w:type="dxa"/>
            <w:gridSpan w:val="4"/>
            <w:shd w:val="clear" w:color="auto" w:fill="auto"/>
          </w:tcPr>
          <w:p w14:paraId="7BC0FC8C" w14:textId="77777777" w:rsidR="00F62A79" w:rsidRPr="00064183" w:rsidRDefault="00F62A79" w:rsidP="00490F84">
            <w:pPr>
              <w:pStyle w:val="TableHead"/>
              <w:jc w:val="center"/>
            </w:pPr>
            <w:r w:rsidRPr="00064183">
              <w:t>Income</w:t>
            </w:r>
          </w:p>
        </w:tc>
      </w:tr>
      <w:tr w:rsidR="00F62A79" w:rsidRPr="00F62A79" w14:paraId="5BC25962" w14:textId="77777777" w:rsidTr="00CC48A5">
        <w:tblPrEx>
          <w:tblCellMar>
            <w:top w:w="0" w:type="dxa"/>
            <w:bottom w:w="0" w:type="dxa"/>
          </w:tblCellMar>
        </w:tblPrEx>
        <w:tc>
          <w:tcPr>
            <w:tcW w:w="4788" w:type="dxa"/>
            <w:shd w:val="clear" w:color="auto" w:fill="auto"/>
            <w:vAlign w:val="bottom"/>
          </w:tcPr>
          <w:p w14:paraId="29696C14" w14:textId="77777777" w:rsidR="00F62A79" w:rsidRPr="00064183" w:rsidRDefault="00F62A79" w:rsidP="00F62A79">
            <w:pPr>
              <w:pStyle w:val="TableRowHead"/>
              <w:rPr>
                <w:lang w:val="en-GB" w:eastAsia="en-GB"/>
              </w:rPr>
            </w:pPr>
            <w:r w:rsidRPr="00064183">
              <w:rPr>
                <w:lang w:val="en-GB" w:eastAsia="en-GB"/>
              </w:rPr>
              <w:t>Grant income</w:t>
            </w:r>
          </w:p>
        </w:tc>
        <w:tc>
          <w:tcPr>
            <w:tcW w:w="1356" w:type="dxa"/>
            <w:shd w:val="clear" w:color="auto" w:fill="auto"/>
            <w:vAlign w:val="bottom"/>
          </w:tcPr>
          <w:p w14:paraId="4C63F629"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2(a)</w:t>
            </w:r>
          </w:p>
        </w:tc>
        <w:tc>
          <w:tcPr>
            <w:tcW w:w="1356" w:type="dxa"/>
            <w:shd w:val="clear" w:color="auto" w:fill="auto"/>
            <w:vAlign w:val="bottom"/>
          </w:tcPr>
          <w:p w14:paraId="31E753E5"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3,814,576 </w:t>
            </w:r>
          </w:p>
        </w:tc>
        <w:tc>
          <w:tcPr>
            <w:tcW w:w="1356" w:type="dxa"/>
            <w:shd w:val="clear" w:color="auto" w:fill="auto"/>
            <w:vAlign w:val="bottom"/>
          </w:tcPr>
          <w:p w14:paraId="128A393B"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4,155,576 </w:t>
            </w:r>
          </w:p>
        </w:tc>
      </w:tr>
      <w:tr w:rsidR="00F62A79" w:rsidRPr="00F62A79" w14:paraId="384F17E7" w14:textId="77777777" w:rsidTr="00CC48A5">
        <w:tblPrEx>
          <w:tblCellMar>
            <w:top w:w="0" w:type="dxa"/>
            <w:bottom w:w="0" w:type="dxa"/>
          </w:tblCellMar>
        </w:tblPrEx>
        <w:tc>
          <w:tcPr>
            <w:tcW w:w="4788" w:type="dxa"/>
            <w:shd w:val="clear" w:color="auto" w:fill="auto"/>
            <w:vAlign w:val="bottom"/>
          </w:tcPr>
          <w:p w14:paraId="49EBF358" w14:textId="77777777" w:rsidR="00F62A79" w:rsidRPr="00064183" w:rsidRDefault="00F62A79" w:rsidP="00F62A79">
            <w:pPr>
              <w:pStyle w:val="TableRowHead"/>
              <w:rPr>
                <w:lang w:val="en-GB" w:eastAsia="en-GB"/>
              </w:rPr>
            </w:pPr>
            <w:r w:rsidRPr="00064183">
              <w:rPr>
                <w:lang w:val="en-GB" w:eastAsia="en-GB"/>
              </w:rPr>
              <w:t>Net Deferred Funding for Pensions</w:t>
            </w:r>
          </w:p>
        </w:tc>
        <w:tc>
          <w:tcPr>
            <w:tcW w:w="1356" w:type="dxa"/>
            <w:shd w:val="clear" w:color="auto" w:fill="auto"/>
            <w:vAlign w:val="bottom"/>
          </w:tcPr>
          <w:p w14:paraId="7BE362A3"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10(b)</w:t>
            </w:r>
          </w:p>
        </w:tc>
        <w:tc>
          <w:tcPr>
            <w:tcW w:w="1356" w:type="dxa"/>
            <w:shd w:val="clear" w:color="auto" w:fill="auto"/>
            <w:vAlign w:val="bottom"/>
          </w:tcPr>
          <w:p w14:paraId="5D4C0817"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1,013,728 </w:t>
            </w:r>
          </w:p>
        </w:tc>
        <w:tc>
          <w:tcPr>
            <w:tcW w:w="1356" w:type="dxa"/>
            <w:shd w:val="clear" w:color="auto" w:fill="auto"/>
            <w:vAlign w:val="bottom"/>
          </w:tcPr>
          <w:p w14:paraId="48DF4461"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660,506 </w:t>
            </w:r>
          </w:p>
        </w:tc>
      </w:tr>
      <w:tr w:rsidR="00F62A79" w:rsidRPr="00F62A79" w14:paraId="7383E27D" w14:textId="77777777" w:rsidTr="00CC48A5">
        <w:tblPrEx>
          <w:tblCellMar>
            <w:top w:w="0" w:type="dxa"/>
            <w:bottom w:w="0" w:type="dxa"/>
          </w:tblCellMar>
        </w:tblPrEx>
        <w:tc>
          <w:tcPr>
            <w:tcW w:w="4788" w:type="dxa"/>
            <w:shd w:val="clear" w:color="auto" w:fill="auto"/>
            <w:vAlign w:val="bottom"/>
          </w:tcPr>
          <w:p w14:paraId="4D54CA84" w14:textId="77777777" w:rsidR="00F62A79" w:rsidRPr="00064183" w:rsidRDefault="00F62A79" w:rsidP="00F62A79">
            <w:pPr>
              <w:pStyle w:val="TableRowHead"/>
              <w:rPr>
                <w:lang w:val="en-GB" w:eastAsia="en-GB"/>
              </w:rPr>
            </w:pPr>
            <w:r w:rsidRPr="00064183">
              <w:rPr>
                <w:lang w:val="en-GB" w:eastAsia="en-GB"/>
              </w:rPr>
              <w:t xml:space="preserve">Other Income </w:t>
            </w:r>
          </w:p>
        </w:tc>
        <w:tc>
          <w:tcPr>
            <w:tcW w:w="1356" w:type="dxa"/>
            <w:shd w:val="clear" w:color="auto" w:fill="auto"/>
            <w:vAlign w:val="bottom"/>
          </w:tcPr>
          <w:p w14:paraId="48E9FC60"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2(b)</w:t>
            </w:r>
          </w:p>
        </w:tc>
        <w:tc>
          <w:tcPr>
            <w:tcW w:w="1356" w:type="dxa"/>
            <w:shd w:val="clear" w:color="auto" w:fill="auto"/>
            <w:vAlign w:val="bottom"/>
          </w:tcPr>
          <w:p w14:paraId="5383C138"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20,155 </w:t>
            </w:r>
          </w:p>
        </w:tc>
        <w:tc>
          <w:tcPr>
            <w:tcW w:w="1356" w:type="dxa"/>
            <w:shd w:val="clear" w:color="auto" w:fill="auto"/>
            <w:vAlign w:val="bottom"/>
          </w:tcPr>
          <w:p w14:paraId="00987317"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140,327 </w:t>
            </w:r>
          </w:p>
        </w:tc>
      </w:tr>
      <w:tr w:rsidR="00F62A79" w:rsidRPr="00F62A79" w14:paraId="32F8D056" w14:textId="77777777" w:rsidTr="00CC48A5">
        <w:tblPrEx>
          <w:tblCellMar>
            <w:top w:w="0" w:type="dxa"/>
            <w:bottom w:w="0" w:type="dxa"/>
          </w:tblCellMar>
        </w:tblPrEx>
        <w:tc>
          <w:tcPr>
            <w:tcW w:w="4788" w:type="dxa"/>
            <w:shd w:val="clear" w:color="auto" w:fill="auto"/>
            <w:vAlign w:val="bottom"/>
          </w:tcPr>
          <w:p w14:paraId="2594CAE7" w14:textId="77777777" w:rsidR="00F62A79" w:rsidRPr="00064183" w:rsidRDefault="00F62A79" w:rsidP="00F868E5">
            <w:pPr>
              <w:spacing w:after="0" w:line="240" w:lineRule="auto"/>
              <w:rPr>
                <w:rFonts w:cs="Arial"/>
                <w:lang w:val="en-GB" w:eastAsia="en-GB"/>
              </w:rPr>
            </w:pPr>
          </w:p>
        </w:tc>
        <w:tc>
          <w:tcPr>
            <w:tcW w:w="1356" w:type="dxa"/>
            <w:shd w:val="clear" w:color="auto" w:fill="auto"/>
            <w:vAlign w:val="bottom"/>
          </w:tcPr>
          <w:p w14:paraId="5838B7BD" w14:textId="77777777" w:rsidR="00F62A79" w:rsidRPr="00064183" w:rsidRDefault="00F62A79" w:rsidP="00F62A79">
            <w:pPr>
              <w:spacing w:after="0" w:line="240" w:lineRule="auto"/>
              <w:jc w:val="right"/>
              <w:rPr>
                <w:rFonts w:cs="Arial"/>
                <w:lang w:val="en-GB" w:eastAsia="en-GB"/>
              </w:rPr>
            </w:pPr>
          </w:p>
        </w:tc>
        <w:tc>
          <w:tcPr>
            <w:tcW w:w="1356" w:type="dxa"/>
            <w:shd w:val="clear" w:color="auto" w:fill="auto"/>
            <w:vAlign w:val="bottom"/>
          </w:tcPr>
          <w:p w14:paraId="12EDB3DE"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4,848,459 </w:t>
            </w:r>
          </w:p>
        </w:tc>
        <w:tc>
          <w:tcPr>
            <w:tcW w:w="1356" w:type="dxa"/>
            <w:shd w:val="clear" w:color="auto" w:fill="auto"/>
            <w:vAlign w:val="bottom"/>
          </w:tcPr>
          <w:p w14:paraId="4419F5D5"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4,956,409 </w:t>
            </w:r>
          </w:p>
        </w:tc>
      </w:tr>
      <w:tr w:rsidR="00F62A79" w:rsidRPr="00F62A79" w14:paraId="5F39DF5E" w14:textId="77777777" w:rsidTr="00CC48A5">
        <w:tblPrEx>
          <w:tblCellMar>
            <w:top w:w="0" w:type="dxa"/>
            <w:bottom w:w="0" w:type="dxa"/>
          </w:tblCellMar>
        </w:tblPrEx>
        <w:tc>
          <w:tcPr>
            <w:tcW w:w="4788" w:type="dxa"/>
            <w:shd w:val="clear" w:color="auto" w:fill="auto"/>
            <w:vAlign w:val="bottom"/>
          </w:tcPr>
          <w:p w14:paraId="0E5D328F" w14:textId="77777777" w:rsidR="00F62A79" w:rsidRPr="00064183" w:rsidRDefault="00F62A79" w:rsidP="00F62A79">
            <w:pPr>
              <w:pStyle w:val="TableRowHead"/>
              <w:rPr>
                <w:lang w:val="en-GB" w:eastAsia="en-GB"/>
              </w:rPr>
            </w:pPr>
            <w:r w:rsidRPr="00064183">
              <w:rPr>
                <w:lang w:val="en-GB" w:eastAsia="en-GB"/>
              </w:rPr>
              <w:t>Transfer from / (to) Capital Account</w:t>
            </w:r>
          </w:p>
        </w:tc>
        <w:tc>
          <w:tcPr>
            <w:tcW w:w="1356" w:type="dxa"/>
            <w:shd w:val="clear" w:color="auto" w:fill="auto"/>
            <w:vAlign w:val="bottom"/>
          </w:tcPr>
          <w:p w14:paraId="28695E15"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8</w:t>
            </w:r>
          </w:p>
        </w:tc>
        <w:tc>
          <w:tcPr>
            <w:tcW w:w="1356" w:type="dxa"/>
            <w:shd w:val="clear" w:color="auto" w:fill="auto"/>
            <w:vAlign w:val="bottom"/>
          </w:tcPr>
          <w:p w14:paraId="6D4B2611"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93,251 </w:t>
            </w:r>
          </w:p>
        </w:tc>
        <w:tc>
          <w:tcPr>
            <w:tcW w:w="1356" w:type="dxa"/>
            <w:shd w:val="clear" w:color="auto" w:fill="auto"/>
            <w:vAlign w:val="bottom"/>
          </w:tcPr>
          <w:p w14:paraId="77003D3A"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110,351 </w:t>
            </w:r>
          </w:p>
        </w:tc>
      </w:tr>
      <w:tr w:rsidR="00F62A79" w:rsidRPr="00F62A79" w14:paraId="65950CD0" w14:textId="77777777" w:rsidTr="00CC48A5">
        <w:tblPrEx>
          <w:tblCellMar>
            <w:top w:w="0" w:type="dxa"/>
            <w:bottom w:w="0" w:type="dxa"/>
          </w:tblCellMar>
        </w:tblPrEx>
        <w:tc>
          <w:tcPr>
            <w:tcW w:w="4788" w:type="dxa"/>
            <w:shd w:val="clear" w:color="auto" w:fill="auto"/>
            <w:vAlign w:val="bottom"/>
          </w:tcPr>
          <w:p w14:paraId="4A3AF862" w14:textId="77777777" w:rsidR="00F62A79" w:rsidRPr="00064183" w:rsidRDefault="00F62A79" w:rsidP="00F62A79">
            <w:pPr>
              <w:pStyle w:val="TableRowHead"/>
              <w:rPr>
                <w:lang w:val="en-GB" w:eastAsia="en-GB"/>
              </w:rPr>
            </w:pPr>
            <w:r w:rsidRPr="00064183">
              <w:rPr>
                <w:lang w:val="en-GB" w:eastAsia="en-GB"/>
              </w:rPr>
              <w:t>Total income</w:t>
            </w:r>
          </w:p>
        </w:tc>
        <w:tc>
          <w:tcPr>
            <w:tcW w:w="1356" w:type="dxa"/>
            <w:shd w:val="clear" w:color="auto" w:fill="auto"/>
            <w:vAlign w:val="bottom"/>
          </w:tcPr>
          <w:p w14:paraId="53579C45"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 xml:space="preserve"> </w:t>
            </w:r>
          </w:p>
        </w:tc>
        <w:tc>
          <w:tcPr>
            <w:tcW w:w="1356" w:type="dxa"/>
            <w:shd w:val="clear" w:color="auto" w:fill="auto"/>
            <w:vAlign w:val="bottom"/>
          </w:tcPr>
          <w:p w14:paraId="6312E6A5"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4,941,710 </w:t>
            </w:r>
          </w:p>
        </w:tc>
        <w:tc>
          <w:tcPr>
            <w:tcW w:w="1356" w:type="dxa"/>
            <w:shd w:val="clear" w:color="auto" w:fill="auto"/>
            <w:vAlign w:val="bottom"/>
          </w:tcPr>
          <w:p w14:paraId="67273123"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5,066,760 </w:t>
            </w:r>
          </w:p>
        </w:tc>
      </w:tr>
      <w:tr w:rsidR="00F62A79" w:rsidRPr="00F62A79" w14:paraId="48495E13" w14:textId="77777777" w:rsidTr="00CC48A5">
        <w:tblPrEx>
          <w:tblCellMar>
            <w:top w:w="0" w:type="dxa"/>
            <w:bottom w:w="0" w:type="dxa"/>
          </w:tblCellMar>
        </w:tblPrEx>
        <w:tc>
          <w:tcPr>
            <w:tcW w:w="8856" w:type="dxa"/>
            <w:gridSpan w:val="4"/>
            <w:shd w:val="clear" w:color="auto" w:fill="auto"/>
          </w:tcPr>
          <w:p w14:paraId="2219867E" w14:textId="77777777" w:rsidR="00F62A79" w:rsidRPr="00064183" w:rsidRDefault="00F62A79" w:rsidP="00BA2631">
            <w:pPr>
              <w:pStyle w:val="TableHead"/>
              <w:jc w:val="center"/>
            </w:pPr>
            <w:r w:rsidRPr="00064183">
              <w:t>Expenditure</w:t>
            </w:r>
          </w:p>
        </w:tc>
      </w:tr>
      <w:tr w:rsidR="00F62A79" w:rsidRPr="00F62A79" w14:paraId="4B13C7C3" w14:textId="77777777" w:rsidTr="00CC48A5">
        <w:tblPrEx>
          <w:tblCellMar>
            <w:top w:w="0" w:type="dxa"/>
            <w:bottom w:w="0" w:type="dxa"/>
          </w:tblCellMar>
        </w:tblPrEx>
        <w:tc>
          <w:tcPr>
            <w:tcW w:w="4788" w:type="dxa"/>
            <w:shd w:val="clear" w:color="auto" w:fill="auto"/>
            <w:vAlign w:val="bottom"/>
          </w:tcPr>
          <w:p w14:paraId="41AAD1A0" w14:textId="77777777" w:rsidR="00F62A79" w:rsidRPr="00064183" w:rsidRDefault="00F62A79" w:rsidP="00F62A79">
            <w:pPr>
              <w:pStyle w:val="TableRowHead"/>
              <w:rPr>
                <w:lang w:val="en-GB" w:eastAsia="en-GB"/>
              </w:rPr>
            </w:pPr>
            <w:r w:rsidRPr="00064183">
              <w:rPr>
                <w:lang w:val="en-GB" w:eastAsia="en-GB"/>
              </w:rPr>
              <w:t>Projects and Commissioned work</w:t>
            </w:r>
          </w:p>
        </w:tc>
        <w:tc>
          <w:tcPr>
            <w:tcW w:w="1356" w:type="dxa"/>
            <w:shd w:val="clear" w:color="auto" w:fill="auto"/>
            <w:vAlign w:val="bottom"/>
          </w:tcPr>
          <w:p w14:paraId="5138AEFB" w14:textId="77777777" w:rsidR="00F62A79" w:rsidRPr="00064183" w:rsidRDefault="00F62A79" w:rsidP="00F868E5">
            <w:pPr>
              <w:spacing w:after="0" w:line="240" w:lineRule="auto"/>
              <w:jc w:val="center"/>
              <w:rPr>
                <w:rFonts w:cs="Arial"/>
                <w:lang w:val="en-GB" w:eastAsia="en-GB"/>
              </w:rPr>
            </w:pPr>
            <w:r w:rsidRPr="00064183">
              <w:rPr>
                <w:rFonts w:cs="Arial"/>
                <w:lang w:val="en-GB" w:eastAsia="en-GB"/>
              </w:rPr>
              <w:t>3</w:t>
            </w:r>
          </w:p>
        </w:tc>
        <w:tc>
          <w:tcPr>
            <w:tcW w:w="1356" w:type="dxa"/>
            <w:shd w:val="clear" w:color="auto" w:fill="auto"/>
            <w:vAlign w:val="bottom"/>
          </w:tcPr>
          <w:p w14:paraId="069DB472"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468,863 </w:t>
            </w:r>
          </w:p>
        </w:tc>
        <w:tc>
          <w:tcPr>
            <w:tcW w:w="1356" w:type="dxa"/>
            <w:shd w:val="clear" w:color="auto" w:fill="auto"/>
            <w:vAlign w:val="bottom"/>
          </w:tcPr>
          <w:p w14:paraId="6B20240C"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422,076 </w:t>
            </w:r>
          </w:p>
        </w:tc>
      </w:tr>
      <w:tr w:rsidR="00F62A79" w:rsidRPr="00F62A79" w14:paraId="3B9F4421" w14:textId="77777777" w:rsidTr="00CC48A5">
        <w:tblPrEx>
          <w:tblCellMar>
            <w:top w:w="0" w:type="dxa"/>
            <w:bottom w:w="0" w:type="dxa"/>
          </w:tblCellMar>
        </w:tblPrEx>
        <w:tc>
          <w:tcPr>
            <w:tcW w:w="8856" w:type="dxa"/>
            <w:gridSpan w:val="4"/>
            <w:shd w:val="clear" w:color="auto" w:fill="auto"/>
          </w:tcPr>
          <w:p w14:paraId="50E350CA" w14:textId="77777777" w:rsidR="00F62A79" w:rsidRPr="00064183" w:rsidRDefault="00F62A79" w:rsidP="00490F84">
            <w:pPr>
              <w:pStyle w:val="TableHead"/>
              <w:jc w:val="center"/>
            </w:pPr>
            <w:r w:rsidRPr="00064183">
              <w:rPr>
                <w:lang w:val="en-GB" w:eastAsia="en-GB"/>
              </w:rPr>
              <w:t>Development, Support and Administration costs</w:t>
            </w:r>
          </w:p>
        </w:tc>
      </w:tr>
      <w:tr w:rsidR="00F62A79" w:rsidRPr="00F62A79" w14:paraId="6F9973AB" w14:textId="77777777" w:rsidTr="00CC48A5">
        <w:tblPrEx>
          <w:tblCellMar>
            <w:top w:w="0" w:type="dxa"/>
            <w:bottom w:w="0" w:type="dxa"/>
          </w:tblCellMar>
        </w:tblPrEx>
        <w:tc>
          <w:tcPr>
            <w:tcW w:w="4788" w:type="dxa"/>
            <w:shd w:val="clear" w:color="auto" w:fill="auto"/>
            <w:vAlign w:val="bottom"/>
          </w:tcPr>
          <w:p w14:paraId="68056B4B" w14:textId="77777777" w:rsidR="00F62A79" w:rsidRPr="00064183" w:rsidRDefault="00F62A79" w:rsidP="00F62A79">
            <w:pPr>
              <w:pStyle w:val="TableRowHead"/>
              <w:rPr>
                <w:lang w:val="en-GB" w:eastAsia="en-GB"/>
              </w:rPr>
            </w:pPr>
            <w:r w:rsidRPr="00064183">
              <w:rPr>
                <w:lang w:val="en-GB" w:eastAsia="en-GB"/>
              </w:rPr>
              <w:t>Payroll</w:t>
            </w:r>
          </w:p>
        </w:tc>
        <w:tc>
          <w:tcPr>
            <w:tcW w:w="1356" w:type="dxa"/>
            <w:shd w:val="clear" w:color="auto" w:fill="auto"/>
            <w:vAlign w:val="bottom"/>
          </w:tcPr>
          <w:p w14:paraId="32F21D20"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4</w:t>
            </w:r>
          </w:p>
        </w:tc>
        <w:tc>
          <w:tcPr>
            <w:tcW w:w="1356" w:type="dxa"/>
            <w:shd w:val="clear" w:color="auto" w:fill="auto"/>
            <w:vAlign w:val="bottom"/>
          </w:tcPr>
          <w:p w14:paraId="0D54184A"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2,235,538 </w:t>
            </w:r>
          </w:p>
        </w:tc>
        <w:tc>
          <w:tcPr>
            <w:tcW w:w="1356" w:type="dxa"/>
            <w:shd w:val="clear" w:color="auto" w:fill="auto"/>
            <w:vAlign w:val="bottom"/>
          </w:tcPr>
          <w:p w14:paraId="6E34832E"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2,530,147 </w:t>
            </w:r>
          </w:p>
        </w:tc>
      </w:tr>
      <w:tr w:rsidR="00F62A79" w:rsidRPr="00F62A79" w14:paraId="64C25664" w14:textId="77777777" w:rsidTr="00CC48A5">
        <w:tblPrEx>
          <w:tblCellMar>
            <w:top w:w="0" w:type="dxa"/>
            <w:bottom w:w="0" w:type="dxa"/>
          </w:tblCellMar>
        </w:tblPrEx>
        <w:tc>
          <w:tcPr>
            <w:tcW w:w="4788" w:type="dxa"/>
            <w:shd w:val="clear" w:color="auto" w:fill="auto"/>
            <w:vAlign w:val="bottom"/>
          </w:tcPr>
          <w:p w14:paraId="6CF75FFA" w14:textId="77777777" w:rsidR="00F62A79" w:rsidRPr="00064183" w:rsidRDefault="00F62A79" w:rsidP="00F62A79">
            <w:pPr>
              <w:pStyle w:val="TableRowHead"/>
              <w:rPr>
                <w:lang w:val="en-GB" w:eastAsia="en-GB"/>
              </w:rPr>
            </w:pPr>
            <w:r w:rsidRPr="00064183">
              <w:rPr>
                <w:lang w:val="en-GB" w:eastAsia="en-GB"/>
              </w:rPr>
              <w:t>Pension Costs</w:t>
            </w:r>
          </w:p>
        </w:tc>
        <w:tc>
          <w:tcPr>
            <w:tcW w:w="1356" w:type="dxa"/>
            <w:shd w:val="clear" w:color="auto" w:fill="auto"/>
            <w:vAlign w:val="bottom"/>
          </w:tcPr>
          <w:p w14:paraId="6929F992"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10(c)</w:t>
            </w:r>
          </w:p>
        </w:tc>
        <w:tc>
          <w:tcPr>
            <w:tcW w:w="1356" w:type="dxa"/>
            <w:shd w:val="clear" w:color="auto" w:fill="auto"/>
            <w:vAlign w:val="bottom"/>
          </w:tcPr>
          <w:p w14:paraId="0A584AB5"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1,407,280 </w:t>
            </w:r>
          </w:p>
        </w:tc>
        <w:tc>
          <w:tcPr>
            <w:tcW w:w="1356" w:type="dxa"/>
            <w:shd w:val="clear" w:color="auto" w:fill="auto"/>
            <w:vAlign w:val="bottom"/>
          </w:tcPr>
          <w:p w14:paraId="7836AE1C"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1,282,217 </w:t>
            </w:r>
          </w:p>
        </w:tc>
      </w:tr>
      <w:tr w:rsidR="00F62A79" w:rsidRPr="00F62A79" w14:paraId="61FF33B3" w14:textId="77777777" w:rsidTr="00CC48A5">
        <w:tblPrEx>
          <w:tblCellMar>
            <w:top w:w="0" w:type="dxa"/>
            <w:bottom w:w="0" w:type="dxa"/>
          </w:tblCellMar>
        </w:tblPrEx>
        <w:tc>
          <w:tcPr>
            <w:tcW w:w="4788" w:type="dxa"/>
            <w:shd w:val="clear" w:color="auto" w:fill="auto"/>
            <w:vAlign w:val="bottom"/>
          </w:tcPr>
          <w:p w14:paraId="0E791BAA" w14:textId="77777777" w:rsidR="00F62A79" w:rsidRPr="00064183" w:rsidRDefault="00F62A79" w:rsidP="00F62A79">
            <w:pPr>
              <w:pStyle w:val="TableRowHead"/>
              <w:rPr>
                <w:lang w:val="en-GB" w:eastAsia="en-GB"/>
              </w:rPr>
            </w:pPr>
            <w:r w:rsidRPr="00064183">
              <w:rPr>
                <w:lang w:val="en-GB" w:eastAsia="en-GB"/>
              </w:rPr>
              <w:t xml:space="preserve">Administration Costs </w:t>
            </w:r>
          </w:p>
        </w:tc>
        <w:tc>
          <w:tcPr>
            <w:tcW w:w="1356" w:type="dxa"/>
            <w:shd w:val="clear" w:color="auto" w:fill="auto"/>
            <w:vAlign w:val="bottom"/>
          </w:tcPr>
          <w:p w14:paraId="5726FA5C"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5</w:t>
            </w:r>
          </w:p>
        </w:tc>
        <w:tc>
          <w:tcPr>
            <w:tcW w:w="1356" w:type="dxa"/>
            <w:shd w:val="clear" w:color="auto" w:fill="auto"/>
            <w:vAlign w:val="bottom"/>
          </w:tcPr>
          <w:p w14:paraId="0D5F7EB5"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618,039 </w:t>
            </w:r>
          </w:p>
        </w:tc>
        <w:tc>
          <w:tcPr>
            <w:tcW w:w="1356" w:type="dxa"/>
            <w:shd w:val="clear" w:color="auto" w:fill="auto"/>
            <w:vAlign w:val="bottom"/>
          </w:tcPr>
          <w:p w14:paraId="238C8CB8"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751,112 </w:t>
            </w:r>
          </w:p>
        </w:tc>
      </w:tr>
      <w:tr w:rsidR="00F62A79" w:rsidRPr="00F62A79" w14:paraId="362B9537" w14:textId="77777777" w:rsidTr="00CC48A5">
        <w:tblPrEx>
          <w:tblCellMar>
            <w:top w:w="0" w:type="dxa"/>
            <w:bottom w:w="0" w:type="dxa"/>
          </w:tblCellMar>
        </w:tblPrEx>
        <w:tc>
          <w:tcPr>
            <w:tcW w:w="4788" w:type="dxa"/>
            <w:shd w:val="clear" w:color="auto" w:fill="auto"/>
            <w:vAlign w:val="bottom"/>
          </w:tcPr>
          <w:p w14:paraId="166F5776" w14:textId="77777777" w:rsidR="00F62A79" w:rsidRPr="00064183" w:rsidRDefault="00F62A79" w:rsidP="00F62A79">
            <w:pPr>
              <w:pStyle w:val="TableRowHead"/>
              <w:rPr>
                <w:lang w:val="en-GB" w:eastAsia="en-GB"/>
              </w:rPr>
            </w:pPr>
            <w:r w:rsidRPr="00064183">
              <w:rPr>
                <w:lang w:val="en-GB" w:eastAsia="en-GB"/>
              </w:rPr>
              <w:t xml:space="preserve">Depreciation </w:t>
            </w:r>
          </w:p>
        </w:tc>
        <w:tc>
          <w:tcPr>
            <w:tcW w:w="1356" w:type="dxa"/>
            <w:shd w:val="clear" w:color="auto" w:fill="auto"/>
            <w:vAlign w:val="bottom"/>
          </w:tcPr>
          <w:p w14:paraId="487AFFE4" w14:textId="77777777" w:rsidR="00F62A79" w:rsidRPr="00064183" w:rsidRDefault="00F62A79" w:rsidP="00F62A79">
            <w:pPr>
              <w:spacing w:after="0" w:line="240" w:lineRule="auto"/>
              <w:jc w:val="right"/>
              <w:rPr>
                <w:rFonts w:cs="Arial"/>
                <w:lang w:val="en-GB" w:eastAsia="en-GB"/>
              </w:rPr>
            </w:pPr>
            <w:r w:rsidRPr="00064183">
              <w:rPr>
                <w:rFonts w:cs="Arial"/>
                <w:lang w:val="en-GB" w:eastAsia="en-GB"/>
              </w:rPr>
              <w:t>7</w:t>
            </w:r>
          </w:p>
        </w:tc>
        <w:tc>
          <w:tcPr>
            <w:tcW w:w="1356" w:type="dxa"/>
            <w:shd w:val="clear" w:color="auto" w:fill="auto"/>
            <w:vAlign w:val="bottom"/>
          </w:tcPr>
          <w:p w14:paraId="31B7A63F"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96,980 </w:t>
            </w:r>
          </w:p>
        </w:tc>
        <w:tc>
          <w:tcPr>
            <w:tcW w:w="1356" w:type="dxa"/>
            <w:shd w:val="clear" w:color="auto" w:fill="auto"/>
            <w:vAlign w:val="bottom"/>
          </w:tcPr>
          <w:p w14:paraId="6D717F3F"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112,176 </w:t>
            </w:r>
          </w:p>
        </w:tc>
      </w:tr>
      <w:tr w:rsidR="00F62A79" w:rsidRPr="00F62A79" w14:paraId="4E596C81" w14:textId="77777777" w:rsidTr="00CC48A5">
        <w:tblPrEx>
          <w:tblCellMar>
            <w:top w:w="0" w:type="dxa"/>
            <w:bottom w:w="0" w:type="dxa"/>
          </w:tblCellMar>
        </w:tblPrEx>
        <w:tc>
          <w:tcPr>
            <w:tcW w:w="4788" w:type="dxa"/>
            <w:shd w:val="clear" w:color="auto" w:fill="auto"/>
            <w:vAlign w:val="bottom"/>
          </w:tcPr>
          <w:p w14:paraId="4108263D" w14:textId="77777777" w:rsidR="00F62A79" w:rsidRPr="00064183" w:rsidRDefault="00F62A79" w:rsidP="00F62A79">
            <w:pPr>
              <w:pStyle w:val="TableRowHead"/>
              <w:rPr>
                <w:lang w:val="en-GB" w:eastAsia="en-GB"/>
              </w:rPr>
            </w:pPr>
          </w:p>
        </w:tc>
        <w:tc>
          <w:tcPr>
            <w:tcW w:w="1356" w:type="dxa"/>
            <w:shd w:val="clear" w:color="auto" w:fill="auto"/>
            <w:vAlign w:val="bottom"/>
          </w:tcPr>
          <w:p w14:paraId="70AFC208" w14:textId="77777777" w:rsidR="00F62A79" w:rsidRPr="00064183" w:rsidRDefault="00F62A79" w:rsidP="00F62A79">
            <w:pPr>
              <w:spacing w:after="0" w:line="240" w:lineRule="auto"/>
              <w:jc w:val="right"/>
              <w:rPr>
                <w:rFonts w:cs="Arial"/>
                <w:lang w:val="en-GB" w:eastAsia="en-GB"/>
              </w:rPr>
            </w:pPr>
          </w:p>
        </w:tc>
        <w:tc>
          <w:tcPr>
            <w:tcW w:w="1356" w:type="dxa"/>
            <w:shd w:val="clear" w:color="auto" w:fill="auto"/>
            <w:vAlign w:val="bottom"/>
          </w:tcPr>
          <w:p w14:paraId="21B39EE0"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4,357,837 </w:t>
            </w:r>
          </w:p>
        </w:tc>
        <w:tc>
          <w:tcPr>
            <w:tcW w:w="1356" w:type="dxa"/>
            <w:shd w:val="clear" w:color="auto" w:fill="auto"/>
            <w:vAlign w:val="bottom"/>
          </w:tcPr>
          <w:p w14:paraId="02E2B57F"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4,675,652 </w:t>
            </w:r>
          </w:p>
        </w:tc>
      </w:tr>
      <w:tr w:rsidR="00F62A79" w:rsidRPr="00F62A79" w14:paraId="540F9BB7" w14:textId="77777777" w:rsidTr="00CC48A5">
        <w:tblPrEx>
          <w:tblCellMar>
            <w:top w:w="0" w:type="dxa"/>
            <w:bottom w:w="0" w:type="dxa"/>
          </w:tblCellMar>
        </w:tblPrEx>
        <w:tc>
          <w:tcPr>
            <w:tcW w:w="4788" w:type="dxa"/>
            <w:shd w:val="clear" w:color="auto" w:fill="auto"/>
            <w:vAlign w:val="bottom"/>
          </w:tcPr>
          <w:p w14:paraId="57A46083" w14:textId="77777777" w:rsidR="00F62A79" w:rsidRPr="00064183" w:rsidRDefault="00F62A79" w:rsidP="00F62A79">
            <w:pPr>
              <w:pStyle w:val="TableRowHead"/>
              <w:rPr>
                <w:lang w:val="en-GB" w:eastAsia="en-GB"/>
              </w:rPr>
            </w:pPr>
            <w:r w:rsidRPr="00064183">
              <w:rPr>
                <w:lang w:val="en-GB" w:eastAsia="en-GB"/>
              </w:rPr>
              <w:t>Total Expenditure</w:t>
            </w:r>
          </w:p>
        </w:tc>
        <w:tc>
          <w:tcPr>
            <w:tcW w:w="1356" w:type="dxa"/>
            <w:shd w:val="clear" w:color="auto" w:fill="auto"/>
            <w:vAlign w:val="bottom"/>
          </w:tcPr>
          <w:p w14:paraId="581775A7" w14:textId="77777777" w:rsidR="00F62A79" w:rsidRPr="00064183" w:rsidRDefault="00F62A79" w:rsidP="00F62A79">
            <w:pPr>
              <w:spacing w:after="0" w:line="240" w:lineRule="auto"/>
              <w:jc w:val="right"/>
              <w:rPr>
                <w:rFonts w:cs="Arial"/>
                <w:lang w:val="en-GB" w:eastAsia="en-GB"/>
              </w:rPr>
            </w:pPr>
          </w:p>
        </w:tc>
        <w:tc>
          <w:tcPr>
            <w:tcW w:w="1356" w:type="dxa"/>
            <w:shd w:val="clear" w:color="auto" w:fill="auto"/>
            <w:vAlign w:val="bottom"/>
          </w:tcPr>
          <w:p w14:paraId="17096F5F"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4,826,700 </w:t>
            </w:r>
          </w:p>
        </w:tc>
        <w:tc>
          <w:tcPr>
            <w:tcW w:w="1356" w:type="dxa"/>
            <w:shd w:val="clear" w:color="auto" w:fill="auto"/>
            <w:vAlign w:val="bottom"/>
          </w:tcPr>
          <w:p w14:paraId="600251F9"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5,097,728 </w:t>
            </w:r>
          </w:p>
        </w:tc>
      </w:tr>
      <w:tr w:rsidR="00F62A79" w:rsidRPr="00F62A79" w14:paraId="742041D7" w14:textId="77777777" w:rsidTr="00CC48A5">
        <w:tblPrEx>
          <w:tblCellMar>
            <w:top w:w="0" w:type="dxa"/>
            <w:bottom w:w="0" w:type="dxa"/>
          </w:tblCellMar>
        </w:tblPrEx>
        <w:tc>
          <w:tcPr>
            <w:tcW w:w="4788" w:type="dxa"/>
            <w:shd w:val="clear" w:color="auto" w:fill="auto"/>
            <w:vAlign w:val="bottom"/>
          </w:tcPr>
          <w:p w14:paraId="75D5A8A6" w14:textId="77777777" w:rsidR="00F62A79" w:rsidRPr="00064183" w:rsidRDefault="00F62A79" w:rsidP="00F868E5">
            <w:pPr>
              <w:spacing w:after="0" w:line="240" w:lineRule="auto"/>
              <w:rPr>
                <w:rFonts w:cs="Arial"/>
                <w:b/>
                <w:bCs/>
                <w:lang w:val="en-GB" w:eastAsia="en-GB"/>
              </w:rPr>
            </w:pPr>
            <w:r w:rsidRPr="00064183">
              <w:rPr>
                <w:rFonts w:cs="Arial"/>
                <w:b/>
                <w:bCs/>
                <w:lang w:val="en-GB" w:eastAsia="en-GB"/>
              </w:rPr>
              <w:t xml:space="preserve">Surplus / </w:t>
            </w:r>
            <w:proofErr w:type="gramStart"/>
            <w:r w:rsidRPr="00064183">
              <w:rPr>
                <w:rFonts w:cs="Arial"/>
                <w:b/>
                <w:bCs/>
                <w:lang w:val="en-GB" w:eastAsia="en-GB"/>
              </w:rPr>
              <w:t>Deficit  for</w:t>
            </w:r>
            <w:proofErr w:type="gramEnd"/>
            <w:r w:rsidRPr="00064183">
              <w:rPr>
                <w:rFonts w:cs="Arial"/>
                <w:b/>
                <w:bCs/>
                <w:lang w:val="en-GB" w:eastAsia="en-GB"/>
              </w:rPr>
              <w:t xml:space="preserve"> the year</w:t>
            </w:r>
          </w:p>
        </w:tc>
        <w:tc>
          <w:tcPr>
            <w:tcW w:w="1356" w:type="dxa"/>
            <w:shd w:val="clear" w:color="auto" w:fill="auto"/>
          </w:tcPr>
          <w:p w14:paraId="20B3DB19" w14:textId="77777777" w:rsidR="00F62A79" w:rsidRPr="00064183" w:rsidRDefault="00F62A79" w:rsidP="00F868E5">
            <w:pPr>
              <w:spacing w:after="0" w:line="240" w:lineRule="auto"/>
              <w:jc w:val="center"/>
              <w:rPr>
                <w:rFonts w:cs="Arial"/>
                <w:b/>
                <w:bCs/>
                <w:lang w:val="en-GB" w:eastAsia="en-GB"/>
              </w:rPr>
            </w:pPr>
          </w:p>
        </w:tc>
        <w:tc>
          <w:tcPr>
            <w:tcW w:w="1356" w:type="dxa"/>
            <w:shd w:val="clear" w:color="auto" w:fill="auto"/>
            <w:vAlign w:val="bottom"/>
          </w:tcPr>
          <w:p w14:paraId="2EE90C0D"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115,010 </w:t>
            </w:r>
          </w:p>
        </w:tc>
        <w:tc>
          <w:tcPr>
            <w:tcW w:w="1356" w:type="dxa"/>
            <w:shd w:val="clear" w:color="auto" w:fill="auto"/>
            <w:vAlign w:val="bottom"/>
          </w:tcPr>
          <w:p w14:paraId="3D800A84"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(30,968)</w:t>
            </w:r>
          </w:p>
        </w:tc>
      </w:tr>
      <w:tr w:rsidR="00F62A79" w:rsidRPr="00F62A79" w14:paraId="559B005F" w14:textId="77777777" w:rsidTr="00CC48A5">
        <w:tblPrEx>
          <w:tblCellMar>
            <w:top w:w="0" w:type="dxa"/>
            <w:bottom w:w="0" w:type="dxa"/>
          </w:tblCellMar>
        </w:tblPrEx>
        <w:tc>
          <w:tcPr>
            <w:tcW w:w="4788" w:type="dxa"/>
            <w:shd w:val="clear" w:color="auto" w:fill="auto"/>
            <w:vAlign w:val="bottom"/>
          </w:tcPr>
          <w:p w14:paraId="148AD7C9" w14:textId="77777777" w:rsidR="00F62A79" w:rsidRPr="00064183" w:rsidRDefault="00F62A79" w:rsidP="00F62A79">
            <w:pPr>
              <w:pStyle w:val="TableRowHead"/>
              <w:rPr>
                <w:lang w:val="en-GB" w:eastAsia="en-GB"/>
              </w:rPr>
            </w:pPr>
            <w:r w:rsidRPr="00064183">
              <w:rPr>
                <w:lang w:val="en-GB" w:eastAsia="en-GB"/>
              </w:rPr>
              <w:t xml:space="preserve">Retained (Deficit) </w:t>
            </w:r>
            <w:proofErr w:type="gramStart"/>
            <w:r w:rsidRPr="00064183">
              <w:rPr>
                <w:lang w:val="en-GB" w:eastAsia="en-GB"/>
              </w:rPr>
              <w:t>at</w:t>
            </w:r>
            <w:proofErr w:type="gramEnd"/>
            <w:r w:rsidRPr="00064183">
              <w:rPr>
                <w:lang w:val="en-GB" w:eastAsia="en-GB"/>
              </w:rPr>
              <w:t xml:space="preserve"> 1 January </w:t>
            </w:r>
          </w:p>
        </w:tc>
        <w:tc>
          <w:tcPr>
            <w:tcW w:w="1356" w:type="dxa"/>
            <w:shd w:val="clear" w:color="auto" w:fill="auto"/>
            <w:vAlign w:val="bottom"/>
          </w:tcPr>
          <w:p w14:paraId="2D84E51B" w14:textId="77777777" w:rsidR="00F62A79" w:rsidRPr="00064183" w:rsidRDefault="00F62A79" w:rsidP="00F868E5">
            <w:pPr>
              <w:spacing w:after="0" w:line="240" w:lineRule="auto"/>
              <w:jc w:val="center"/>
              <w:rPr>
                <w:rFonts w:cs="Arial"/>
                <w:lang w:val="en-GB" w:eastAsia="en-GB"/>
              </w:rPr>
            </w:pPr>
          </w:p>
        </w:tc>
        <w:tc>
          <w:tcPr>
            <w:tcW w:w="1356" w:type="dxa"/>
            <w:shd w:val="clear" w:color="auto" w:fill="auto"/>
            <w:vAlign w:val="bottom"/>
          </w:tcPr>
          <w:p w14:paraId="5E56014B"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(68,991)</w:t>
            </w:r>
          </w:p>
        </w:tc>
        <w:tc>
          <w:tcPr>
            <w:tcW w:w="1356" w:type="dxa"/>
            <w:shd w:val="clear" w:color="auto" w:fill="auto"/>
            <w:vAlign w:val="bottom"/>
          </w:tcPr>
          <w:p w14:paraId="247C74D6"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(38,023)</w:t>
            </w:r>
          </w:p>
        </w:tc>
      </w:tr>
      <w:tr w:rsidR="00F62A79" w:rsidRPr="00F62A79" w14:paraId="0089BFF1" w14:textId="77777777" w:rsidTr="00CC48A5">
        <w:tblPrEx>
          <w:tblCellMar>
            <w:top w:w="0" w:type="dxa"/>
            <w:bottom w:w="0" w:type="dxa"/>
          </w:tblCellMar>
        </w:tblPrEx>
        <w:tc>
          <w:tcPr>
            <w:tcW w:w="4788" w:type="dxa"/>
            <w:shd w:val="clear" w:color="auto" w:fill="auto"/>
            <w:vAlign w:val="bottom"/>
          </w:tcPr>
          <w:p w14:paraId="366A130E" w14:textId="77777777" w:rsidR="00F62A79" w:rsidRPr="00064183" w:rsidRDefault="00F62A79" w:rsidP="00F62A79">
            <w:pPr>
              <w:pStyle w:val="TableRowHead"/>
              <w:rPr>
                <w:lang w:val="en-GB" w:eastAsia="en-GB"/>
              </w:rPr>
            </w:pPr>
            <w:r w:rsidRPr="00064183">
              <w:rPr>
                <w:lang w:val="en-GB" w:eastAsia="en-GB"/>
              </w:rPr>
              <w:t xml:space="preserve">Retained Surplus/ (Deficit) </w:t>
            </w:r>
            <w:proofErr w:type="gramStart"/>
            <w:r w:rsidRPr="00064183">
              <w:rPr>
                <w:lang w:val="en-GB" w:eastAsia="en-GB"/>
              </w:rPr>
              <w:t>at</w:t>
            </w:r>
            <w:proofErr w:type="gramEnd"/>
            <w:r w:rsidRPr="00064183">
              <w:rPr>
                <w:lang w:val="en-GB" w:eastAsia="en-GB"/>
              </w:rPr>
              <w:t xml:space="preserve"> 31 December</w:t>
            </w:r>
          </w:p>
        </w:tc>
        <w:tc>
          <w:tcPr>
            <w:tcW w:w="1356" w:type="dxa"/>
            <w:shd w:val="clear" w:color="auto" w:fill="auto"/>
            <w:vAlign w:val="bottom"/>
          </w:tcPr>
          <w:p w14:paraId="1E69D20F" w14:textId="77777777" w:rsidR="00F62A79" w:rsidRPr="00064183" w:rsidRDefault="00F62A79" w:rsidP="00F868E5">
            <w:pPr>
              <w:spacing w:after="0" w:line="240" w:lineRule="auto"/>
              <w:jc w:val="center"/>
              <w:rPr>
                <w:rFonts w:cs="Arial"/>
                <w:lang w:val="en-GB" w:eastAsia="en-GB"/>
              </w:rPr>
            </w:pPr>
          </w:p>
        </w:tc>
        <w:tc>
          <w:tcPr>
            <w:tcW w:w="1356" w:type="dxa"/>
            <w:shd w:val="clear" w:color="auto" w:fill="auto"/>
            <w:vAlign w:val="bottom"/>
          </w:tcPr>
          <w:p w14:paraId="5CAC5859"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46,019 </w:t>
            </w:r>
          </w:p>
        </w:tc>
        <w:tc>
          <w:tcPr>
            <w:tcW w:w="1356" w:type="dxa"/>
            <w:shd w:val="clear" w:color="auto" w:fill="auto"/>
            <w:vAlign w:val="bottom"/>
          </w:tcPr>
          <w:p w14:paraId="5AC6326F"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(68,991)</w:t>
            </w:r>
          </w:p>
        </w:tc>
      </w:tr>
      <w:tr w:rsidR="00F62A79" w:rsidRPr="00F62A79" w14:paraId="5B89503D" w14:textId="77777777" w:rsidTr="00CC48A5">
        <w:tblPrEx>
          <w:tblCellMar>
            <w:top w:w="0" w:type="dxa"/>
            <w:bottom w:w="0" w:type="dxa"/>
          </w:tblCellMar>
        </w:tblPrEx>
        <w:tc>
          <w:tcPr>
            <w:tcW w:w="8856" w:type="dxa"/>
            <w:gridSpan w:val="4"/>
            <w:shd w:val="clear" w:color="auto" w:fill="auto"/>
          </w:tcPr>
          <w:p w14:paraId="3F953E71" w14:textId="77777777" w:rsidR="00F62A79" w:rsidRPr="00064183" w:rsidRDefault="00F62A79" w:rsidP="00490F84">
            <w:pPr>
              <w:pStyle w:val="TableHead"/>
              <w:jc w:val="center"/>
            </w:pPr>
            <w:r w:rsidRPr="00064183">
              <w:rPr>
                <w:lang w:val="en-GB" w:eastAsia="en-GB"/>
              </w:rPr>
              <w:t>Statement of Total Recognised Gains and Losses</w:t>
            </w:r>
          </w:p>
        </w:tc>
      </w:tr>
      <w:tr w:rsidR="00F62A79" w:rsidRPr="00F62A79" w14:paraId="01B2D9DC" w14:textId="77777777" w:rsidTr="00CC48A5">
        <w:tblPrEx>
          <w:tblCellMar>
            <w:top w:w="0" w:type="dxa"/>
            <w:bottom w:w="0" w:type="dxa"/>
          </w:tblCellMar>
        </w:tblPrEx>
        <w:tc>
          <w:tcPr>
            <w:tcW w:w="4788" w:type="dxa"/>
            <w:shd w:val="clear" w:color="auto" w:fill="auto"/>
            <w:vAlign w:val="bottom"/>
          </w:tcPr>
          <w:p w14:paraId="3DD81BA3" w14:textId="77777777" w:rsidR="00F62A79" w:rsidRPr="00064183" w:rsidRDefault="00F62A79" w:rsidP="00F62A79">
            <w:pPr>
              <w:pStyle w:val="TableRowHead"/>
              <w:rPr>
                <w:lang w:val="en-GB" w:eastAsia="en-GB"/>
              </w:rPr>
            </w:pPr>
            <w:r w:rsidRPr="00064183">
              <w:rPr>
                <w:lang w:val="en-GB" w:eastAsia="en-GB"/>
              </w:rPr>
              <w:t>Su</w:t>
            </w:r>
            <w:r w:rsidR="00BA2631">
              <w:rPr>
                <w:lang w:val="en-GB" w:eastAsia="en-GB"/>
              </w:rPr>
              <w:t>r</w:t>
            </w:r>
            <w:r w:rsidRPr="00064183">
              <w:rPr>
                <w:lang w:val="en-GB" w:eastAsia="en-GB"/>
              </w:rPr>
              <w:t>plus /(Deficit) for the year</w:t>
            </w:r>
          </w:p>
        </w:tc>
        <w:tc>
          <w:tcPr>
            <w:tcW w:w="1356" w:type="dxa"/>
            <w:shd w:val="clear" w:color="auto" w:fill="auto"/>
            <w:vAlign w:val="bottom"/>
          </w:tcPr>
          <w:p w14:paraId="26A91023" w14:textId="77777777" w:rsidR="00F62A79" w:rsidRPr="00064183" w:rsidRDefault="00F62A79" w:rsidP="00F868E5">
            <w:pPr>
              <w:spacing w:after="0" w:line="240" w:lineRule="auto"/>
              <w:jc w:val="center"/>
              <w:rPr>
                <w:rFonts w:cs="Arial"/>
                <w:b/>
                <w:bCs/>
                <w:lang w:val="en-GB" w:eastAsia="en-GB"/>
              </w:rPr>
            </w:pPr>
          </w:p>
        </w:tc>
        <w:tc>
          <w:tcPr>
            <w:tcW w:w="1356" w:type="dxa"/>
            <w:shd w:val="clear" w:color="auto" w:fill="auto"/>
            <w:vAlign w:val="bottom"/>
          </w:tcPr>
          <w:p w14:paraId="3EDCD2FA"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115,010 </w:t>
            </w:r>
          </w:p>
        </w:tc>
        <w:tc>
          <w:tcPr>
            <w:tcW w:w="1356" w:type="dxa"/>
            <w:shd w:val="clear" w:color="auto" w:fill="auto"/>
            <w:vAlign w:val="bottom"/>
          </w:tcPr>
          <w:p w14:paraId="38968681"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(30,968)</w:t>
            </w:r>
          </w:p>
        </w:tc>
      </w:tr>
      <w:tr w:rsidR="00F62A79" w:rsidRPr="00F62A79" w14:paraId="7FA185A1" w14:textId="77777777" w:rsidTr="00CC48A5">
        <w:tblPrEx>
          <w:tblCellMar>
            <w:top w:w="0" w:type="dxa"/>
            <w:bottom w:w="0" w:type="dxa"/>
          </w:tblCellMar>
        </w:tblPrEx>
        <w:tc>
          <w:tcPr>
            <w:tcW w:w="4788" w:type="dxa"/>
            <w:shd w:val="clear" w:color="auto" w:fill="auto"/>
            <w:vAlign w:val="bottom"/>
          </w:tcPr>
          <w:p w14:paraId="455C7BFA" w14:textId="77777777" w:rsidR="00F62A79" w:rsidRPr="00064183" w:rsidRDefault="00F62A79" w:rsidP="00F62A79">
            <w:pPr>
              <w:pStyle w:val="TableRowHead"/>
              <w:rPr>
                <w:lang w:val="en-GB" w:eastAsia="en-GB"/>
              </w:rPr>
            </w:pPr>
            <w:r w:rsidRPr="00064183">
              <w:rPr>
                <w:lang w:val="en-GB" w:eastAsia="en-GB"/>
              </w:rPr>
              <w:t>Actuarial (Gain) / Loss on Pension Liabilities</w:t>
            </w:r>
          </w:p>
        </w:tc>
        <w:tc>
          <w:tcPr>
            <w:tcW w:w="1356" w:type="dxa"/>
            <w:shd w:val="clear" w:color="auto" w:fill="auto"/>
            <w:vAlign w:val="bottom"/>
          </w:tcPr>
          <w:p w14:paraId="080D025D" w14:textId="77777777" w:rsidR="00F62A79" w:rsidRPr="00064183" w:rsidRDefault="00F62A79" w:rsidP="00F868E5">
            <w:pPr>
              <w:spacing w:after="0" w:line="240" w:lineRule="auto"/>
              <w:jc w:val="center"/>
              <w:rPr>
                <w:rFonts w:cs="Arial"/>
                <w:b/>
                <w:bCs/>
                <w:lang w:val="en-GB" w:eastAsia="en-GB"/>
              </w:rPr>
            </w:pPr>
          </w:p>
        </w:tc>
        <w:tc>
          <w:tcPr>
            <w:tcW w:w="1356" w:type="dxa"/>
            <w:shd w:val="clear" w:color="auto" w:fill="auto"/>
            <w:vAlign w:val="bottom"/>
          </w:tcPr>
          <w:p w14:paraId="76205A69"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(2,419,000)</w:t>
            </w:r>
          </w:p>
        </w:tc>
        <w:tc>
          <w:tcPr>
            <w:tcW w:w="1356" w:type="dxa"/>
            <w:shd w:val="clear" w:color="auto" w:fill="auto"/>
            <w:vAlign w:val="bottom"/>
          </w:tcPr>
          <w:p w14:paraId="523969ED"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1,689,000 </w:t>
            </w:r>
          </w:p>
        </w:tc>
      </w:tr>
      <w:tr w:rsidR="00F62A79" w:rsidRPr="00F62A79" w14:paraId="346AE01F" w14:textId="77777777" w:rsidTr="00CC48A5">
        <w:tblPrEx>
          <w:tblCellMar>
            <w:top w:w="0" w:type="dxa"/>
            <w:bottom w:w="0" w:type="dxa"/>
          </w:tblCellMar>
        </w:tblPrEx>
        <w:tc>
          <w:tcPr>
            <w:tcW w:w="4788" w:type="dxa"/>
            <w:shd w:val="clear" w:color="auto" w:fill="auto"/>
            <w:vAlign w:val="bottom"/>
          </w:tcPr>
          <w:p w14:paraId="72907E33" w14:textId="77777777" w:rsidR="00F62A79" w:rsidRPr="00064183" w:rsidRDefault="00F62A79" w:rsidP="00F62A79">
            <w:pPr>
              <w:pStyle w:val="TableRowHead"/>
              <w:rPr>
                <w:lang w:val="en-GB" w:eastAsia="en-GB"/>
              </w:rPr>
            </w:pPr>
            <w:r w:rsidRPr="00064183">
              <w:rPr>
                <w:lang w:val="en-GB" w:eastAsia="en-GB"/>
              </w:rPr>
              <w:t>Adjustment to Deferred Pension Funding</w:t>
            </w:r>
          </w:p>
        </w:tc>
        <w:tc>
          <w:tcPr>
            <w:tcW w:w="1356" w:type="dxa"/>
            <w:shd w:val="clear" w:color="auto" w:fill="auto"/>
            <w:vAlign w:val="bottom"/>
          </w:tcPr>
          <w:p w14:paraId="2C466F87" w14:textId="77777777" w:rsidR="00F62A79" w:rsidRPr="00064183" w:rsidRDefault="00F62A79" w:rsidP="00F868E5">
            <w:pPr>
              <w:spacing w:after="0" w:line="240" w:lineRule="auto"/>
              <w:jc w:val="center"/>
              <w:rPr>
                <w:rFonts w:cs="Arial"/>
                <w:b/>
                <w:bCs/>
                <w:lang w:val="en-GB" w:eastAsia="en-GB"/>
              </w:rPr>
            </w:pPr>
          </w:p>
        </w:tc>
        <w:tc>
          <w:tcPr>
            <w:tcW w:w="1356" w:type="dxa"/>
            <w:shd w:val="clear" w:color="auto" w:fill="auto"/>
            <w:vAlign w:val="bottom"/>
          </w:tcPr>
          <w:p w14:paraId="25315168"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 xml:space="preserve">2,419,000 </w:t>
            </w:r>
          </w:p>
        </w:tc>
        <w:tc>
          <w:tcPr>
            <w:tcW w:w="1356" w:type="dxa"/>
            <w:shd w:val="clear" w:color="auto" w:fill="auto"/>
            <w:vAlign w:val="bottom"/>
          </w:tcPr>
          <w:p w14:paraId="700CC192" w14:textId="77777777" w:rsidR="00F62A79" w:rsidRPr="00064183" w:rsidRDefault="00F62A79" w:rsidP="00F868E5">
            <w:pPr>
              <w:spacing w:after="0" w:line="240" w:lineRule="auto"/>
              <w:jc w:val="right"/>
              <w:rPr>
                <w:rFonts w:cs="Arial"/>
                <w:lang w:val="en-GB" w:eastAsia="en-GB"/>
              </w:rPr>
            </w:pPr>
            <w:r w:rsidRPr="00064183">
              <w:rPr>
                <w:rFonts w:cs="Arial"/>
                <w:lang w:val="en-GB" w:eastAsia="en-GB"/>
              </w:rPr>
              <w:t>(1,689,000)</w:t>
            </w:r>
          </w:p>
        </w:tc>
      </w:tr>
      <w:tr w:rsidR="00064183" w:rsidRPr="00F62A79" w14:paraId="5CC11BAE" w14:textId="77777777" w:rsidTr="00CC48A5">
        <w:tblPrEx>
          <w:tblCellMar>
            <w:top w:w="0" w:type="dxa"/>
            <w:bottom w:w="0" w:type="dxa"/>
          </w:tblCellMar>
        </w:tblPrEx>
        <w:tc>
          <w:tcPr>
            <w:tcW w:w="4788" w:type="dxa"/>
            <w:shd w:val="clear" w:color="auto" w:fill="auto"/>
            <w:vAlign w:val="bottom"/>
          </w:tcPr>
          <w:p w14:paraId="0324D643" w14:textId="77777777" w:rsidR="00064183" w:rsidRPr="00064183" w:rsidRDefault="00064183" w:rsidP="00F62A79">
            <w:pPr>
              <w:pStyle w:val="TableRowHead"/>
              <w:rPr>
                <w:bCs/>
                <w:lang w:val="en-GB" w:eastAsia="en-GB"/>
              </w:rPr>
            </w:pPr>
            <w:r w:rsidRPr="00064183">
              <w:rPr>
                <w:bCs/>
                <w:lang w:val="en-GB" w:eastAsia="en-GB"/>
              </w:rPr>
              <w:t>Total Recognised Gain / (Loss) for the year</w:t>
            </w:r>
          </w:p>
        </w:tc>
        <w:tc>
          <w:tcPr>
            <w:tcW w:w="1356" w:type="dxa"/>
            <w:shd w:val="clear" w:color="auto" w:fill="auto"/>
            <w:vAlign w:val="bottom"/>
          </w:tcPr>
          <w:p w14:paraId="373C8961" w14:textId="77777777" w:rsidR="00064183" w:rsidRPr="00064183" w:rsidRDefault="00064183" w:rsidP="00F868E5">
            <w:pPr>
              <w:spacing w:after="0" w:line="240" w:lineRule="auto"/>
              <w:jc w:val="right"/>
              <w:rPr>
                <w:rFonts w:cs="Arial"/>
                <w:b/>
                <w:bCs/>
                <w:lang w:val="en-GB" w:eastAsia="en-GB"/>
              </w:rPr>
            </w:pPr>
          </w:p>
        </w:tc>
        <w:tc>
          <w:tcPr>
            <w:tcW w:w="1356" w:type="dxa"/>
            <w:shd w:val="clear" w:color="auto" w:fill="auto"/>
            <w:vAlign w:val="bottom"/>
          </w:tcPr>
          <w:p w14:paraId="286F1B32" w14:textId="77777777" w:rsidR="00064183" w:rsidRPr="00064183" w:rsidRDefault="00064183" w:rsidP="00F868E5">
            <w:pPr>
              <w:spacing w:after="0" w:line="240" w:lineRule="auto"/>
              <w:jc w:val="right"/>
              <w:rPr>
                <w:rFonts w:cs="Arial"/>
                <w:b/>
                <w:bCs/>
                <w:lang w:val="en-GB" w:eastAsia="en-GB"/>
              </w:rPr>
            </w:pPr>
            <w:r w:rsidRPr="00064183">
              <w:rPr>
                <w:rFonts w:cs="Arial"/>
                <w:b/>
                <w:bCs/>
                <w:lang w:val="en-GB" w:eastAsia="en-GB"/>
              </w:rPr>
              <w:t xml:space="preserve">115,010 </w:t>
            </w:r>
          </w:p>
        </w:tc>
        <w:tc>
          <w:tcPr>
            <w:tcW w:w="1356" w:type="dxa"/>
            <w:shd w:val="clear" w:color="auto" w:fill="auto"/>
            <w:vAlign w:val="bottom"/>
          </w:tcPr>
          <w:p w14:paraId="4973062F" w14:textId="77777777" w:rsidR="00064183" w:rsidRPr="00064183" w:rsidRDefault="00064183" w:rsidP="00F868E5">
            <w:pPr>
              <w:spacing w:after="0" w:line="240" w:lineRule="auto"/>
              <w:jc w:val="right"/>
              <w:rPr>
                <w:rFonts w:cs="Arial"/>
                <w:b/>
                <w:bCs/>
                <w:lang w:val="en-GB" w:eastAsia="en-GB"/>
              </w:rPr>
            </w:pPr>
            <w:r w:rsidRPr="00064183">
              <w:rPr>
                <w:rFonts w:cs="Arial"/>
                <w:b/>
                <w:bCs/>
                <w:lang w:val="en-GB" w:eastAsia="en-GB"/>
              </w:rPr>
              <w:t>(30,968)</w:t>
            </w:r>
          </w:p>
        </w:tc>
      </w:tr>
    </w:tbl>
    <w:p w14:paraId="774FBD8C" w14:textId="77777777" w:rsidR="00064183" w:rsidRDefault="00064183" w:rsidP="00EE061F">
      <w:pPr>
        <w:tabs>
          <w:tab w:val="left" w:pos="8562"/>
        </w:tabs>
        <w:spacing w:after="0" w:line="240" w:lineRule="auto"/>
        <w:ind w:left="108"/>
        <w:rPr>
          <w:rFonts w:cs="Arial"/>
          <w:sz w:val="28"/>
          <w:szCs w:val="28"/>
          <w:lang w:val="en-GB" w:eastAsia="en-GB"/>
        </w:rPr>
      </w:pPr>
    </w:p>
    <w:p w14:paraId="49278DCF" w14:textId="77777777" w:rsidR="00064183" w:rsidRDefault="00064183" w:rsidP="00064183">
      <w:pPr>
        <w:rPr>
          <w:lang w:val="en-GB" w:eastAsia="en-GB"/>
        </w:rPr>
      </w:pPr>
      <w:r w:rsidRPr="00EE061F">
        <w:rPr>
          <w:lang w:val="en-GB" w:eastAsia="en-GB"/>
        </w:rPr>
        <w:t>The results for the year relate to continuing operations</w:t>
      </w:r>
      <w:r w:rsidRPr="00EE061F">
        <w:rPr>
          <w:lang w:val="en-GB" w:eastAsia="en-GB"/>
        </w:rPr>
        <w:tab/>
      </w:r>
      <w:r>
        <w:rPr>
          <w:lang w:val="en-GB" w:eastAsia="en-GB"/>
        </w:rPr>
        <w:t>.</w:t>
      </w:r>
    </w:p>
    <w:p w14:paraId="0D78120C" w14:textId="77777777" w:rsidR="00064183" w:rsidRDefault="00064183" w:rsidP="00064183">
      <w:pPr>
        <w:rPr>
          <w:lang w:val="en-GB" w:eastAsia="en-GB"/>
        </w:rPr>
      </w:pPr>
      <w:r w:rsidRPr="00EE061F">
        <w:rPr>
          <w:lang w:val="en-GB" w:eastAsia="en-GB"/>
        </w:rPr>
        <w:t>The Statement of Accounting Policies, the Cash Flow Statement, and Notes 1 to 16 form part of these Financial Statements</w:t>
      </w:r>
    </w:p>
    <w:p w14:paraId="525913A6" w14:textId="77777777" w:rsidR="00490F84" w:rsidRPr="00CC48A5" w:rsidRDefault="00490F84" w:rsidP="00490F84">
      <w:pPr>
        <w:rPr>
          <w:lang w:val="en-GB" w:eastAsia="en-GB"/>
        </w:rPr>
      </w:pPr>
      <w:r w:rsidRPr="00064183">
        <w:rPr>
          <w:lang w:val="en-GB" w:eastAsia="en-GB"/>
        </w:rPr>
        <w:t>Signed:</w:t>
      </w:r>
      <w:r>
        <w:rPr>
          <w:lang w:val="en-GB" w:eastAsia="en-GB"/>
        </w:rPr>
        <w:tab/>
        <w:t xml:space="preserve">Peter </w:t>
      </w:r>
      <w:proofErr w:type="spellStart"/>
      <w:r>
        <w:rPr>
          <w:lang w:val="en-GB" w:eastAsia="en-GB"/>
        </w:rPr>
        <w:t>McKevitt</w:t>
      </w:r>
      <w:proofErr w:type="spellEnd"/>
      <w:r>
        <w:rPr>
          <w:lang w:val="en-GB" w:eastAsia="en-GB"/>
        </w:rPr>
        <w:t xml:space="preserve"> </w:t>
      </w:r>
      <w:r w:rsidRPr="00064183">
        <w:rPr>
          <w:lang w:val="en-GB" w:eastAsia="en-GB"/>
        </w:rPr>
        <w:t>(Chairperson)</w:t>
      </w:r>
    </w:p>
    <w:p w14:paraId="3E53B779" w14:textId="77777777" w:rsidR="00490F84" w:rsidRPr="00064183" w:rsidRDefault="00490F84" w:rsidP="00490F84">
      <w:pPr>
        <w:rPr>
          <w:lang w:val="en-GB" w:eastAsia="en-GB"/>
        </w:rPr>
      </w:pPr>
      <w:r w:rsidRPr="00064183">
        <w:rPr>
          <w:lang w:val="en-GB" w:eastAsia="en-GB"/>
        </w:rPr>
        <w:t xml:space="preserve">Signed: </w:t>
      </w:r>
      <w:r>
        <w:rPr>
          <w:lang w:val="en-GB" w:eastAsia="en-GB"/>
        </w:rPr>
        <w:tab/>
        <w:t xml:space="preserve">Frank </w:t>
      </w:r>
      <w:proofErr w:type="spellStart"/>
      <w:r>
        <w:rPr>
          <w:lang w:val="en-GB" w:eastAsia="en-GB"/>
        </w:rPr>
        <w:t>Cuneen</w:t>
      </w:r>
      <w:proofErr w:type="spellEnd"/>
      <w:r>
        <w:rPr>
          <w:lang w:val="en-GB" w:eastAsia="en-GB"/>
        </w:rPr>
        <w:t xml:space="preserve"> </w:t>
      </w:r>
      <w:r w:rsidRPr="00064183">
        <w:rPr>
          <w:lang w:val="en-GB" w:eastAsia="en-GB"/>
        </w:rPr>
        <w:t>(Authority Member)</w:t>
      </w:r>
    </w:p>
    <w:p w14:paraId="2CB27393" w14:textId="77777777" w:rsidR="00490F84" w:rsidRDefault="00490F84" w:rsidP="00490F84">
      <w:pPr>
        <w:rPr>
          <w:lang w:val="en-GB" w:eastAsia="en-GB"/>
        </w:rPr>
      </w:pPr>
      <w:r w:rsidRPr="00064183">
        <w:rPr>
          <w:lang w:val="en-GB" w:eastAsia="en-GB"/>
        </w:rPr>
        <w:t>S</w:t>
      </w:r>
      <w:r>
        <w:rPr>
          <w:lang w:val="en-GB" w:eastAsia="en-GB"/>
        </w:rPr>
        <w:t>i</w:t>
      </w:r>
      <w:r w:rsidRPr="00064183">
        <w:rPr>
          <w:lang w:val="en-GB" w:eastAsia="en-GB"/>
        </w:rPr>
        <w:t>gned:</w:t>
      </w:r>
      <w:r>
        <w:rPr>
          <w:lang w:val="en-GB" w:eastAsia="en-GB"/>
        </w:rPr>
        <w:tab/>
        <w:t xml:space="preserve">Siobhan Barron </w:t>
      </w:r>
      <w:r w:rsidRPr="00064183">
        <w:rPr>
          <w:lang w:val="en-GB" w:eastAsia="en-GB"/>
        </w:rPr>
        <w:t>(Director)</w:t>
      </w:r>
    </w:p>
    <w:p w14:paraId="5508A757" w14:textId="77777777" w:rsidR="00490F84" w:rsidRDefault="00490F84" w:rsidP="00490F84">
      <w:pPr>
        <w:rPr>
          <w:lang w:val="en-GB" w:eastAsia="en-GB"/>
        </w:rPr>
      </w:pPr>
      <w:r w:rsidRPr="00064183">
        <w:rPr>
          <w:lang w:val="en-GB" w:eastAsia="en-GB"/>
        </w:rPr>
        <w:t>Date:</w:t>
      </w:r>
      <w:r>
        <w:rPr>
          <w:lang w:val="en-GB" w:eastAsia="en-GB"/>
        </w:rPr>
        <w:tab/>
      </w:r>
      <w:r>
        <w:rPr>
          <w:lang w:val="en-GB" w:eastAsia="en-GB"/>
        </w:rPr>
        <w:tab/>
        <w:t>16 June 2011</w:t>
      </w:r>
    </w:p>
    <w:p w14:paraId="4808A5BF" w14:textId="77777777" w:rsidR="00064183" w:rsidRDefault="00064183" w:rsidP="003F4DEE">
      <w:pPr>
        <w:pStyle w:val="Heading2"/>
        <w:rPr>
          <w:lang w:val="en-GB" w:eastAsia="en-GB"/>
        </w:rPr>
      </w:pPr>
      <w:r>
        <w:rPr>
          <w:lang w:val="en-GB" w:eastAsia="en-GB"/>
        </w:rPr>
        <w:br w:type="page"/>
      </w:r>
      <w:bookmarkStart w:id="376" w:name="_Toc300742933"/>
      <w:bookmarkStart w:id="377" w:name="_Toc300744285"/>
      <w:r w:rsidRPr="00064183">
        <w:rPr>
          <w:lang w:val="en-GB" w:eastAsia="en-GB"/>
        </w:rPr>
        <w:lastRenderedPageBreak/>
        <w:t xml:space="preserve">Balance Sheet as </w:t>
      </w:r>
      <w:proofErr w:type="gramStart"/>
      <w:r w:rsidRPr="00064183">
        <w:rPr>
          <w:lang w:val="en-GB" w:eastAsia="en-GB"/>
        </w:rPr>
        <w:t>at</w:t>
      </w:r>
      <w:proofErr w:type="gramEnd"/>
      <w:r w:rsidRPr="00064183">
        <w:rPr>
          <w:lang w:val="en-GB" w:eastAsia="en-GB"/>
        </w:rPr>
        <w:t xml:space="preserve"> 31 December 2010</w:t>
      </w:r>
      <w:bookmarkEnd w:id="376"/>
      <w:bookmarkEnd w:id="37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080"/>
        <w:gridCol w:w="1494"/>
        <w:gridCol w:w="138"/>
        <w:gridCol w:w="1356"/>
      </w:tblGrid>
      <w:tr w:rsidR="00064183" w:rsidRPr="00064183" w14:paraId="0D9AD473" w14:textId="77777777" w:rsidTr="00CC48A5">
        <w:tblPrEx>
          <w:tblCellMar>
            <w:top w:w="0" w:type="dxa"/>
            <w:bottom w:w="0" w:type="dxa"/>
          </w:tblCellMar>
        </w:tblPrEx>
        <w:trPr>
          <w:tblHeader/>
        </w:trPr>
        <w:tc>
          <w:tcPr>
            <w:tcW w:w="4788" w:type="dxa"/>
            <w:shd w:val="clear" w:color="auto" w:fill="auto"/>
          </w:tcPr>
          <w:p w14:paraId="0ECB74DE" w14:textId="77777777" w:rsidR="00064183" w:rsidRPr="00CC48A5" w:rsidRDefault="00064183" w:rsidP="00064183">
            <w:pPr>
              <w:pStyle w:val="TableHead"/>
              <w:jc w:val="right"/>
            </w:pPr>
          </w:p>
        </w:tc>
        <w:tc>
          <w:tcPr>
            <w:tcW w:w="1080" w:type="dxa"/>
            <w:shd w:val="clear" w:color="auto" w:fill="auto"/>
          </w:tcPr>
          <w:p w14:paraId="2E4F3261" w14:textId="77777777" w:rsidR="00064183" w:rsidRPr="00CC48A5" w:rsidRDefault="00064183" w:rsidP="00F868E5">
            <w:pPr>
              <w:pStyle w:val="TableHead"/>
              <w:jc w:val="right"/>
            </w:pPr>
            <w:r w:rsidRPr="00CC48A5">
              <w:t>Notes</w:t>
            </w:r>
          </w:p>
        </w:tc>
        <w:tc>
          <w:tcPr>
            <w:tcW w:w="1632" w:type="dxa"/>
            <w:gridSpan w:val="2"/>
            <w:shd w:val="clear" w:color="auto" w:fill="auto"/>
          </w:tcPr>
          <w:p w14:paraId="2F4C82E3" w14:textId="77777777" w:rsidR="00064183" w:rsidRPr="00CC48A5" w:rsidRDefault="00064183" w:rsidP="00F868E5">
            <w:pPr>
              <w:pStyle w:val="TableHead"/>
              <w:jc w:val="right"/>
            </w:pPr>
            <w:r w:rsidRPr="00CC48A5">
              <w:t>2010</w:t>
            </w:r>
          </w:p>
        </w:tc>
        <w:tc>
          <w:tcPr>
            <w:tcW w:w="1356" w:type="dxa"/>
            <w:shd w:val="clear" w:color="auto" w:fill="auto"/>
          </w:tcPr>
          <w:p w14:paraId="25461B87" w14:textId="77777777" w:rsidR="00064183" w:rsidRPr="00CC48A5" w:rsidRDefault="00064183" w:rsidP="00F868E5">
            <w:pPr>
              <w:pStyle w:val="TableHead"/>
              <w:jc w:val="right"/>
            </w:pPr>
            <w:r w:rsidRPr="00CC48A5">
              <w:t>2009</w:t>
            </w:r>
          </w:p>
        </w:tc>
      </w:tr>
      <w:tr w:rsidR="00064183" w:rsidRPr="00064183" w14:paraId="386D0E81" w14:textId="77777777" w:rsidTr="00CC48A5">
        <w:tblPrEx>
          <w:tblCellMar>
            <w:top w:w="0" w:type="dxa"/>
            <w:bottom w:w="0" w:type="dxa"/>
          </w:tblCellMar>
        </w:tblPrEx>
        <w:tc>
          <w:tcPr>
            <w:tcW w:w="4788" w:type="dxa"/>
            <w:shd w:val="clear" w:color="auto" w:fill="auto"/>
          </w:tcPr>
          <w:p w14:paraId="07D5016B" w14:textId="77777777" w:rsidR="00064183" w:rsidRPr="00CC48A5" w:rsidRDefault="00064183" w:rsidP="00064183">
            <w:pPr>
              <w:pStyle w:val="TableRowHead"/>
            </w:pPr>
          </w:p>
        </w:tc>
        <w:tc>
          <w:tcPr>
            <w:tcW w:w="1080" w:type="dxa"/>
            <w:shd w:val="clear" w:color="auto" w:fill="auto"/>
          </w:tcPr>
          <w:p w14:paraId="11A41DD8" w14:textId="77777777" w:rsidR="00064183" w:rsidRPr="00CC48A5" w:rsidRDefault="00064183" w:rsidP="00064183">
            <w:pPr>
              <w:pStyle w:val="TableCell"/>
              <w:jc w:val="right"/>
            </w:pPr>
          </w:p>
        </w:tc>
        <w:tc>
          <w:tcPr>
            <w:tcW w:w="1494" w:type="dxa"/>
            <w:shd w:val="clear" w:color="auto" w:fill="auto"/>
            <w:vAlign w:val="bottom"/>
          </w:tcPr>
          <w:p w14:paraId="6019B53E" w14:textId="77777777" w:rsidR="00064183" w:rsidRPr="00CC48A5" w:rsidRDefault="00064183" w:rsidP="00F868E5">
            <w:pPr>
              <w:spacing w:after="0" w:line="240" w:lineRule="auto"/>
              <w:jc w:val="right"/>
              <w:rPr>
                <w:rFonts w:cs="Arial"/>
                <w:b/>
                <w:bCs/>
                <w:lang w:val="en-GB" w:eastAsia="en-GB"/>
              </w:rPr>
            </w:pPr>
            <w:r w:rsidRPr="00CC48A5">
              <w:rPr>
                <w:rFonts w:cs="Arial"/>
                <w:b/>
                <w:bCs/>
                <w:lang w:val="en-GB" w:eastAsia="en-GB"/>
              </w:rPr>
              <w:t xml:space="preserve">          €</w:t>
            </w:r>
          </w:p>
        </w:tc>
        <w:tc>
          <w:tcPr>
            <w:tcW w:w="1494" w:type="dxa"/>
            <w:gridSpan w:val="2"/>
            <w:shd w:val="clear" w:color="auto" w:fill="auto"/>
            <w:vAlign w:val="bottom"/>
          </w:tcPr>
          <w:p w14:paraId="554AFA31" w14:textId="77777777" w:rsidR="00064183" w:rsidRPr="00CC48A5" w:rsidRDefault="00064183" w:rsidP="00F868E5">
            <w:pPr>
              <w:spacing w:after="0" w:line="240" w:lineRule="auto"/>
              <w:jc w:val="right"/>
              <w:rPr>
                <w:rFonts w:cs="Arial"/>
                <w:b/>
                <w:bCs/>
                <w:lang w:val="en-GB" w:eastAsia="en-GB"/>
              </w:rPr>
            </w:pPr>
            <w:r w:rsidRPr="00CC48A5">
              <w:rPr>
                <w:rFonts w:cs="Arial"/>
                <w:b/>
                <w:bCs/>
                <w:lang w:val="en-GB" w:eastAsia="en-GB"/>
              </w:rPr>
              <w:t xml:space="preserve">          €</w:t>
            </w:r>
          </w:p>
        </w:tc>
      </w:tr>
      <w:tr w:rsidR="00CC48A5" w:rsidRPr="00064183" w14:paraId="4858B7A7" w14:textId="77777777" w:rsidTr="00CC48A5">
        <w:tblPrEx>
          <w:tblCellMar>
            <w:top w:w="0" w:type="dxa"/>
            <w:bottom w:w="0" w:type="dxa"/>
          </w:tblCellMar>
        </w:tblPrEx>
        <w:tc>
          <w:tcPr>
            <w:tcW w:w="4788" w:type="dxa"/>
            <w:shd w:val="clear" w:color="auto" w:fill="auto"/>
            <w:vAlign w:val="bottom"/>
          </w:tcPr>
          <w:p w14:paraId="4AD2497F" w14:textId="77777777" w:rsidR="00CC48A5" w:rsidRPr="00CC48A5" w:rsidRDefault="00CC48A5" w:rsidP="00CC48A5">
            <w:pPr>
              <w:pStyle w:val="TableRowHead"/>
              <w:rPr>
                <w:lang w:val="en-GB" w:eastAsia="en-GB"/>
              </w:rPr>
            </w:pPr>
            <w:r w:rsidRPr="00CC48A5">
              <w:rPr>
                <w:lang w:val="en-GB" w:eastAsia="en-GB"/>
              </w:rPr>
              <w:t>Fixed Assets</w:t>
            </w:r>
          </w:p>
        </w:tc>
        <w:tc>
          <w:tcPr>
            <w:tcW w:w="1080" w:type="dxa"/>
            <w:shd w:val="clear" w:color="auto" w:fill="auto"/>
            <w:vAlign w:val="bottom"/>
          </w:tcPr>
          <w:p w14:paraId="005A76CA"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7</w:t>
            </w:r>
          </w:p>
        </w:tc>
        <w:tc>
          <w:tcPr>
            <w:tcW w:w="1494" w:type="dxa"/>
            <w:shd w:val="clear" w:color="auto" w:fill="auto"/>
            <w:vAlign w:val="bottom"/>
          </w:tcPr>
          <w:p w14:paraId="298BDB35"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3,111,965 </w:t>
            </w:r>
          </w:p>
        </w:tc>
        <w:tc>
          <w:tcPr>
            <w:tcW w:w="1494" w:type="dxa"/>
            <w:gridSpan w:val="2"/>
            <w:shd w:val="clear" w:color="auto" w:fill="auto"/>
            <w:vAlign w:val="bottom"/>
          </w:tcPr>
          <w:p w14:paraId="7565401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3,205,216 </w:t>
            </w:r>
          </w:p>
        </w:tc>
      </w:tr>
      <w:tr w:rsidR="00CC48A5" w:rsidRPr="00064183" w14:paraId="6899C444" w14:textId="77777777" w:rsidTr="00CC48A5">
        <w:tblPrEx>
          <w:tblCellMar>
            <w:top w:w="0" w:type="dxa"/>
            <w:bottom w:w="0" w:type="dxa"/>
          </w:tblCellMar>
        </w:tblPrEx>
        <w:tc>
          <w:tcPr>
            <w:tcW w:w="4788" w:type="dxa"/>
            <w:shd w:val="clear" w:color="auto" w:fill="auto"/>
            <w:vAlign w:val="bottom"/>
          </w:tcPr>
          <w:p w14:paraId="0E8A60E8" w14:textId="77777777" w:rsidR="00CC48A5" w:rsidRPr="00CC48A5" w:rsidRDefault="00CC48A5" w:rsidP="00F868E5">
            <w:pPr>
              <w:spacing w:after="0" w:line="240" w:lineRule="auto"/>
              <w:rPr>
                <w:rFonts w:cs="Arial"/>
                <w:b/>
                <w:bCs/>
                <w:lang w:val="en-GB" w:eastAsia="en-GB"/>
              </w:rPr>
            </w:pPr>
          </w:p>
        </w:tc>
        <w:tc>
          <w:tcPr>
            <w:tcW w:w="1080" w:type="dxa"/>
            <w:shd w:val="clear" w:color="auto" w:fill="auto"/>
            <w:vAlign w:val="bottom"/>
          </w:tcPr>
          <w:p w14:paraId="6DB45296"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 xml:space="preserve"> </w:t>
            </w:r>
          </w:p>
        </w:tc>
        <w:tc>
          <w:tcPr>
            <w:tcW w:w="1494" w:type="dxa"/>
            <w:shd w:val="clear" w:color="auto" w:fill="auto"/>
            <w:vAlign w:val="bottom"/>
          </w:tcPr>
          <w:p w14:paraId="39D12813" w14:textId="77777777" w:rsidR="00CC48A5" w:rsidRPr="00CC48A5" w:rsidRDefault="00CC48A5" w:rsidP="00F868E5">
            <w:pPr>
              <w:spacing w:after="0" w:line="240" w:lineRule="auto"/>
              <w:jc w:val="right"/>
              <w:rPr>
                <w:rFonts w:cs="Arial"/>
                <w:lang w:val="en-GB" w:eastAsia="en-GB"/>
              </w:rPr>
            </w:pPr>
          </w:p>
        </w:tc>
        <w:tc>
          <w:tcPr>
            <w:tcW w:w="1494" w:type="dxa"/>
            <w:gridSpan w:val="2"/>
            <w:shd w:val="clear" w:color="auto" w:fill="auto"/>
            <w:vAlign w:val="bottom"/>
          </w:tcPr>
          <w:p w14:paraId="27FB23D1" w14:textId="77777777" w:rsidR="00CC48A5" w:rsidRPr="00CC48A5" w:rsidRDefault="00CC48A5" w:rsidP="00F868E5">
            <w:pPr>
              <w:spacing w:after="0" w:line="240" w:lineRule="auto"/>
              <w:jc w:val="right"/>
              <w:rPr>
                <w:rFonts w:cs="Arial"/>
                <w:lang w:val="en-GB" w:eastAsia="en-GB"/>
              </w:rPr>
            </w:pPr>
          </w:p>
        </w:tc>
      </w:tr>
      <w:tr w:rsidR="00CC48A5" w:rsidRPr="00064183" w14:paraId="455BF344" w14:textId="77777777" w:rsidTr="00CC48A5">
        <w:tblPrEx>
          <w:tblCellMar>
            <w:top w:w="0" w:type="dxa"/>
            <w:bottom w:w="0" w:type="dxa"/>
          </w:tblCellMar>
        </w:tblPrEx>
        <w:tc>
          <w:tcPr>
            <w:tcW w:w="8856" w:type="dxa"/>
            <w:gridSpan w:val="5"/>
            <w:shd w:val="clear" w:color="auto" w:fill="auto"/>
            <w:vAlign w:val="bottom"/>
          </w:tcPr>
          <w:p w14:paraId="6E0B5F82" w14:textId="77777777" w:rsidR="00CC48A5" w:rsidRPr="00CC48A5" w:rsidRDefault="00CC48A5" w:rsidP="00490F84">
            <w:pPr>
              <w:spacing w:after="0" w:line="240" w:lineRule="auto"/>
              <w:jc w:val="center"/>
              <w:rPr>
                <w:rFonts w:cs="Arial"/>
                <w:lang w:val="en-GB" w:eastAsia="en-GB"/>
              </w:rPr>
            </w:pPr>
            <w:r w:rsidRPr="00CC48A5">
              <w:rPr>
                <w:b/>
                <w:lang w:val="en-GB" w:eastAsia="en-GB"/>
              </w:rPr>
              <w:t>Current Assets</w:t>
            </w:r>
          </w:p>
        </w:tc>
      </w:tr>
      <w:tr w:rsidR="00CC48A5" w:rsidRPr="00064183" w14:paraId="456CE5C4" w14:textId="77777777" w:rsidTr="00CC48A5">
        <w:tblPrEx>
          <w:tblCellMar>
            <w:top w:w="0" w:type="dxa"/>
            <w:bottom w:w="0" w:type="dxa"/>
          </w:tblCellMar>
        </w:tblPrEx>
        <w:tc>
          <w:tcPr>
            <w:tcW w:w="4788" w:type="dxa"/>
            <w:shd w:val="clear" w:color="auto" w:fill="auto"/>
            <w:vAlign w:val="bottom"/>
          </w:tcPr>
          <w:p w14:paraId="7390470D" w14:textId="77777777" w:rsidR="00CC48A5" w:rsidRPr="00CC48A5" w:rsidRDefault="00CC48A5" w:rsidP="00CC48A5">
            <w:pPr>
              <w:pStyle w:val="TableRowHead"/>
              <w:rPr>
                <w:lang w:val="en-GB" w:eastAsia="en-GB"/>
              </w:rPr>
            </w:pPr>
            <w:r w:rsidRPr="00CC48A5">
              <w:rPr>
                <w:lang w:val="en-GB" w:eastAsia="en-GB"/>
              </w:rPr>
              <w:t xml:space="preserve">Debtors and Prepayments </w:t>
            </w:r>
          </w:p>
        </w:tc>
        <w:tc>
          <w:tcPr>
            <w:tcW w:w="1080" w:type="dxa"/>
            <w:shd w:val="clear" w:color="auto" w:fill="auto"/>
            <w:vAlign w:val="bottom"/>
          </w:tcPr>
          <w:p w14:paraId="0102A547"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12</w:t>
            </w:r>
          </w:p>
        </w:tc>
        <w:tc>
          <w:tcPr>
            <w:tcW w:w="1494" w:type="dxa"/>
            <w:shd w:val="clear" w:color="auto" w:fill="auto"/>
            <w:vAlign w:val="bottom"/>
          </w:tcPr>
          <w:p w14:paraId="5D8B497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92,999 </w:t>
            </w:r>
          </w:p>
        </w:tc>
        <w:tc>
          <w:tcPr>
            <w:tcW w:w="1494" w:type="dxa"/>
            <w:gridSpan w:val="2"/>
            <w:shd w:val="clear" w:color="auto" w:fill="auto"/>
            <w:vAlign w:val="bottom"/>
          </w:tcPr>
          <w:p w14:paraId="438E4EAC"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90,424 </w:t>
            </w:r>
          </w:p>
        </w:tc>
      </w:tr>
      <w:tr w:rsidR="00CC48A5" w:rsidRPr="00064183" w14:paraId="27461165" w14:textId="77777777" w:rsidTr="00CC48A5">
        <w:tblPrEx>
          <w:tblCellMar>
            <w:top w:w="0" w:type="dxa"/>
            <w:bottom w:w="0" w:type="dxa"/>
          </w:tblCellMar>
        </w:tblPrEx>
        <w:tc>
          <w:tcPr>
            <w:tcW w:w="4788" w:type="dxa"/>
            <w:shd w:val="clear" w:color="auto" w:fill="auto"/>
            <w:vAlign w:val="bottom"/>
          </w:tcPr>
          <w:p w14:paraId="7DB75C67" w14:textId="77777777" w:rsidR="00CC48A5" w:rsidRPr="00CC48A5" w:rsidRDefault="00CC48A5" w:rsidP="00CC48A5">
            <w:pPr>
              <w:pStyle w:val="TableRowHead"/>
              <w:rPr>
                <w:lang w:val="en-GB" w:eastAsia="en-GB"/>
              </w:rPr>
            </w:pPr>
            <w:r w:rsidRPr="00CC48A5">
              <w:rPr>
                <w:lang w:val="en-GB" w:eastAsia="en-GB"/>
              </w:rPr>
              <w:t xml:space="preserve">Cash at Bank and on hand </w:t>
            </w:r>
          </w:p>
        </w:tc>
        <w:tc>
          <w:tcPr>
            <w:tcW w:w="1080" w:type="dxa"/>
            <w:shd w:val="clear" w:color="auto" w:fill="auto"/>
            <w:vAlign w:val="bottom"/>
          </w:tcPr>
          <w:p w14:paraId="7E60D134"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9(b)</w:t>
            </w:r>
          </w:p>
        </w:tc>
        <w:tc>
          <w:tcPr>
            <w:tcW w:w="1494" w:type="dxa"/>
            <w:shd w:val="clear" w:color="auto" w:fill="auto"/>
            <w:vAlign w:val="bottom"/>
          </w:tcPr>
          <w:p w14:paraId="6346A668"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301 </w:t>
            </w:r>
          </w:p>
        </w:tc>
        <w:tc>
          <w:tcPr>
            <w:tcW w:w="1494" w:type="dxa"/>
            <w:gridSpan w:val="2"/>
            <w:shd w:val="clear" w:color="auto" w:fill="auto"/>
            <w:vAlign w:val="bottom"/>
          </w:tcPr>
          <w:p w14:paraId="286AE0FD"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31,065 </w:t>
            </w:r>
          </w:p>
        </w:tc>
      </w:tr>
      <w:tr w:rsidR="00CC48A5" w:rsidRPr="00064183" w14:paraId="7E2E05AC" w14:textId="77777777" w:rsidTr="00CC48A5">
        <w:tblPrEx>
          <w:tblCellMar>
            <w:top w:w="0" w:type="dxa"/>
            <w:bottom w:w="0" w:type="dxa"/>
          </w:tblCellMar>
        </w:tblPrEx>
        <w:tc>
          <w:tcPr>
            <w:tcW w:w="4788" w:type="dxa"/>
            <w:shd w:val="clear" w:color="auto" w:fill="auto"/>
            <w:vAlign w:val="bottom"/>
          </w:tcPr>
          <w:p w14:paraId="46160E1B" w14:textId="77777777" w:rsidR="00CC48A5" w:rsidRPr="00CC48A5" w:rsidRDefault="00CC48A5" w:rsidP="00F868E5">
            <w:pPr>
              <w:spacing w:after="0" w:line="240" w:lineRule="auto"/>
              <w:rPr>
                <w:rFonts w:cs="Arial"/>
                <w:lang w:val="en-GB" w:eastAsia="en-GB"/>
              </w:rPr>
            </w:pPr>
          </w:p>
        </w:tc>
        <w:tc>
          <w:tcPr>
            <w:tcW w:w="1080" w:type="dxa"/>
            <w:shd w:val="clear" w:color="auto" w:fill="auto"/>
            <w:vAlign w:val="bottom"/>
          </w:tcPr>
          <w:p w14:paraId="57280769" w14:textId="77777777" w:rsidR="00CC48A5" w:rsidRPr="00CC48A5" w:rsidRDefault="00CC48A5" w:rsidP="00F868E5">
            <w:pPr>
              <w:spacing w:after="0" w:line="240" w:lineRule="auto"/>
              <w:jc w:val="center"/>
              <w:rPr>
                <w:rFonts w:cs="Arial"/>
                <w:lang w:val="en-GB" w:eastAsia="en-GB"/>
              </w:rPr>
            </w:pPr>
          </w:p>
        </w:tc>
        <w:tc>
          <w:tcPr>
            <w:tcW w:w="1494" w:type="dxa"/>
            <w:shd w:val="clear" w:color="auto" w:fill="auto"/>
            <w:vAlign w:val="bottom"/>
          </w:tcPr>
          <w:p w14:paraId="35B12CAC"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93,300 </w:t>
            </w:r>
          </w:p>
        </w:tc>
        <w:tc>
          <w:tcPr>
            <w:tcW w:w="1494" w:type="dxa"/>
            <w:gridSpan w:val="2"/>
            <w:shd w:val="clear" w:color="auto" w:fill="auto"/>
            <w:vAlign w:val="bottom"/>
          </w:tcPr>
          <w:p w14:paraId="690BA10B"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121,489 </w:t>
            </w:r>
          </w:p>
        </w:tc>
      </w:tr>
      <w:tr w:rsidR="00CC48A5" w:rsidRPr="00064183" w14:paraId="01B8DE00" w14:textId="77777777" w:rsidTr="00CC48A5">
        <w:tblPrEx>
          <w:tblCellMar>
            <w:top w:w="0" w:type="dxa"/>
            <w:bottom w:w="0" w:type="dxa"/>
          </w:tblCellMar>
        </w:tblPrEx>
        <w:tc>
          <w:tcPr>
            <w:tcW w:w="8856" w:type="dxa"/>
            <w:gridSpan w:val="5"/>
            <w:shd w:val="clear" w:color="auto" w:fill="auto"/>
            <w:vAlign w:val="bottom"/>
          </w:tcPr>
          <w:p w14:paraId="469CA027" w14:textId="77777777" w:rsidR="00CC48A5" w:rsidRPr="00CC48A5" w:rsidRDefault="00CC48A5" w:rsidP="00490F84">
            <w:pPr>
              <w:pStyle w:val="TableCell"/>
              <w:jc w:val="center"/>
            </w:pPr>
            <w:r w:rsidRPr="00CC48A5">
              <w:rPr>
                <w:b/>
                <w:lang w:val="en-GB" w:eastAsia="en-GB"/>
              </w:rPr>
              <w:t>Current Liabilities</w:t>
            </w:r>
          </w:p>
        </w:tc>
      </w:tr>
      <w:tr w:rsidR="00CC48A5" w:rsidRPr="00064183" w14:paraId="6D66A652" w14:textId="77777777" w:rsidTr="00CC48A5">
        <w:tblPrEx>
          <w:tblCellMar>
            <w:top w:w="0" w:type="dxa"/>
            <w:bottom w:w="0" w:type="dxa"/>
          </w:tblCellMar>
        </w:tblPrEx>
        <w:tc>
          <w:tcPr>
            <w:tcW w:w="4788" w:type="dxa"/>
            <w:shd w:val="clear" w:color="auto" w:fill="auto"/>
            <w:vAlign w:val="bottom"/>
          </w:tcPr>
          <w:p w14:paraId="2C2953B5" w14:textId="77777777" w:rsidR="00CC48A5" w:rsidRPr="00CC48A5" w:rsidRDefault="00CC48A5" w:rsidP="00CC48A5">
            <w:pPr>
              <w:pStyle w:val="TableRowHead"/>
              <w:rPr>
                <w:lang w:val="en-GB" w:eastAsia="en-GB"/>
              </w:rPr>
            </w:pPr>
            <w:r w:rsidRPr="00CC48A5">
              <w:rPr>
                <w:lang w:val="en-GB" w:eastAsia="en-GB"/>
              </w:rPr>
              <w:t xml:space="preserve">Creditors and Accruals </w:t>
            </w:r>
          </w:p>
        </w:tc>
        <w:tc>
          <w:tcPr>
            <w:tcW w:w="1080" w:type="dxa"/>
            <w:shd w:val="clear" w:color="auto" w:fill="auto"/>
            <w:vAlign w:val="bottom"/>
          </w:tcPr>
          <w:p w14:paraId="487D18F4"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11</w:t>
            </w:r>
          </w:p>
        </w:tc>
        <w:tc>
          <w:tcPr>
            <w:tcW w:w="1494" w:type="dxa"/>
            <w:shd w:val="clear" w:color="auto" w:fill="auto"/>
            <w:vAlign w:val="bottom"/>
          </w:tcPr>
          <w:p w14:paraId="02331D1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47,280 </w:t>
            </w:r>
          </w:p>
        </w:tc>
        <w:tc>
          <w:tcPr>
            <w:tcW w:w="1494" w:type="dxa"/>
            <w:gridSpan w:val="2"/>
            <w:shd w:val="clear" w:color="auto" w:fill="auto"/>
            <w:vAlign w:val="bottom"/>
          </w:tcPr>
          <w:p w14:paraId="7DEFA3AA"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190,480 </w:t>
            </w:r>
          </w:p>
        </w:tc>
      </w:tr>
      <w:tr w:rsidR="00CC48A5" w:rsidRPr="00064183" w14:paraId="1A0BEA85" w14:textId="77777777" w:rsidTr="00CC48A5">
        <w:tblPrEx>
          <w:tblCellMar>
            <w:top w:w="0" w:type="dxa"/>
            <w:bottom w:w="0" w:type="dxa"/>
          </w:tblCellMar>
        </w:tblPrEx>
        <w:tc>
          <w:tcPr>
            <w:tcW w:w="4788" w:type="dxa"/>
            <w:shd w:val="clear" w:color="auto" w:fill="auto"/>
            <w:vAlign w:val="bottom"/>
          </w:tcPr>
          <w:p w14:paraId="16078869" w14:textId="77777777" w:rsidR="00CC48A5" w:rsidRPr="00CC48A5" w:rsidRDefault="00CC48A5" w:rsidP="00F868E5">
            <w:pPr>
              <w:spacing w:after="0" w:line="240" w:lineRule="auto"/>
              <w:rPr>
                <w:rFonts w:cs="Arial"/>
                <w:lang w:val="en-GB" w:eastAsia="en-GB"/>
              </w:rPr>
            </w:pPr>
          </w:p>
        </w:tc>
        <w:tc>
          <w:tcPr>
            <w:tcW w:w="1080" w:type="dxa"/>
            <w:shd w:val="clear" w:color="auto" w:fill="auto"/>
            <w:vAlign w:val="bottom"/>
          </w:tcPr>
          <w:p w14:paraId="3A08D7EC"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 xml:space="preserve"> </w:t>
            </w:r>
          </w:p>
        </w:tc>
        <w:tc>
          <w:tcPr>
            <w:tcW w:w="1494" w:type="dxa"/>
            <w:shd w:val="clear" w:color="auto" w:fill="auto"/>
            <w:vAlign w:val="bottom"/>
          </w:tcPr>
          <w:p w14:paraId="00503FEC"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47,280 </w:t>
            </w:r>
          </w:p>
        </w:tc>
        <w:tc>
          <w:tcPr>
            <w:tcW w:w="1494" w:type="dxa"/>
            <w:gridSpan w:val="2"/>
            <w:shd w:val="clear" w:color="auto" w:fill="auto"/>
            <w:vAlign w:val="bottom"/>
          </w:tcPr>
          <w:p w14:paraId="21B0E34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190,480 </w:t>
            </w:r>
          </w:p>
        </w:tc>
      </w:tr>
      <w:tr w:rsidR="00CC48A5" w:rsidRPr="00064183" w14:paraId="74E4A575" w14:textId="77777777" w:rsidTr="00CC48A5">
        <w:tblPrEx>
          <w:tblCellMar>
            <w:top w:w="0" w:type="dxa"/>
            <w:bottom w:w="0" w:type="dxa"/>
          </w:tblCellMar>
        </w:tblPrEx>
        <w:tc>
          <w:tcPr>
            <w:tcW w:w="4788" w:type="dxa"/>
            <w:shd w:val="clear" w:color="auto" w:fill="auto"/>
            <w:vAlign w:val="bottom"/>
          </w:tcPr>
          <w:p w14:paraId="5630BC5E" w14:textId="77777777" w:rsidR="00CC48A5" w:rsidRPr="00CC48A5" w:rsidRDefault="00CC48A5" w:rsidP="00CC48A5">
            <w:pPr>
              <w:pStyle w:val="TableHead"/>
              <w:rPr>
                <w:lang w:val="en-GB" w:eastAsia="en-GB"/>
              </w:rPr>
            </w:pPr>
            <w:r w:rsidRPr="00CC48A5">
              <w:rPr>
                <w:lang w:val="en-GB" w:eastAsia="en-GB"/>
              </w:rPr>
              <w:t>Net Current Assets</w:t>
            </w:r>
          </w:p>
        </w:tc>
        <w:tc>
          <w:tcPr>
            <w:tcW w:w="1080" w:type="dxa"/>
            <w:shd w:val="clear" w:color="auto" w:fill="auto"/>
            <w:vAlign w:val="bottom"/>
          </w:tcPr>
          <w:p w14:paraId="26B74A00"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 xml:space="preserve"> </w:t>
            </w:r>
          </w:p>
        </w:tc>
        <w:tc>
          <w:tcPr>
            <w:tcW w:w="1494" w:type="dxa"/>
            <w:shd w:val="clear" w:color="auto" w:fill="auto"/>
            <w:vAlign w:val="bottom"/>
          </w:tcPr>
          <w:p w14:paraId="609EB265"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46,019 </w:t>
            </w:r>
          </w:p>
        </w:tc>
        <w:tc>
          <w:tcPr>
            <w:tcW w:w="1494" w:type="dxa"/>
            <w:gridSpan w:val="2"/>
            <w:shd w:val="clear" w:color="auto" w:fill="auto"/>
            <w:vAlign w:val="bottom"/>
          </w:tcPr>
          <w:p w14:paraId="432EC913"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(68,991)</w:t>
            </w:r>
          </w:p>
        </w:tc>
      </w:tr>
      <w:tr w:rsidR="00CC48A5" w:rsidRPr="00064183" w14:paraId="35C0EB70" w14:textId="77777777" w:rsidTr="00CC48A5">
        <w:tblPrEx>
          <w:tblCellMar>
            <w:top w:w="0" w:type="dxa"/>
            <w:bottom w:w="0" w:type="dxa"/>
          </w:tblCellMar>
        </w:tblPrEx>
        <w:tc>
          <w:tcPr>
            <w:tcW w:w="4788" w:type="dxa"/>
            <w:shd w:val="clear" w:color="auto" w:fill="auto"/>
            <w:vAlign w:val="bottom"/>
          </w:tcPr>
          <w:p w14:paraId="02AC6541" w14:textId="77777777" w:rsidR="00CC48A5" w:rsidRPr="00CC48A5" w:rsidRDefault="00CC48A5" w:rsidP="00CC48A5">
            <w:pPr>
              <w:pStyle w:val="TableHead"/>
              <w:rPr>
                <w:lang w:val="en-GB" w:eastAsia="en-GB"/>
              </w:rPr>
            </w:pPr>
            <w:r w:rsidRPr="00CC48A5">
              <w:rPr>
                <w:lang w:val="en-GB" w:eastAsia="en-GB"/>
              </w:rPr>
              <w:t>Total Assets Less Current Liabilities Before Pensions</w:t>
            </w:r>
          </w:p>
        </w:tc>
        <w:tc>
          <w:tcPr>
            <w:tcW w:w="1080" w:type="dxa"/>
            <w:shd w:val="clear" w:color="auto" w:fill="auto"/>
            <w:vAlign w:val="bottom"/>
          </w:tcPr>
          <w:p w14:paraId="2AB529E2" w14:textId="77777777" w:rsidR="00CC48A5" w:rsidRPr="00CC48A5" w:rsidRDefault="00CC48A5" w:rsidP="00F868E5">
            <w:pPr>
              <w:spacing w:after="0" w:line="240" w:lineRule="auto"/>
              <w:jc w:val="center"/>
              <w:rPr>
                <w:rFonts w:cs="Arial"/>
                <w:lang w:val="en-GB" w:eastAsia="en-GB"/>
              </w:rPr>
            </w:pPr>
          </w:p>
        </w:tc>
        <w:tc>
          <w:tcPr>
            <w:tcW w:w="1494" w:type="dxa"/>
            <w:shd w:val="clear" w:color="auto" w:fill="auto"/>
            <w:vAlign w:val="bottom"/>
          </w:tcPr>
          <w:p w14:paraId="03149095"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3,157,985 </w:t>
            </w:r>
          </w:p>
        </w:tc>
        <w:tc>
          <w:tcPr>
            <w:tcW w:w="1494" w:type="dxa"/>
            <w:gridSpan w:val="2"/>
            <w:shd w:val="clear" w:color="auto" w:fill="auto"/>
            <w:vAlign w:val="bottom"/>
          </w:tcPr>
          <w:p w14:paraId="46FB6790"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3,136,225 </w:t>
            </w:r>
          </w:p>
        </w:tc>
      </w:tr>
      <w:tr w:rsidR="00CC48A5" w:rsidRPr="00064183" w14:paraId="3439AD90" w14:textId="77777777" w:rsidTr="00CC48A5">
        <w:tblPrEx>
          <w:tblCellMar>
            <w:top w:w="0" w:type="dxa"/>
            <w:bottom w:w="0" w:type="dxa"/>
          </w:tblCellMar>
        </w:tblPrEx>
        <w:tc>
          <w:tcPr>
            <w:tcW w:w="4788" w:type="dxa"/>
            <w:shd w:val="clear" w:color="auto" w:fill="auto"/>
            <w:vAlign w:val="bottom"/>
          </w:tcPr>
          <w:p w14:paraId="4514F64A" w14:textId="77777777" w:rsidR="00CC48A5" w:rsidRPr="00CC48A5" w:rsidRDefault="00CC48A5" w:rsidP="00CC48A5">
            <w:pPr>
              <w:pStyle w:val="TableRowHead"/>
              <w:rPr>
                <w:lang w:val="en-GB" w:eastAsia="en-GB"/>
              </w:rPr>
            </w:pPr>
            <w:r w:rsidRPr="00CC48A5">
              <w:rPr>
                <w:lang w:val="en-GB" w:eastAsia="en-GB"/>
              </w:rPr>
              <w:t xml:space="preserve">Deferred Funding Asset </w:t>
            </w:r>
            <w:proofErr w:type="gramStart"/>
            <w:r w:rsidRPr="00CC48A5">
              <w:rPr>
                <w:lang w:val="en-GB" w:eastAsia="en-GB"/>
              </w:rPr>
              <w:t>For</w:t>
            </w:r>
            <w:proofErr w:type="gramEnd"/>
            <w:r w:rsidRPr="00CC48A5">
              <w:rPr>
                <w:lang w:val="en-GB" w:eastAsia="en-GB"/>
              </w:rPr>
              <w:t xml:space="preserve"> Pensions</w:t>
            </w:r>
          </w:p>
        </w:tc>
        <w:tc>
          <w:tcPr>
            <w:tcW w:w="1080" w:type="dxa"/>
            <w:shd w:val="clear" w:color="auto" w:fill="auto"/>
            <w:vAlign w:val="bottom"/>
          </w:tcPr>
          <w:p w14:paraId="50393D1D"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10(d)</w:t>
            </w:r>
          </w:p>
        </w:tc>
        <w:tc>
          <w:tcPr>
            <w:tcW w:w="1494" w:type="dxa"/>
            <w:shd w:val="clear" w:color="auto" w:fill="auto"/>
            <w:vAlign w:val="bottom"/>
          </w:tcPr>
          <w:p w14:paraId="3EEA5F45"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(17,100,000)</w:t>
            </w:r>
          </w:p>
        </w:tc>
        <w:tc>
          <w:tcPr>
            <w:tcW w:w="1494" w:type="dxa"/>
            <w:gridSpan w:val="2"/>
            <w:shd w:val="clear" w:color="auto" w:fill="auto"/>
            <w:vAlign w:val="bottom"/>
          </w:tcPr>
          <w:p w14:paraId="4055BCD2"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(18,500,000)</w:t>
            </w:r>
          </w:p>
        </w:tc>
      </w:tr>
      <w:tr w:rsidR="00CC48A5" w:rsidRPr="00064183" w14:paraId="248B6C49" w14:textId="77777777" w:rsidTr="00CC48A5">
        <w:tblPrEx>
          <w:tblCellMar>
            <w:top w:w="0" w:type="dxa"/>
            <w:bottom w:w="0" w:type="dxa"/>
          </w:tblCellMar>
        </w:tblPrEx>
        <w:tc>
          <w:tcPr>
            <w:tcW w:w="4788" w:type="dxa"/>
            <w:shd w:val="clear" w:color="auto" w:fill="auto"/>
            <w:vAlign w:val="bottom"/>
          </w:tcPr>
          <w:p w14:paraId="23C44F05" w14:textId="77777777" w:rsidR="00CC48A5" w:rsidRPr="00CC48A5" w:rsidRDefault="00CC48A5" w:rsidP="00CC48A5">
            <w:pPr>
              <w:pStyle w:val="TableRowHead"/>
              <w:rPr>
                <w:lang w:val="en-GB" w:eastAsia="en-GB"/>
              </w:rPr>
            </w:pPr>
            <w:r w:rsidRPr="00CC48A5">
              <w:rPr>
                <w:lang w:val="en-GB" w:eastAsia="en-GB"/>
              </w:rPr>
              <w:t>Pension Liabilities</w:t>
            </w:r>
          </w:p>
        </w:tc>
        <w:tc>
          <w:tcPr>
            <w:tcW w:w="1080" w:type="dxa"/>
            <w:shd w:val="clear" w:color="auto" w:fill="auto"/>
            <w:vAlign w:val="bottom"/>
          </w:tcPr>
          <w:p w14:paraId="3D184743"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10(e)</w:t>
            </w:r>
          </w:p>
        </w:tc>
        <w:tc>
          <w:tcPr>
            <w:tcW w:w="1494" w:type="dxa"/>
            <w:shd w:val="clear" w:color="auto" w:fill="auto"/>
            <w:vAlign w:val="bottom"/>
          </w:tcPr>
          <w:p w14:paraId="6772A403"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17,100,000 </w:t>
            </w:r>
          </w:p>
        </w:tc>
        <w:tc>
          <w:tcPr>
            <w:tcW w:w="1494" w:type="dxa"/>
            <w:gridSpan w:val="2"/>
            <w:shd w:val="clear" w:color="auto" w:fill="auto"/>
            <w:vAlign w:val="bottom"/>
          </w:tcPr>
          <w:p w14:paraId="340AFCA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18,500,000 </w:t>
            </w:r>
          </w:p>
        </w:tc>
      </w:tr>
      <w:tr w:rsidR="00CC48A5" w:rsidRPr="00064183" w14:paraId="7F4818A2" w14:textId="77777777" w:rsidTr="00CC48A5">
        <w:tblPrEx>
          <w:tblCellMar>
            <w:top w:w="0" w:type="dxa"/>
            <w:bottom w:w="0" w:type="dxa"/>
          </w:tblCellMar>
        </w:tblPrEx>
        <w:tc>
          <w:tcPr>
            <w:tcW w:w="4788" w:type="dxa"/>
            <w:shd w:val="clear" w:color="auto" w:fill="auto"/>
            <w:vAlign w:val="bottom"/>
          </w:tcPr>
          <w:p w14:paraId="13C5E94A" w14:textId="77777777" w:rsidR="00CC48A5" w:rsidRPr="00CC48A5" w:rsidRDefault="00CC48A5" w:rsidP="00F868E5">
            <w:pPr>
              <w:spacing w:after="0" w:line="240" w:lineRule="auto"/>
              <w:rPr>
                <w:rFonts w:cs="Arial"/>
                <w:b/>
                <w:bCs/>
                <w:lang w:val="en-GB" w:eastAsia="en-GB"/>
              </w:rPr>
            </w:pPr>
          </w:p>
        </w:tc>
        <w:tc>
          <w:tcPr>
            <w:tcW w:w="1080" w:type="dxa"/>
            <w:shd w:val="clear" w:color="auto" w:fill="auto"/>
            <w:vAlign w:val="bottom"/>
          </w:tcPr>
          <w:p w14:paraId="2A937B46" w14:textId="77777777" w:rsidR="00CC48A5" w:rsidRPr="00CC48A5" w:rsidRDefault="00CC48A5" w:rsidP="00F868E5">
            <w:pPr>
              <w:spacing w:after="0" w:line="240" w:lineRule="auto"/>
              <w:jc w:val="center"/>
              <w:rPr>
                <w:rFonts w:cs="Arial"/>
                <w:lang w:val="en-GB" w:eastAsia="en-GB"/>
              </w:rPr>
            </w:pPr>
          </w:p>
        </w:tc>
        <w:tc>
          <w:tcPr>
            <w:tcW w:w="1494" w:type="dxa"/>
            <w:shd w:val="clear" w:color="auto" w:fill="auto"/>
            <w:vAlign w:val="bottom"/>
          </w:tcPr>
          <w:p w14:paraId="76ECF987"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3,157,985 </w:t>
            </w:r>
          </w:p>
        </w:tc>
        <w:tc>
          <w:tcPr>
            <w:tcW w:w="1494" w:type="dxa"/>
            <w:gridSpan w:val="2"/>
            <w:shd w:val="clear" w:color="auto" w:fill="auto"/>
            <w:vAlign w:val="bottom"/>
          </w:tcPr>
          <w:p w14:paraId="7C2DACB8"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3,136,225 </w:t>
            </w:r>
          </w:p>
        </w:tc>
      </w:tr>
      <w:tr w:rsidR="00CC48A5" w:rsidRPr="00064183" w14:paraId="11B00B40" w14:textId="77777777" w:rsidTr="00CC48A5">
        <w:tblPrEx>
          <w:tblCellMar>
            <w:top w:w="0" w:type="dxa"/>
            <w:bottom w:w="0" w:type="dxa"/>
          </w:tblCellMar>
        </w:tblPrEx>
        <w:tc>
          <w:tcPr>
            <w:tcW w:w="8856" w:type="dxa"/>
            <w:gridSpan w:val="5"/>
            <w:shd w:val="clear" w:color="auto" w:fill="auto"/>
            <w:vAlign w:val="bottom"/>
          </w:tcPr>
          <w:p w14:paraId="0BE6008E" w14:textId="77777777" w:rsidR="00CC48A5" w:rsidRPr="00CC48A5" w:rsidRDefault="00CC48A5" w:rsidP="00490F84">
            <w:pPr>
              <w:spacing w:after="0" w:line="240" w:lineRule="auto"/>
              <w:jc w:val="center"/>
              <w:rPr>
                <w:rFonts w:cs="Arial"/>
                <w:lang w:val="en-GB" w:eastAsia="en-GB"/>
              </w:rPr>
            </w:pPr>
            <w:r w:rsidRPr="00CC48A5">
              <w:rPr>
                <w:b/>
                <w:lang w:val="en-GB" w:eastAsia="en-GB"/>
              </w:rPr>
              <w:t>Represented By:</w:t>
            </w:r>
          </w:p>
        </w:tc>
      </w:tr>
      <w:tr w:rsidR="00CC48A5" w:rsidRPr="00064183" w14:paraId="44CF969C" w14:textId="77777777" w:rsidTr="00CC48A5">
        <w:tblPrEx>
          <w:tblCellMar>
            <w:top w:w="0" w:type="dxa"/>
            <w:bottom w:w="0" w:type="dxa"/>
          </w:tblCellMar>
        </w:tblPrEx>
        <w:tc>
          <w:tcPr>
            <w:tcW w:w="4788" w:type="dxa"/>
            <w:shd w:val="clear" w:color="auto" w:fill="auto"/>
            <w:vAlign w:val="bottom"/>
          </w:tcPr>
          <w:p w14:paraId="29AC4A8D" w14:textId="77777777" w:rsidR="00CC48A5" w:rsidRPr="00CC48A5" w:rsidRDefault="00CC48A5" w:rsidP="00CC48A5">
            <w:pPr>
              <w:pStyle w:val="TableRowHead"/>
              <w:rPr>
                <w:lang w:val="en-GB" w:eastAsia="en-GB"/>
              </w:rPr>
            </w:pPr>
            <w:r w:rsidRPr="00CC48A5">
              <w:rPr>
                <w:lang w:val="en-GB" w:eastAsia="en-GB"/>
              </w:rPr>
              <w:t xml:space="preserve">Capital Account </w:t>
            </w:r>
          </w:p>
        </w:tc>
        <w:tc>
          <w:tcPr>
            <w:tcW w:w="1080" w:type="dxa"/>
            <w:shd w:val="clear" w:color="auto" w:fill="auto"/>
            <w:vAlign w:val="bottom"/>
          </w:tcPr>
          <w:p w14:paraId="51B4D4D2" w14:textId="77777777" w:rsidR="00CC48A5" w:rsidRPr="00CC48A5" w:rsidRDefault="00CC48A5" w:rsidP="00F868E5">
            <w:pPr>
              <w:spacing w:after="0" w:line="240" w:lineRule="auto"/>
              <w:jc w:val="center"/>
              <w:rPr>
                <w:rFonts w:cs="Arial"/>
                <w:lang w:val="en-GB" w:eastAsia="en-GB"/>
              </w:rPr>
            </w:pPr>
            <w:r w:rsidRPr="00CC48A5">
              <w:rPr>
                <w:rFonts w:cs="Arial"/>
                <w:lang w:val="en-GB" w:eastAsia="en-GB"/>
              </w:rPr>
              <w:t>8</w:t>
            </w:r>
          </w:p>
        </w:tc>
        <w:tc>
          <w:tcPr>
            <w:tcW w:w="1494" w:type="dxa"/>
            <w:shd w:val="clear" w:color="auto" w:fill="auto"/>
            <w:vAlign w:val="bottom"/>
          </w:tcPr>
          <w:p w14:paraId="21554EB6"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3,111,965 </w:t>
            </w:r>
          </w:p>
        </w:tc>
        <w:tc>
          <w:tcPr>
            <w:tcW w:w="1494" w:type="dxa"/>
            <w:gridSpan w:val="2"/>
            <w:shd w:val="clear" w:color="auto" w:fill="auto"/>
            <w:vAlign w:val="bottom"/>
          </w:tcPr>
          <w:p w14:paraId="60B96E76"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3,205,216 </w:t>
            </w:r>
          </w:p>
        </w:tc>
      </w:tr>
      <w:tr w:rsidR="00CC48A5" w:rsidRPr="00064183" w14:paraId="3DF48DBA" w14:textId="77777777" w:rsidTr="00CC48A5">
        <w:tblPrEx>
          <w:tblCellMar>
            <w:top w:w="0" w:type="dxa"/>
            <w:bottom w:w="0" w:type="dxa"/>
          </w:tblCellMar>
        </w:tblPrEx>
        <w:tc>
          <w:tcPr>
            <w:tcW w:w="4788" w:type="dxa"/>
            <w:shd w:val="clear" w:color="auto" w:fill="auto"/>
            <w:vAlign w:val="bottom"/>
          </w:tcPr>
          <w:p w14:paraId="6AD1AE2B" w14:textId="77777777" w:rsidR="00CC48A5" w:rsidRPr="00CC48A5" w:rsidRDefault="00CC48A5" w:rsidP="00CC48A5">
            <w:pPr>
              <w:pStyle w:val="TableRowHead"/>
              <w:rPr>
                <w:lang w:val="en-GB" w:eastAsia="en-GB"/>
              </w:rPr>
            </w:pPr>
            <w:r w:rsidRPr="00CC48A5">
              <w:rPr>
                <w:lang w:val="en-GB" w:eastAsia="en-GB"/>
              </w:rPr>
              <w:t xml:space="preserve">Retained </w:t>
            </w:r>
            <w:r w:rsidR="00DA26AF">
              <w:rPr>
                <w:lang w:val="en-GB" w:eastAsia="en-GB"/>
              </w:rPr>
              <w:t>Surplus/</w:t>
            </w:r>
            <w:r w:rsidRPr="00CC48A5">
              <w:rPr>
                <w:lang w:val="en-GB" w:eastAsia="en-GB"/>
              </w:rPr>
              <w:t>(Deficit) on Income and Expenditure Account</w:t>
            </w:r>
          </w:p>
        </w:tc>
        <w:tc>
          <w:tcPr>
            <w:tcW w:w="1080" w:type="dxa"/>
            <w:shd w:val="clear" w:color="auto" w:fill="auto"/>
            <w:vAlign w:val="bottom"/>
          </w:tcPr>
          <w:p w14:paraId="09139D1D" w14:textId="77777777" w:rsidR="00CC48A5" w:rsidRPr="00CC48A5" w:rsidRDefault="00CC48A5" w:rsidP="00F868E5">
            <w:pPr>
              <w:spacing w:after="0" w:line="240" w:lineRule="auto"/>
              <w:jc w:val="right"/>
              <w:rPr>
                <w:rFonts w:cs="Arial"/>
                <w:lang w:val="en-GB" w:eastAsia="en-GB"/>
              </w:rPr>
            </w:pPr>
          </w:p>
        </w:tc>
        <w:tc>
          <w:tcPr>
            <w:tcW w:w="1494" w:type="dxa"/>
            <w:shd w:val="clear" w:color="auto" w:fill="auto"/>
            <w:vAlign w:val="bottom"/>
          </w:tcPr>
          <w:p w14:paraId="507F0DD1"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46,019 </w:t>
            </w:r>
          </w:p>
        </w:tc>
        <w:tc>
          <w:tcPr>
            <w:tcW w:w="1494" w:type="dxa"/>
            <w:gridSpan w:val="2"/>
            <w:shd w:val="clear" w:color="auto" w:fill="auto"/>
            <w:vAlign w:val="bottom"/>
          </w:tcPr>
          <w:p w14:paraId="3541F22E"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(68,991)</w:t>
            </w:r>
          </w:p>
        </w:tc>
      </w:tr>
      <w:tr w:rsidR="00CC48A5" w:rsidRPr="00064183" w14:paraId="0277FB0A" w14:textId="77777777" w:rsidTr="00CC48A5">
        <w:tblPrEx>
          <w:tblCellMar>
            <w:top w:w="0" w:type="dxa"/>
            <w:bottom w:w="0" w:type="dxa"/>
          </w:tblCellMar>
        </w:tblPrEx>
        <w:tc>
          <w:tcPr>
            <w:tcW w:w="4788" w:type="dxa"/>
            <w:shd w:val="clear" w:color="auto" w:fill="auto"/>
            <w:vAlign w:val="bottom"/>
          </w:tcPr>
          <w:p w14:paraId="69EDE931" w14:textId="77777777" w:rsidR="00CC48A5" w:rsidRPr="00CC48A5" w:rsidRDefault="00CC48A5" w:rsidP="00F868E5">
            <w:pPr>
              <w:spacing w:after="0" w:line="240" w:lineRule="auto"/>
              <w:rPr>
                <w:rFonts w:cs="Arial"/>
                <w:lang w:val="en-GB" w:eastAsia="en-GB"/>
              </w:rPr>
            </w:pPr>
          </w:p>
        </w:tc>
        <w:tc>
          <w:tcPr>
            <w:tcW w:w="1080" w:type="dxa"/>
            <w:shd w:val="clear" w:color="auto" w:fill="auto"/>
            <w:vAlign w:val="bottom"/>
          </w:tcPr>
          <w:p w14:paraId="6717E7B9" w14:textId="77777777" w:rsidR="00CC48A5" w:rsidRPr="00CC48A5" w:rsidRDefault="00CC48A5" w:rsidP="00F868E5">
            <w:pPr>
              <w:spacing w:after="0" w:line="240" w:lineRule="auto"/>
              <w:jc w:val="center"/>
              <w:rPr>
                <w:rFonts w:cs="Arial"/>
                <w:lang w:val="en-GB" w:eastAsia="en-GB"/>
              </w:rPr>
            </w:pPr>
          </w:p>
        </w:tc>
        <w:tc>
          <w:tcPr>
            <w:tcW w:w="1494" w:type="dxa"/>
            <w:shd w:val="clear" w:color="auto" w:fill="auto"/>
            <w:vAlign w:val="bottom"/>
          </w:tcPr>
          <w:p w14:paraId="1B2185C4"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3,157,985 </w:t>
            </w:r>
          </w:p>
        </w:tc>
        <w:tc>
          <w:tcPr>
            <w:tcW w:w="1494" w:type="dxa"/>
            <w:gridSpan w:val="2"/>
            <w:shd w:val="clear" w:color="auto" w:fill="auto"/>
            <w:vAlign w:val="bottom"/>
          </w:tcPr>
          <w:p w14:paraId="701576B5" w14:textId="77777777" w:rsidR="00CC48A5" w:rsidRPr="00CC48A5" w:rsidRDefault="00CC48A5" w:rsidP="00F868E5">
            <w:pPr>
              <w:spacing w:after="0" w:line="240" w:lineRule="auto"/>
              <w:jc w:val="right"/>
              <w:rPr>
                <w:rFonts w:cs="Arial"/>
                <w:lang w:val="en-GB" w:eastAsia="en-GB"/>
              </w:rPr>
            </w:pPr>
            <w:r w:rsidRPr="00CC48A5">
              <w:rPr>
                <w:rFonts w:cs="Arial"/>
                <w:lang w:val="en-GB" w:eastAsia="en-GB"/>
              </w:rPr>
              <w:t xml:space="preserve">3,136,225 </w:t>
            </w:r>
          </w:p>
        </w:tc>
      </w:tr>
    </w:tbl>
    <w:p w14:paraId="4FE656B8" w14:textId="77777777" w:rsidR="00CC48A5" w:rsidRPr="00064183" w:rsidRDefault="00CC48A5" w:rsidP="00CC48A5">
      <w:pPr>
        <w:rPr>
          <w:lang w:val="en-GB" w:eastAsia="en-GB"/>
        </w:rPr>
      </w:pPr>
      <w:r w:rsidRPr="00064183">
        <w:rPr>
          <w:lang w:val="en-GB" w:eastAsia="en-GB"/>
        </w:rPr>
        <w:t>The Statement of Accounting Policies, the Cash Flow Statement, and Notes 1 to 16 form part of these Financial Statements.</w:t>
      </w:r>
    </w:p>
    <w:p w14:paraId="5299B181" w14:textId="77777777" w:rsidR="00CC48A5" w:rsidRPr="00CC48A5" w:rsidRDefault="00CC48A5" w:rsidP="00CC48A5">
      <w:pPr>
        <w:rPr>
          <w:lang w:val="en-GB" w:eastAsia="en-GB"/>
        </w:rPr>
      </w:pPr>
      <w:r w:rsidRPr="00064183">
        <w:rPr>
          <w:lang w:val="en-GB" w:eastAsia="en-GB"/>
        </w:rPr>
        <w:t>Signed:</w:t>
      </w:r>
      <w:r>
        <w:rPr>
          <w:lang w:val="en-GB" w:eastAsia="en-GB"/>
        </w:rPr>
        <w:tab/>
        <w:t xml:space="preserve">Peter </w:t>
      </w:r>
      <w:proofErr w:type="spellStart"/>
      <w:r>
        <w:rPr>
          <w:lang w:val="en-GB" w:eastAsia="en-GB"/>
        </w:rPr>
        <w:t>McKevitt</w:t>
      </w:r>
      <w:proofErr w:type="spellEnd"/>
      <w:r>
        <w:rPr>
          <w:lang w:val="en-GB" w:eastAsia="en-GB"/>
        </w:rPr>
        <w:t xml:space="preserve"> </w:t>
      </w:r>
      <w:r w:rsidRPr="00064183">
        <w:rPr>
          <w:lang w:val="en-GB" w:eastAsia="en-GB"/>
        </w:rPr>
        <w:t>(Chairperson)</w:t>
      </w:r>
    </w:p>
    <w:p w14:paraId="6D3B787A" w14:textId="77777777" w:rsidR="00CC48A5" w:rsidRPr="00064183" w:rsidRDefault="00CC48A5" w:rsidP="00CC48A5">
      <w:pPr>
        <w:rPr>
          <w:lang w:val="en-GB" w:eastAsia="en-GB"/>
        </w:rPr>
      </w:pPr>
      <w:r w:rsidRPr="00064183">
        <w:rPr>
          <w:lang w:val="en-GB" w:eastAsia="en-GB"/>
        </w:rPr>
        <w:t xml:space="preserve">Signed: </w:t>
      </w:r>
      <w:r>
        <w:rPr>
          <w:lang w:val="en-GB" w:eastAsia="en-GB"/>
        </w:rPr>
        <w:tab/>
      </w:r>
      <w:r w:rsidR="00490F84">
        <w:rPr>
          <w:lang w:val="en-GB" w:eastAsia="en-GB"/>
        </w:rPr>
        <w:t xml:space="preserve">Frank </w:t>
      </w:r>
      <w:proofErr w:type="spellStart"/>
      <w:r w:rsidR="00490F84">
        <w:rPr>
          <w:lang w:val="en-GB" w:eastAsia="en-GB"/>
        </w:rPr>
        <w:t>Cuneen</w:t>
      </w:r>
      <w:proofErr w:type="spellEnd"/>
      <w:r>
        <w:rPr>
          <w:lang w:val="en-GB" w:eastAsia="en-GB"/>
        </w:rPr>
        <w:t xml:space="preserve"> </w:t>
      </w:r>
      <w:r w:rsidRPr="00064183">
        <w:rPr>
          <w:lang w:val="en-GB" w:eastAsia="en-GB"/>
        </w:rPr>
        <w:t>(Authority Member)</w:t>
      </w:r>
    </w:p>
    <w:p w14:paraId="1D89DFA0" w14:textId="77777777" w:rsidR="00CC48A5" w:rsidRDefault="00CC48A5" w:rsidP="00CC48A5">
      <w:pPr>
        <w:rPr>
          <w:lang w:val="en-GB" w:eastAsia="en-GB"/>
        </w:rPr>
      </w:pPr>
      <w:r w:rsidRPr="00064183">
        <w:rPr>
          <w:lang w:val="en-GB" w:eastAsia="en-GB"/>
        </w:rPr>
        <w:t>S</w:t>
      </w:r>
      <w:r>
        <w:rPr>
          <w:lang w:val="en-GB" w:eastAsia="en-GB"/>
        </w:rPr>
        <w:t>i</w:t>
      </w:r>
      <w:r w:rsidRPr="00064183">
        <w:rPr>
          <w:lang w:val="en-GB" w:eastAsia="en-GB"/>
        </w:rPr>
        <w:t>gned:</w:t>
      </w:r>
      <w:r>
        <w:rPr>
          <w:lang w:val="en-GB" w:eastAsia="en-GB"/>
        </w:rPr>
        <w:tab/>
        <w:t xml:space="preserve">Siobhan Barron </w:t>
      </w:r>
      <w:r w:rsidRPr="00064183">
        <w:rPr>
          <w:lang w:val="en-GB" w:eastAsia="en-GB"/>
        </w:rPr>
        <w:t>(Director)</w:t>
      </w:r>
    </w:p>
    <w:p w14:paraId="4D54C7FA" w14:textId="77777777" w:rsidR="00CC48A5" w:rsidRDefault="00CC48A5" w:rsidP="00064183">
      <w:pPr>
        <w:rPr>
          <w:lang w:val="en-GB" w:eastAsia="en-GB"/>
        </w:rPr>
      </w:pPr>
      <w:r w:rsidRPr="00064183">
        <w:rPr>
          <w:lang w:val="en-GB" w:eastAsia="en-GB"/>
        </w:rPr>
        <w:t>Date:</w:t>
      </w:r>
      <w:r>
        <w:rPr>
          <w:lang w:val="en-GB" w:eastAsia="en-GB"/>
        </w:rPr>
        <w:tab/>
      </w:r>
      <w:r>
        <w:rPr>
          <w:lang w:val="en-GB" w:eastAsia="en-GB"/>
        </w:rPr>
        <w:tab/>
        <w:t>16 June 2011</w:t>
      </w:r>
    </w:p>
    <w:p w14:paraId="4888AD44" w14:textId="77777777" w:rsidR="00DA26AF" w:rsidRPr="00DA26AF" w:rsidRDefault="003F4DEE" w:rsidP="003F4DEE">
      <w:pPr>
        <w:pStyle w:val="Heading2"/>
        <w:rPr>
          <w:lang w:val="en-GB" w:eastAsia="en-GB"/>
        </w:rPr>
      </w:pPr>
      <w:r>
        <w:rPr>
          <w:lang w:val="en-GB" w:eastAsia="en-GB"/>
        </w:rPr>
        <w:br w:type="page"/>
      </w:r>
      <w:bookmarkStart w:id="378" w:name="_Toc300742934"/>
      <w:bookmarkStart w:id="379" w:name="_Toc300744286"/>
      <w:r w:rsidR="00DA26AF" w:rsidRPr="00DA26AF">
        <w:rPr>
          <w:lang w:val="en-GB" w:eastAsia="en-GB"/>
        </w:rPr>
        <w:lastRenderedPageBreak/>
        <w:t>Cash Flow Statement for the year ended 31 December 2010</w:t>
      </w:r>
      <w:bookmarkEnd w:id="378"/>
      <w:bookmarkEnd w:id="379"/>
    </w:p>
    <w:tbl>
      <w:tblPr>
        <w:tblW w:w="9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869"/>
        <w:gridCol w:w="1098"/>
        <w:gridCol w:w="1464"/>
        <w:gridCol w:w="1574"/>
      </w:tblGrid>
      <w:tr w:rsidR="00DA26AF" w:rsidRPr="00DA26AF" w14:paraId="01E1977B" w14:textId="77777777" w:rsidTr="00490F84">
        <w:tblPrEx>
          <w:tblCellMar>
            <w:top w:w="0" w:type="dxa"/>
            <w:bottom w:w="0" w:type="dxa"/>
          </w:tblCellMar>
        </w:tblPrEx>
        <w:trPr>
          <w:tblHeader/>
        </w:trPr>
        <w:tc>
          <w:tcPr>
            <w:tcW w:w="4788" w:type="dxa"/>
            <w:shd w:val="clear" w:color="auto" w:fill="auto"/>
          </w:tcPr>
          <w:p w14:paraId="3E6BF5AD" w14:textId="77777777" w:rsidR="00DA26AF" w:rsidRPr="00490F84" w:rsidRDefault="00DA26AF" w:rsidP="00490F84">
            <w:pPr>
              <w:pStyle w:val="TableHead"/>
              <w:spacing w:line="240" w:lineRule="auto"/>
              <w:jc w:val="right"/>
            </w:pPr>
          </w:p>
        </w:tc>
        <w:tc>
          <w:tcPr>
            <w:tcW w:w="1080" w:type="dxa"/>
            <w:shd w:val="clear" w:color="auto" w:fill="auto"/>
          </w:tcPr>
          <w:p w14:paraId="4EBCBDDF" w14:textId="77777777" w:rsidR="00DA26AF" w:rsidRPr="00490F84" w:rsidRDefault="00DA26AF" w:rsidP="00490F84">
            <w:pPr>
              <w:pStyle w:val="TableHead"/>
              <w:spacing w:line="240" w:lineRule="auto"/>
              <w:jc w:val="right"/>
            </w:pPr>
            <w:r w:rsidRPr="00490F84">
              <w:t>Notes</w:t>
            </w:r>
          </w:p>
        </w:tc>
        <w:tc>
          <w:tcPr>
            <w:tcW w:w="1440" w:type="dxa"/>
            <w:shd w:val="clear" w:color="auto" w:fill="auto"/>
          </w:tcPr>
          <w:p w14:paraId="39CCED8D" w14:textId="77777777" w:rsidR="00DA26AF" w:rsidRPr="00490F84" w:rsidRDefault="00DA26AF" w:rsidP="00490F84">
            <w:pPr>
              <w:pStyle w:val="TableHead"/>
              <w:spacing w:line="240" w:lineRule="auto"/>
              <w:jc w:val="right"/>
            </w:pPr>
            <w:r w:rsidRPr="00490F84">
              <w:t>2010</w:t>
            </w:r>
          </w:p>
        </w:tc>
        <w:tc>
          <w:tcPr>
            <w:tcW w:w="1548" w:type="dxa"/>
            <w:shd w:val="clear" w:color="auto" w:fill="auto"/>
          </w:tcPr>
          <w:p w14:paraId="05C21663" w14:textId="77777777" w:rsidR="00DA26AF" w:rsidRPr="00490F84" w:rsidRDefault="00DA26AF" w:rsidP="00490F84">
            <w:pPr>
              <w:pStyle w:val="TableHead"/>
              <w:spacing w:line="240" w:lineRule="auto"/>
              <w:jc w:val="right"/>
            </w:pPr>
            <w:r w:rsidRPr="00490F84">
              <w:t>2009</w:t>
            </w:r>
          </w:p>
        </w:tc>
      </w:tr>
      <w:tr w:rsidR="00DA26AF" w:rsidRPr="00DA26AF" w14:paraId="3E583F08" w14:textId="77777777" w:rsidTr="00490F84">
        <w:tblPrEx>
          <w:tblCellMar>
            <w:top w:w="0" w:type="dxa"/>
            <w:bottom w:w="0" w:type="dxa"/>
          </w:tblCellMar>
        </w:tblPrEx>
        <w:tc>
          <w:tcPr>
            <w:tcW w:w="4788" w:type="dxa"/>
            <w:shd w:val="clear" w:color="auto" w:fill="auto"/>
          </w:tcPr>
          <w:p w14:paraId="467CF00C" w14:textId="77777777" w:rsidR="00DA26AF" w:rsidRPr="00490F84" w:rsidRDefault="00DA26AF" w:rsidP="00490F84">
            <w:pPr>
              <w:pStyle w:val="TableRowHead"/>
            </w:pPr>
          </w:p>
        </w:tc>
        <w:tc>
          <w:tcPr>
            <w:tcW w:w="1080" w:type="dxa"/>
            <w:shd w:val="clear" w:color="auto" w:fill="auto"/>
          </w:tcPr>
          <w:p w14:paraId="4211D633" w14:textId="77777777" w:rsidR="00DA26AF" w:rsidRPr="00490F84" w:rsidRDefault="00DA26AF" w:rsidP="00490F84">
            <w:pPr>
              <w:pStyle w:val="TableCell"/>
              <w:jc w:val="right"/>
            </w:pPr>
          </w:p>
        </w:tc>
        <w:tc>
          <w:tcPr>
            <w:tcW w:w="1440" w:type="dxa"/>
            <w:shd w:val="clear" w:color="auto" w:fill="auto"/>
            <w:vAlign w:val="bottom"/>
          </w:tcPr>
          <w:p w14:paraId="41534B34" w14:textId="77777777" w:rsidR="00DA26AF" w:rsidRPr="00490F84" w:rsidRDefault="00DA26AF" w:rsidP="00490F84">
            <w:pPr>
              <w:spacing w:after="0" w:line="240" w:lineRule="auto"/>
              <w:jc w:val="right"/>
              <w:rPr>
                <w:rFonts w:cs="Arial"/>
                <w:b/>
                <w:bCs/>
                <w:lang w:val="en-GB" w:eastAsia="en-GB"/>
              </w:rPr>
            </w:pPr>
            <w:r w:rsidRPr="00490F84">
              <w:rPr>
                <w:rFonts w:cs="Arial"/>
                <w:b/>
                <w:bCs/>
                <w:lang w:val="en-GB" w:eastAsia="en-GB"/>
              </w:rPr>
              <w:t xml:space="preserve">          €</w:t>
            </w:r>
          </w:p>
        </w:tc>
        <w:tc>
          <w:tcPr>
            <w:tcW w:w="1548" w:type="dxa"/>
            <w:shd w:val="clear" w:color="auto" w:fill="auto"/>
            <w:vAlign w:val="bottom"/>
          </w:tcPr>
          <w:p w14:paraId="3378DA37" w14:textId="77777777" w:rsidR="00DA26AF" w:rsidRPr="00490F84" w:rsidRDefault="00DA26AF" w:rsidP="00490F84">
            <w:pPr>
              <w:spacing w:after="0" w:line="240" w:lineRule="auto"/>
              <w:jc w:val="right"/>
              <w:rPr>
                <w:rFonts w:cs="Arial"/>
                <w:b/>
                <w:bCs/>
                <w:lang w:val="en-GB" w:eastAsia="en-GB"/>
              </w:rPr>
            </w:pPr>
            <w:r w:rsidRPr="00490F84">
              <w:rPr>
                <w:rFonts w:cs="Arial"/>
                <w:b/>
                <w:bCs/>
                <w:lang w:val="en-GB" w:eastAsia="en-GB"/>
              </w:rPr>
              <w:t xml:space="preserve">          €</w:t>
            </w:r>
          </w:p>
        </w:tc>
      </w:tr>
      <w:tr w:rsidR="00490F84" w:rsidRPr="00DA26AF" w14:paraId="3084E1E4" w14:textId="77777777" w:rsidTr="00490F84">
        <w:tblPrEx>
          <w:tblCellMar>
            <w:top w:w="0" w:type="dxa"/>
            <w:bottom w:w="0" w:type="dxa"/>
          </w:tblCellMar>
        </w:tblPrEx>
        <w:tc>
          <w:tcPr>
            <w:tcW w:w="4788" w:type="dxa"/>
            <w:shd w:val="clear" w:color="auto" w:fill="auto"/>
            <w:vAlign w:val="bottom"/>
          </w:tcPr>
          <w:p w14:paraId="5A76E195" w14:textId="77777777" w:rsidR="00490F84" w:rsidRPr="00490F84" w:rsidRDefault="00490F84" w:rsidP="00490F84">
            <w:pPr>
              <w:pStyle w:val="TableRowHead"/>
              <w:rPr>
                <w:lang w:val="en-GB" w:eastAsia="en-GB"/>
              </w:rPr>
            </w:pPr>
            <w:r w:rsidRPr="00490F84">
              <w:rPr>
                <w:lang w:val="en-GB" w:eastAsia="en-GB"/>
              </w:rPr>
              <w:t>Net Cash Outflow from Operating Activities</w:t>
            </w:r>
          </w:p>
        </w:tc>
        <w:tc>
          <w:tcPr>
            <w:tcW w:w="1080" w:type="dxa"/>
            <w:shd w:val="clear" w:color="auto" w:fill="auto"/>
            <w:vAlign w:val="bottom"/>
          </w:tcPr>
          <w:p w14:paraId="1DB8FC81" w14:textId="77777777" w:rsidR="00490F84" w:rsidRPr="00490F84" w:rsidRDefault="00490F84" w:rsidP="00490F84">
            <w:pPr>
              <w:spacing w:after="0" w:line="240" w:lineRule="auto"/>
              <w:jc w:val="center"/>
              <w:rPr>
                <w:rFonts w:cs="Arial"/>
                <w:lang w:val="en-GB" w:eastAsia="en-GB"/>
              </w:rPr>
            </w:pPr>
          </w:p>
        </w:tc>
        <w:tc>
          <w:tcPr>
            <w:tcW w:w="1440" w:type="dxa"/>
            <w:shd w:val="clear" w:color="auto" w:fill="auto"/>
            <w:vAlign w:val="bottom"/>
          </w:tcPr>
          <w:p w14:paraId="5CBB9F80" w14:textId="77777777" w:rsidR="00490F84" w:rsidRPr="00490F84" w:rsidRDefault="00490F84" w:rsidP="00490F84">
            <w:pPr>
              <w:spacing w:after="0" w:line="240" w:lineRule="auto"/>
              <w:jc w:val="right"/>
              <w:rPr>
                <w:rFonts w:cs="Arial"/>
              </w:rPr>
            </w:pPr>
            <w:r w:rsidRPr="00490F84">
              <w:rPr>
                <w:rFonts w:cs="Arial"/>
              </w:rPr>
              <w:t>(27,036)</w:t>
            </w:r>
          </w:p>
        </w:tc>
        <w:tc>
          <w:tcPr>
            <w:tcW w:w="1548" w:type="dxa"/>
            <w:shd w:val="clear" w:color="auto" w:fill="auto"/>
            <w:vAlign w:val="bottom"/>
          </w:tcPr>
          <w:p w14:paraId="24E2EC02" w14:textId="77777777" w:rsidR="00490F84" w:rsidRPr="00490F84" w:rsidRDefault="00490F84" w:rsidP="00490F84">
            <w:pPr>
              <w:spacing w:after="0" w:line="240" w:lineRule="auto"/>
              <w:jc w:val="right"/>
              <w:rPr>
                <w:rFonts w:cs="Arial"/>
              </w:rPr>
            </w:pPr>
            <w:r w:rsidRPr="00490F84">
              <w:rPr>
                <w:rFonts w:cs="Arial"/>
              </w:rPr>
              <w:t>(88,960)</w:t>
            </w:r>
          </w:p>
        </w:tc>
      </w:tr>
      <w:tr w:rsidR="00490F84" w:rsidRPr="00DA26AF" w14:paraId="0824C4B6" w14:textId="77777777" w:rsidTr="00490F84">
        <w:tblPrEx>
          <w:tblCellMar>
            <w:top w:w="0" w:type="dxa"/>
            <w:bottom w:w="0" w:type="dxa"/>
          </w:tblCellMar>
        </w:tblPrEx>
        <w:tc>
          <w:tcPr>
            <w:tcW w:w="8856" w:type="dxa"/>
            <w:gridSpan w:val="4"/>
            <w:shd w:val="clear" w:color="auto" w:fill="auto"/>
            <w:vAlign w:val="bottom"/>
          </w:tcPr>
          <w:p w14:paraId="74DAC782" w14:textId="77777777" w:rsidR="00490F84" w:rsidRPr="00490F84" w:rsidRDefault="00490F84" w:rsidP="00490F84">
            <w:pPr>
              <w:spacing w:after="0" w:line="240" w:lineRule="auto"/>
              <w:jc w:val="center"/>
              <w:rPr>
                <w:rFonts w:cs="Arial"/>
              </w:rPr>
            </w:pPr>
            <w:r w:rsidRPr="00490F84">
              <w:rPr>
                <w:rFonts w:cs="Arial"/>
                <w:b/>
                <w:bCs/>
                <w:lang w:val="en-GB" w:eastAsia="en-GB"/>
              </w:rPr>
              <w:t xml:space="preserve">Returns On Investments </w:t>
            </w:r>
            <w:proofErr w:type="gramStart"/>
            <w:r w:rsidRPr="00490F84">
              <w:rPr>
                <w:rFonts w:cs="Arial"/>
                <w:b/>
                <w:bCs/>
                <w:lang w:val="en-GB" w:eastAsia="en-GB"/>
              </w:rPr>
              <w:t>And</w:t>
            </w:r>
            <w:proofErr w:type="gramEnd"/>
            <w:r w:rsidRPr="00490F84">
              <w:rPr>
                <w:rFonts w:cs="Arial"/>
                <w:b/>
                <w:bCs/>
                <w:lang w:val="en-GB" w:eastAsia="en-GB"/>
              </w:rPr>
              <w:t xml:space="preserve"> Servicing Of Finance</w:t>
            </w:r>
          </w:p>
        </w:tc>
      </w:tr>
      <w:tr w:rsidR="00490F84" w:rsidRPr="00DA26AF" w14:paraId="34B46DFE" w14:textId="77777777" w:rsidTr="00490F84">
        <w:tblPrEx>
          <w:tblCellMar>
            <w:top w:w="0" w:type="dxa"/>
            <w:bottom w:w="0" w:type="dxa"/>
          </w:tblCellMar>
        </w:tblPrEx>
        <w:tc>
          <w:tcPr>
            <w:tcW w:w="4788" w:type="dxa"/>
            <w:shd w:val="clear" w:color="auto" w:fill="auto"/>
            <w:vAlign w:val="bottom"/>
          </w:tcPr>
          <w:p w14:paraId="059B1E9C" w14:textId="77777777" w:rsidR="00490F84" w:rsidRPr="00490F84" w:rsidRDefault="00490F84" w:rsidP="00490F84">
            <w:pPr>
              <w:pStyle w:val="TableRowHead"/>
              <w:rPr>
                <w:lang w:val="en-GB" w:eastAsia="en-GB"/>
              </w:rPr>
            </w:pPr>
            <w:r w:rsidRPr="00490F84">
              <w:rPr>
                <w:lang w:val="en-GB" w:eastAsia="en-GB"/>
              </w:rPr>
              <w:t xml:space="preserve">Interest received </w:t>
            </w:r>
          </w:p>
        </w:tc>
        <w:tc>
          <w:tcPr>
            <w:tcW w:w="1080" w:type="dxa"/>
            <w:shd w:val="clear" w:color="auto" w:fill="auto"/>
            <w:vAlign w:val="bottom"/>
          </w:tcPr>
          <w:p w14:paraId="2AF20BC2"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22B9D716" w14:textId="77777777" w:rsidR="00490F84" w:rsidRPr="00490F84" w:rsidRDefault="00490F84" w:rsidP="00490F84">
            <w:pPr>
              <w:spacing w:after="0" w:line="240" w:lineRule="auto"/>
              <w:jc w:val="right"/>
              <w:rPr>
                <w:rFonts w:cs="Arial"/>
              </w:rPr>
            </w:pPr>
            <w:r w:rsidRPr="00490F84">
              <w:rPr>
                <w:rFonts w:cs="Arial"/>
              </w:rPr>
              <w:t xml:space="preserve">1 </w:t>
            </w:r>
          </w:p>
        </w:tc>
        <w:tc>
          <w:tcPr>
            <w:tcW w:w="1548" w:type="dxa"/>
            <w:shd w:val="clear" w:color="auto" w:fill="auto"/>
            <w:vAlign w:val="bottom"/>
          </w:tcPr>
          <w:p w14:paraId="4E7D3704" w14:textId="77777777" w:rsidR="00490F84" w:rsidRPr="00490F84" w:rsidRDefault="00490F84" w:rsidP="00490F84">
            <w:pPr>
              <w:spacing w:after="0" w:line="240" w:lineRule="auto"/>
              <w:jc w:val="right"/>
              <w:rPr>
                <w:rFonts w:cs="Arial"/>
              </w:rPr>
            </w:pPr>
            <w:r w:rsidRPr="00490F84">
              <w:rPr>
                <w:rFonts w:cs="Arial"/>
              </w:rPr>
              <w:t xml:space="preserve">128 </w:t>
            </w:r>
          </w:p>
        </w:tc>
      </w:tr>
      <w:tr w:rsidR="00490F84" w:rsidRPr="00DA26AF" w14:paraId="09C618D1" w14:textId="77777777" w:rsidTr="00490F84">
        <w:tblPrEx>
          <w:tblCellMar>
            <w:top w:w="0" w:type="dxa"/>
            <w:bottom w:w="0" w:type="dxa"/>
          </w:tblCellMar>
        </w:tblPrEx>
        <w:tc>
          <w:tcPr>
            <w:tcW w:w="4788" w:type="dxa"/>
            <w:shd w:val="clear" w:color="auto" w:fill="auto"/>
            <w:vAlign w:val="bottom"/>
          </w:tcPr>
          <w:p w14:paraId="08EC8570" w14:textId="77777777" w:rsidR="00490F84" w:rsidRPr="00490F84" w:rsidRDefault="00490F84" w:rsidP="00490F84">
            <w:pPr>
              <w:pStyle w:val="TableRowHead"/>
              <w:rPr>
                <w:lang w:val="en-GB" w:eastAsia="en-GB"/>
              </w:rPr>
            </w:pPr>
            <w:r w:rsidRPr="00490F84">
              <w:rPr>
                <w:lang w:val="en-GB" w:eastAsia="en-GB"/>
              </w:rPr>
              <w:t xml:space="preserve">Net inflow from returns on investments and servicing of finance </w:t>
            </w:r>
          </w:p>
        </w:tc>
        <w:tc>
          <w:tcPr>
            <w:tcW w:w="1080" w:type="dxa"/>
            <w:shd w:val="clear" w:color="auto" w:fill="auto"/>
            <w:vAlign w:val="bottom"/>
          </w:tcPr>
          <w:p w14:paraId="74C7DD32"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327DBA41" w14:textId="77777777" w:rsidR="00490F84" w:rsidRPr="00490F84" w:rsidRDefault="00490F84" w:rsidP="00490F84">
            <w:pPr>
              <w:spacing w:after="0" w:line="240" w:lineRule="auto"/>
              <w:jc w:val="right"/>
              <w:rPr>
                <w:rFonts w:cs="Arial"/>
              </w:rPr>
            </w:pPr>
            <w:r w:rsidRPr="00490F84">
              <w:rPr>
                <w:rFonts w:cs="Arial"/>
              </w:rPr>
              <w:t xml:space="preserve">1 </w:t>
            </w:r>
          </w:p>
        </w:tc>
        <w:tc>
          <w:tcPr>
            <w:tcW w:w="1548" w:type="dxa"/>
            <w:shd w:val="clear" w:color="auto" w:fill="auto"/>
            <w:vAlign w:val="bottom"/>
          </w:tcPr>
          <w:p w14:paraId="1C5F2974" w14:textId="77777777" w:rsidR="00490F84" w:rsidRPr="00490F84" w:rsidRDefault="00490F84" w:rsidP="00490F84">
            <w:pPr>
              <w:spacing w:after="0" w:line="240" w:lineRule="auto"/>
              <w:jc w:val="right"/>
              <w:rPr>
                <w:rFonts w:cs="Arial"/>
              </w:rPr>
            </w:pPr>
            <w:r w:rsidRPr="00490F84">
              <w:rPr>
                <w:rFonts w:cs="Arial"/>
              </w:rPr>
              <w:t xml:space="preserve">128 </w:t>
            </w:r>
          </w:p>
        </w:tc>
      </w:tr>
      <w:tr w:rsidR="00490F84" w:rsidRPr="00DA26AF" w14:paraId="5707AADD" w14:textId="77777777" w:rsidTr="00490F84">
        <w:tblPrEx>
          <w:tblCellMar>
            <w:top w:w="0" w:type="dxa"/>
            <w:bottom w:w="0" w:type="dxa"/>
          </w:tblCellMar>
        </w:tblPrEx>
        <w:tc>
          <w:tcPr>
            <w:tcW w:w="8856" w:type="dxa"/>
            <w:gridSpan w:val="4"/>
            <w:shd w:val="clear" w:color="auto" w:fill="auto"/>
            <w:vAlign w:val="bottom"/>
          </w:tcPr>
          <w:p w14:paraId="0FB2BCF5" w14:textId="77777777" w:rsidR="00490F84" w:rsidRPr="00490F84" w:rsidRDefault="00490F84" w:rsidP="00490F84">
            <w:pPr>
              <w:spacing w:after="0" w:line="240" w:lineRule="auto"/>
              <w:jc w:val="center"/>
              <w:rPr>
                <w:rFonts w:cs="Arial"/>
              </w:rPr>
            </w:pPr>
            <w:r w:rsidRPr="00490F84">
              <w:rPr>
                <w:b/>
                <w:lang w:val="en-GB" w:eastAsia="en-GB"/>
              </w:rPr>
              <w:t>Investing Activities</w:t>
            </w:r>
          </w:p>
        </w:tc>
      </w:tr>
      <w:tr w:rsidR="00490F84" w:rsidRPr="00DA26AF" w14:paraId="0631B662" w14:textId="77777777" w:rsidTr="00490F84">
        <w:tblPrEx>
          <w:tblCellMar>
            <w:top w:w="0" w:type="dxa"/>
            <w:bottom w:w="0" w:type="dxa"/>
          </w:tblCellMar>
        </w:tblPrEx>
        <w:tc>
          <w:tcPr>
            <w:tcW w:w="4788" w:type="dxa"/>
            <w:shd w:val="clear" w:color="auto" w:fill="auto"/>
            <w:vAlign w:val="bottom"/>
          </w:tcPr>
          <w:p w14:paraId="5C32D266" w14:textId="77777777" w:rsidR="00490F84" w:rsidRPr="00490F84" w:rsidRDefault="00490F84" w:rsidP="00490F84">
            <w:pPr>
              <w:pStyle w:val="TableRowHead"/>
              <w:rPr>
                <w:lang w:val="en-GB" w:eastAsia="en-GB"/>
              </w:rPr>
            </w:pPr>
            <w:r w:rsidRPr="00490F84">
              <w:rPr>
                <w:lang w:val="en-GB" w:eastAsia="en-GB"/>
              </w:rPr>
              <w:t>Purchase of fixed assets</w:t>
            </w:r>
          </w:p>
        </w:tc>
        <w:tc>
          <w:tcPr>
            <w:tcW w:w="1080" w:type="dxa"/>
            <w:shd w:val="clear" w:color="auto" w:fill="auto"/>
            <w:vAlign w:val="bottom"/>
          </w:tcPr>
          <w:p w14:paraId="24BE8566"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3C105493" w14:textId="77777777" w:rsidR="00490F84" w:rsidRPr="00490F84" w:rsidRDefault="00490F84" w:rsidP="00490F84">
            <w:pPr>
              <w:spacing w:after="0" w:line="240" w:lineRule="auto"/>
              <w:jc w:val="right"/>
              <w:rPr>
                <w:rFonts w:cs="Arial"/>
              </w:rPr>
            </w:pPr>
            <w:r w:rsidRPr="00490F84">
              <w:rPr>
                <w:rFonts w:cs="Arial"/>
              </w:rPr>
              <w:t>(3,729)</w:t>
            </w:r>
          </w:p>
        </w:tc>
        <w:tc>
          <w:tcPr>
            <w:tcW w:w="1548" w:type="dxa"/>
            <w:shd w:val="clear" w:color="auto" w:fill="auto"/>
            <w:vAlign w:val="bottom"/>
          </w:tcPr>
          <w:p w14:paraId="59895FEC" w14:textId="77777777" w:rsidR="00490F84" w:rsidRPr="00490F84" w:rsidRDefault="00490F84" w:rsidP="00490F84">
            <w:pPr>
              <w:spacing w:after="0" w:line="240" w:lineRule="auto"/>
              <w:jc w:val="right"/>
              <w:rPr>
                <w:rFonts w:cs="Arial"/>
              </w:rPr>
            </w:pPr>
            <w:r w:rsidRPr="00490F84">
              <w:rPr>
                <w:rFonts w:cs="Arial"/>
              </w:rPr>
              <w:t>(1,825)</w:t>
            </w:r>
          </w:p>
        </w:tc>
      </w:tr>
      <w:tr w:rsidR="00490F84" w:rsidRPr="00DA26AF" w14:paraId="6AF50055" w14:textId="77777777" w:rsidTr="00490F84">
        <w:tblPrEx>
          <w:tblCellMar>
            <w:top w:w="0" w:type="dxa"/>
            <w:bottom w:w="0" w:type="dxa"/>
          </w:tblCellMar>
        </w:tblPrEx>
        <w:tc>
          <w:tcPr>
            <w:tcW w:w="4788" w:type="dxa"/>
            <w:shd w:val="clear" w:color="auto" w:fill="auto"/>
            <w:vAlign w:val="bottom"/>
          </w:tcPr>
          <w:p w14:paraId="3C2E7251" w14:textId="77777777" w:rsidR="00490F84" w:rsidRPr="00490F84" w:rsidRDefault="00490F84" w:rsidP="00490F84">
            <w:pPr>
              <w:pStyle w:val="TableRowHead"/>
              <w:rPr>
                <w:lang w:val="en-GB" w:eastAsia="en-GB"/>
              </w:rPr>
            </w:pPr>
            <w:r w:rsidRPr="00490F84">
              <w:rPr>
                <w:lang w:val="en-GB" w:eastAsia="en-GB"/>
              </w:rPr>
              <w:t xml:space="preserve">Proceeds on Disposal of fixed assets </w:t>
            </w:r>
          </w:p>
        </w:tc>
        <w:tc>
          <w:tcPr>
            <w:tcW w:w="1080" w:type="dxa"/>
            <w:shd w:val="clear" w:color="auto" w:fill="auto"/>
            <w:vAlign w:val="bottom"/>
          </w:tcPr>
          <w:p w14:paraId="5CE4676A"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41602D1E" w14:textId="77777777" w:rsidR="00490F84" w:rsidRPr="00490F84" w:rsidRDefault="00490F84" w:rsidP="00490F84">
            <w:pPr>
              <w:spacing w:after="0" w:line="240" w:lineRule="auto"/>
              <w:jc w:val="right"/>
              <w:rPr>
                <w:rFonts w:cs="Arial"/>
              </w:rPr>
            </w:pPr>
            <w:r w:rsidRPr="00490F84">
              <w:rPr>
                <w:rFonts w:cs="Arial"/>
              </w:rPr>
              <w:t xml:space="preserve">0 </w:t>
            </w:r>
          </w:p>
        </w:tc>
        <w:tc>
          <w:tcPr>
            <w:tcW w:w="1548" w:type="dxa"/>
            <w:shd w:val="clear" w:color="auto" w:fill="auto"/>
            <w:vAlign w:val="bottom"/>
          </w:tcPr>
          <w:p w14:paraId="21AFA90C" w14:textId="77777777" w:rsidR="00490F84" w:rsidRPr="00490F84" w:rsidRDefault="00490F84" w:rsidP="00490F84">
            <w:pPr>
              <w:spacing w:after="0" w:line="240" w:lineRule="auto"/>
              <w:jc w:val="right"/>
              <w:rPr>
                <w:rFonts w:cs="Arial"/>
              </w:rPr>
            </w:pPr>
            <w:r w:rsidRPr="00490F84">
              <w:rPr>
                <w:rFonts w:cs="Arial"/>
              </w:rPr>
              <w:t xml:space="preserve">0 </w:t>
            </w:r>
          </w:p>
        </w:tc>
      </w:tr>
      <w:tr w:rsidR="00490F84" w:rsidRPr="00DA26AF" w14:paraId="677B31FC" w14:textId="77777777" w:rsidTr="00490F84">
        <w:tblPrEx>
          <w:tblCellMar>
            <w:top w:w="0" w:type="dxa"/>
            <w:bottom w:w="0" w:type="dxa"/>
          </w:tblCellMar>
        </w:tblPrEx>
        <w:tc>
          <w:tcPr>
            <w:tcW w:w="4788" w:type="dxa"/>
            <w:shd w:val="clear" w:color="auto" w:fill="auto"/>
            <w:vAlign w:val="bottom"/>
          </w:tcPr>
          <w:p w14:paraId="541AA7F3" w14:textId="77777777" w:rsidR="00490F84" w:rsidRPr="00490F84" w:rsidRDefault="00490F84" w:rsidP="00490F84">
            <w:pPr>
              <w:pStyle w:val="TableRowHead"/>
              <w:rPr>
                <w:lang w:val="en-GB" w:eastAsia="en-GB"/>
              </w:rPr>
            </w:pPr>
            <w:r w:rsidRPr="00490F84">
              <w:rPr>
                <w:lang w:val="en-GB" w:eastAsia="en-GB"/>
              </w:rPr>
              <w:t>Net Cash Outflow from Investing activities</w:t>
            </w:r>
          </w:p>
        </w:tc>
        <w:tc>
          <w:tcPr>
            <w:tcW w:w="1080" w:type="dxa"/>
            <w:shd w:val="clear" w:color="auto" w:fill="auto"/>
            <w:vAlign w:val="bottom"/>
          </w:tcPr>
          <w:p w14:paraId="1DAA04D9"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1E88BE11" w14:textId="77777777" w:rsidR="00490F84" w:rsidRPr="00490F84" w:rsidRDefault="00490F84" w:rsidP="00490F84">
            <w:pPr>
              <w:spacing w:after="0" w:line="240" w:lineRule="auto"/>
              <w:jc w:val="right"/>
              <w:rPr>
                <w:rFonts w:cs="Arial"/>
              </w:rPr>
            </w:pPr>
            <w:r w:rsidRPr="00490F84">
              <w:rPr>
                <w:rFonts w:cs="Arial"/>
              </w:rPr>
              <w:t>(3,729)</w:t>
            </w:r>
          </w:p>
        </w:tc>
        <w:tc>
          <w:tcPr>
            <w:tcW w:w="1548" w:type="dxa"/>
            <w:shd w:val="clear" w:color="auto" w:fill="auto"/>
            <w:vAlign w:val="bottom"/>
          </w:tcPr>
          <w:p w14:paraId="7EF065B8" w14:textId="77777777" w:rsidR="00490F84" w:rsidRPr="00490F84" w:rsidRDefault="00490F84" w:rsidP="00490F84">
            <w:pPr>
              <w:spacing w:after="0" w:line="240" w:lineRule="auto"/>
              <w:jc w:val="right"/>
              <w:rPr>
                <w:rFonts w:cs="Arial"/>
              </w:rPr>
            </w:pPr>
            <w:r w:rsidRPr="00490F84">
              <w:rPr>
                <w:rFonts w:cs="Arial"/>
              </w:rPr>
              <w:t>(1,825)</w:t>
            </w:r>
          </w:p>
        </w:tc>
      </w:tr>
      <w:tr w:rsidR="00490F84" w:rsidRPr="00DA26AF" w14:paraId="3E244A2E" w14:textId="77777777" w:rsidTr="00490F84">
        <w:tblPrEx>
          <w:tblCellMar>
            <w:top w:w="0" w:type="dxa"/>
            <w:bottom w:w="0" w:type="dxa"/>
          </w:tblCellMar>
        </w:tblPrEx>
        <w:tc>
          <w:tcPr>
            <w:tcW w:w="4788" w:type="dxa"/>
            <w:shd w:val="clear" w:color="auto" w:fill="auto"/>
            <w:vAlign w:val="bottom"/>
          </w:tcPr>
          <w:p w14:paraId="7C399158" w14:textId="77777777" w:rsidR="00490F84" w:rsidRPr="00490F84" w:rsidRDefault="00490F84" w:rsidP="00490F84">
            <w:pPr>
              <w:pStyle w:val="TableRowHead"/>
              <w:rPr>
                <w:lang w:val="en-GB" w:eastAsia="en-GB"/>
              </w:rPr>
            </w:pPr>
            <w:r w:rsidRPr="00490F84">
              <w:rPr>
                <w:lang w:val="en-GB" w:eastAsia="en-GB"/>
              </w:rPr>
              <w:t>Decrease in Cash at Bank and in hand</w:t>
            </w:r>
          </w:p>
        </w:tc>
        <w:tc>
          <w:tcPr>
            <w:tcW w:w="1080" w:type="dxa"/>
            <w:shd w:val="clear" w:color="auto" w:fill="auto"/>
            <w:vAlign w:val="bottom"/>
          </w:tcPr>
          <w:p w14:paraId="4789E663" w14:textId="77777777" w:rsidR="00490F84" w:rsidRPr="00490F84" w:rsidRDefault="00490F84" w:rsidP="00490F84">
            <w:pPr>
              <w:spacing w:after="0" w:line="240" w:lineRule="auto"/>
              <w:jc w:val="right"/>
              <w:rPr>
                <w:rFonts w:cs="Arial"/>
                <w:lang w:val="en-GB" w:eastAsia="en-GB"/>
              </w:rPr>
            </w:pPr>
          </w:p>
        </w:tc>
        <w:tc>
          <w:tcPr>
            <w:tcW w:w="1440" w:type="dxa"/>
            <w:shd w:val="clear" w:color="auto" w:fill="auto"/>
            <w:vAlign w:val="bottom"/>
          </w:tcPr>
          <w:p w14:paraId="105842E7" w14:textId="77777777" w:rsidR="00490F84" w:rsidRPr="00490F84" w:rsidRDefault="00490F84" w:rsidP="00490F84">
            <w:pPr>
              <w:spacing w:after="0" w:line="240" w:lineRule="auto"/>
              <w:jc w:val="right"/>
              <w:rPr>
                <w:rFonts w:cs="Arial"/>
              </w:rPr>
            </w:pPr>
            <w:r w:rsidRPr="00490F84">
              <w:rPr>
                <w:rFonts w:cs="Arial"/>
              </w:rPr>
              <w:t>(30,764)</w:t>
            </w:r>
          </w:p>
        </w:tc>
        <w:tc>
          <w:tcPr>
            <w:tcW w:w="1548" w:type="dxa"/>
            <w:shd w:val="clear" w:color="auto" w:fill="auto"/>
            <w:vAlign w:val="bottom"/>
          </w:tcPr>
          <w:p w14:paraId="250B50B7" w14:textId="77777777" w:rsidR="00490F84" w:rsidRPr="00490F84" w:rsidRDefault="00490F84" w:rsidP="00490F84">
            <w:pPr>
              <w:spacing w:after="0" w:line="240" w:lineRule="auto"/>
              <w:jc w:val="right"/>
              <w:rPr>
                <w:rFonts w:cs="Arial"/>
              </w:rPr>
            </w:pPr>
            <w:r w:rsidRPr="00490F84">
              <w:rPr>
                <w:rFonts w:cs="Arial"/>
              </w:rPr>
              <w:t>(90,657)</w:t>
            </w:r>
          </w:p>
        </w:tc>
      </w:tr>
    </w:tbl>
    <w:p w14:paraId="113EAE6A" w14:textId="77777777" w:rsidR="00490F84" w:rsidRDefault="00490F84" w:rsidP="00DA26AF">
      <w:pPr>
        <w:spacing w:after="0" w:line="240" w:lineRule="auto"/>
        <w:rPr>
          <w:rFonts w:cs="Arial"/>
          <w:lang w:val="en-GB" w:eastAsia="en-GB"/>
        </w:rPr>
      </w:pPr>
    </w:p>
    <w:p w14:paraId="2CB5DAF9" w14:textId="77777777" w:rsidR="00490F84" w:rsidRPr="00DA26AF" w:rsidRDefault="00490F84" w:rsidP="00490F84">
      <w:pPr>
        <w:rPr>
          <w:lang w:val="en-GB" w:eastAsia="en-GB"/>
        </w:rPr>
      </w:pPr>
      <w:r w:rsidRPr="00DA26AF">
        <w:rPr>
          <w:lang w:val="en-GB" w:eastAsia="en-GB"/>
        </w:rPr>
        <w:t>The Statement of Accounting Policies, the Cash Flow Statement, and Notes 1 to 16 form part of these Financial Statements.</w:t>
      </w:r>
    </w:p>
    <w:p w14:paraId="579E3A5A" w14:textId="77777777" w:rsidR="00490F84" w:rsidRPr="00CC48A5" w:rsidRDefault="00490F84" w:rsidP="00490F84">
      <w:pPr>
        <w:rPr>
          <w:lang w:val="en-GB" w:eastAsia="en-GB"/>
        </w:rPr>
      </w:pPr>
      <w:r w:rsidRPr="00064183">
        <w:rPr>
          <w:lang w:val="en-GB" w:eastAsia="en-GB"/>
        </w:rPr>
        <w:t>Signed:</w:t>
      </w:r>
      <w:r>
        <w:rPr>
          <w:lang w:val="en-GB" w:eastAsia="en-GB"/>
        </w:rPr>
        <w:tab/>
        <w:t xml:space="preserve">Peter </w:t>
      </w:r>
      <w:proofErr w:type="spellStart"/>
      <w:r>
        <w:rPr>
          <w:lang w:val="en-GB" w:eastAsia="en-GB"/>
        </w:rPr>
        <w:t>McKevitt</w:t>
      </w:r>
      <w:proofErr w:type="spellEnd"/>
      <w:r>
        <w:rPr>
          <w:lang w:val="en-GB" w:eastAsia="en-GB"/>
        </w:rPr>
        <w:t xml:space="preserve"> </w:t>
      </w:r>
      <w:r w:rsidRPr="00064183">
        <w:rPr>
          <w:lang w:val="en-GB" w:eastAsia="en-GB"/>
        </w:rPr>
        <w:t>(Chairperson)</w:t>
      </w:r>
    </w:p>
    <w:p w14:paraId="6C317BDD" w14:textId="77777777" w:rsidR="00490F84" w:rsidRPr="00064183" w:rsidRDefault="00490F84" w:rsidP="00490F84">
      <w:pPr>
        <w:rPr>
          <w:lang w:val="en-GB" w:eastAsia="en-GB"/>
        </w:rPr>
      </w:pPr>
      <w:r w:rsidRPr="00064183">
        <w:rPr>
          <w:lang w:val="en-GB" w:eastAsia="en-GB"/>
        </w:rPr>
        <w:t xml:space="preserve">Signed: </w:t>
      </w:r>
      <w:r>
        <w:rPr>
          <w:lang w:val="en-GB" w:eastAsia="en-GB"/>
        </w:rPr>
        <w:tab/>
        <w:t xml:space="preserve">Frank </w:t>
      </w:r>
      <w:proofErr w:type="spellStart"/>
      <w:r>
        <w:rPr>
          <w:lang w:val="en-GB" w:eastAsia="en-GB"/>
        </w:rPr>
        <w:t>Cuneen</w:t>
      </w:r>
      <w:proofErr w:type="spellEnd"/>
      <w:r>
        <w:rPr>
          <w:lang w:val="en-GB" w:eastAsia="en-GB"/>
        </w:rPr>
        <w:t xml:space="preserve"> </w:t>
      </w:r>
      <w:r w:rsidRPr="00064183">
        <w:rPr>
          <w:lang w:val="en-GB" w:eastAsia="en-GB"/>
        </w:rPr>
        <w:t>(Authority Member)</w:t>
      </w:r>
    </w:p>
    <w:p w14:paraId="4169C013" w14:textId="77777777" w:rsidR="00490F84" w:rsidRDefault="00490F84" w:rsidP="00490F84">
      <w:pPr>
        <w:rPr>
          <w:lang w:val="en-GB" w:eastAsia="en-GB"/>
        </w:rPr>
      </w:pPr>
      <w:r w:rsidRPr="00064183">
        <w:rPr>
          <w:lang w:val="en-GB" w:eastAsia="en-GB"/>
        </w:rPr>
        <w:t>S</w:t>
      </w:r>
      <w:r>
        <w:rPr>
          <w:lang w:val="en-GB" w:eastAsia="en-GB"/>
        </w:rPr>
        <w:t>i</w:t>
      </w:r>
      <w:r w:rsidRPr="00064183">
        <w:rPr>
          <w:lang w:val="en-GB" w:eastAsia="en-GB"/>
        </w:rPr>
        <w:t>gned:</w:t>
      </w:r>
      <w:r>
        <w:rPr>
          <w:lang w:val="en-GB" w:eastAsia="en-GB"/>
        </w:rPr>
        <w:tab/>
        <w:t xml:space="preserve">Siobhan Barron </w:t>
      </w:r>
      <w:r w:rsidRPr="00064183">
        <w:rPr>
          <w:lang w:val="en-GB" w:eastAsia="en-GB"/>
        </w:rPr>
        <w:t>(Director)</w:t>
      </w:r>
    </w:p>
    <w:p w14:paraId="10FA7D3C" w14:textId="77777777" w:rsidR="00490F84" w:rsidRDefault="00490F84" w:rsidP="00490F84">
      <w:pPr>
        <w:rPr>
          <w:lang w:val="en-GB" w:eastAsia="en-GB"/>
        </w:rPr>
      </w:pPr>
      <w:r w:rsidRPr="00064183">
        <w:rPr>
          <w:lang w:val="en-GB" w:eastAsia="en-GB"/>
        </w:rPr>
        <w:t>Date:</w:t>
      </w:r>
      <w:r>
        <w:rPr>
          <w:lang w:val="en-GB" w:eastAsia="en-GB"/>
        </w:rPr>
        <w:tab/>
      </w:r>
      <w:r>
        <w:rPr>
          <w:lang w:val="en-GB" w:eastAsia="en-GB"/>
        </w:rPr>
        <w:tab/>
        <w:t>16 June 2011</w:t>
      </w:r>
    </w:p>
    <w:p w14:paraId="74A32296" w14:textId="77777777" w:rsidR="00850E7B" w:rsidRPr="00BA2631" w:rsidRDefault="00490F84" w:rsidP="00850E7B">
      <w:pPr>
        <w:pStyle w:val="Heading2"/>
        <w:rPr>
          <w:lang w:val="en-GB" w:eastAsia="en-GB"/>
        </w:rPr>
      </w:pPr>
      <w:r>
        <w:rPr>
          <w:lang w:val="en-GB" w:eastAsia="en-GB"/>
        </w:rPr>
        <w:br w:type="page"/>
      </w:r>
      <w:bookmarkStart w:id="380" w:name="_Toc299362574"/>
      <w:bookmarkStart w:id="381" w:name="_Toc300742935"/>
      <w:bookmarkStart w:id="382" w:name="_Toc300744287"/>
      <w:r w:rsidR="00850E7B">
        <w:lastRenderedPageBreak/>
        <w:t xml:space="preserve">Notes to Financial Statements for the year ended 31st </w:t>
      </w:r>
      <w:proofErr w:type="gramStart"/>
      <w:r w:rsidR="00850E7B">
        <w:t>December,</w:t>
      </w:r>
      <w:proofErr w:type="gramEnd"/>
      <w:r w:rsidR="00850E7B">
        <w:t xml:space="preserve"> 2010</w:t>
      </w:r>
      <w:bookmarkEnd w:id="380"/>
      <w:bookmarkEnd w:id="381"/>
      <w:bookmarkEnd w:id="382"/>
    </w:p>
    <w:p w14:paraId="3172D2BF" w14:textId="77777777" w:rsidR="00850E7B" w:rsidRDefault="00850E7B" w:rsidP="00850E7B">
      <w:pPr>
        <w:pStyle w:val="Heading3"/>
      </w:pPr>
      <w:r w:rsidRPr="00F868E5">
        <w:t>1. These Financial Statements cove</w:t>
      </w:r>
      <w:r w:rsidR="00782383">
        <w:t xml:space="preserve">r the year ended 31st December </w:t>
      </w:r>
      <w:r w:rsidRPr="00F868E5">
        <w:t>2010</w:t>
      </w:r>
    </w:p>
    <w:p w14:paraId="1D0BC5C7" w14:textId="77777777" w:rsidR="00850E7B" w:rsidRDefault="00850E7B" w:rsidP="00850E7B">
      <w:pPr>
        <w:pStyle w:val="TableTitle"/>
        <w:jc w:val="left"/>
        <w:rPr>
          <w:lang w:val="en-GB" w:eastAsia="en-GB"/>
        </w:rPr>
      </w:pPr>
      <w:r>
        <w:rPr>
          <w:bCs/>
          <w:lang w:val="en-GB"/>
        </w:rPr>
        <w:t>2</w:t>
      </w:r>
      <w:r w:rsidRPr="00F868E5">
        <w:rPr>
          <w:bCs/>
          <w:lang w:val="en-GB"/>
        </w:rPr>
        <w:t>. Income</w:t>
      </w:r>
      <w:r>
        <w:rPr>
          <w:lang w:val="en-GB" w:eastAsia="en-GB"/>
        </w:rPr>
        <w:t xml:space="preserve"> </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530"/>
        <w:gridCol w:w="1530"/>
      </w:tblGrid>
      <w:tr w:rsidR="00850E7B" w:rsidRPr="00850E7B" w14:paraId="6817A198" w14:textId="77777777" w:rsidTr="00782383">
        <w:tblPrEx>
          <w:tblCellMar>
            <w:top w:w="0" w:type="dxa"/>
            <w:bottom w:w="0" w:type="dxa"/>
          </w:tblCellMar>
        </w:tblPrEx>
        <w:tc>
          <w:tcPr>
            <w:tcW w:w="5868" w:type="dxa"/>
            <w:shd w:val="clear" w:color="auto" w:fill="auto"/>
          </w:tcPr>
          <w:p w14:paraId="67AF1558" w14:textId="77777777" w:rsidR="00850E7B" w:rsidRPr="00F868E5" w:rsidRDefault="00850E7B" w:rsidP="00782383">
            <w:pPr>
              <w:pStyle w:val="TableHead"/>
              <w:keepNext/>
              <w:keepLines/>
              <w:jc w:val="right"/>
            </w:pPr>
          </w:p>
        </w:tc>
        <w:tc>
          <w:tcPr>
            <w:tcW w:w="1530" w:type="dxa"/>
            <w:shd w:val="clear" w:color="auto" w:fill="auto"/>
          </w:tcPr>
          <w:p w14:paraId="42D2B7B2" w14:textId="77777777" w:rsidR="00850E7B" w:rsidRPr="00F868E5" w:rsidRDefault="00850E7B" w:rsidP="00782383">
            <w:pPr>
              <w:pStyle w:val="TableHead"/>
              <w:keepNext/>
              <w:keepLines/>
              <w:spacing w:line="240" w:lineRule="auto"/>
              <w:jc w:val="right"/>
            </w:pPr>
            <w:r w:rsidRPr="00F868E5">
              <w:t>2010</w:t>
            </w:r>
          </w:p>
        </w:tc>
        <w:tc>
          <w:tcPr>
            <w:tcW w:w="1530" w:type="dxa"/>
            <w:shd w:val="clear" w:color="auto" w:fill="auto"/>
          </w:tcPr>
          <w:p w14:paraId="28DE02A1" w14:textId="77777777" w:rsidR="00850E7B" w:rsidRPr="00F868E5" w:rsidRDefault="00850E7B" w:rsidP="00782383">
            <w:pPr>
              <w:pStyle w:val="TableHead"/>
              <w:keepNext/>
              <w:keepLines/>
              <w:spacing w:line="240" w:lineRule="auto"/>
              <w:jc w:val="right"/>
            </w:pPr>
            <w:r w:rsidRPr="00F868E5">
              <w:t>2009</w:t>
            </w:r>
          </w:p>
        </w:tc>
      </w:tr>
      <w:tr w:rsidR="00850E7B" w:rsidRPr="00850E7B" w14:paraId="40ACE0E6" w14:textId="77777777" w:rsidTr="00782383">
        <w:tblPrEx>
          <w:tblCellMar>
            <w:top w:w="0" w:type="dxa"/>
            <w:bottom w:w="0" w:type="dxa"/>
          </w:tblCellMar>
        </w:tblPrEx>
        <w:tc>
          <w:tcPr>
            <w:tcW w:w="5868" w:type="dxa"/>
            <w:shd w:val="clear" w:color="auto" w:fill="auto"/>
          </w:tcPr>
          <w:p w14:paraId="6D9F2C84" w14:textId="77777777" w:rsidR="00850E7B" w:rsidRPr="00F868E5" w:rsidRDefault="00850E7B" w:rsidP="00782383">
            <w:pPr>
              <w:pStyle w:val="TableRowHead"/>
              <w:keepLines/>
            </w:pPr>
          </w:p>
        </w:tc>
        <w:tc>
          <w:tcPr>
            <w:tcW w:w="1530" w:type="dxa"/>
            <w:shd w:val="clear" w:color="auto" w:fill="auto"/>
            <w:vAlign w:val="bottom"/>
          </w:tcPr>
          <w:p w14:paraId="0E7BBE2A" w14:textId="77777777" w:rsidR="00850E7B" w:rsidRPr="00F868E5" w:rsidRDefault="00850E7B" w:rsidP="00782383">
            <w:pPr>
              <w:keepNext/>
              <w:keepLines/>
              <w:spacing w:after="0" w:line="240" w:lineRule="auto"/>
              <w:jc w:val="right"/>
              <w:rPr>
                <w:rFonts w:cs="Arial"/>
                <w:b/>
                <w:bCs/>
                <w:lang w:val="en-GB" w:eastAsia="en-GB"/>
              </w:rPr>
            </w:pPr>
            <w:r w:rsidRPr="00F868E5">
              <w:rPr>
                <w:rFonts w:cs="Arial"/>
                <w:b/>
                <w:bCs/>
                <w:lang w:val="en-GB" w:eastAsia="en-GB"/>
              </w:rPr>
              <w:t xml:space="preserve">          €</w:t>
            </w:r>
          </w:p>
        </w:tc>
        <w:tc>
          <w:tcPr>
            <w:tcW w:w="1530" w:type="dxa"/>
            <w:shd w:val="clear" w:color="auto" w:fill="auto"/>
            <w:vAlign w:val="bottom"/>
          </w:tcPr>
          <w:p w14:paraId="3C3B0EA0" w14:textId="77777777" w:rsidR="00850E7B" w:rsidRPr="00F868E5" w:rsidRDefault="00850E7B" w:rsidP="00782383">
            <w:pPr>
              <w:keepNext/>
              <w:keepLines/>
              <w:spacing w:after="0" w:line="240" w:lineRule="auto"/>
              <w:ind w:right="-288"/>
              <w:jc w:val="right"/>
              <w:rPr>
                <w:rFonts w:cs="Arial"/>
                <w:b/>
                <w:bCs/>
                <w:lang w:val="en-GB" w:eastAsia="en-GB"/>
              </w:rPr>
            </w:pPr>
            <w:r w:rsidRPr="00F868E5">
              <w:rPr>
                <w:rFonts w:cs="Arial"/>
                <w:b/>
                <w:bCs/>
                <w:lang w:val="en-GB" w:eastAsia="en-GB"/>
              </w:rPr>
              <w:t xml:space="preserve">          €</w:t>
            </w:r>
          </w:p>
        </w:tc>
      </w:tr>
      <w:tr w:rsidR="00850E7B" w:rsidRPr="00850E7B" w14:paraId="3FFBE6B4" w14:textId="77777777" w:rsidTr="00782383">
        <w:tblPrEx>
          <w:tblCellMar>
            <w:top w:w="0" w:type="dxa"/>
            <w:bottom w:w="0" w:type="dxa"/>
          </w:tblCellMar>
        </w:tblPrEx>
        <w:tc>
          <w:tcPr>
            <w:tcW w:w="5868" w:type="dxa"/>
            <w:shd w:val="clear" w:color="auto" w:fill="auto"/>
          </w:tcPr>
          <w:p w14:paraId="433CAA0D" w14:textId="77777777" w:rsidR="00850E7B" w:rsidRPr="00F868E5" w:rsidRDefault="00850E7B" w:rsidP="00782383">
            <w:pPr>
              <w:pStyle w:val="TableHead"/>
              <w:keepNext/>
              <w:keepLines/>
              <w:jc w:val="center"/>
            </w:pPr>
            <w:r w:rsidRPr="00F868E5">
              <w:rPr>
                <w:lang w:val="en-GB" w:eastAsia="en-GB"/>
              </w:rPr>
              <w:t>2 (a) Grant Income</w:t>
            </w:r>
          </w:p>
        </w:tc>
        <w:tc>
          <w:tcPr>
            <w:tcW w:w="1530" w:type="dxa"/>
            <w:shd w:val="clear" w:color="auto" w:fill="auto"/>
          </w:tcPr>
          <w:p w14:paraId="09548E0A" w14:textId="77777777" w:rsidR="00850E7B" w:rsidRPr="00850E7B" w:rsidRDefault="00850E7B" w:rsidP="00782383">
            <w:pPr>
              <w:pStyle w:val="TableCell"/>
              <w:keepNext/>
              <w:keepLines/>
              <w:jc w:val="right"/>
              <w:rPr>
                <w:lang w:val="en-GB" w:eastAsia="en-GB"/>
              </w:rPr>
            </w:pPr>
          </w:p>
        </w:tc>
        <w:tc>
          <w:tcPr>
            <w:tcW w:w="1530" w:type="dxa"/>
            <w:shd w:val="clear" w:color="auto" w:fill="auto"/>
          </w:tcPr>
          <w:p w14:paraId="0BD9DCE5" w14:textId="77777777" w:rsidR="00850E7B" w:rsidRPr="00850E7B" w:rsidRDefault="00850E7B" w:rsidP="00782383">
            <w:pPr>
              <w:pStyle w:val="TableCell"/>
              <w:keepNext/>
              <w:keepLines/>
              <w:jc w:val="right"/>
              <w:rPr>
                <w:lang w:val="en-GB" w:eastAsia="en-GB"/>
              </w:rPr>
            </w:pPr>
          </w:p>
        </w:tc>
      </w:tr>
      <w:tr w:rsidR="00850E7B" w:rsidRPr="00850E7B" w14:paraId="3C28B33A" w14:textId="77777777" w:rsidTr="00782383">
        <w:tblPrEx>
          <w:tblCellMar>
            <w:top w:w="0" w:type="dxa"/>
            <w:bottom w:w="0" w:type="dxa"/>
          </w:tblCellMar>
        </w:tblPrEx>
        <w:tc>
          <w:tcPr>
            <w:tcW w:w="5868" w:type="dxa"/>
            <w:shd w:val="clear" w:color="auto" w:fill="auto"/>
            <w:vAlign w:val="bottom"/>
          </w:tcPr>
          <w:p w14:paraId="3DCE52FE" w14:textId="77777777" w:rsidR="00850E7B" w:rsidRPr="00F868E5" w:rsidRDefault="00850E7B" w:rsidP="00782383">
            <w:pPr>
              <w:pStyle w:val="TableRowHead"/>
              <w:keepLines/>
              <w:rPr>
                <w:lang w:val="en-GB" w:eastAsia="en-GB"/>
              </w:rPr>
            </w:pPr>
            <w:r w:rsidRPr="00F868E5">
              <w:rPr>
                <w:lang w:val="en-GB" w:eastAsia="en-GB"/>
              </w:rPr>
              <w:t>Total Amount paid by Department of Justice, Equality and Law Reform on behalf of NDA</w:t>
            </w:r>
          </w:p>
        </w:tc>
        <w:tc>
          <w:tcPr>
            <w:tcW w:w="1530" w:type="dxa"/>
            <w:shd w:val="clear" w:color="auto" w:fill="auto"/>
            <w:vAlign w:val="bottom"/>
          </w:tcPr>
          <w:p w14:paraId="2F52BEAE"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1,561,795 </w:t>
            </w:r>
          </w:p>
        </w:tc>
        <w:tc>
          <w:tcPr>
            <w:tcW w:w="1530" w:type="dxa"/>
            <w:shd w:val="clear" w:color="auto" w:fill="auto"/>
            <w:vAlign w:val="bottom"/>
          </w:tcPr>
          <w:p w14:paraId="1469DBFA"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4,362,964 </w:t>
            </w:r>
          </w:p>
        </w:tc>
      </w:tr>
      <w:tr w:rsidR="00850E7B" w:rsidRPr="00850E7B" w14:paraId="76BD1078" w14:textId="77777777" w:rsidTr="00782383">
        <w:tblPrEx>
          <w:tblCellMar>
            <w:top w:w="0" w:type="dxa"/>
            <w:bottom w:w="0" w:type="dxa"/>
          </w:tblCellMar>
        </w:tblPrEx>
        <w:tc>
          <w:tcPr>
            <w:tcW w:w="5868" w:type="dxa"/>
            <w:shd w:val="clear" w:color="auto" w:fill="auto"/>
            <w:vAlign w:val="bottom"/>
          </w:tcPr>
          <w:p w14:paraId="007094C3" w14:textId="77777777" w:rsidR="00850E7B" w:rsidRPr="00F868E5" w:rsidRDefault="00850E7B" w:rsidP="00782383">
            <w:pPr>
              <w:pStyle w:val="TableRowHead"/>
              <w:keepLines/>
              <w:rPr>
                <w:lang w:val="en-GB" w:eastAsia="en-GB"/>
              </w:rPr>
            </w:pPr>
            <w:r w:rsidRPr="00F868E5">
              <w:rPr>
                <w:lang w:val="en-GB" w:eastAsia="en-GB"/>
              </w:rPr>
              <w:t>Total Amount Paid by NDA to Department (A in A)</w:t>
            </w:r>
          </w:p>
        </w:tc>
        <w:tc>
          <w:tcPr>
            <w:tcW w:w="1530" w:type="dxa"/>
            <w:shd w:val="clear" w:color="auto" w:fill="auto"/>
            <w:vAlign w:val="bottom"/>
          </w:tcPr>
          <w:p w14:paraId="7A07A466"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(36,070)</w:t>
            </w:r>
          </w:p>
        </w:tc>
        <w:tc>
          <w:tcPr>
            <w:tcW w:w="1530" w:type="dxa"/>
            <w:shd w:val="clear" w:color="auto" w:fill="auto"/>
            <w:vAlign w:val="bottom"/>
          </w:tcPr>
          <w:p w14:paraId="123AD9AA"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(207,388)</w:t>
            </w:r>
          </w:p>
        </w:tc>
      </w:tr>
      <w:tr w:rsidR="00850E7B" w:rsidRPr="00850E7B" w14:paraId="0D691DCB" w14:textId="77777777" w:rsidTr="00782383">
        <w:tblPrEx>
          <w:tblCellMar>
            <w:top w:w="0" w:type="dxa"/>
            <w:bottom w:w="0" w:type="dxa"/>
          </w:tblCellMar>
        </w:tblPrEx>
        <w:tc>
          <w:tcPr>
            <w:tcW w:w="5868" w:type="dxa"/>
            <w:shd w:val="clear" w:color="auto" w:fill="auto"/>
            <w:vAlign w:val="bottom"/>
          </w:tcPr>
          <w:p w14:paraId="4E2DB0E5" w14:textId="77777777" w:rsidR="00850E7B" w:rsidRPr="00F868E5" w:rsidRDefault="00850E7B" w:rsidP="00782383">
            <w:pPr>
              <w:pStyle w:val="TableRowHead"/>
              <w:keepLines/>
              <w:rPr>
                <w:lang w:val="en-GB" w:eastAsia="en-GB"/>
              </w:rPr>
            </w:pPr>
            <w:r w:rsidRPr="00F868E5">
              <w:rPr>
                <w:lang w:val="en-GB" w:eastAsia="en-GB"/>
              </w:rPr>
              <w:t>Total Amount paid by Department of Community, Equality and Gaeltach</w:t>
            </w:r>
            <w:r>
              <w:rPr>
                <w:lang w:val="en-GB" w:eastAsia="en-GB"/>
              </w:rPr>
              <w:t>t</w:t>
            </w:r>
            <w:r w:rsidRPr="00F868E5">
              <w:rPr>
                <w:lang w:val="en-GB" w:eastAsia="en-GB"/>
              </w:rPr>
              <w:t xml:space="preserve"> Affairs on behalf of NDA</w:t>
            </w:r>
          </w:p>
        </w:tc>
        <w:tc>
          <w:tcPr>
            <w:tcW w:w="1530" w:type="dxa"/>
            <w:shd w:val="clear" w:color="auto" w:fill="auto"/>
            <w:vAlign w:val="bottom"/>
          </w:tcPr>
          <w:p w14:paraId="49E83135"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2,288,851 </w:t>
            </w:r>
          </w:p>
        </w:tc>
        <w:tc>
          <w:tcPr>
            <w:tcW w:w="1530" w:type="dxa"/>
            <w:shd w:val="clear" w:color="auto" w:fill="auto"/>
            <w:vAlign w:val="bottom"/>
          </w:tcPr>
          <w:p w14:paraId="6BB4AD4C"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0 </w:t>
            </w:r>
          </w:p>
        </w:tc>
      </w:tr>
      <w:tr w:rsidR="00850E7B" w:rsidRPr="00850E7B" w14:paraId="37E6A9F3" w14:textId="77777777" w:rsidTr="00782383">
        <w:tblPrEx>
          <w:tblCellMar>
            <w:top w:w="0" w:type="dxa"/>
            <w:bottom w:w="0" w:type="dxa"/>
          </w:tblCellMar>
        </w:tblPrEx>
        <w:tc>
          <w:tcPr>
            <w:tcW w:w="5868" w:type="dxa"/>
            <w:shd w:val="clear" w:color="auto" w:fill="auto"/>
            <w:vAlign w:val="bottom"/>
          </w:tcPr>
          <w:p w14:paraId="14A8BEDA" w14:textId="77777777" w:rsidR="00850E7B" w:rsidRPr="00F868E5" w:rsidRDefault="00850E7B" w:rsidP="00782383">
            <w:pPr>
              <w:keepNext/>
              <w:keepLines/>
              <w:spacing w:after="0" w:line="240" w:lineRule="auto"/>
              <w:rPr>
                <w:rFonts w:cs="Arial"/>
                <w:lang w:val="en-GB" w:eastAsia="en-GB"/>
              </w:rPr>
            </w:pPr>
          </w:p>
        </w:tc>
        <w:tc>
          <w:tcPr>
            <w:tcW w:w="1530" w:type="dxa"/>
            <w:shd w:val="clear" w:color="auto" w:fill="auto"/>
            <w:vAlign w:val="bottom"/>
          </w:tcPr>
          <w:p w14:paraId="28AE7D53"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3,814,576 </w:t>
            </w:r>
          </w:p>
        </w:tc>
        <w:tc>
          <w:tcPr>
            <w:tcW w:w="1530" w:type="dxa"/>
            <w:shd w:val="clear" w:color="auto" w:fill="auto"/>
            <w:vAlign w:val="bottom"/>
          </w:tcPr>
          <w:p w14:paraId="490AA19C"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4,155,576 </w:t>
            </w:r>
          </w:p>
        </w:tc>
      </w:tr>
      <w:tr w:rsidR="00850E7B" w:rsidRPr="00850E7B" w14:paraId="61AD8FDB" w14:textId="77777777" w:rsidTr="00782383">
        <w:tblPrEx>
          <w:tblCellMar>
            <w:top w:w="0" w:type="dxa"/>
            <w:bottom w:w="0" w:type="dxa"/>
          </w:tblCellMar>
        </w:tblPrEx>
        <w:tc>
          <w:tcPr>
            <w:tcW w:w="5868" w:type="dxa"/>
            <w:shd w:val="clear" w:color="auto" w:fill="auto"/>
          </w:tcPr>
          <w:p w14:paraId="2712A5AC" w14:textId="77777777" w:rsidR="00850E7B" w:rsidRPr="00F868E5" w:rsidRDefault="00850E7B" w:rsidP="00782383">
            <w:pPr>
              <w:pStyle w:val="TableCell"/>
              <w:keepNext/>
              <w:keepLines/>
              <w:jc w:val="center"/>
            </w:pPr>
            <w:r w:rsidRPr="00F868E5">
              <w:rPr>
                <w:rFonts w:cs="Arial"/>
                <w:b/>
                <w:bCs/>
                <w:lang w:val="en-GB" w:eastAsia="en-GB"/>
              </w:rPr>
              <w:t>2 (b) Other Income</w:t>
            </w:r>
          </w:p>
        </w:tc>
        <w:tc>
          <w:tcPr>
            <w:tcW w:w="1530" w:type="dxa"/>
            <w:shd w:val="clear" w:color="auto" w:fill="auto"/>
          </w:tcPr>
          <w:p w14:paraId="116A7B86" w14:textId="77777777" w:rsidR="00850E7B" w:rsidRPr="00850E7B" w:rsidRDefault="00850E7B" w:rsidP="00782383">
            <w:pPr>
              <w:pStyle w:val="TableCell"/>
              <w:keepNext/>
              <w:keepLines/>
              <w:jc w:val="right"/>
              <w:rPr>
                <w:lang w:val="en-GB" w:eastAsia="en-GB"/>
              </w:rPr>
            </w:pPr>
          </w:p>
        </w:tc>
        <w:tc>
          <w:tcPr>
            <w:tcW w:w="1530" w:type="dxa"/>
            <w:shd w:val="clear" w:color="auto" w:fill="auto"/>
          </w:tcPr>
          <w:p w14:paraId="3D117475" w14:textId="77777777" w:rsidR="00850E7B" w:rsidRPr="00850E7B" w:rsidRDefault="00850E7B" w:rsidP="00782383">
            <w:pPr>
              <w:pStyle w:val="TableCell"/>
              <w:keepNext/>
              <w:keepLines/>
              <w:jc w:val="right"/>
              <w:rPr>
                <w:lang w:val="en-GB" w:eastAsia="en-GB"/>
              </w:rPr>
            </w:pPr>
          </w:p>
        </w:tc>
      </w:tr>
      <w:tr w:rsidR="00850E7B" w:rsidRPr="00850E7B" w14:paraId="30D73C68" w14:textId="77777777" w:rsidTr="00782383">
        <w:tblPrEx>
          <w:tblCellMar>
            <w:top w:w="0" w:type="dxa"/>
            <w:bottom w:w="0" w:type="dxa"/>
          </w:tblCellMar>
        </w:tblPrEx>
        <w:tc>
          <w:tcPr>
            <w:tcW w:w="5868" w:type="dxa"/>
            <w:shd w:val="clear" w:color="auto" w:fill="auto"/>
            <w:vAlign w:val="bottom"/>
          </w:tcPr>
          <w:p w14:paraId="5A74BF37" w14:textId="77777777" w:rsidR="00850E7B" w:rsidRPr="00F868E5" w:rsidRDefault="00782383" w:rsidP="00782383">
            <w:pPr>
              <w:pStyle w:val="TableRowHead"/>
              <w:keepLines/>
              <w:rPr>
                <w:lang w:val="en-GB" w:eastAsia="en-GB"/>
              </w:rPr>
            </w:pPr>
            <w:r>
              <w:rPr>
                <w:lang w:val="en-GB" w:eastAsia="en-GB"/>
              </w:rPr>
              <w:t>D</w:t>
            </w:r>
            <w:r w:rsidR="00850E7B" w:rsidRPr="00F868E5">
              <w:rPr>
                <w:lang w:val="en-GB" w:eastAsia="en-GB"/>
              </w:rPr>
              <w:t xml:space="preserve">epartment of Education and Skills </w:t>
            </w:r>
            <w:proofErr w:type="gramStart"/>
            <w:r w:rsidR="00850E7B" w:rsidRPr="00F868E5">
              <w:rPr>
                <w:lang w:val="en-GB" w:eastAsia="en-GB"/>
              </w:rPr>
              <w:t>( NEPS</w:t>
            </w:r>
            <w:proofErr w:type="gramEnd"/>
            <w:r w:rsidR="00850E7B" w:rsidRPr="00F868E5">
              <w:rPr>
                <w:lang w:val="en-GB" w:eastAsia="en-GB"/>
              </w:rPr>
              <w:t>)</w:t>
            </w:r>
          </w:p>
        </w:tc>
        <w:tc>
          <w:tcPr>
            <w:tcW w:w="1530" w:type="dxa"/>
            <w:shd w:val="clear" w:color="auto" w:fill="auto"/>
            <w:vAlign w:val="bottom"/>
          </w:tcPr>
          <w:p w14:paraId="4BD88815"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CE96512"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71,570 </w:t>
            </w:r>
          </w:p>
        </w:tc>
      </w:tr>
      <w:tr w:rsidR="00850E7B" w:rsidRPr="00850E7B" w14:paraId="38348218" w14:textId="77777777" w:rsidTr="00782383">
        <w:tblPrEx>
          <w:tblCellMar>
            <w:top w:w="0" w:type="dxa"/>
            <w:bottom w:w="0" w:type="dxa"/>
          </w:tblCellMar>
        </w:tblPrEx>
        <w:tc>
          <w:tcPr>
            <w:tcW w:w="5868" w:type="dxa"/>
            <w:shd w:val="clear" w:color="auto" w:fill="auto"/>
            <w:vAlign w:val="bottom"/>
          </w:tcPr>
          <w:p w14:paraId="4C352597" w14:textId="77777777" w:rsidR="00850E7B" w:rsidRPr="00F868E5" w:rsidRDefault="00850E7B" w:rsidP="00782383">
            <w:pPr>
              <w:pStyle w:val="TableRowHead"/>
              <w:keepLines/>
              <w:rPr>
                <w:lang w:val="en-GB" w:eastAsia="en-GB"/>
              </w:rPr>
            </w:pPr>
            <w:r w:rsidRPr="00F868E5">
              <w:rPr>
                <w:lang w:val="en-GB" w:eastAsia="en-GB"/>
              </w:rPr>
              <w:t>EU Funded MHADIE Project</w:t>
            </w:r>
          </w:p>
        </w:tc>
        <w:tc>
          <w:tcPr>
            <w:tcW w:w="1530" w:type="dxa"/>
            <w:shd w:val="clear" w:color="auto" w:fill="auto"/>
            <w:vAlign w:val="bottom"/>
          </w:tcPr>
          <w:p w14:paraId="2DEFFA75"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6A6823DB"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14,860 </w:t>
            </w:r>
          </w:p>
        </w:tc>
      </w:tr>
      <w:tr w:rsidR="00850E7B" w:rsidRPr="00850E7B" w14:paraId="1A338B0F" w14:textId="77777777" w:rsidTr="00782383">
        <w:tblPrEx>
          <w:tblCellMar>
            <w:top w:w="0" w:type="dxa"/>
            <w:bottom w:w="0" w:type="dxa"/>
          </w:tblCellMar>
        </w:tblPrEx>
        <w:tc>
          <w:tcPr>
            <w:tcW w:w="5868" w:type="dxa"/>
            <w:shd w:val="clear" w:color="auto" w:fill="auto"/>
            <w:vAlign w:val="bottom"/>
          </w:tcPr>
          <w:p w14:paraId="516F9E05" w14:textId="77777777" w:rsidR="00850E7B" w:rsidRPr="00F868E5" w:rsidRDefault="00850E7B" w:rsidP="00782383">
            <w:pPr>
              <w:pStyle w:val="TableRowHead"/>
              <w:keepLines/>
              <w:rPr>
                <w:lang w:val="en-GB" w:eastAsia="en-GB"/>
              </w:rPr>
            </w:pPr>
            <w:r w:rsidRPr="00F868E5">
              <w:rPr>
                <w:lang w:val="en-GB" w:eastAsia="en-GB"/>
              </w:rPr>
              <w:t>Bank Interest</w:t>
            </w:r>
          </w:p>
        </w:tc>
        <w:tc>
          <w:tcPr>
            <w:tcW w:w="1530" w:type="dxa"/>
            <w:shd w:val="clear" w:color="auto" w:fill="auto"/>
            <w:vAlign w:val="bottom"/>
          </w:tcPr>
          <w:p w14:paraId="420E14B6"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 </w:t>
            </w:r>
          </w:p>
        </w:tc>
        <w:tc>
          <w:tcPr>
            <w:tcW w:w="1530" w:type="dxa"/>
            <w:shd w:val="clear" w:color="auto" w:fill="auto"/>
            <w:vAlign w:val="bottom"/>
          </w:tcPr>
          <w:p w14:paraId="313D5D5D"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128 </w:t>
            </w:r>
          </w:p>
        </w:tc>
      </w:tr>
      <w:tr w:rsidR="00850E7B" w:rsidRPr="00850E7B" w14:paraId="4AF86B21" w14:textId="77777777" w:rsidTr="00782383">
        <w:tblPrEx>
          <w:tblCellMar>
            <w:top w:w="0" w:type="dxa"/>
            <w:bottom w:w="0" w:type="dxa"/>
          </w:tblCellMar>
        </w:tblPrEx>
        <w:tc>
          <w:tcPr>
            <w:tcW w:w="5868" w:type="dxa"/>
            <w:shd w:val="clear" w:color="auto" w:fill="auto"/>
            <w:vAlign w:val="bottom"/>
          </w:tcPr>
          <w:p w14:paraId="466A82DC" w14:textId="77777777" w:rsidR="00850E7B" w:rsidRPr="00F868E5" w:rsidRDefault="00850E7B" w:rsidP="00782383">
            <w:pPr>
              <w:pStyle w:val="TableRowHead"/>
              <w:keepLines/>
              <w:rPr>
                <w:lang w:val="en-GB" w:eastAsia="en-GB"/>
              </w:rPr>
            </w:pPr>
            <w:r w:rsidRPr="00F868E5">
              <w:rPr>
                <w:lang w:val="en-GB" w:eastAsia="en-GB"/>
              </w:rPr>
              <w:t>DSFA Receipts</w:t>
            </w:r>
          </w:p>
        </w:tc>
        <w:tc>
          <w:tcPr>
            <w:tcW w:w="1530" w:type="dxa"/>
            <w:shd w:val="clear" w:color="auto" w:fill="auto"/>
            <w:vAlign w:val="bottom"/>
          </w:tcPr>
          <w:p w14:paraId="7F2B058A"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17,470 </w:t>
            </w:r>
          </w:p>
        </w:tc>
        <w:tc>
          <w:tcPr>
            <w:tcW w:w="1530" w:type="dxa"/>
            <w:shd w:val="clear" w:color="auto" w:fill="auto"/>
            <w:vAlign w:val="bottom"/>
          </w:tcPr>
          <w:p w14:paraId="3080743F"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9,133 </w:t>
            </w:r>
          </w:p>
        </w:tc>
      </w:tr>
      <w:tr w:rsidR="00850E7B" w:rsidRPr="00850E7B" w14:paraId="2FCB28D7" w14:textId="77777777" w:rsidTr="00782383">
        <w:tblPrEx>
          <w:tblCellMar>
            <w:top w:w="0" w:type="dxa"/>
            <w:bottom w:w="0" w:type="dxa"/>
          </w:tblCellMar>
        </w:tblPrEx>
        <w:tc>
          <w:tcPr>
            <w:tcW w:w="5868" w:type="dxa"/>
            <w:shd w:val="clear" w:color="auto" w:fill="auto"/>
            <w:vAlign w:val="bottom"/>
          </w:tcPr>
          <w:p w14:paraId="3732AD73" w14:textId="77777777" w:rsidR="00850E7B" w:rsidRPr="00F868E5" w:rsidRDefault="00850E7B" w:rsidP="00782383">
            <w:pPr>
              <w:pStyle w:val="TableRowHead"/>
              <w:keepLines/>
              <w:rPr>
                <w:lang w:val="en-GB" w:eastAsia="en-GB"/>
              </w:rPr>
            </w:pPr>
            <w:r w:rsidRPr="00F868E5">
              <w:rPr>
                <w:lang w:val="en-GB" w:eastAsia="en-GB"/>
              </w:rPr>
              <w:t>Rental and Services</w:t>
            </w:r>
          </w:p>
        </w:tc>
        <w:tc>
          <w:tcPr>
            <w:tcW w:w="1530" w:type="dxa"/>
            <w:shd w:val="clear" w:color="auto" w:fill="auto"/>
            <w:vAlign w:val="bottom"/>
          </w:tcPr>
          <w:p w14:paraId="2E34F42A"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087AB80"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41,921 </w:t>
            </w:r>
          </w:p>
        </w:tc>
      </w:tr>
      <w:tr w:rsidR="00782383" w:rsidRPr="00850E7B" w14:paraId="24F4411C" w14:textId="77777777" w:rsidTr="00782383">
        <w:tblPrEx>
          <w:tblCellMar>
            <w:top w:w="0" w:type="dxa"/>
            <w:bottom w:w="0" w:type="dxa"/>
          </w:tblCellMar>
        </w:tblPrEx>
        <w:tc>
          <w:tcPr>
            <w:tcW w:w="5868" w:type="dxa"/>
            <w:shd w:val="clear" w:color="auto" w:fill="auto"/>
            <w:vAlign w:val="bottom"/>
          </w:tcPr>
          <w:p w14:paraId="1FEA83B1" w14:textId="77777777" w:rsidR="00850E7B" w:rsidRPr="00F868E5" w:rsidRDefault="00850E7B" w:rsidP="00782383">
            <w:pPr>
              <w:pStyle w:val="TableRowHead"/>
              <w:keepLines/>
              <w:rPr>
                <w:lang w:val="en-GB" w:eastAsia="en-GB"/>
              </w:rPr>
            </w:pPr>
            <w:r w:rsidRPr="00F868E5">
              <w:rPr>
                <w:lang w:val="en-GB" w:eastAsia="en-GB"/>
              </w:rPr>
              <w:t>Sundry</w:t>
            </w:r>
          </w:p>
        </w:tc>
        <w:tc>
          <w:tcPr>
            <w:tcW w:w="1530" w:type="dxa"/>
            <w:shd w:val="clear" w:color="auto" w:fill="auto"/>
            <w:vAlign w:val="bottom"/>
          </w:tcPr>
          <w:p w14:paraId="02CAF100"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2,684 </w:t>
            </w:r>
          </w:p>
        </w:tc>
        <w:tc>
          <w:tcPr>
            <w:tcW w:w="1530" w:type="dxa"/>
            <w:shd w:val="clear" w:color="auto" w:fill="auto"/>
            <w:vAlign w:val="bottom"/>
          </w:tcPr>
          <w:p w14:paraId="3E8C3C5B"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2,715 </w:t>
            </w:r>
          </w:p>
        </w:tc>
      </w:tr>
      <w:tr w:rsidR="00782383" w:rsidRPr="00850E7B" w14:paraId="78050C58" w14:textId="77777777" w:rsidTr="00782383">
        <w:tblPrEx>
          <w:tblCellMar>
            <w:top w:w="0" w:type="dxa"/>
            <w:bottom w:w="0" w:type="dxa"/>
          </w:tblCellMar>
        </w:tblPrEx>
        <w:tc>
          <w:tcPr>
            <w:tcW w:w="5868" w:type="dxa"/>
            <w:shd w:val="clear" w:color="auto" w:fill="auto"/>
            <w:vAlign w:val="bottom"/>
          </w:tcPr>
          <w:p w14:paraId="497295AE" w14:textId="77777777" w:rsidR="00850E7B" w:rsidRPr="00F868E5" w:rsidRDefault="00850E7B" w:rsidP="00782383">
            <w:pPr>
              <w:pStyle w:val="TableRowHead"/>
              <w:keepLines/>
              <w:rPr>
                <w:lang w:val="en-GB" w:eastAsia="en-GB"/>
              </w:rPr>
            </w:pPr>
          </w:p>
        </w:tc>
        <w:tc>
          <w:tcPr>
            <w:tcW w:w="1530" w:type="dxa"/>
            <w:shd w:val="clear" w:color="auto" w:fill="auto"/>
            <w:vAlign w:val="bottom"/>
          </w:tcPr>
          <w:p w14:paraId="4BE50B21"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20,155 </w:t>
            </w:r>
          </w:p>
        </w:tc>
        <w:tc>
          <w:tcPr>
            <w:tcW w:w="1530" w:type="dxa"/>
            <w:shd w:val="clear" w:color="auto" w:fill="auto"/>
            <w:vAlign w:val="bottom"/>
          </w:tcPr>
          <w:p w14:paraId="2CE8BF71" w14:textId="77777777" w:rsidR="00850E7B" w:rsidRPr="00F868E5" w:rsidRDefault="00850E7B" w:rsidP="00782383">
            <w:pPr>
              <w:keepNext/>
              <w:keepLines/>
              <w:spacing w:after="0" w:line="240" w:lineRule="auto"/>
              <w:jc w:val="right"/>
              <w:rPr>
                <w:rFonts w:cs="Arial"/>
                <w:lang w:val="en-GB" w:eastAsia="en-GB"/>
              </w:rPr>
            </w:pPr>
            <w:r w:rsidRPr="00F868E5">
              <w:rPr>
                <w:rFonts w:cs="Arial"/>
                <w:lang w:val="en-GB" w:eastAsia="en-GB"/>
              </w:rPr>
              <w:t xml:space="preserve">140,327 </w:t>
            </w:r>
          </w:p>
        </w:tc>
      </w:tr>
    </w:tbl>
    <w:p w14:paraId="74B771F1" w14:textId="77777777" w:rsidR="00850E7B" w:rsidRDefault="00850E7B" w:rsidP="00850E7B">
      <w:pPr>
        <w:pStyle w:val="TableTitle"/>
        <w:jc w:val="left"/>
      </w:pPr>
      <w:r>
        <w:rPr>
          <w:bCs/>
          <w:lang w:val="en-GB"/>
        </w:rPr>
        <w:t>3. Projects a</w:t>
      </w:r>
      <w:r w:rsidRPr="00F868E5">
        <w:rPr>
          <w:bCs/>
          <w:lang w:val="en-GB"/>
        </w:rPr>
        <w:t>nd Commissioned Work</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530"/>
        <w:gridCol w:w="1530"/>
      </w:tblGrid>
      <w:tr w:rsidR="00850E7B" w:rsidRPr="00F868E5" w14:paraId="60BFB990" w14:textId="77777777" w:rsidTr="0013007A">
        <w:tblPrEx>
          <w:tblCellMar>
            <w:top w:w="0" w:type="dxa"/>
            <w:bottom w:w="0" w:type="dxa"/>
          </w:tblCellMar>
        </w:tblPrEx>
        <w:trPr>
          <w:tblHeader/>
        </w:trPr>
        <w:tc>
          <w:tcPr>
            <w:tcW w:w="5868" w:type="dxa"/>
            <w:shd w:val="clear" w:color="auto" w:fill="auto"/>
          </w:tcPr>
          <w:p w14:paraId="3C9B32FF" w14:textId="77777777" w:rsidR="00850E7B" w:rsidRPr="00F868E5" w:rsidRDefault="00850E7B" w:rsidP="00067058">
            <w:pPr>
              <w:pStyle w:val="TableRowHead"/>
            </w:pPr>
          </w:p>
        </w:tc>
        <w:tc>
          <w:tcPr>
            <w:tcW w:w="1530" w:type="dxa"/>
            <w:shd w:val="clear" w:color="auto" w:fill="auto"/>
          </w:tcPr>
          <w:p w14:paraId="290031A3" w14:textId="77777777" w:rsidR="00850E7B" w:rsidRPr="00F868E5" w:rsidRDefault="00850E7B" w:rsidP="00067058">
            <w:pPr>
              <w:pStyle w:val="TableHead"/>
              <w:spacing w:line="240" w:lineRule="auto"/>
              <w:jc w:val="right"/>
            </w:pPr>
            <w:r w:rsidRPr="00F868E5">
              <w:t>2010</w:t>
            </w:r>
          </w:p>
        </w:tc>
        <w:tc>
          <w:tcPr>
            <w:tcW w:w="1530" w:type="dxa"/>
            <w:shd w:val="clear" w:color="auto" w:fill="auto"/>
          </w:tcPr>
          <w:p w14:paraId="077CFB42" w14:textId="77777777" w:rsidR="00850E7B" w:rsidRPr="00F868E5" w:rsidRDefault="00850E7B" w:rsidP="00067058">
            <w:pPr>
              <w:pStyle w:val="TableHead"/>
              <w:spacing w:line="240" w:lineRule="auto"/>
              <w:jc w:val="right"/>
            </w:pPr>
            <w:r w:rsidRPr="00F868E5">
              <w:t>2009</w:t>
            </w:r>
          </w:p>
        </w:tc>
      </w:tr>
      <w:tr w:rsidR="00850E7B" w:rsidRPr="00F868E5" w14:paraId="3A2D4BEF" w14:textId="77777777" w:rsidTr="0013007A">
        <w:tblPrEx>
          <w:tblCellMar>
            <w:top w:w="0" w:type="dxa"/>
            <w:bottom w:w="0" w:type="dxa"/>
          </w:tblCellMar>
        </w:tblPrEx>
        <w:trPr>
          <w:tblHeader/>
        </w:trPr>
        <w:tc>
          <w:tcPr>
            <w:tcW w:w="5868" w:type="dxa"/>
            <w:shd w:val="clear" w:color="auto" w:fill="auto"/>
          </w:tcPr>
          <w:p w14:paraId="363EB80F" w14:textId="77777777" w:rsidR="00850E7B" w:rsidRPr="00F868E5" w:rsidRDefault="00850E7B" w:rsidP="00067058">
            <w:pPr>
              <w:pStyle w:val="TableRowHead"/>
            </w:pPr>
          </w:p>
        </w:tc>
        <w:tc>
          <w:tcPr>
            <w:tcW w:w="1530" w:type="dxa"/>
            <w:shd w:val="clear" w:color="auto" w:fill="auto"/>
            <w:vAlign w:val="bottom"/>
          </w:tcPr>
          <w:p w14:paraId="1F27DCC3" w14:textId="77777777" w:rsidR="00850E7B" w:rsidRPr="00F868E5" w:rsidRDefault="00850E7B" w:rsidP="00067058">
            <w:pPr>
              <w:spacing w:after="0" w:line="240" w:lineRule="auto"/>
              <w:jc w:val="right"/>
              <w:rPr>
                <w:rFonts w:cs="Arial"/>
                <w:b/>
                <w:bCs/>
                <w:lang w:val="en-GB" w:eastAsia="en-GB"/>
              </w:rPr>
            </w:pPr>
            <w:r w:rsidRPr="00F868E5">
              <w:rPr>
                <w:rFonts w:cs="Arial"/>
                <w:b/>
                <w:bCs/>
                <w:lang w:val="en-GB" w:eastAsia="en-GB"/>
              </w:rPr>
              <w:t xml:space="preserve">          €</w:t>
            </w:r>
          </w:p>
        </w:tc>
        <w:tc>
          <w:tcPr>
            <w:tcW w:w="1530" w:type="dxa"/>
            <w:shd w:val="clear" w:color="auto" w:fill="auto"/>
            <w:vAlign w:val="bottom"/>
          </w:tcPr>
          <w:p w14:paraId="574CD8FD" w14:textId="77777777" w:rsidR="00850E7B" w:rsidRPr="00F868E5" w:rsidRDefault="00850E7B" w:rsidP="00067058">
            <w:pPr>
              <w:spacing w:after="0" w:line="240" w:lineRule="auto"/>
              <w:jc w:val="right"/>
              <w:rPr>
                <w:rFonts w:cs="Arial"/>
                <w:b/>
                <w:bCs/>
                <w:lang w:val="en-GB" w:eastAsia="en-GB"/>
              </w:rPr>
            </w:pPr>
            <w:r w:rsidRPr="00F868E5">
              <w:rPr>
                <w:rFonts w:cs="Arial"/>
                <w:b/>
                <w:bCs/>
                <w:lang w:val="en-GB" w:eastAsia="en-GB"/>
              </w:rPr>
              <w:t xml:space="preserve">          €</w:t>
            </w:r>
          </w:p>
        </w:tc>
      </w:tr>
      <w:tr w:rsidR="00850E7B" w:rsidRPr="00F868E5" w14:paraId="4204EE06" w14:textId="77777777" w:rsidTr="0013007A">
        <w:tblPrEx>
          <w:tblCellMar>
            <w:top w:w="0" w:type="dxa"/>
            <w:bottom w:w="0" w:type="dxa"/>
          </w:tblCellMar>
        </w:tblPrEx>
        <w:tc>
          <w:tcPr>
            <w:tcW w:w="5868" w:type="dxa"/>
            <w:shd w:val="clear" w:color="auto" w:fill="auto"/>
            <w:vAlign w:val="bottom"/>
          </w:tcPr>
          <w:p w14:paraId="76C6EA7C" w14:textId="77777777" w:rsidR="00850E7B" w:rsidRPr="00891E3A" w:rsidRDefault="00850E7B" w:rsidP="00067058">
            <w:pPr>
              <w:pStyle w:val="TableRowHead"/>
              <w:rPr>
                <w:lang w:val="en-GB" w:eastAsia="en-GB"/>
              </w:rPr>
            </w:pPr>
            <w:r w:rsidRPr="00891E3A">
              <w:rPr>
                <w:lang w:val="en-GB" w:eastAsia="en-GB"/>
              </w:rPr>
              <w:t>Excellence through Accessibility Award &amp; Monitoring Scheme</w:t>
            </w:r>
          </w:p>
        </w:tc>
        <w:tc>
          <w:tcPr>
            <w:tcW w:w="1530" w:type="dxa"/>
            <w:shd w:val="clear" w:color="auto" w:fill="auto"/>
            <w:vAlign w:val="bottom"/>
          </w:tcPr>
          <w:p w14:paraId="481E8F0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74,320 </w:t>
            </w:r>
          </w:p>
        </w:tc>
        <w:tc>
          <w:tcPr>
            <w:tcW w:w="1530" w:type="dxa"/>
            <w:shd w:val="clear" w:color="auto" w:fill="auto"/>
            <w:vAlign w:val="bottom"/>
          </w:tcPr>
          <w:p w14:paraId="5761123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10,319 </w:t>
            </w:r>
          </w:p>
        </w:tc>
      </w:tr>
      <w:tr w:rsidR="00850E7B" w:rsidRPr="00F868E5" w14:paraId="0B6F7F6B" w14:textId="77777777" w:rsidTr="0013007A">
        <w:tblPrEx>
          <w:tblCellMar>
            <w:top w:w="0" w:type="dxa"/>
            <w:bottom w:w="0" w:type="dxa"/>
          </w:tblCellMar>
        </w:tblPrEx>
        <w:tc>
          <w:tcPr>
            <w:tcW w:w="5868" w:type="dxa"/>
            <w:shd w:val="clear" w:color="auto" w:fill="auto"/>
            <w:vAlign w:val="bottom"/>
          </w:tcPr>
          <w:p w14:paraId="522C2370" w14:textId="77777777" w:rsidR="00850E7B" w:rsidRPr="00891E3A" w:rsidRDefault="00850E7B" w:rsidP="00067058">
            <w:pPr>
              <w:pStyle w:val="TableRowHead"/>
              <w:rPr>
                <w:lang w:val="en-GB" w:eastAsia="en-GB"/>
              </w:rPr>
            </w:pPr>
            <w:r w:rsidRPr="00891E3A">
              <w:rPr>
                <w:lang w:val="en-GB" w:eastAsia="en-GB"/>
              </w:rPr>
              <w:t>New Materials - Library</w:t>
            </w:r>
          </w:p>
        </w:tc>
        <w:tc>
          <w:tcPr>
            <w:tcW w:w="1530" w:type="dxa"/>
            <w:shd w:val="clear" w:color="auto" w:fill="auto"/>
            <w:vAlign w:val="bottom"/>
          </w:tcPr>
          <w:p w14:paraId="02584F91"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55,821 </w:t>
            </w:r>
          </w:p>
        </w:tc>
        <w:tc>
          <w:tcPr>
            <w:tcW w:w="1530" w:type="dxa"/>
            <w:shd w:val="clear" w:color="auto" w:fill="auto"/>
            <w:vAlign w:val="bottom"/>
          </w:tcPr>
          <w:p w14:paraId="10F112EB"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42,115 </w:t>
            </w:r>
          </w:p>
        </w:tc>
      </w:tr>
      <w:tr w:rsidR="00850E7B" w:rsidRPr="00F868E5" w14:paraId="4910D023" w14:textId="77777777" w:rsidTr="0013007A">
        <w:tblPrEx>
          <w:tblCellMar>
            <w:top w:w="0" w:type="dxa"/>
            <w:bottom w:w="0" w:type="dxa"/>
          </w:tblCellMar>
        </w:tblPrEx>
        <w:tc>
          <w:tcPr>
            <w:tcW w:w="5868" w:type="dxa"/>
            <w:shd w:val="clear" w:color="auto" w:fill="auto"/>
            <w:vAlign w:val="bottom"/>
          </w:tcPr>
          <w:p w14:paraId="4F77DF45" w14:textId="77777777" w:rsidR="00850E7B" w:rsidRPr="00891E3A" w:rsidRDefault="00850E7B" w:rsidP="00067058">
            <w:pPr>
              <w:pStyle w:val="TableRowHead"/>
              <w:rPr>
                <w:lang w:val="en-GB" w:eastAsia="en-GB"/>
              </w:rPr>
            </w:pPr>
            <w:r w:rsidRPr="00891E3A">
              <w:rPr>
                <w:lang w:val="en-GB" w:eastAsia="en-GB"/>
              </w:rPr>
              <w:t>E Learning</w:t>
            </w:r>
          </w:p>
        </w:tc>
        <w:tc>
          <w:tcPr>
            <w:tcW w:w="1530" w:type="dxa"/>
            <w:shd w:val="clear" w:color="auto" w:fill="auto"/>
            <w:vAlign w:val="bottom"/>
          </w:tcPr>
          <w:p w14:paraId="44BD4B2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48,402 </w:t>
            </w:r>
          </w:p>
        </w:tc>
        <w:tc>
          <w:tcPr>
            <w:tcW w:w="1530" w:type="dxa"/>
            <w:shd w:val="clear" w:color="auto" w:fill="auto"/>
            <w:vAlign w:val="bottom"/>
          </w:tcPr>
          <w:p w14:paraId="2CF834DD"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348 </w:t>
            </w:r>
          </w:p>
        </w:tc>
      </w:tr>
      <w:tr w:rsidR="00850E7B" w:rsidRPr="00F868E5" w14:paraId="7F2249C8" w14:textId="77777777" w:rsidTr="0013007A">
        <w:tblPrEx>
          <w:tblCellMar>
            <w:top w:w="0" w:type="dxa"/>
            <w:bottom w:w="0" w:type="dxa"/>
          </w:tblCellMar>
        </w:tblPrEx>
        <w:tc>
          <w:tcPr>
            <w:tcW w:w="5868" w:type="dxa"/>
            <w:shd w:val="clear" w:color="auto" w:fill="auto"/>
            <w:vAlign w:val="bottom"/>
          </w:tcPr>
          <w:p w14:paraId="250D9DFE" w14:textId="77777777" w:rsidR="00850E7B" w:rsidRPr="00891E3A" w:rsidRDefault="00850E7B" w:rsidP="00067058">
            <w:pPr>
              <w:pStyle w:val="TableRowHead"/>
              <w:rPr>
                <w:lang w:val="en-GB" w:eastAsia="en-GB"/>
              </w:rPr>
            </w:pPr>
            <w:r w:rsidRPr="00891E3A">
              <w:rPr>
                <w:lang w:val="en-GB" w:eastAsia="en-GB"/>
              </w:rPr>
              <w:t>Report on views of individuals with disabilities gathered through focus groups on independent/</w:t>
            </w:r>
            <w:r w:rsidR="00782383">
              <w:rPr>
                <w:lang w:val="en-GB" w:eastAsia="en-GB"/>
              </w:rPr>
              <w:t xml:space="preserve"> </w:t>
            </w:r>
            <w:r w:rsidRPr="00891E3A">
              <w:rPr>
                <w:lang w:val="en-GB" w:eastAsia="en-GB"/>
              </w:rPr>
              <w:t>community living</w:t>
            </w:r>
          </w:p>
        </w:tc>
        <w:tc>
          <w:tcPr>
            <w:tcW w:w="1530" w:type="dxa"/>
            <w:shd w:val="clear" w:color="auto" w:fill="auto"/>
            <w:vAlign w:val="bottom"/>
          </w:tcPr>
          <w:p w14:paraId="1672D37F"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42,750 </w:t>
            </w:r>
          </w:p>
        </w:tc>
        <w:tc>
          <w:tcPr>
            <w:tcW w:w="1530" w:type="dxa"/>
            <w:shd w:val="clear" w:color="auto" w:fill="auto"/>
            <w:vAlign w:val="bottom"/>
          </w:tcPr>
          <w:p w14:paraId="4E2867C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24FD68D4" w14:textId="77777777" w:rsidTr="0013007A">
        <w:tblPrEx>
          <w:tblCellMar>
            <w:top w:w="0" w:type="dxa"/>
            <w:bottom w:w="0" w:type="dxa"/>
          </w:tblCellMar>
        </w:tblPrEx>
        <w:tc>
          <w:tcPr>
            <w:tcW w:w="5868" w:type="dxa"/>
            <w:shd w:val="clear" w:color="auto" w:fill="auto"/>
            <w:vAlign w:val="bottom"/>
          </w:tcPr>
          <w:p w14:paraId="61756D99" w14:textId="77777777" w:rsidR="00850E7B" w:rsidRPr="00891E3A" w:rsidRDefault="00850E7B" w:rsidP="00067058">
            <w:pPr>
              <w:pStyle w:val="TableRowHead"/>
              <w:rPr>
                <w:lang w:val="en-GB" w:eastAsia="en-GB"/>
              </w:rPr>
            </w:pPr>
            <w:r w:rsidRPr="00891E3A">
              <w:rPr>
                <w:lang w:val="en-GB" w:eastAsia="en-GB"/>
              </w:rPr>
              <w:t>24 hr Challenge</w:t>
            </w:r>
          </w:p>
        </w:tc>
        <w:tc>
          <w:tcPr>
            <w:tcW w:w="1530" w:type="dxa"/>
            <w:shd w:val="clear" w:color="auto" w:fill="auto"/>
            <w:vAlign w:val="bottom"/>
          </w:tcPr>
          <w:p w14:paraId="70FA6EC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32,778 </w:t>
            </w:r>
          </w:p>
        </w:tc>
        <w:tc>
          <w:tcPr>
            <w:tcW w:w="1530" w:type="dxa"/>
            <w:shd w:val="clear" w:color="auto" w:fill="auto"/>
            <w:vAlign w:val="bottom"/>
          </w:tcPr>
          <w:p w14:paraId="5279C81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20,892 </w:t>
            </w:r>
          </w:p>
        </w:tc>
      </w:tr>
      <w:tr w:rsidR="00850E7B" w:rsidRPr="00F868E5" w14:paraId="278BFF30" w14:textId="77777777" w:rsidTr="0013007A">
        <w:tblPrEx>
          <w:tblCellMar>
            <w:top w:w="0" w:type="dxa"/>
            <w:bottom w:w="0" w:type="dxa"/>
          </w:tblCellMar>
        </w:tblPrEx>
        <w:tc>
          <w:tcPr>
            <w:tcW w:w="5868" w:type="dxa"/>
            <w:shd w:val="clear" w:color="auto" w:fill="auto"/>
            <w:vAlign w:val="bottom"/>
          </w:tcPr>
          <w:p w14:paraId="28AB6462" w14:textId="77777777" w:rsidR="00850E7B" w:rsidRPr="00891E3A" w:rsidRDefault="00850E7B" w:rsidP="00067058">
            <w:pPr>
              <w:pStyle w:val="TableRowHead"/>
              <w:rPr>
                <w:lang w:val="en-GB" w:eastAsia="en-GB"/>
              </w:rPr>
            </w:pPr>
            <w:r w:rsidRPr="00891E3A">
              <w:rPr>
                <w:lang w:val="en-GB" w:eastAsia="en-GB"/>
              </w:rPr>
              <w:t>Research re funding for PWD</w:t>
            </w:r>
          </w:p>
        </w:tc>
        <w:tc>
          <w:tcPr>
            <w:tcW w:w="1530" w:type="dxa"/>
            <w:shd w:val="clear" w:color="auto" w:fill="auto"/>
            <w:vAlign w:val="bottom"/>
          </w:tcPr>
          <w:p w14:paraId="5236D57F"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21,152 </w:t>
            </w:r>
          </w:p>
        </w:tc>
        <w:tc>
          <w:tcPr>
            <w:tcW w:w="1530" w:type="dxa"/>
            <w:shd w:val="clear" w:color="auto" w:fill="auto"/>
            <w:vAlign w:val="bottom"/>
          </w:tcPr>
          <w:p w14:paraId="1CA9576F"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24,236 </w:t>
            </w:r>
          </w:p>
        </w:tc>
      </w:tr>
      <w:tr w:rsidR="00850E7B" w:rsidRPr="00F868E5" w14:paraId="6837E7E8" w14:textId="77777777" w:rsidTr="0013007A">
        <w:tblPrEx>
          <w:tblCellMar>
            <w:top w:w="0" w:type="dxa"/>
            <w:bottom w:w="0" w:type="dxa"/>
          </w:tblCellMar>
        </w:tblPrEx>
        <w:tc>
          <w:tcPr>
            <w:tcW w:w="5868" w:type="dxa"/>
            <w:shd w:val="clear" w:color="auto" w:fill="auto"/>
            <w:vAlign w:val="bottom"/>
          </w:tcPr>
          <w:p w14:paraId="40C9A150" w14:textId="77777777" w:rsidR="00850E7B" w:rsidRPr="00891E3A" w:rsidRDefault="00850E7B" w:rsidP="00067058">
            <w:pPr>
              <w:pStyle w:val="TableRowHead"/>
              <w:rPr>
                <w:lang w:val="en-GB" w:eastAsia="en-GB"/>
              </w:rPr>
            </w:pPr>
            <w:r w:rsidRPr="00891E3A">
              <w:rPr>
                <w:lang w:val="en-GB" w:eastAsia="en-GB"/>
              </w:rPr>
              <w:t>Digital Terrestrial TV</w:t>
            </w:r>
          </w:p>
        </w:tc>
        <w:tc>
          <w:tcPr>
            <w:tcW w:w="1530" w:type="dxa"/>
            <w:shd w:val="clear" w:color="auto" w:fill="auto"/>
            <w:vAlign w:val="bottom"/>
          </w:tcPr>
          <w:p w14:paraId="123E61D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20,500 </w:t>
            </w:r>
          </w:p>
        </w:tc>
        <w:tc>
          <w:tcPr>
            <w:tcW w:w="1530" w:type="dxa"/>
            <w:shd w:val="clear" w:color="auto" w:fill="auto"/>
            <w:vAlign w:val="bottom"/>
          </w:tcPr>
          <w:p w14:paraId="7E3C3E8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3377D6BD" w14:textId="77777777" w:rsidTr="0013007A">
        <w:tblPrEx>
          <w:tblCellMar>
            <w:top w:w="0" w:type="dxa"/>
            <w:bottom w:w="0" w:type="dxa"/>
          </w:tblCellMar>
        </w:tblPrEx>
        <w:tc>
          <w:tcPr>
            <w:tcW w:w="5868" w:type="dxa"/>
            <w:shd w:val="clear" w:color="auto" w:fill="auto"/>
            <w:vAlign w:val="bottom"/>
          </w:tcPr>
          <w:p w14:paraId="43C89CE7" w14:textId="77777777" w:rsidR="00850E7B" w:rsidRPr="00891E3A" w:rsidRDefault="00850E7B" w:rsidP="00067058">
            <w:pPr>
              <w:pStyle w:val="TableRowHead"/>
              <w:rPr>
                <w:lang w:val="en-GB" w:eastAsia="en-GB"/>
              </w:rPr>
            </w:pPr>
            <w:r w:rsidRPr="00891E3A">
              <w:rPr>
                <w:lang w:val="en-GB" w:eastAsia="en-GB"/>
              </w:rPr>
              <w:t>Building For Everyone</w:t>
            </w:r>
          </w:p>
        </w:tc>
        <w:tc>
          <w:tcPr>
            <w:tcW w:w="1530" w:type="dxa"/>
            <w:shd w:val="clear" w:color="auto" w:fill="auto"/>
            <w:vAlign w:val="bottom"/>
          </w:tcPr>
          <w:p w14:paraId="023819C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19,887 </w:t>
            </w:r>
          </w:p>
        </w:tc>
        <w:tc>
          <w:tcPr>
            <w:tcW w:w="1530" w:type="dxa"/>
            <w:shd w:val="clear" w:color="auto" w:fill="auto"/>
            <w:vAlign w:val="bottom"/>
          </w:tcPr>
          <w:p w14:paraId="3D424C5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28,535 </w:t>
            </w:r>
          </w:p>
        </w:tc>
      </w:tr>
      <w:tr w:rsidR="00850E7B" w:rsidRPr="00F868E5" w14:paraId="2EE27FE6" w14:textId="77777777" w:rsidTr="0013007A">
        <w:tblPrEx>
          <w:tblCellMar>
            <w:top w:w="0" w:type="dxa"/>
            <w:bottom w:w="0" w:type="dxa"/>
          </w:tblCellMar>
        </w:tblPrEx>
        <w:tc>
          <w:tcPr>
            <w:tcW w:w="5868" w:type="dxa"/>
            <w:shd w:val="clear" w:color="auto" w:fill="auto"/>
            <w:vAlign w:val="bottom"/>
          </w:tcPr>
          <w:p w14:paraId="1775EA6D" w14:textId="77777777" w:rsidR="00850E7B" w:rsidRPr="00891E3A" w:rsidRDefault="00850E7B" w:rsidP="00067058">
            <w:pPr>
              <w:pStyle w:val="TableRowHead"/>
              <w:rPr>
                <w:lang w:val="en-GB" w:eastAsia="en-GB"/>
              </w:rPr>
            </w:pPr>
            <w:r w:rsidRPr="00891E3A">
              <w:rPr>
                <w:lang w:val="en-GB" w:eastAsia="en-GB"/>
              </w:rPr>
              <w:t>Annual Research Conference</w:t>
            </w:r>
          </w:p>
        </w:tc>
        <w:tc>
          <w:tcPr>
            <w:tcW w:w="1530" w:type="dxa"/>
            <w:shd w:val="clear" w:color="auto" w:fill="auto"/>
            <w:vAlign w:val="bottom"/>
          </w:tcPr>
          <w:p w14:paraId="21AF224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19,402 </w:t>
            </w:r>
          </w:p>
        </w:tc>
        <w:tc>
          <w:tcPr>
            <w:tcW w:w="1530" w:type="dxa"/>
            <w:shd w:val="clear" w:color="auto" w:fill="auto"/>
            <w:vAlign w:val="bottom"/>
          </w:tcPr>
          <w:p w14:paraId="56C3C17B"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23,874 </w:t>
            </w:r>
          </w:p>
        </w:tc>
      </w:tr>
      <w:tr w:rsidR="00850E7B" w:rsidRPr="00F868E5" w14:paraId="1EEA3CFC" w14:textId="77777777" w:rsidTr="0013007A">
        <w:tblPrEx>
          <w:tblCellMar>
            <w:top w:w="0" w:type="dxa"/>
            <w:bottom w:w="0" w:type="dxa"/>
          </w:tblCellMar>
        </w:tblPrEx>
        <w:tc>
          <w:tcPr>
            <w:tcW w:w="5868" w:type="dxa"/>
            <w:shd w:val="clear" w:color="auto" w:fill="auto"/>
            <w:vAlign w:val="bottom"/>
          </w:tcPr>
          <w:p w14:paraId="425169D4" w14:textId="77777777" w:rsidR="00850E7B" w:rsidRPr="00891E3A" w:rsidRDefault="00850E7B" w:rsidP="00067058">
            <w:pPr>
              <w:pStyle w:val="TableRowHead"/>
              <w:rPr>
                <w:lang w:val="en-GB" w:eastAsia="en-GB"/>
              </w:rPr>
            </w:pPr>
            <w:r w:rsidRPr="00891E3A">
              <w:rPr>
                <w:lang w:val="en-GB" w:eastAsia="en-GB"/>
              </w:rPr>
              <w:t>Research into health services for pregnant women with disabilities</w:t>
            </w:r>
          </w:p>
        </w:tc>
        <w:tc>
          <w:tcPr>
            <w:tcW w:w="1530" w:type="dxa"/>
            <w:shd w:val="clear" w:color="auto" w:fill="auto"/>
            <w:vAlign w:val="bottom"/>
          </w:tcPr>
          <w:p w14:paraId="4855CA9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17,081 </w:t>
            </w:r>
          </w:p>
        </w:tc>
        <w:tc>
          <w:tcPr>
            <w:tcW w:w="1530" w:type="dxa"/>
            <w:shd w:val="clear" w:color="auto" w:fill="auto"/>
            <w:vAlign w:val="bottom"/>
          </w:tcPr>
          <w:p w14:paraId="1E4A2E9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39,983 </w:t>
            </w:r>
          </w:p>
        </w:tc>
      </w:tr>
      <w:tr w:rsidR="00850E7B" w:rsidRPr="00F868E5" w14:paraId="7567A688" w14:textId="77777777" w:rsidTr="0013007A">
        <w:tblPrEx>
          <w:tblCellMar>
            <w:top w:w="0" w:type="dxa"/>
            <w:bottom w:w="0" w:type="dxa"/>
          </w:tblCellMar>
        </w:tblPrEx>
        <w:tc>
          <w:tcPr>
            <w:tcW w:w="5868" w:type="dxa"/>
            <w:shd w:val="clear" w:color="auto" w:fill="auto"/>
            <w:vAlign w:val="bottom"/>
          </w:tcPr>
          <w:p w14:paraId="1B325921" w14:textId="77777777" w:rsidR="00850E7B" w:rsidRPr="00891E3A" w:rsidRDefault="00850E7B" w:rsidP="00067058">
            <w:pPr>
              <w:pStyle w:val="TableRowHead"/>
              <w:rPr>
                <w:lang w:val="en-GB" w:eastAsia="en-GB"/>
              </w:rPr>
            </w:pPr>
            <w:r w:rsidRPr="00891E3A">
              <w:rPr>
                <w:lang w:val="en-GB" w:eastAsia="en-GB"/>
              </w:rPr>
              <w:t>Abuse Project</w:t>
            </w:r>
          </w:p>
        </w:tc>
        <w:tc>
          <w:tcPr>
            <w:tcW w:w="1530" w:type="dxa"/>
            <w:shd w:val="clear" w:color="auto" w:fill="auto"/>
            <w:vAlign w:val="bottom"/>
          </w:tcPr>
          <w:p w14:paraId="759208B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12,960 </w:t>
            </w:r>
          </w:p>
        </w:tc>
        <w:tc>
          <w:tcPr>
            <w:tcW w:w="1530" w:type="dxa"/>
            <w:shd w:val="clear" w:color="auto" w:fill="auto"/>
            <w:vAlign w:val="bottom"/>
          </w:tcPr>
          <w:p w14:paraId="7E64A05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35,074 </w:t>
            </w:r>
          </w:p>
        </w:tc>
      </w:tr>
      <w:tr w:rsidR="00850E7B" w:rsidRPr="00F868E5" w14:paraId="01618576" w14:textId="77777777" w:rsidTr="0013007A">
        <w:tblPrEx>
          <w:tblCellMar>
            <w:top w:w="0" w:type="dxa"/>
            <w:bottom w:w="0" w:type="dxa"/>
          </w:tblCellMar>
        </w:tblPrEx>
        <w:tc>
          <w:tcPr>
            <w:tcW w:w="5868" w:type="dxa"/>
            <w:shd w:val="clear" w:color="auto" w:fill="auto"/>
            <w:vAlign w:val="bottom"/>
          </w:tcPr>
          <w:p w14:paraId="246C9E87" w14:textId="77777777" w:rsidR="00850E7B" w:rsidRPr="00891E3A" w:rsidRDefault="00850E7B" w:rsidP="00067058">
            <w:pPr>
              <w:pStyle w:val="TableRowHead"/>
              <w:rPr>
                <w:lang w:val="en-GB" w:eastAsia="en-GB"/>
              </w:rPr>
            </w:pPr>
            <w:r w:rsidRPr="00891E3A">
              <w:rPr>
                <w:lang w:val="en-GB" w:eastAsia="en-GB"/>
              </w:rPr>
              <w:t>Research attitudes to Mental Health</w:t>
            </w:r>
          </w:p>
        </w:tc>
        <w:tc>
          <w:tcPr>
            <w:tcW w:w="1530" w:type="dxa"/>
            <w:shd w:val="clear" w:color="auto" w:fill="auto"/>
            <w:vAlign w:val="bottom"/>
          </w:tcPr>
          <w:p w14:paraId="760A62E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12,750 </w:t>
            </w:r>
          </w:p>
        </w:tc>
        <w:tc>
          <w:tcPr>
            <w:tcW w:w="1530" w:type="dxa"/>
            <w:shd w:val="clear" w:color="auto" w:fill="auto"/>
            <w:vAlign w:val="bottom"/>
          </w:tcPr>
          <w:p w14:paraId="07812B2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5B2561BD" w14:textId="77777777" w:rsidTr="0013007A">
        <w:tblPrEx>
          <w:tblCellMar>
            <w:top w:w="0" w:type="dxa"/>
            <w:bottom w:w="0" w:type="dxa"/>
          </w:tblCellMar>
        </w:tblPrEx>
        <w:tc>
          <w:tcPr>
            <w:tcW w:w="5868" w:type="dxa"/>
            <w:shd w:val="clear" w:color="auto" w:fill="auto"/>
            <w:vAlign w:val="bottom"/>
          </w:tcPr>
          <w:p w14:paraId="1549B0E0" w14:textId="77777777" w:rsidR="00850E7B" w:rsidRPr="00891E3A" w:rsidRDefault="00850E7B" w:rsidP="00067058">
            <w:pPr>
              <w:pStyle w:val="TableRowHead"/>
              <w:rPr>
                <w:lang w:val="en-GB" w:eastAsia="en-GB"/>
              </w:rPr>
            </w:pPr>
            <w:r w:rsidRPr="00891E3A">
              <w:rPr>
                <w:lang w:val="en-GB" w:eastAsia="en-GB"/>
              </w:rPr>
              <w:t>Evacuation Related Upgrades</w:t>
            </w:r>
          </w:p>
        </w:tc>
        <w:tc>
          <w:tcPr>
            <w:tcW w:w="1530" w:type="dxa"/>
            <w:shd w:val="clear" w:color="auto" w:fill="auto"/>
            <w:vAlign w:val="bottom"/>
          </w:tcPr>
          <w:p w14:paraId="47132CE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12,596 </w:t>
            </w:r>
          </w:p>
        </w:tc>
        <w:tc>
          <w:tcPr>
            <w:tcW w:w="1530" w:type="dxa"/>
            <w:shd w:val="clear" w:color="auto" w:fill="auto"/>
            <w:vAlign w:val="bottom"/>
          </w:tcPr>
          <w:p w14:paraId="45AEBA1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544F739E" w14:textId="77777777" w:rsidTr="0013007A">
        <w:tblPrEx>
          <w:tblCellMar>
            <w:top w:w="0" w:type="dxa"/>
            <w:bottom w:w="0" w:type="dxa"/>
          </w:tblCellMar>
        </w:tblPrEx>
        <w:tc>
          <w:tcPr>
            <w:tcW w:w="5868" w:type="dxa"/>
            <w:shd w:val="clear" w:color="auto" w:fill="auto"/>
            <w:vAlign w:val="bottom"/>
          </w:tcPr>
          <w:p w14:paraId="44236CA5" w14:textId="77777777" w:rsidR="00850E7B" w:rsidRPr="00891E3A" w:rsidRDefault="00850E7B" w:rsidP="00067058">
            <w:pPr>
              <w:pStyle w:val="TableRowHead"/>
              <w:rPr>
                <w:lang w:val="en-GB" w:eastAsia="en-GB"/>
              </w:rPr>
            </w:pPr>
            <w:r w:rsidRPr="00891E3A">
              <w:rPr>
                <w:lang w:val="en-GB" w:eastAsia="en-GB"/>
              </w:rPr>
              <w:t>Disability book</w:t>
            </w:r>
          </w:p>
        </w:tc>
        <w:tc>
          <w:tcPr>
            <w:tcW w:w="1530" w:type="dxa"/>
            <w:shd w:val="clear" w:color="auto" w:fill="auto"/>
            <w:vAlign w:val="bottom"/>
          </w:tcPr>
          <w:p w14:paraId="1E0BDFB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11,314 </w:t>
            </w:r>
          </w:p>
        </w:tc>
        <w:tc>
          <w:tcPr>
            <w:tcW w:w="1530" w:type="dxa"/>
            <w:shd w:val="clear" w:color="auto" w:fill="auto"/>
            <w:vAlign w:val="bottom"/>
          </w:tcPr>
          <w:p w14:paraId="489341C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14,580 </w:t>
            </w:r>
          </w:p>
        </w:tc>
      </w:tr>
      <w:tr w:rsidR="00850E7B" w:rsidRPr="00F868E5" w14:paraId="6EF8B3AC" w14:textId="77777777" w:rsidTr="0013007A">
        <w:tblPrEx>
          <w:tblCellMar>
            <w:top w:w="0" w:type="dxa"/>
            <w:bottom w:w="0" w:type="dxa"/>
          </w:tblCellMar>
        </w:tblPrEx>
        <w:tc>
          <w:tcPr>
            <w:tcW w:w="5868" w:type="dxa"/>
            <w:shd w:val="clear" w:color="auto" w:fill="auto"/>
            <w:vAlign w:val="bottom"/>
          </w:tcPr>
          <w:p w14:paraId="071345B3" w14:textId="77777777" w:rsidR="00850E7B" w:rsidRPr="00891E3A" w:rsidRDefault="00850E7B" w:rsidP="00067058">
            <w:pPr>
              <w:pStyle w:val="TableRowHead"/>
              <w:rPr>
                <w:lang w:val="en-GB" w:eastAsia="en-GB"/>
              </w:rPr>
            </w:pPr>
            <w:r w:rsidRPr="00891E3A">
              <w:rPr>
                <w:lang w:val="en-GB" w:eastAsia="en-GB"/>
              </w:rPr>
              <w:t>Need to Knowledge Project</w:t>
            </w:r>
          </w:p>
        </w:tc>
        <w:tc>
          <w:tcPr>
            <w:tcW w:w="1530" w:type="dxa"/>
            <w:shd w:val="clear" w:color="auto" w:fill="auto"/>
            <w:vAlign w:val="bottom"/>
          </w:tcPr>
          <w:p w14:paraId="09659A9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10,000 </w:t>
            </w:r>
          </w:p>
        </w:tc>
        <w:tc>
          <w:tcPr>
            <w:tcW w:w="1530" w:type="dxa"/>
            <w:shd w:val="clear" w:color="auto" w:fill="auto"/>
            <w:vAlign w:val="bottom"/>
          </w:tcPr>
          <w:p w14:paraId="19E7DC3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4875D411" w14:textId="77777777" w:rsidTr="0013007A">
        <w:tblPrEx>
          <w:tblCellMar>
            <w:top w:w="0" w:type="dxa"/>
            <w:bottom w:w="0" w:type="dxa"/>
          </w:tblCellMar>
        </w:tblPrEx>
        <w:tc>
          <w:tcPr>
            <w:tcW w:w="5868" w:type="dxa"/>
            <w:shd w:val="clear" w:color="auto" w:fill="auto"/>
            <w:vAlign w:val="bottom"/>
          </w:tcPr>
          <w:p w14:paraId="5611D16F" w14:textId="77777777" w:rsidR="00850E7B" w:rsidRPr="00891E3A" w:rsidRDefault="00850E7B" w:rsidP="00067058">
            <w:pPr>
              <w:pStyle w:val="TableRowHead"/>
              <w:rPr>
                <w:lang w:val="en-GB" w:eastAsia="en-GB"/>
              </w:rPr>
            </w:pPr>
            <w:r w:rsidRPr="00891E3A">
              <w:rPr>
                <w:lang w:val="en-GB" w:eastAsia="en-GB"/>
              </w:rPr>
              <w:t>UD In National Legislation workshop</w:t>
            </w:r>
          </w:p>
        </w:tc>
        <w:tc>
          <w:tcPr>
            <w:tcW w:w="1530" w:type="dxa"/>
            <w:shd w:val="clear" w:color="auto" w:fill="auto"/>
            <w:vAlign w:val="bottom"/>
          </w:tcPr>
          <w:p w14:paraId="049C643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9,685 </w:t>
            </w:r>
          </w:p>
        </w:tc>
        <w:tc>
          <w:tcPr>
            <w:tcW w:w="1530" w:type="dxa"/>
            <w:shd w:val="clear" w:color="auto" w:fill="auto"/>
            <w:vAlign w:val="bottom"/>
          </w:tcPr>
          <w:p w14:paraId="7EBD8A7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1755F31A" w14:textId="77777777" w:rsidTr="0013007A">
        <w:tblPrEx>
          <w:tblCellMar>
            <w:top w:w="0" w:type="dxa"/>
            <w:bottom w:w="0" w:type="dxa"/>
          </w:tblCellMar>
        </w:tblPrEx>
        <w:tc>
          <w:tcPr>
            <w:tcW w:w="5868" w:type="dxa"/>
            <w:shd w:val="clear" w:color="auto" w:fill="auto"/>
            <w:vAlign w:val="bottom"/>
          </w:tcPr>
          <w:p w14:paraId="6B556C1C" w14:textId="77777777" w:rsidR="00850E7B" w:rsidRPr="00891E3A" w:rsidRDefault="00850E7B" w:rsidP="00067058">
            <w:pPr>
              <w:pStyle w:val="TableRowHead"/>
              <w:rPr>
                <w:lang w:val="en-GB" w:eastAsia="en-GB"/>
              </w:rPr>
            </w:pPr>
            <w:r w:rsidRPr="00891E3A">
              <w:rPr>
                <w:lang w:val="en-GB" w:eastAsia="en-GB"/>
              </w:rPr>
              <w:t xml:space="preserve">Research Promotion Scheme </w:t>
            </w:r>
          </w:p>
        </w:tc>
        <w:tc>
          <w:tcPr>
            <w:tcW w:w="1530" w:type="dxa"/>
            <w:shd w:val="clear" w:color="auto" w:fill="auto"/>
            <w:vAlign w:val="bottom"/>
          </w:tcPr>
          <w:p w14:paraId="47216981"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8,318 </w:t>
            </w:r>
          </w:p>
        </w:tc>
        <w:tc>
          <w:tcPr>
            <w:tcW w:w="1530" w:type="dxa"/>
            <w:shd w:val="clear" w:color="auto" w:fill="auto"/>
            <w:vAlign w:val="bottom"/>
          </w:tcPr>
          <w:p w14:paraId="67D9531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19,141 </w:t>
            </w:r>
          </w:p>
        </w:tc>
      </w:tr>
      <w:tr w:rsidR="00850E7B" w:rsidRPr="00F868E5" w14:paraId="702C8B77" w14:textId="77777777" w:rsidTr="0013007A">
        <w:tblPrEx>
          <w:tblCellMar>
            <w:top w:w="0" w:type="dxa"/>
            <w:bottom w:w="0" w:type="dxa"/>
          </w:tblCellMar>
        </w:tblPrEx>
        <w:tc>
          <w:tcPr>
            <w:tcW w:w="5868" w:type="dxa"/>
            <w:shd w:val="clear" w:color="auto" w:fill="auto"/>
            <w:vAlign w:val="bottom"/>
          </w:tcPr>
          <w:p w14:paraId="575BDA13" w14:textId="77777777" w:rsidR="00850E7B" w:rsidRPr="00891E3A" w:rsidRDefault="00850E7B" w:rsidP="00067058">
            <w:pPr>
              <w:pStyle w:val="TableRowHead"/>
              <w:rPr>
                <w:lang w:val="en-GB" w:eastAsia="en-GB"/>
              </w:rPr>
            </w:pPr>
            <w:r w:rsidRPr="00891E3A">
              <w:rPr>
                <w:lang w:val="en-GB" w:eastAsia="en-GB"/>
              </w:rPr>
              <w:t xml:space="preserve">Research Scholarships </w:t>
            </w:r>
          </w:p>
        </w:tc>
        <w:tc>
          <w:tcPr>
            <w:tcW w:w="1530" w:type="dxa"/>
            <w:shd w:val="clear" w:color="auto" w:fill="auto"/>
            <w:vAlign w:val="bottom"/>
          </w:tcPr>
          <w:p w14:paraId="79C9FC7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5,802 </w:t>
            </w:r>
          </w:p>
        </w:tc>
        <w:tc>
          <w:tcPr>
            <w:tcW w:w="1530" w:type="dxa"/>
            <w:shd w:val="clear" w:color="auto" w:fill="auto"/>
            <w:vAlign w:val="bottom"/>
          </w:tcPr>
          <w:p w14:paraId="54E855B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24FD3AC9" w14:textId="77777777" w:rsidTr="0013007A">
        <w:tblPrEx>
          <w:tblCellMar>
            <w:top w:w="0" w:type="dxa"/>
            <w:bottom w:w="0" w:type="dxa"/>
          </w:tblCellMar>
        </w:tblPrEx>
        <w:tc>
          <w:tcPr>
            <w:tcW w:w="5868" w:type="dxa"/>
            <w:shd w:val="clear" w:color="auto" w:fill="auto"/>
            <w:vAlign w:val="bottom"/>
          </w:tcPr>
          <w:p w14:paraId="77EF5375" w14:textId="77777777" w:rsidR="00850E7B" w:rsidRPr="00891E3A" w:rsidRDefault="00850E7B" w:rsidP="00067058">
            <w:pPr>
              <w:pStyle w:val="TableRowHead"/>
              <w:rPr>
                <w:lang w:val="en-GB" w:eastAsia="en-GB"/>
              </w:rPr>
            </w:pPr>
            <w:r w:rsidRPr="00891E3A">
              <w:rPr>
                <w:lang w:val="en-GB" w:eastAsia="en-GB"/>
              </w:rPr>
              <w:t>Shared Space Seminar &amp; Policy Paper</w:t>
            </w:r>
          </w:p>
        </w:tc>
        <w:tc>
          <w:tcPr>
            <w:tcW w:w="1530" w:type="dxa"/>
            <w:shd w:val="clear" w:color="auto" w:fill="auto"/>
            <w:vAlign w:val="bottom"/>
          </w:tcPr>
          <w:p w14:paraId="336199D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4,930 </w:t>
            </w:r>
          </w:p>
        </w:tc>
        <w:tc>
          <w:tcPr>
            <w:tcW w:w="1530" w:type="dxa"/>
            <w:shd w:val="clear" w:color="auto" w:fill="auto"/>
            <w:vAlign w:val="bottom"/>
          </w:tcPr>
          <w:p w14:paraId="42572A4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78E456B9" w14:textId="77777777" w:rsidTr="0013007A">
        <w:tblPrEx>
          <w:tblCellMar>
            <w:top w:w="0" w:type="dxa"/>
            <w:bottom w:w="0" w:type="dxa"/>
          </w:tblCellMar>
        </w:tblPrEx>
        <w:tc>
          <w:tcPr>
            <w:tcW w:w="5868" w:type="dxa"/>
            <w:shd w:val="clear" w:color="auto" w:fill="auto"/>
            <w:vAlign w:val="bottom"/>
          </w:tcPr>
          <w:p w14:paraId="21C500D2" w14:textId="77777777" w:rsidR="00850E7B" w:rsidRPr="00891E3A" w:rsidRDefault="00850E7B" w:rsidP="00067058">
            <w:pPr>
              <w:pStyle w:val="TableRowHead"/>
              <w:rPr>
                <w:lang w:val="en-GB" w:eastAsia="en-GB"/>
              </w:rPr>
            </w:pPr>
            <w:r w:rsidRPr="00891E3A">
              <w:rPr>
                <w:lang w:val="en-GB" w:eastAsia="en-GB"/>
              </w:rPr>
              <w:t>Communications Project</w:t>
            </w:r>
          </w:p>
        </w:tc>
        <w:tc>
          <w:tcPr>
            <w:tcW w:w="1530" w:type="dxa"/>
            <w:shd w:val="clear" w:color="auto" w:fill="auto"/>
            <w:vAlign w:val="bottom"/>
          </w:tcPr>
          <w:p w14:paraId="1DBD3CED"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4,254 </w:t>
            </w:r>
          </w:p>
        </w:tc>
        <w:tc>
          <w:tcPr>
            <w:tcW w:w="1530" w:type="dxa"/>
            <w:shd w:val="clear" w:color="auto" w:fill="auto"/>
            <w:vAlign w:val="bottom"/>
          </w:tcPr>
          <w:p w14:paraId="7FD71241"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42215BED" w14:textId="77777777" w:rsidTr="0013007A">
        <w:tblPrEx>
          <w:tblCellMar>
            <w:top w:w="0" w:type="dxa"/>
            <w:bottom w:w="0" w:type="dxa"/>
          </w:tblCellMar>
        </w:tblPrEx>
        <w:tc>
          <w:tcPr>
            <w:tcW w:w="5868" w:type="dxa"/>
            <w:shd w:val="clear" w:color="auto" w:fill="auto"/>
            <w:vAlign w:val="bottom"/>
          </w:tcPr>
          <w:p w14:paraId="6ADFF502" w14:textId="77777777" w:rsidR="00850E7B" w:rsidRPr="00891E3A" w:rsidRDefault="00850E7B" w:rsidP="00067058">
            <w:pPr>
              <w:pStyle w:val="TableRowHead"/>
              <w:rPr>
                <w:lang w:val="en-GB" w:eastAsia="en-GB"/>
              </w:rPr>
            </w:pPr>
            <w:r w:rsidRPr="00891E3A">
              <w:rPr>
                <w:lang w:val="en-GB" w:eastAsia="en-GB"/>
              </w:rPr>
              <w:t>BFE Seminar for Planners</w:t>
            </w:r>
          </w:p>
        </w:tc>
        <w:tc>
          <w:tcPr>
            <w:tcW w:w="1530" w:type="dxa"/>
            <w:shd w:val="clear" w:color="auto" w:fill="auto"/>
            <w:vAlign w:val="bottom"/>
          </w:tcPr>
          <w:p w14:paraId="2CC74D0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3,956 </w:t>
            </w:r>
          </w:p>
        </w:tc>
        <w:tc>
          <w:tcPr>
            <w:tcW w:w="1530" w:type="dxa"/>
            <w:shd w:val="clear" w:color="auto" w:fill="auto"/>
            <w:vAlign w:val="bottom"/>
          </w:tcPr>
          <w:p w14:paraId="74E2F6C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7,945 </w:t>
            </w:r>
          </w:p>
        </w:tc>
      </w:tr>
      <w:tr w:rsidR="00850E7B" w:rsidRPr="00F868E5" w14:paraId="2946E5F3" w14:textId="77777777" w:rsidTr="0013007A">
        <w:tblPrEx>
          <w:tblCellMar>
            <w:top w:w="0" w:type="dxa"/>
            <w:bottom w:w="0" w:type="dxa"/>
          </w:tblCellMar>
        </w:tblPrEx>
        <w:tc>
          <w:tcPr>
            <w:tcW w:w="5868" w:type="dxa"/>
            <w:shd w:val="clear" w:color="auto" w:fill="auto"/>
            <w:vAlign w:val="bottom"/>
          </w:tcPr>
          <w:p w14:paraId="14D058DC" w14:textId="77777777" w:rsidR="00850E7B" w:rsidRPr="00891E3A" w:rsidRDefault="00850E7B" w:rsidP="00067058">
            <w:pPr>
              <w:pStyle w:val="TableRowHead"/>
              <w:rPr>
                <w:lang w:val="en-GB" w:eastAsia="en-GB"/>
              </w:rPr>
            </w:pPr>
            <w:r w:rsidRPr="00891E3A">
              <w:rPr>
                <w:lang w:val="en-GB" w:eastAsia="en-GB"/>
              </w:rPr>
              <w:t xml:space="preserve">NDA Annual Report </w:t>
            </w:r>
          </w:p>
        </w:tc>
        <w:tc>
          <w:tcPr>
            <w:tcW w:w="1530" w:type="dxa"/>
            <w:shd w:val="clear" w:color="auto" w:fill="auto"/>
            <w:vAlign w:val="bottom"/>
          </w:tcPr>
          <w:p w14:paraId="17EDA785"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3,688 </w:t>
            </w:r>
          </w:p>
        </w:tc>
        <w:tc>
          <w:tcPr>
            <w:tcW w:w="1530" w:type="dxa"/>
            <w:shd w:val="clear" w:color="auto" w:fill="auto"/>
            <w:vAlign w:val="bottom"/>
          </w:tcPr>
          <w:p w14:paraId="13406A9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5,120 </w:t>
            </w:r>
          </w:p>
        </w:tc>
      </w:tr>
      <w:tr w:rsidR="00850E7B" w:rsidRPr="00F868E5" w14:paraId="343E25B4" w14:textId="77777777" w:rsidTr="0013007A">
        <w:tblPrEx>
          <w:tblCellMar>
            <w:top w:w="0" w:type="dxa"/>
            <w:bottom w:w="0" w:type="dxa"/>
          </w:tblCellMar>
        </w:tblPrEx>
        <w:tc>
          <w:tcPr>
            <w:tcW w:w="5868" w:type="dxa"/>
            <w:shd w:val="clear" w:color="auto" w:fill="auto"/>
            <w:vAlign w:val="bottom"/>
          </w:tcPr>
          <w:p w14:paraId="1FF057BF" w14:textId="77777777" w:rsidR="00850E7B" w:rsidRPr="00891E3A" w:rsidRDefault="00850E7B" w:rsidP="00067058">
            <w:pPr>
              <w:pStyle w:val="TableRowHead"/>
              <w:rPr>
                <w:lang w:val="en-GB" w:eastAsia="en-GB"/>
              </w:rPr>
            </w:pPr>
            <w:r w:rsidRPr="00891E3A">
              <w:rPr>
                <w:lang w:val="en-GB" w:eastAsia="en-GB"/>
              </w:rPr>
              <w:t>Curriculum Development</w:t>
            </w:r>
          </w:p>
        </w:tc>
        <w:tc>
          <w:tcPr>
            <w:tcW w:w="1530" w:type="dxa"/>
            <w:shd w:val="clear" w:color="auto" w:fill="auto"/>
            <w:vAlign w:val="bottom"/>
          </w:tcPr>
          <w:p w14:paraId="6263044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3,303 </w:t>
            </w:r>
          </w:p>
        </w:tc>
        <w:tc>
          <w:tcPr>
            <w:tcW w:w="1530" w:type="dxa"/>
            <w:shd w:val="clear" w:color="auto" w:fill="auto"/>
            <w:vAlign w:val="bottom"/>
          </w:tcPr>
          <w:p w14:paraId="0BA7824B"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14,580 </w:t>
            </w:r>
          </w:p>
        </w:tc>
      </w:tr>
      <w:tr w:rsidR="00850E7B" w:rsidRPr="00F868E5" w14:paraId="19CD4103" w14:textId="77777777" w:rsidTr="0013007A">
        <w:tblPrEx>
          <w:tblCellMar>
            <w:top w:w="0" w:type="dxa"/>
            <w:bottom w:w="0" w:type="dxa"/>
          </w:tblCellMar>
        </w:tblPrEx>
        <w:tc>
          <w:tcPr>
            <w:tcW w:w="5868" w:type="dxa"/>
            <w:shd w:val="clear" w:color="auto" w:fill="auto"/>
            <w:vAlign w:val="bottom"/>
          </w:tcPr>
          <w:p w14:paraId="4F39358B" w14:textId="77777777" w:rsidR="00850E7B" w:rsidRPr="00891E3A" w:rsidRDefault="00850E7B" w:rsidP="00067058">
            <w:pPr>
              <w:pStyle w:val="TableRowHead"/>
              <w:rPr>
                <w:lang w:val="en-GB" w:eastAsia="en-GB"/>
              </w:rPr>
            </w:pPr>
            <w:r w:rsidRPr="00891E3A">
              <w:rPr>
                <w:lang w:val="en-GB" w:eastAsia="en-GB"/>
              </w:rPr>
              <w:t>Review Internal Financial Controls</w:t>
            </w:r>
          </w:p>
        </w:tc>
        <w:tc>
          <w:tcPr>
            <w:tcW w:w="1530" w:type="dxa"/>
            <w:shd w:val="clear" w:color="auto" w:fill="auto"/>
            <w:vAlign w:val="bottom"/>
          </w:tcPr>
          <w:p w14:paraId="60C7F67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3,279 </w:t>
            </w:r>
          </w:p>
        </w:tc>
        <w:tc>
          <w:tcPr>
            <w:tcW w:w="1530" w:type="dxa"/>
            <w:shd w:val="clear" w:color="auto" w:fill="auto"/>
            <w:vAlign w:val="bottom"/>
          </w:tcPr>
          <w:p w14:paraId="72469BA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4,739 </w:t>
            </w:r>
          </w:p>
        </w:tc>
      </w:tr>
      <w:tr w:rsidR="00850E7B" w:rsidRPr="00F868E5" w14:paraId="1E365610" w14:textId="77777777" w:rsidTr="0013007A">
        <w:tblPrEx>
          <w:tblCellMar>
            <w:top w:w="0" w:type="dxa"/>
            <w:bottom w:w="0" w:type="dxa"/>
          </w:tblCellMar>
        </w:tblPrEx>
        <w:tc>
          <w:tcPr>
            <w:tcW w:w="5868" w:type="dxa"/>
            <w:shd w:val="clear" w:color="auto" w:fill="auto"/>
            <w:vAlign w:val="bottom"/>
          </w:tcPr>
          <w:p w14:paraId="7243DB8A" w14:textId="77777777" w:rsidR="00850E7B" w:rsidRPr="00891E3A" w:rsidRDefault="00850E7B" w:rsidP="00067058">
            <w:pPr>
              <w:pStyle w:val="TableRowHead"/>
              <w:rPr>
                <w:lang w:val="en-GB" w:eastAsia="en-GB"/>
              </w:rPr>
            </w:pPr>
            <w:r w:rsidRPr="00891E3A">
              <w:rPr>
                <w:lang w:val="en-GB" w:eastAsia="en-GB"/>
              </w:rPr>
              <w:t>Guidelines on Crisis Pregnancy Counselling</w:t>
            </w:r>
          </w:p>
        </w:tc>
        <w:tc>
          <w:tcPr>
            <w:tcW w:w="1530" w:type="dxa"/>
            <w:shd w:val="clear" w:color="auto" w:fill="auto"/>
            <w:vAlign w:val="bottom"/>
          </w:tcPr>
          <w:p w14:paraId="304A39F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2,439 </w:t>
            </w:r>
          </w:p>
        </w:tc>
        <w:tc>
          <w:tcPr>
            <w:tcW w:w="1530" w:type="dxa"/>
            <w:shd w:val="clear" w:color="auto" w:fill="auto"/>
            <w:vAlign w:val="bottom"/>
          </w:tcPr>
          <w:p w14:paraId="2A9E83E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08BDA483" w14:textId="77777777" w:rsidTr="0013007A">
        <w:tblPrEx>
          <w:tblCellMar>
            <w:top w:w="0" w:type="dxa"/>
            <w:bottom w:w="0" w:type="dxa"/>
          </w:tblCellMar>
        </w:tblPrEx>
        <w:tc>
          <w:tcPr>
            <w:tcW w:w="5868" w:type="dxa"/>
            <w:shd w:val="clear" w:color="auto" w:fill="auto"/>
            <w:vAlign w:val="bottom"/>
          </w:tcPr>
          <w:p w14:paraId="259058F0" w14:textId="77777777" w:rsidR="00850E7B" w:rsidRPr="00891E3A" w:rsidRDefault="00850E7B" w:rsidP="00067058">
            <w:pPr>
              <w:pStyle w:val="TableRowHead"/>
              <w:rPr>
                <w:lang w:val="en-GB" w:eastAsia="en-GB"/>
              </w:rPr>
            </w:pPr>
            <w:r w:rsidRPr="00891E3A">
              <w:rPr>
                <w:lang w:val="en-GB" w:eastAsia="en-GB"/>
              </w:rPr>
              <w:t>CEUD Advertisement</w:t>
            </w:r>
          </w:p>
        </w:tc>
        <w:tc>
          <w:tcPr>
            <w:tcW w:w="1530" w:type="dxa"/>
            <w:shd w:val="clear" w:color="auto" w:fill="auto"/>
            <w:vAlign w:val="bottom"/>
          </w:tcPr>
          <w:p w14:paraId="2DB0C0B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2,420 </w:t>
            </w:r>
          </w:p>
        </w:tc>
        <w:tc>
          <w:tcPr>
            <w:tcW w:w="1530" w:type="dxa"/>
            <w:shd w:val="clear" w:color="auto" w:fill="auto"/>
            <w:vAlign w:val="bottom"/>
          </w:tcPr>
          <w:p w14:paraId="70DDD191"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72AE6901" w14:textId="77777777" w:rsidTr="0013007A">
        <w:tblPrEx>
          <w:tblCellMar>
            <w:top w:w="0" w:type="dxa"/>
            <w:bottom w:w="0" w:type="dxa"/>
          </w:tblCellMar>
        </w:tblPrEx>
        <w:tc>
          <w:tcPr>
            <w:tcW w:w="5868" w:type="dxa"/>
            <w:shd w:val="clear" w:color="auto" w:fill="auto"/>
            <w:vAlign w:val="bottom"/>
          </w:tcPr>
          <w:p w14:paraId="6E5CDA61" w14:textId="77777777" w:rsidR="00850E7B" w:rsidRPr="00891E3A" w:rsidRDefault="00850E7B" w:rsidP="00067058">
            <w:pPr>
              <w:pStyle w:val="TableRowHead"/>
              <w:rPr>
                <w:lang w:val="en-GB" w:eastAsia="en-GB"/>
              </w:rPr>
            </w:pPr>
            <w:r w:rsidRPr="00891E3A">
              <w:rPr>
                <w:lang w:val="en-GB" w:eastAsia="en-GB"/>
              </w:rPr>
              <w:t>Information Materials, Part V Disability Act</w:t>
            </w:r>
          </w:p>
        </w:tc>
        <w:tc>
          <w:tcPr>
            <w:tcW w:w="1530" w:type="dxa"/>
            <w:shd w:val="clear" w:color="auto" w:fill="auto"/>
            <w:vAlign w:val="bottom"/>
          </w:tcPr>
          <w:p w14:paraId="7B329C31"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2,287 </w:t>
            </w:r>
          </w:p>
        </w:tc>
        <w:tc>
          <w:tcPr>
            <w:tcW w:w="1530" w:type="dxa"/>
            <w:shd w:val="clear" w:color="auto" w:fill="auto"/>
            <w:vAlign w:val="bottom"/>
          </w:tcPr>
          <w:p w14:paraId="5F9F05CD"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6,777 </w:t>
            </w:r>
          </w:p>
        </w:tc>
      </w:tr>
      <w:tr w:rsidR="00850E7B" w:rsidRPr="00F868E5" w14:paraId="50F556D6" w14:textId="77777777" w:rsidTr="0013007A">
        <w:tblPrEx>
          <w:tblCellMar>
            <w:top w:w="0" w:type="dxa"/>
            <w:bottom w:w="0" w:type="dxa"/>
          </w:tblCellMar>
        </w:tblPrEx>
        <w:tc>
          <w:tcPr>
            <w:tcW w:w="5868" w:type="dxa"/>
            <w:shd w:val="clear" w:color="auto" w:fill="auto"/>
            <w:vAlign w:val="bottom"/>
          </w:tcPr>
          <w:p w14:paraId="27FF3BE8" w14:textId="77777777" w:rsidR="00850E7B" w:rsidRPr="00891E3A" w:rsidRDefault="00850E7B" w:rsidP="00067058">
            <w:pPr>
              <w:pStyle w:val="TableRowHead"/>
              <w:rPr>
                <w:lang w:val="en-GB" w:eastAsia="en-GB"/>
              </w:rPr>
            </w:pPr>
            <w:r w:rsidRPr="00891E3A">
              <w:rPr>
                <w:lang w:val="en-GB" w:eastAsia="en-GB"/>
              </w:rPr>
              <w:t>Secondary School Guidance</w:t>
            </w:r>
          </w:p>
        </w:tc>
        <w:tc>
          <w:tcPr>
            <w:tcW w:w="1530" w:type="dxa"/>
            <w:shd w:val="clear" w:color="auto" w:fill="auto"/>
            <w:vAlign w:val="bottom"/>
          </w:tcPr>
          <w:p w14:paraId="05AA068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1,758 </w:t>
            </w:r>
          </w:p>
        </w:tc>
        <w:tc>
          <w:tcPr>
            <w:tcW w:w="1530" w:type="dxa"/>
            <w:shd w:val="clear" w:color="auto" w:fill="auto"/>
            <w:vAlign w:val="bottom"/>
          </w:tcPr>
          <w:p w14:paraId="66C93B5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1A1352A1" w14:textId="77777777" w:rsidTr="0013007A">
        <w:tblPrEx>
          <w:tblCellMar>
            <w:top w:w="0" w:type="dxa"/>
            <w:bottom w:w="0" w:type="dxa"/>
          </w:tblCellMar>
        </w:tblPrEx>
        <w:tc>
          <w:tcPr>
            <w:tcW w:w="5868" w:type="dxa"/>
            <w:shd w:val="clear" w:color="auto" w:fill="auto"/>
            <w:vAlign w:val="bottom"/>
          </w:tcPr>
          <w:p w14:paraId="6F11235C" w14:textId="77777777" w:rsidR="00850E7B" w:rsidRPr="00891E3A" w:rsidRDefault="00850E7B" w:rsidP="00067058">
            <w:pPr>
              <w:pStyle w:val="TableRowHead"/>
              <w:rPr>
                <w:lang w:val="en-GB" w:eastAsia="en-GB"/>
              </w:rPr>
            </w:pPr>
            <w:r w:rsidRPr="00891E3A">
              <w:rPr>
                <w:lang w:val="en-GB" w:eastAsia="en-GB"/>
              </w:rPr>
              <w:t>NDA Advertisement</w:t>
            </w:r>
          </w:p>
        </w:tc>
        <w:tc>
          <w:tcPr>
            <w:tcW w:w="1530" w:type="dxa"/>
            <w:shd w:val="clear" w:color="auto" w:fill="auto"/>
            <w:vAlign w:val="bottom"/>
          </w:tcPr>
          <w:p w14:paraId="7F86758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1,453 </w:t>
            </w:r>
          </w:p>
        </w:tc>
        <w:tc>
          <w:tcPr>
            <w:tcW w:w="1530" w:type="dxa"/>
            <w:shd w:val="clear" w:color="auto" w:fill="auto"/>
            <w:vAlign w:val="bottom"/>
          </w:tcPr>
          <w:p w14:paraId="6457DF0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62A27B28" w14:textId="77777777" w:rsidTr="0013007A">
        <w:tblPrEx>
          <w:tblCellMar>
            <w:top w:w="0" w:type="dxa"/>
            <w:bottom w:w="0" w:type="dxa"/>
          </w:tblCellMar>
        </w:tblPrEx>
        <w:tc>
          <w:tcPr>
            <w:tcW w:w="5868" w:type="dxa"/>
            <w:shd w:val="clear" w:color="auto" w:fill="auto"/>
            <w:vAlign w:val="bottom"/>
          </w:tcPr>
          <w:p w14:paraId="7255AA79" w14:textId="77777777" w:rsidR="00850E7B" w:rsidRPr="00891E3A" w:rsidRDefault="00850E7B" w:rsidP="00067058">
            <w:pPr>
              <w:pStyle w:val="TableRowHead"/>
              <w:rPr>
                <w:lang w:val="en-GB" w:eastAsia="en-GB"/>
              </w:rPr>
            </w:pPr>
            <w:r w:rsidRPr="00891E3A">
              <w:rPr>
                <w:lang w:val="en-GB" w:eastAsia="en-GB"/>
              </w:rPr>
              <w:t xml:space="preserve">Monitoring of the Implementation of Codes of Practice </w:t>
            </w:r>
          </w:p>
        </w:tc>
        <w:tc>
          <w:tcPr>
            <w:tcW w:w="1530" w:type="dxa"/>
            <w:shd w:val="clear" w:color="auto" w:fill="auto"/>
            <w:vAlign w:val="bottom"/>
          </w:tcPr>
          <w:p w14:paraId="5B79E8C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318 </w:t>
            </w:r>
          </w:p>
        </w:tc>
        <w:tc>
          <w:tcPr>
            <w:tcW w:w="1530" w:type="dxa"/>
            <w:shd w:val="clear" w:color="auto" w:fill="auto"/>
            <w:vAlign w:val="bottom"/>
          </w:tcPr>
          <w:p w14:paraId="6EE5029F"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1,393 </w:t>
            </w:r>
          </w:p>
        </w:tc>
      </w:tr>
      <w:tr w:rsidR="00850E7B" w:rsidRPr="00F868E5" w14:paraId="70D56CBB" w14:textId="77777777" w:rsidTr="0013007A">
        <w:tblPrEx>
          <w:tblCellMar>
            <w:top w:w="0" w:type="dxa"/>
            <w:bottom w:w="0" w:type="dxa"/>
          </w:tblCellMar>
        </w:tblPrEx>
        <w:tc>
          <w:tcPr>
            <w:tcW w:w="5868" w:type="dxa"/>
            <w:shd w:val="clear" w:color="auto" w:fill="auto"/>
            <w:vAlign w:val="bottom"/>
          </w:tcPr>
          <w:p w14:paraId="0E5B8EDE" w14:textId="77777777" w:rsidR="00850E7B" w:rsidRPr="00891E3A" w:rsidRDefault="00850E7B" w:rsidP="00067058">
            <w:pPr>
              <w:pStyle w:val="TableRowHead"/>
              <w:rPr>
                <w:lang w:val="en-GB" w:eastAsia="en-GB"/>
              </w:rPr>
            </w:pPr>
            <w:r w:rsidRPr="00891E3A">
              <w:rPr>
                <w:lang w:val="en-GB" w:eastAsia="en-GB"/>
              </w:rPr>
              <w:t>Rehabilitation International Roundtable</w:t>
            </w:r>
          </w:p>
        </w:tc>
        <w:tc>
          <w:tcPr>
            <w:tcW w:w="1530" w:type="dxa"/>
            <w:shd w:val="clear" w:color="auto" w:fill="auto"/>
            <w:vAlign w:val="bottom"/>
          </w:tcPr>
          <w:p w14:paraId="69848C4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196 </w:t>
            </w:r>
          </w:p>
        </w:tc>
        <w:tc>
          <w:tcPr>
            <w:tcW w:w="1530" w:type="dxa"/>
            <w:shd w:val="clear" w:color="auto" w:fill="auto"/>
            <w:vAlign w:val="bottom"/>
          </w:tcPr>
          <w:p w14:paraId="1D05568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6D1E8F66" w14:textId="77777777" w:rsidTr="0013007A">
        <w:tblPrEx>
          <w:tblCellMar>
            <w:top w:w="0" w:type="dxa"/>
            <w:bottom w:w="0" w:type="dxa"/>
          </w:tblCellMar>
        </w:tblPrEx>
        <w:tc>
          <w:tcPr>
            <w:tcW w:w="5868" w:type="dxa"/>
            <w:shd w:val="clear" w:color="auto" w:fill="auto"/>
            <w:vAlign w:val="bottom"/>
          </w:tcPr>
          <w:p w14:paraId="46B92D28" w14:textId="77777777" w:rsidR="00850E7B" w:rsidRPr="00891E3A" w:rsidRDefault="00850E7B" w:rsidP="00067058">
            <w:pPr>
              <w:pStyle w:val="TableRowHead"/>
              <w:rPr>
                <w:lang w:val="en-GB" w:eastAsia="en-GB"/>
              </w:rPr>
            </w:pPr>
            <w:r w:rsidRPr="00891E3A">
              <w:rPr>
                <w:lang w:val="en-GB" w:eastAsia="en-GB"/>
              </w:rPr>
              <w:t>Guidance on UD for Local Authorities</w:t>
            </w:r>
          </w:p>
        </w:tc>
        <w:tc>
          <w:tcPr>
            <w:tcW w:w="1530" w:type="dxa"/>
            <w:shd w:val="clear" w:color="auto" w:fill="auto"/>
            <w:vAlign w:val="bottom"/>
          </w:tcPr>
          <w:p w14:paraId="49062EA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64 </w:t>
            </w:r>
          </w:p>
        </w:tc>
        <w:tc>
          <w:tcPr>
            <w:tcW w:w="1530" w:type="dxa"/>
            <w:shd w:val="clear" w:color="auto" w:fill="auto"/>
            <w:vAlign w:val="bottom"/>
          </w:tcPr>
          <w:p w14:paraId="0D395FD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r>
      <w:tr w:rsidR="00850E7B" w:rsidRPr="00F868E5" w14:paraId="60FB04F6" w14:textId="77777777" w:rsidTr="0013007A">
        <w:tblPrEx>
          <w:tblCellMar>
            <w:top w:w="0" w:type="dxa"/>
            <w:bottom w:w="0" w:type="dxa"/>
          </w:tblCellMar>
        </w:tblPrEx>
        <w:tc>
          <w:tcPr>
            <w:tcW w:w="5868" w:type="dxa"/>
            <w:shd w:val="clear" w:color="auto" w:fill="auto"/>
            <w:vAlign w:val="bottom"/>
          </w:tcPr>
          <w:p w14:paraId="48702328" w14:textId="77777777" w:rsidR="00850E7B" w:rsidRPr="00891E3A" w:rsidRDefault="00850E7B" w:rsidP="00067058">
            <w:pPr>
              <w:pStyle w:val="TableRowHead"/>
              <w:rPr>
                <w:lang w:val="en-GB" w:eastAsia="en-GB"/>
              </w:rPr>
            </w:pPr>
            <w:r w:rsidRPr="00891E3A">
              <w:rPr>
                <w:lang w:val="en-GB" w:eastAsia="en-GB"/>
              </w:rPr>
              <w:t>Survey Module NDS Indicators</w:t>
            </w:r>
          </w:p>
        </w:tc>
        <w:tc>
          <w:tcPr>
            <w:tcW w:w="1530" w:type="dxa"/>
            <w:shd w:val="clear" w:color="auto" w:fill="auto"/>
            <w:vAlign w:val="bottom"/>
          </w:tcPr>
          <w:p w14:paraId="11018CF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38A055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19,773 </w:t>
            </w:r>
          </w:p>
        </w:tc>
      </w:tr>
      <w:tr w:rsidR="00850E7B" w:rsidRPr="00F868E5" w14:paraId="673A3394" w14:textId="77777777" w:rsidTr="0013007A">
        <w:tblPrEx>
          <w:tblCellMar>
            <w:top w:w="0" w:type="dxa"/>
            <w:bottom w:w="0" w:type="dxa"/>
          </w:tblCellMar>
        </w:tblPrEx>
        <w:tc>
          <w:tcPr>
            <w:tcW w:w="5868" w:type="dxa"/>
            <w:shd w:val="clear" w:color="auto" w:fill="auto"/>
            <w:vAlign w:val="bottom"/>
          </w:tcPr>
          <w:p w14:paraId="18FA39F8" w14:textId="77777777" w:rsidR="00850E7B" w:rsidRPr="00891E3A" w:rsidRDefault="00850E7B" w:rsidP="00067058">
            <w:pPr>
              <w:pStyle w:val="TableRowHead"/>
              <w:rPr>
                <w:lang w:val="en-GB" w:eastAsia="en-GB"/>
              </w:rPr>
            </w:pPr>
            <w:r w:rsidRPr="00891E3A">
              <w:rPr>
                <w:lang w:val="en-GB" w:eastAsia="en-GB"/>
              </w:rPr>
              <w:t xml:space="preserve">Strategic Plan </w:t>
            </w:r>
          </w:p>
        </w:tc>
        <w:tc>
          <w:tcPr>
            <w:tcW w:w="1530" w:type="dxa"/>
            <w:shd w:val="clear" w:color="auto" w:fill="auto"/>
            <w:vAlign w:val="bottom"/>
          </w:tcPr>
          <w:p w14:paraId="528EA87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5E116F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16,085 </w:t>
            </w:r>
          </w:p>
        </w:tc>
      </w:tr>
      <w:tr w:rsidR="00850E7B" w:rsidRPr="00F868E5" w14:paraId="745B259A" w14:textId="77777777" w:rsidTr="0013007A">
        <w:tblPrEx>
          <w:tblCellMar>
            <w:top w:w="0" w:type="dxa"/>
            <w:bottom w:w="0" w:type="dxa"/>
          </w:tblCellMar>
        </w:tblPrEx>
        <w:tc>
          <w:tcPr>
            <w:tcW w:w="5868" w:type="dxa"/>
            <w:shd w:val="clear" w:color="auto" w:fill="auto"/>
            <w:vAlign w:val="bottom"/>
          </w:tcPr>
          <w:p w14:paraId="3ED9A3A9" w14:textId="77777777" w:rsidR="00850E7B" w:rsidRPr="00891E3A" w:rsidRDefault="00850E7B" w:rsidP="00067058">
            <w:pPr>
              <w:pStyle w:val="TableRowHead"/>
              <w:rPr>
                <w:lang w:val="en-GB" w:eastAsia="en-GB"/>
              </w:rPr>
            </w:pPr>
            <w:r w:rsidRPr="00891E3A">
              <w:rPr>
                <w:lang w:val="en-GB" w:eastAsia="en-GB"/>
              </w:rPr>
              <w:t>Guidelines for Marine Transport Operators</w:t>
            </w:r>
          </w:p>
        </w:tc>
        <w:tc>
          <w:tcPr>
            <w:tcW w:w="1530" w:type="dxa"/>
            <w:shd w:val="clear" w:color="auto" w:fill="auto"/>
            <w:vAlign w:val="bottom"/>
          </w:tcPr>
          <w:p w14:paraId="3E685DA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4DD2ED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15,366 </w:t>
            </w:r>
          </w:p>
        </w:tc>
      </w:tr>
      <w:tr w:rsidR="00850E7B" w:rsidRPr="00F868E5" w14:paraId="297F8484" w14:textId="77777777" w:rsidTr="0013007A">
        <w:tblPrEx>
          <w:tblCellMar>
            <w:top w:w="0" w:type="dxa"/>
            <w:bottom w:w="0" w:type="dxa"/>
          </w:tblCellMar>
        </w:tblPrEx>
        <w:tc>
          <w:tcPr>
            <w:tcW w:w="5868" w:type="dxa"/>
            <w:shd w:val="clear" w:color="auto" w:fill="auto"/>
            <w:vAlign w:val="bottom"/>
          </w:tcPr>
          <w:p w14:paraId="67BE7EED" w14:textId="77777777" w:rsidR="00850E7B" w:rsidRPr="00891E3A" w:rsidRDefault="00850E7B" w:rsidP="00067058">
            <w:pPr>
              <w:pStyle w:val="TableRowHead"/>
              <w:rPr>
                <w:lang w:val="en-GB" w:eastAsia="en-GB"/>
              </w:rPr>
            </w:pPr>
            <w:r w:rsidRPr="00891E3A">
              <w:rPr>
                <w:lang w:val="en-GB" w:eastAsia="en-GB"/>
              </w:rPr>
              <w:t>Community Living</w:t>
            </w:r>
          </w:p>
        </w:tc>
        <w:tc>
          <w:tcPr>
            <w:tcW w:w="1530" w:type="dxa"/>
            <w:shd w:val="clear" w:color="auto" w:fill="auto"/>
            <w:vAlign w:val="bottom"/>
          </w:tcPr>
          <w:p w14:paraId="12183F3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73DD0C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12,017 </w:t>
            </w:r>
          </w:p>
        </w:tc>
      </w:tr>
      <w:tr w:rsidR="00850E7B" w:rsidRPr="00F868E5" w14:paraId="7A92C30D" w14:textId="77777777" w:rsidTr="0013007A">
        <w:tblPrEx>
          <w:tblCellMar>
            <w:top w:w="0" w:type="dxa"/>
            <w:bottom w:w="0" w:type="dxa"/>
          </w:tblCellMar>
        </w:tblPrEx>
        <w:tc>
          <w:tcPr>
            <w:tcW w:w="5868" w:type="dxa"/>
            <w:shd w:val="clear" w:color="auto" w:fill="auto"/>
            <w:vAlign w:val="bottom"/>
          </w:tcPr>
          <w:p w14:paraId="1C0B7919" w14:textId="77777777" w:rsidR="00850E7B" w:rsidRPr="00891E3A" w:rsidRDefault="00850E7B" w:rsidP="00067058">
            <w:pPr>
              <w:pStyle w:val="TableRowHead"/>
              <w:rPr>
                <w:lang w:val="en-GB" w:eastAsia="en-GB"/>
              </w:rPr>
            </w:pPr>
            <w:r w:rsidRPr="00891E3A">
              <w:rPr>
                <w:lang w:val="en-GB" w:eastAsia="en-GB"/>
              </w:rPr>
              <w:t>Universal Urban Design</w:t>
            </w:r>
          </w:p>
        </w:tc>
        <w:tc>
          <w:tcPr>
            <w:tcW w:w="1530" w:type="dxa"/>
            <w:shd w:val="clear" w:color="auto" w:fill="auto"/>
            <w:vAlign w:val="bottom"/>
          </w:tcPr>
          <w:p w14:paraId="7F316FF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26A09C2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9,875 </w:t>
            </w:r>
          </w:p>
        </w:tc>
      </w:tr>
      <w:tr w:rsidR="00850E7B" w:rsidRPr="00F868E5" w14:paraId="3FFAC8E6" w14:textId="77777777" w:rsidTr="0013007A">
        <w:tblPrEx>
          <w:tblCellMar>
            <w:top w:w="0" w:type="dxa"/>
            <w:bottom w:w="0" w:type="dxa"/>
          </w:tblCellMar>
        </w:tblPrEx>
        <w:tc>
          <w:tcPr>
            <w:tcW w:w="5868" w:type="dxa"/>
            <w:shd w:val="clear" w:color="auto" w:fill="auto"/>
            <w:vAlign w:val="bottom"/>
          </w:tcPr>
          <w:p w14:paraId="6B51CFD8" w14:textId="77777777" w:rsidR="00850E7B" w:rsidRPr="00891E3A" w:rsidRDefault="00850E7B" w:rsidP="00067058">
            <w:pPr>
              <w:pStyle w:val="TableRowHead"/>
              <w:rPr>
                <w:lang w:val="en-GB" w:eastAsia="en-GB"/>
              </w:rPr>
            </w:pPr>
            <w:r w:rsidRPr="00891E3A">
              <w:rPr>
                <w:lang w:val="en-GB" w:eastAsia="en-GB"/>
              </w:rPr>
              <w:t>CEUD Website Design</w:t>
            </w:r>
          </w:p>
        </w:tc>
        <w:tc>
          <w:tcPr>
            <w:tcW w:w="1530" w:type="dxa"/>
            <w:shd w:val="clear" w:color="auto" w:fill="auto"/>
            <w:vAlign w:val="bottom"/>
          </w:tcPr>
          <w:p w14:paraId="3C9F70B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BB37E2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9,401 </w:t>
            </w:r>
          </w:p>
        </w:tc>
      </w:tr>
      <w:tr w:rsidR="00850E7B" w:rsidRPr="00F868E5" w14:paraId="38DC00FD" w14:textId="77777777" w:rsidTr="0013007A">
        <w:tblPrEx>
          <w:tblCellMar>
            <w:top w:w="0" w:type="dxa"/>
            <w:bottom w:w="0" w:type="dxa"/>
          </w:tblCellMar>
        </w:tblPrEx>
        <w:tc>
          <w:tcPr>
            <w:tcW w:w="5868" w:type="dxa"/>
            <w:shd w:val="clear" w:color="auto" w:fill="auto"/>
            <w:vAlign w:val="bottom"/>
          </w:tcPr>
          <w:p w14:paraId="12FA04A3" w14:textId="77777777" w:rsidR="00850E7B" w:rsidRPr="00891E3A" w:rsidRDefault="00850E7B" w:rsidP="00067058">
            <w:pPr>
              <w:pStyle w:val="TableRowHead"/>
              <w:rPr>
                <w:lang w:val="en-GB" w:eastAsia="en-GB"/>
              </w:rPr>
            </w:pPr>
            <w:r w:rsidRPr="00891E3A">
              <w:rPr>
                <w:lang w:val="en-GB" w:eastAsia="en-GB"/>
              </w:rPr>
              <w:t>Jobs Retention Guidelines</w:t>
            </w:r>
          </w:p>
        </w:tc>
        <w:tc>
          <w:tcPr>
            <w:tcW w:w="1530" w:type="dxa"/>
            <w:shd w:val="clear" w:color="auto" w:fill="auto"/>
            <w:vAlign w:val="bottom"/>
          </w:tcPr>
          <w:p w14:paraId="1C9095F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71D5F9C5"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8,103 </w:t>
            </w:r>
          </w:p>
        </w:tc>
      </w:tr>
      <w:tr w:rsidR="00850E7B" w:rsidRPr="00F868E5" w14:paraId="6DB5804D" w14:textId="77777777" w:rsidTr="0013007A">
        <w:tblPrEx>
          <w:tblCellMar>
            <w:top w:w="0" w:type="dxa"/>
            <w:bottom w:w="0" w:type="dxa"/>
          </w:tblCellMar>
        </w:tblPrEx>
        <w:tc>
          <w:tcPr>
            <w:tcW w:w="5868" w:type="dxa"/>
            <w:shd w:val="clear" w:color="auto" w:fill="auto"/>
            <w:vAlign w:val="bottom"/>
          </w:tcPr>
          <w:p w14:paraId="6B1EBEA7" w14:textId="77777777" w:rsidR="00850E7B" w:rsidRPr="00891E3A" w:rsidRDefault="00850E7B" w:rsidP="00067058">
            <w:pPr>
              <w:pStyle w:val="TableRowHead"/>
              <w:rPr>
                <w:lang w:val="en-GB" w:eastAsia="en-GB"/>
              </w:rPr>
            </w:pPr>
            <w:r w:rsidRPr="00891E3A">
              <w:rPr>
                <w:lang w:val="en-GB" w:eastAsia="en-GB"/>
              </w:rPr>
              <w:lastRenderedPageBreak/>
              <w:t>Representation of people with disabilities in media</w:t>
            </w:r>
          </w:p>
        </w:tc>
        <w:tc>
          <w:tcPr>
            <w:tcW w:w="1530" w:type="dxa"/>
            <w:shd w:val="clear" w:color="auto" w:fill="auto"/>
            <w:vAlign w:val="bottom"/>
          </w:tcPr>
          <w:p w14:paraId="1584F73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290CDE3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6,549 </w:t>
            </w:r>
          </w:p>
        </w:tc>
      </w:tr>
      <w:tr w:rsidR="00850E7B" w:rsidRPr="00F868E5" w14:paraId="50C77D16" w14:textId="77777777" w:rsidTr="0013007A">
        <w:tblPrEx>
          <w:tblCellMar>
            <w:top w:w="0" w:type="dxa"/>
            <w:bottom w:w="0" w:type="dxa"/>
          </w:tblCellMar>
        </w:tblPrEx>
        <w:tc>
          <w:tcPr>
            <w:tcW w:w="5868" w:type="dxa"/>
            <w:shd w:val="clear" w:color="auto" w:fill="auto"/>
            <w:vAlign w:val="bottom"/>
          </w:tcPr>
          <w:p w14:paraId="6707FD23" w14:textId="77777777" w:rsidR="00850E7B" w:rsidRPr="00891E3A" w:rsidRDefault="00850E7B" w:rsidP="00067058">
            <w:pPr>
              <w:pStyle w:val="TableRowHead"/>
              <w:rPr>
                <w:lang w:val="en-GB" w:eastAsia="en-GB"/>
              </w:rPr>
            </w:pPr>
            <w:r w:rsidRPr="00891E3A">
              <w:rPr>
                <w:lang w:val="en-GB" w:eastAsia="en-GB"/>
              </w:rPr>
              <w:t>RPS Cultural Psychiatry</w:t>
            </w:r>
          </w:p>
        </w:tc>
        <w:tc>
          <w:tcPr>
            <w:tcW w:w="1530" w:type="dxa"/>
            <w:shd w:val="clear" w:color="auto" w:fill="auto"/>
            <w:vAlign w:val="bottom"/>
          </w:tcPr>
          <w:p w14:paraId="3887089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2F61AA1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6,250 </w:t>
            </w:r>
          </w:p>
        </w:tc>
      </w:tr>
      <w:tr w:rsidR="00850E7B" w:rsidRPr="00F868E5" w14:paraId="0AAA1DA3" w14:textId="77777777" w:rsidTr="0013007A">
        <w:tblPrEx>
          <w:tblCellMar>
            <w:top w:w="0" w:type="dxa"/>
            <w:bottom w:w="0" w:type="dxa"/>
          </w:tblCellMar>
        </w:tblPrEx>
        <w:tc>
          <w:tcPr>
            <w:tcW w:w="5868" w:type="dxa"/>
            <w:shd w:val="clear" w:color="auto" w:fill="auto"/>
            <w:vAlign w:val="bottom"/>
          </w:tcPr>
          <w:p w14:paraId="1016A670" w14:textId="77777777" w:rsidR="00850E7B" w:rsidRPr="00891E3A" w:rsidRDefault="00850E7B" w:rsidP="00067058">
            <w:pPr>
              <w:pStyle w:val="TableRowHead"/>
              <w:rPr>
                <w:lang w:val="en-GB" w:eastAsia="en-GB"/>
              </w:rPr>
            </w:pPr>
            <w:r w:rsidRPr="00891E3A">
              <w:rPr>
                <w:lang w:val="en-GB" w:eastAsia="en-GB"/>
              </w:rPr>
              <w:t>Literature Review</w:t>
            </w:r>
          </w:p>
        </w:tc>
        <w:tc>
          <w:tcPr>
            <w:tcW w:w="1530" w:type="dxa"/>
            <w:shd w:val="clear" w:color="auto" w:fill="auto"/>
            <w:vAlign w:val="bottom"/>
          </w:tcPr>
          <w:p w14:paraId="4FFBCA5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98D3EAD"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5,237 </w:t>
            </w:r>
          </w:p>
        </w:tc>
      </w:tr>
      <w:tr w:rsidR="00850E7B" w:rsidRPr="00F868E5" w14:paraId="05A766A9" w14:textId="77777777" w:rsidTr="0013007A">
        <w:tblPrEx>
          <w:tblCellMar>
            <w:top w:w="0" w:type="dxa"/>
            <w:bottom w:w="0" w:type="dxa"/>
          </w:tblCellMar>
        </w:tblPrEx>
        <w:tc>
          <w:tcPr>
            <w:tcW w:w="5868" w:type="dxa"/>
            <w:shd w:val="clear" w:color="auto" w:fill="auto"/>
            <w:vAlign w:val="bottom"/>
          </w:tcPr>
          <w:p w14:paraId="3B3F9ED4" w14:textId="77777777" w:rsidR="00850E7B" w:rsidRPr="00891E3A" w:rsidRDefault="00850E7B" w:rsidP="00067058">
            <w:pPr>
              <w:pStyle w:val="TableRowHead"/>
              <w:rPr>
                <w:lang w:val="en-GB" w:eastAsia="en-GB"/>
              </w:rPr>
            </w:pPr>
            <w:r w:rsidRPr="00891E3A">
              <w:rPr>
                <w:lang w:val="en-GB" w:eastAsia="en-GB"/>
              </w:rPr>
              <w:t xml:space="preserve">WHO Measuring Health </w:t>
            </w:r>
            <w:proofErr w:type="gramStart"/>
            <w:r w:rsidRPr="00891E3A">
              <w:rPr>
                <w:lang w:val="en-GB" w:eastAsia="en-GB"/>
              </w:rPr>
              <w:t>And</w:t>
            </w:r>
            <w:proofErr w:type="gramEnd"/>
            <w:r w:rsidRPr="00891E3A">
              <w:rPr>
                <w:lang w:val="en-GB" w:eastAsia="en-GB"/>
              </w:rPr>
              <w:t xml:space="preserve"> Disability In </w:t>
            </w:r>
            <w:smartTag w:uri="urn:schemas-microsoft-com:office:smarttags" w:element="place">
              <w:r w:rsidRPr="00891E3A">
                <w:rPr>
                  <w:lang w:val="en-GB" w:eastAsia="en-GB"/>
                </w:rPr>
                <w:t>Europe</w:t>
              </w:r>
            </w:smartTag>
            <w:r w:rsidRPr="00891E3A">
              <w:rPr>
                <w:lang w:val="en-GB" w:eastAsia="en-GB"/>
              </w:rPr>
              <w:t xml:space="preserve"> EU Funded</w:t>
            </w:r>
          </w:p>
        </w:tc>
        <w:tc>
          <w:tcPr>
            <w:tcW w:w="1530" w:type="dxa"/>
            <w:shd w:val="clear" w:color="auto" w:fill="auto"/>
            <w:vAlign w:val="bottom"/>
          </w:tcPr>
          <w:p w14:paraId="12BCEFB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75457BB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5,041 </w:t>
            </w:r>
          </w:p>
        </w:tc>
      </w:tr>
      <w:tr w:rsidR="00850E7B" w:rsidRPr="00F868E5" w14:paraId="0C722D49" w14:textId="77777777" w:rsidTr="0013007A">
        <w:tblPrEx>
          <w:tblCellMar>
            <w:top w:w="0" w:type="dxa"/>
            <w:bottom w:w="0" w:type="dxa"/>
          </w:tblCellMar>
        </w:tblPrEx>
        <w:tc>
          <w:tcPr>
            <w:tcW w:w="5868" w:type="dxa"/>
            <w:shd w:val="clear" w:color="auto" w:fill="auto"/>
            <w:vAlign w:val="bottom"/>
          </w:tcPr>
          <w:p w14:paraId="021A12C7" w14:textId="77777777" w:rsidR="00850E7B" w:rsidRPr="00891E3A" w:rsidRDefault="00850E7B" w:rsidP="00067058">
            <w:pPr>
              <w:pStyle w:val="TableRowHead"/>
              <w:rPr>
                <w:lang w:val="en-GB" w:eastAsia="en-GB"/>
              </w:rPr>
            </w:pPr>
            <w:r w:rsidRPr="00891E3A">
              <w:rPr>
                <w:lang w:val="en-GB" w:eastAsia="en-GB"/>
              </w:rPr>
              <w:t>Mental Capacity Conference</w:t>
            </w:r>
          </w:p>
        </w:tc>
        <w:tc>
          <w:tcPr>
            <w:tcW w:w="1530" w:type="dxa"/>
            <w:shd w:val="clear" w:color="auto" w:fill="auto"/>
            <w:vAlign w:val="bottom"/>
          </w:tcPr>
          <w:p w14:paraId="3D4F044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1B64FE0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4,987 </w:t>
            </w:r>
          </w:p>
        </w:tc>
      </w:tr>
      <w:tr w:rsidR="00850E7B" w:rsidRPr="00F868E5" w14:paraId="76301121" w14:textId="77777777" w:rsidTr="0013007A">
        <w:tblPrEx>
          <w:tblCellMar>
            <w:top w:w="0" w:type="dxa"/>
            <w:bottom w:w="0" w:type="dxa"/>
          </w:tblCellMar>
        </w:tblPrEx>
        <w:tc>
          <w:tcPr>
            <w:tcW w:w="5868" w:type="dxa"/>
            <w:shd w:val="clear" w:color="auto" w:fill="auto"/>
            <w:vAlign w:val="bottom"/>
          </w:tcPr>
          <w:p w14:paraId="133FFBB9" w14:textId="77777777" w:rsidR="00850E7B" w:rsidRPr="00891E3A" w:rsidRDefault="00850E7B" w:rsidP="00067058">
            <w:pPr>
              <w:pStyle w:val="TableRowHead"/>
              <w:rPr>
                <w:lang w:val="en-GB" w:eastAsia="en-GB"/>
              </w:rPr>
            </w:pPr>
            <w:r w:rsidRPr="00891E3A">
              <w:rPr>
                <w:lang w:val="en-GB" w:eastAsia="en-GB"/>
              </w:rPr>
              <w:t>Access Officer Conference</w:t>
            </w:r>
          </w:p>
        </w:tc>
        <w:tc>
          <w:tcPr>
            <w:tcW w:w="1530" w:type="dxa"/>
            <w:shd w:val="clear" w:color="auto" w:fill="auto"/>
            <w:vAlign w:val="bottom"/>
          </w:tcPr>
          <w:p w14:paraId="18A8B68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1B6E6BF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3,875 </w:t>
            </w:r>
          </w:p>
        </w:tc>
      </w:tr>
      <w:tr w:rsidR="00850E7B" w:rsidRPr="00F868E5" w14:paraId="6444F769" w14:textId="77777777" w:rsidTr="0013007A">
        <w:tblPrEx>
          <w:tblCellMar>
            <w:top w:w="0" w:type="dxa"/>
            <w:bottom w:w="0" w:type="dxa"/>
          </w:tblCellMar>
        </w:tblPrEx>
        <w:tc>
          <w:tcPr>
            <w:tcW w:w="5868" w:type="dxa"/>
            <w:shd w:val="clear" w:color="auto" w:fill="auto"/>
            <w:vAlign w:val="bottom"/>
          </w:tcPr>
          <w:p w14:paraId="2D0E269C" w14:textId="77777777" w:rsidR="00850E7B" w:rsidRPr="00891E3A" w:rsidRDefault="00850E7B" w:rsidP="00067058">
            <w:pPr>
              <w:pStyle w:val="TableRowHead"/>
              <w:rPr>
                <w:lang w:val="en-GB" w:eastAsia="en-GB"/>
              </w:rPr>
            </w:pPr>
            <w:r w:rsidRPr="00891E3A">
              <w:rPr>
                <w:lang w:val="en-GB" w:eastAsia="en-GB"/>
              </w:rPr>
              <w:t xml:space="preserve">Research into Disability Research Ethics </w:t>
            </w:r>
          </w:p>
        </w:tc>
        <w:tc>
          <w:tcPr>
            <w:tcW w:w="1530" w:type="dxa"/>
            <w:shd w:val="clear" w:color="auto" w:fill="auto"/>
            <w:vAlign w:val="bottom"/>
          </w:tcPr>
          <w:p w14:paraId="12EBFFD3"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2C1EA4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1,474 </w:t>
            </w:r>
          </w:p>
        </w:tc>
      </w:tr>
      <w:tr w:rsidR="00850E7B" w:rsidRPr="00F868E5" w14:paraId="14E3378F" w14:textId="77777777" w:rsidTr="0013007A">
        <w:tblPrEx>
          <w:tblCellMar>
            <w:top w:w="0" w:type="dxa"/>
            <w:bottom w:w="0" w:type="dxa"/>
          </w:tblCellMar>
        </w:tblPrEx>
        <w:tc>
          <w:tcPr>
            <w:tcW w:w="5868" w:type="dxa"/>
            <w:shd w:val="clear" w:color="auto" w:fill="auto"/>
            <w:vAlign w:val="bottom"/>
          </w:tcPr>
          <w:p w14:paraId="44D466A4" w14:textId="77777777" w:rsidR="00850E7B" w:rsidRPr="00891E3A" w:rsidRDefault="00850E7B" w:rsidP="00067058">
            <w:pPr>
              <w:pStyle w:val="TableRowHead"/>
              <w:rPr>
                <w:lang w:val="en-GB" w:eastAsia="en-GB"/>
              </w:rPr>
            </w:pPr>
            <w:r w:rsidRPr="00891E3A">
              <w:rPr>
                <w:lang w:val="en-GB" w:eastAsia="en-GB"/>
              </w:rPr>
              <w:t>European Observatory Conference</w:t>
            </w:r>
          </w:p>
        </w:tc>
        <w:tc>
          <w:tcPr>
            <w:tcW w:w="1530" w:type="dxa"/>
            <w:shd w:val="clear" w:color="auto" w:fill="auto"/>
            <w:vAlign w:val="bottom"/>
          </w:tcPr>
          <w:p w14:paraId="237276D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7946316E"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1,344 </w:t>
            </w:r>
          </w:p>
        </w:tc>
      </w:tr>
      <w:tr w:rsidR="00850E7B" w:rsidRPr="00F868E5" w14:paraId="34F2FC04" w14:textId="77777777" w:rsidTr="0013007A">
        <w:tblPrEx>
          <w:tblCellMar>
            <w:top w:w="0" w:type="dxa"/>
            <w:bottom w:w="0" w:type="dxa"/>
          </w:tblCellMar>
        </w:tblPrEx>
        <w:tc>
          <w:tcPr>
            <w:tcW w:w="5868" w:type="dxa"/>
            <w:shd w:val="clear" w:color="auto" w:fill="auto"/>
            <w:vAlign w:val="bottom"/>
          </w:tcPr>
          <w:p w14:paraId="6BD72052" w14:textId="77777777" w:rsidR="00850E7B" w:rsidRPr="00891E3A" w:rsidRDefault="00850E7B" w:rsidP="00067058">
            <w:pPr>
              <w:pStyle w:val="TableRowHead"/>
              <w:rPr>
                <w:lang w:val="en-GB" w:eastAsia="en-GB"/>
              </w:rPr>
            </w:pPr>
            <w:r w:rsidRPr="00891E3A">
              <w:rPr>
                <w:lang w:val="en-GB" w:eastAsia="en-GB"/>
              </w:rPr>
              <w:t>ICT Procurement seminar</w:t>
            </w:r>
          </w:p>
        </w:tc>
        <w:tc>
          <w:tcPr>
            <w:tcW w:w="1530" w:type="dxa"/>
            <w:shd w:val="clear" w:color="auto" w:fill="auto"/>
            <w:vAlign w:val="bottom"/>
          </w:tcPr>
          <w:p w14:paraId="36FFCC8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E56D9E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1,094 </w:t>
            </w:r>
          </w:p>
        </w:tc>
      </w:tr>
      <w:tr w:rsidR="00850E7B" w:rsidRPr="00F868E5" w14:paraId="0FD6CB2A" w14:textId="77777777" w:rsidTr="0013007A">
        <w:tblPrEx>
          <w:tblCellMar>
            <w:top w:w="0" w:type="dxa"/>
            <w:bottom w:w="0" w:type="dxa"/>
          </w:tblCellMar>
        </w:tblPrEx>
        <w:tc>
          <w:tcPr>
            <w:tcW w:w="5868" w:type="dxa"/>
            <w:shd w:val="clear" w:color="auto" w:fill="auto"/>
            <w:vAlign w:val="bottom"/>
          </w:tcPr>
          <w:p w14:paraId="68BAF1A7" w14:textId="77777777" w:rsidR="00850E7B" w:rsidRPr="00891E3A" w:rsidRDefault="00850E7B" w:rsidP="00067058">
            <w:pPr>
              <w:pStyle w:val="TableRowHead"/>
              <w:rPr>
                <w:lang w:val="en-GB" w:eastAsia="en-GB"/>
              </w:rPr>
            </w:pPr>
            <w:r w:rsidRPr="00891E3A">
              <w:rPr>
                <w:lang w:val="en-GB" w:eastAsia="en-GB"/>
              </w:rPr>
              <w:t>Lifetime Adaptable Housing</w:t>
            </w:r>
          </w:p>
        </w:tc>
        <w:tc>
          <w:tcPr>
            <w:tcW w:w="1530" w:type="dxa"/>
            <w:shd w:val="clear" w:color="auto" w:fill="auto"/>
            <w:vAlign w:val="bottom"/>
          </w:tcPr>
          <w:p w14:paraId="66D58974"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290715A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833 </w:t>
            </w:r>
          </w:p>
        </w:tc>
      </w:tr>
      <w:tr w:rsidR="00850E7B" w:rsidRPr="00F868E5" w14:paraId="716A538D" w14:textId="77777777" w:rsidTr="0013007A">
        <w:tblPrEx>
          <w:tblCellMar>
            <w:top w:w="0" w:type="dxa"/>
            <w:bottom w:w="0" w:type="dxa"/>
          </w:tblCellMar>
        </w:tblPrEx>
        <w:tc>
          <w:tcPr>
            <w:tcW w:w="5868" w:type="dxa"/>
            <w:shd w:val="clear" w:color="auto" w:fill="auto"/>
            <w:vAlign w:val="bottom"/>
          </w:tcPr>
          <w:p w14:paraId="3E3CCAC6" w14:textId="77777777" w:rsidR="00850E7B" w:rsidRPr="00891E3A" w:rsidRDefault="00850E7B" w:rsidP="00067058">
            <w:pPr>
              <w:pStyle w:val="TableRowHead"/>
              <w:rPr>
                <w:lang w:val="en-GB" w:eastAsia="en-GB"/>
              </w:rPr>
            </w:pPr>
            <w:r w:rsidRPr="00891E3A">
              <w:rPr>
                <w:lang w:val="en-GB" w:eastAsia="en-GB"/>
              </w:rPr>
              <w:t>HTML website accessible Conversions</w:t>
            </w:r>
          </w:p>
        </w:tc>
        <w:tc>
          <w:tcPr>
            <w:tcW w:w="1530" w:type="dxa"/>
            <w:shd w:val="clear" w:color="auto" w:fill="auto"/>
            <w:vAlign w:val="bottom"/>
          </w:tcPr>
          <w:p w14:paraId="3D3BD07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3AB94A7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798 </w:t>
            </w:r>
          </w:p>
        </w:tc>
      </w:tr>
      <w:tr w:rsidR="00850E7B" w:rsidRPr="00F868E5" w14:paraId="2066B457" w14:textId="77777777" w:rsidTr="0013007A">
        <w:tblPrEx>
          <w:tblCellMar>
            <w:top w:w="0" w:type="dxa"/>
            <w:bottom w:w="0" w:type="dxa"/>
          </w:tblCellMar>
        </w:tblPrEx>
        <w:tc>
          <w:tcPr>
            <w:tcW w:w="5868" w:type="dxa"/>
            <w:shd w:val="clear" w:color="auto" w:fill="auto"/>
            <w:vAlign w:val="bottom"/>
          </w:tcPr>
          <w:p w14:paraId="17143B64" w14:textId="77777777" w:rsidR="00850E7B" w:rsidRPr="00891E3A" w:rsidRDefault="00850E7B" w:rsidP="00067058">
            <w:pPr>
              <w:pStyle w:val="TableRowHead"/>
              <w:rPr>
                <w:lang w:val="en-GB" w:eastAsia="en-GB"/>
              </w:rPr>
            </w:pPr>
            <w:r w:rsidRPr="00891E3A">
              <w:rPr>
                <w:lang w:val="en-GB" w:eastAsia="en-GB"/>
              </w:rPr>
              <w:t xml:space="preserve">Centre for Excellence in Universal </w:t>
            </w:r>
            <w:proofErr w:type="gramStart"/>
            <w:r w:rsidRPr="00891E3A">
              <w:rPr>
                <w:lang w:val="en-GB" w:eastAsia="en-GB"/>
              </w:rPr>
              <w:t>Design  Conference</w:t>
            </w:r>
            <w:proofErr w:type="gramEnd"/>
          </w:p>
        </w:tc>
        <w:tc>
          <w:tcPr>
            <w:tcW w:w="1530" w:type="dxa"/>
            <w:shd w:val="clear" w:color="auto" w:fill="auto"/>
            <w:vAlign w:val="bottom"/>
          </w:tcPr>
          <w:p w14:paraId="7E3725D8"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24B3CA5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619 </w:t>
            </w:r>
          </w:p>
        </w:tc>
      </w:tr>
      <w:tr w:rsidR="00850E7B" w:rsidRPr="00F868E5" w14:paraId="22E0F8E2" w14:textId="77777777" w:rsidTr="0013007A">
        <w:tblPrEx>
          <w:tblCellMar>
            <w:top w:w="0" w:type="dxa"/>
            <w:bottom w:w="0" w:type="dxa"/>
          </w:tblCellMar>
        </w:tblPrEx>
        <w:tc>
          <w:tcPr>
            <w:tcW w:w="5868" w:type="dxa"/>
            <w:shd w:val="clear" w:color="auto" w:fill="auto"/>
            <w:vAlign w:val="bottom"/>
          </w:tcPr>
          <w:p w14:paraId="1F2138B0" w14:textId="77777777" w:rsidR="00850E7B" w:rsidRPr="00891E3A" w:rsidRDefault="00850E7B" w:rsidP="00067058">
            <w:pPr>
              <w:pStyle w:val="TableRowHead"/>
              <w:rPr>
                <w:lang w:val="en-GB" w:eastAsia="en-GB"/>
              </w:rPr>
            </w:pPr>
            <w:r w:rsidRPr="00891E3A">
              <w:rPr>
                <w:lang w:val="en-GB" w:eastAsia="en-GB"/>
              </w:rPr>
              <w:t>ETA Intranet</w:t>
            </w:r>
          </w:p>
        </w:tc>
        <w:tc>
          <w:tcPr>
            <w:tcW w:w="1530" w:type="dxa"/>
            <w:shd w:val="clear" w:color="auto" w:fill="auto"/>
            <w:vAlign w:val="bottom"/>
          </w:tcPr>
          <w:p w14:paraId="58886B9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49352ED"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474 </w:t>
            </w:r>
          </w:p>
        </w:tc>
      </w:tr>
      <w:tr w:rsidR="00850E7B" w:rsidRPr="00F868E5" w14:paraId="64A725E7" w14:textId="77777777" w:rsidTr="0013007A">
        <w:tblPrEx>
          <w:tblCellMar>
            <w:top w:w="0" w:type="dxa"/>
            <w:bottom w:w="0" w:type="dxa"/>
          </w:tblCellMar>
        </w:tblPrEx>
        <w:tc>
          <w:tcPr>
            <w:tcW w:w="5868" w:type="dxa"/>
            <w:shd w:val="clear" w:color="auto" w:fill="auto"/>
            <w:vAlign w:val="bottom"/>
          </w:tcPr>
          <w:p w14:paraId="2BB8C514" w14:textId="77777777" w:rsidR="00850E7B" w:rsidRPr="00891E3A" w:rsidRDefault="00850E7B" w:rsidP="00067058">
            <w:pPr>
              <w:pStyle w:val="TableRowHead"/>
              <w:rPr>
                <w:lang w:val="en-GB" w:eastAsia="en-GB"/>
              </w:rPr>
            </w:pPr>
            <w:r w:rsidRPr="00891E3A">
              <w:rPr>
                <w:lang w:val="en-GB" w:eastAsia="en-GB"/>
              </w:rPr>
              <w:t>Mental Health Advisory Committee</w:t>
            </w:r>
          </w:p>
        </w:tc>
        <w:tc>
          <w:tcPr>
            <w:tcW w:w="1530" w:type="dxa"/>
            <w:shd w:val="clear" w:color="auto" w:fill="auto"/>
            <w:vAlign w:val="bottom"/>
          </w:tcPr>
          <w:p w14:paraId="6A6D54F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7F61C3F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413 </w:t>
            </w:r>
          </w:p>
        </w:tc>
      </w:tr>
      <w:tr w:rsidR="00850E7B" w:rsidRPr="00F868E5" w14:paraId="0935B946" w14:textId="77777777" w:rsidTr="0013007A">
        <w:tblPrEx>
          <w:tblCellMar>
            <w:top w:w="0" w:type="dxa"/>
            <w:bottom w:w="0" w:type="dxa"/>
          </w:tblCellMar>
        </w:tblPrEx>
        <w:tc>
          <w:tcPr>
            <w:tcW w:w="5868" w:type="dxa"/>
            <w:shd w:val="clear" w:color="auto" w:fill="auto"/>
            <w:vAlign w:val="bottom"/>
          </w:tcPr>
          <w:p w14:paraId="7B660D05" w14:textId="77777777" w:rsidR="00850E7B" w:rsidRPr="00891E3A" w:rsidRDefault="00850E7B" w:rsidP="00067058">
            <w:pPr>
              <w:pStyle w:val="TableRowHead"/>
              <w:rPr>
                <w:lang w:val="en-GB" w:eastAsia="en-GB"/>
              </w:rPr>
            </w:pPr>
            <w:r w:rsidRPr="00891E3A">
              <w:rPr>
                <w:lang w:val="en-GB" w:eastAsia="en-GB"/>
              </w:rPr>
              <w:t>Access Officer Supports</w:t>
            </w:r>
          </w:p>
        </w:tc>
        <w:tc>
          <w:tcPr>
            <w:tcW w:w="1530" w:type="dxa"/>
            <w:shd w:val="clear" w:color="auto" w:fill="auto"/>
            <w:vAlign w:val="bottom"/>
          </w:tcPr>
          <w:p w14:paraId="150E6D8F"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658DBA6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401 </w:t>
            </w:r>
          </w:p>
        </w:tc>
      </w:tr>
      <w:tr w:rsidR="00850E7B" w:rsidRPr="00F868E5" w14:paraId="598F97EA" w14:textId="77777777" w:rsidTr="0013007A">
        <w:tblPrEx>
          <w:tblCellMar>
            <w:top w:w="0" w:type="dxa"/>
            <w:bottom w:w="0" w:type="dxa"/>
          </w:tblCellMar>
        </w:tblPrEx>
        <w:tc>
          <w:tcPr>
            <w:tcW w:w="5868" w:type="dxa"/>
            <w:shd w:val="clear" w:color="auto" w:fill="auto"/>
            <w:vAlign w:val="bottom"/>
          </w:tcPr>
          <w:p w14:paraId="6D116574" w14:textId="77777777" w:rsidR="00850E7B" w:rsidRPr="00891E3A" w:rsidRDefault="00850E7B" w:rsidP="00067058">
            <w:pPr>
              <w:pStyle w:val="TableRowHead"/>
              <w:rPr>
                <w:lang w:val="en-GB" w:eastAsia="en-GB"/>
              </w:rPr>
            </w:pPr>
            <w:r w:rsidRPr="00891E3A">
              <w:rPr>
                <w:lang w:val="en-GB" w:eastAsia="en-GB"/>
              </w:rPr>
              <w:t>COE Publication Launch</w:t>
            </w:r>
          </w:p>
        </w:tc>
        <w:tc>
          <w:tcPr>
            <w:tcW w:w="1530" w:type="dxa"/>
            <w:shd w:val="clear" w:color="auto" w:fill="auto"/>
            <w:vAlign w:val="bottom"/>
          </w:tcPr>
          <w:p w14:paraId="4F6E07B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4B2B5CB0"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365 </w:t>
            </w:r>
          </w:p>
        </w:tc>
      </w:tr>
      <w:tr w:rsidR="00850E7B" w:rsidRPr="00F868E5" w14:paraId="047213E7" w14:textId="77777777" w:rsidTr="0013007A">
        <w:tblPrEx>
          <w:tblCellMar>
            <w:top w:w="0" w:type="dxa"/>
            <w:bottom w:w="0" w:type="dxa"/>
          </w:tblCellMar>
        </w:tblPrEx>
        <w:tc>
          <w:tcPr>
            <w:tcW w:w="5868" w:type="dxa"/>
            <w:shd w:val="clear" w:color="auto" w:fill="auto"/>
            <w:vAlign w:val="bottom"/>
          </w:tcPr>
          <w:p w14:paraId="74C3CCE3" w14:textId="77777777" w:rsidR="00850E7B" w:rsidRPr="00891E3A" w:rsidRDefault="00850E7B" w:rsidP="00067058">
            <w:pPr>
              <w:pStyle w:val="TableRowHead"/>
              <w:rPr>
                <w:lang w:val="en-GB" w:eastAsia="en-GB"/>
              </w:rPr>
            </w:pPr>
            <w:r w:rsidRPr="00891E3A">
              <w:rPr>
                <w:lang w:val="en-GB" w:eastAsia="en-GB"/>
              </w:rPr>
              <w:t xml:space="preserve">Smart Card </w:t>
            </w:r>
            <w:r w:rsidR="0013007A">
              <w:rPr>
                <w:lang w:val="en-GB" w:eastAsia="en-GB"/>
              </w:rPr>
              <w:t>Workshop</w:t>
            </w:r>
          </w:p>
        </w:tc>
        <w:tc>
          <w:tcPr>
            <w:tcW w:w="1530" w:type="dxa"/>
            <w:shd w:val="clear" w:color="auto" w:fill="auto"/>
            <w:vAlign w:val="bottom"/>
          </w:tcPr>
          <w:p w14:paraId="16981B5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645DFAF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290 </w:t>
            </w:r>
          </w:p>
        </w:tc>
      </w:tr>
      <w:tr w:rsidR="00850E7B" w:rsidRPr="00F868E5" w14:paraId="154EDDFB" w14:textId="77777777" w:rsidTr="0013007A">
        <w:tblPrEx>
          <w:tblCellMar>
            <w:top w:w="0" w:type="dxa"/>
            <w:bottom w:w="0" w:type="dxa"/>
          </w:tblCellMar>
        </w:tblPrEx>
        <w:tc>
          <w:tcPr>
            <w:tcW w:w="5868" w:type="dxa"/>
            <w:shd w:val="clear" w:color="auto" w:fill="auto"/>
            <w:vAlign w:val="bottom"/>
          </w:tcPr>
          <w:p w14:paraId="2772388C" w14:textId="77777777" w:rsidR="00850E7B" w:rsidRPr="00891E3A" w:rsidRDefault="00850E7B" w:rsidP="00067058">
            <w:pPr>
              <w:pStyle w:val="TableRowHead"/>
              <w:rPr>
                <w:lang w:val="en-GB" w:eastAsia="en-GB"/>
              </w:rPr>
            </w:pPr>
            <w:r w:rsidRPr="00891E3A">
              <w:rPr>
                <w:lang w:val="en-GB" w:eastAsia="en-GB"/>
              </w:rPr>
              <w:t>Seminar UN convention</w:t>
            </w:r>
          </w:p>
        </w:tc>
        <w:tc>
          <w:tcPr>
            <w:tcW w:w="1530" w:type="dxa"/>
            <w:shd w:val="clear" w:color="auto" w:fill="auto"/>
            <w:vAlign w:val="bottom"/>
          </w:tcPr>
          <w:p w14:paraId="63F00C1A"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0B0D38F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287 </w:t>
            </w:r>
          </w:p>
        </w:tc>
      </w:tr>
      <w:tr w:rsidR="00850E7B" w:rsidRPr="00F868E5" w14:paraId="4B555289" w14:textId="77777777" w:rsidTr="0013007A">
        <w:tblPrEx>
          <w:tblCellMar>
            <w:top w:w="0" w:type="dxa"/>
            <w:bottom w:w="0" w:type="dxa"/>
          </w:tblCellMar>
        </w:tblPrEx>
        <w:tc>
          <w:tcPr>
            <w:tcW w:w="5868" w:type="dxa"/>
            <w:shd w:val="clear" w:color="auto" w:fill="auto"/>
            <w:vAlign w:val="bottom"/>
          </w:tcPr>
          <w:p w14:paraId="0DA6AAE5" w14:textId="77777777" w:rsidR="00850E7B" w:rsidRPr="00891E3A" w:rsidRDefault="00850E7B" w:rsidP="00067058">
            <w:pPr>
              <w:pStyle w:val="TableRowHead"/>
              <w:rPr>
                <w:lang w:val="en-GB" w:eastAsia="en-GB"/>
              </w:rPr>
            </w:pPr>
            <w:r w:rsidRPr="00891E3A">
              <w:rPr>
                <w:lang w:val="en-GB" w:eastAsia="en-GB"/>
              </w:rPr>
              <w:t>Challenging Attitudes to Mental Health Ad Campaign</w:t>
            </w:r>
          </w:p>
        </w:tc>
        <w:tc>
          <w:tcPr>
            <w:tcW w:w="1530" w:type="dxa"/>
            <w:shd w:val="clear" w:color="auto" w:fill="auto"/>
            <w:vAlign w:val="bottom"/>
          </w:tcPr>
          <w:p w14:paraId="4DF6DC5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126F1A6C"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(22)</w:t>
            </w:r>
          </w:p>
        </w:tc>
      </w:tr>
      <w:tr w:rsidR="00850E7B" w:rsidRPr="00F868E5" w14:paraId="379B4B95" w14:textId="77777777" w:rsidTr="0013007A">
        <w:tblPrEx>
          <w:tblCellMar>
            <w:top w:w="0" w:type="dxa"/>
            <w:bottom w:w="0" w:type="dxa"/>
          </w:tblCellMar>
        </w:tblPrEx>
        <w:tc>
          <w:tcPr>
            <w:tcW w:w="5868" w:type="dxa"/>
            <w:shd w:val="clear" w:color="auto" w:fill="auto"/>
            <w:vAlign w:val="bottom"/>
          </w:tcPr>
          <w:p w14:paraId="234C3F8B" w14:textId="77777777" w:rsidR="00850E7B" w:rsidRPr="00891E3A" w:rsidRDefault="00850E7B" w:rsidP="00067058">
            <w:pPr>
              <w:pStyle w:val="TableRowHead"/>
              <w:rPr>
                <w:lang w:val="en-GB" w:eastAsia="en-GB"/>
              </w:rPr>
            </w:pPr>
            <w:r w:rsidRPr="00891E3A">
              <w:rPr>
                <w:lang w:val="en-GB" w:eastAsia="en-GB"/>
              </w:rPr>
              <w:t>NRB Scholarships</w:t>
            </w:r>
          </w:p>
        </w:tc>
        <w:tc>
          <w:tcPr>
            <w:tcW w:w="1530" w:type="dxa"/>
            <w:shd w:val="clear" w:color="auto" w:fill="auto"/>
            <w:vAlign w:val="bottom"/>
          </w:tcPr>
          <w:p w14:paraId="3F2E6EF2"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0 </w:t>
            </w:r>
          </w:p>
        </w:tc>
        <w:tc>
          <w:tcPr>
            <w:tcW w:w="1530" w:type="dxa"/>
            <w:shd w:val="clear" w:color="auto" w:fill="auto"/>
            <w:vAlign w:val="bottom"/>
          </w:tcPr>
          <w:p w14:paraId="7362FD46"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(14,484)</w:t>
            </w:r>
          </w:p>
        </w:tc>
      </w:tr>
      <w:tr w:rsidR="00850E7B" w:rsidRPr="00F868E5" w14:paraId="0F87333B" w14:textId="77777777" w:rsidTr="0013007A">
        <w:tblPrEx>
          <w:tblCellMar>
            <w:top w:w="0" w:type="dxa"/>
            <w:bottom w:w="0" w:type="dxa"/>
          </w:tblCellMar>
        </w:tblPrEx>
        <w:tc>
          <w:tcPr>
            <w:tcW w:w="5868" w:type="dxa"/>
            <w:shd w:val="clear" w:color="auto" w:fill="auto"/>
            <w:vAlign w:val="bottom"/>
          </w:tcPr>
          <w:p w14:paraId="5BAF755C" w14:textId="77777777" w:rsidR="00850E7B" w:rsidRPr="00891E3A" w:rsidRDefault="00850E7B" w:rsidP="00067058">
            <w:pPr>
              <w:pStyle w:val="TableRowHead"/>
              <w:rPr>
                <w:lang w:val="en-GB" w:eastAsia="en-GB"/>
              </w:rPr>
            </w:pPr>
            <w:r w:rsidRPr="00891E3A">
              <w:rPr>
                <w:lang w:val="en-GB" w:eastAsia="en-GB"/>
              </w:rPr>
              <w:t>Publication of Health &amp; Safety Guidelines for Egress</w:t>
            </w:r>
          </w:p>
        </w:tc>
        <w:tc>
          <w:tcPr>
            <w:tcW w:w="1530" w:type="dxa"/>
            <w:shd w:val="clear" w:color="auto" w:fill="auto"/>
            <w:vAlign w:val="bottom"/>
          </w:tcPr>
          <w:p w14:paraId="75362947"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(1,000)</w:t>
            </w:r>
          </w:p>
        </w:tc>
        <w:tc>
          <w:tcPr>
            <w:tcW w:w="1530" w:type="dxa"/>
            <w:shd w:val="clear" w:color="auto" w:fill="auto"/>
            <w:vAlign w:val="bottom"/>
          </w:tcPr>
          <w:p w14:paraId="39DA8759" w14:textId="77777777" w:rsidR="00850E7B" w:rsidRPr="00F868E5" w:rsidRDefault="00850E7B" w:rsidP="00067058">
            <w:pPr>
              <w:spacing w:after="0" w:line="240" w:lineRule="auto"/>
              <w:jc w:val="right"/>
              <w:rPr>
                <w:rFonts w:cs="Arial"/>
                <w:lang w:val="en-GB" w:eastAsia="en-GB"/>
              </w:rPr>
            </w:pPr>
            <w:r w:rsidRPr="00F868E5">
              <w:rPr>
                <w:rFonts w:cs="Arial"/>
                <w:lang w:val="en-GB" w:eastAsia="en-GB"/>
              </w:rPr>
              <w:t xml:space="preserve">5,980 </w:t>
            </w:r>
          </w:p>
        </w:tc>
      </w:tr>
      <w:tr w:rsidR="00850E7B" w:rsidRPr="009912D3" w14:paraId="13712482" w14:textId="77777777" w:rsidTr="0013007A">
        <w:tblPrEx>
          <w:tblCellMar>
            <w:top w:w="0" w:type="dxa"/>
            <w:bottom w:w="0" w:type="dxa"/>
          </w:tblCellMar>
        </w:tblPrEx>
        <w:tc>
          <w:tcPr>
            <w:tcW w:w="5868" w:type="dxa"/>
            <w:shd w:val="clear" w:color="auto" w:fill="auto"/>
            <w:vAlign w:val="bottom"/>
          </w:tcPr>
          <w:p w14:paraId="50C5265D" w14:textId="77777777" w:rsidR="00850E7B" w:rsidRPr="00F868E5" w:rsidRDefault="00850E7B" w:rsidP="00067058">
            <w:pPr>
              <w:spacing w:after="0" w:line="240" w:lineRule="auto"/>
              <w:rPr>
                <w:rFonts w:cs="Arial"/>
                <w:lang w:val="en-GB" w:eastAsia="en-GB"/>
              </w:rPr>
            </w:pPr>
          </w:p>
        </w:tc>
        <w:tc>
          <w:tcPr>
            <w:tcW w:w="1530" w:type="dxa"/>
            <w:shd w:val="clear" w:color="auto" w:fill="auto"/>
            <w:vAlign w:val="bottom"/>
          </w:tcPr>
          <w:p w14:paraId="365DA603" w14:textId="77777777" w:rsidR="00850E7B" w:rsidRPr="009912D3" w:rsidRDefault="00850E7B" w:rsidP="00067058">
            <w:pPr>
              <w:spacing w:after="0" w:line="240" w:lineRule="auto"/>
              <w:jc w:val="right"/>
              <w:rPr>
                <w:rFonts w:cs="Arial"/>
                <w:b/>
                <w:lang w:val="en-GB" w:eastAsia="en-GB"/>
              </w:rPr>
            </w:pPr>
            <w:r w:rsidRPr="009912D3">
              <w:rPr>
                <w:rFonts w:cs="Arial"/>
                <w:b/>
                <w:lang w:val="en-GB" w:eastAsia="en-GB"/>
              </w:rPr>
              <w:t xml:space="preserve">468,863 </w:t>
            </w:r>
          </w:p>
        </w:tc>
        <w:tc>
          <w:tcPr>
            <w:tcW w:w="1530" w:type="dxa"/>
            <w:shd w:val="clear" w:color="auto" w:fill="auto"/>
            <w:vAlign w:val="bottom"/>
          </w:tcPr>
          <w:p w14:paraId="41B68DF7" w14:textId="77777777" w:rsidR="00850E7B" w:rsidRPr="009912D3" w:rsidRDefault="00850E7B" w:rsidP="00067058">
            <w:pPr>
              <w:spacing w:after="0" w:line="240" w:lineRule="auto"/>
              <w:jc w:val="right"/>
              <w:rPr>
                <w:rFonts w:cs="Arial"/>
                <w:b/>
                <w:lang w:val="en-GB" w:eastAsia="en-GB"/>
              </w:rPr>
            </w:pPr>
            <w:r w:rsidRPr="009912D3">
              <w:rPr>
                <w:rFonts w:cs="Arial"/>
                <w:b/>
                <w:lang w:val="en-GB" w:eastAsia="en-GB"/>
              </w:rPr>
              <w:t xml:space="preserve">422,076 </w:t>
            </w:r>
          </w:p>
        </w:tc>
      </w:tr>
    </w:tbl>
    <w:p w14:paraId="769258A7" w14:textId="77777777" w:rsidR="00C31B12" w:rsidRDefault="00C31B12" w:rsidP="00891E3A">
      <w:pPr>
        <w:pStyle w:val="TableTitle"/>
        <w:jc w:val="left"/>
      </w:pPr>
      <w:r w:rsidRPr="00C31B12">
        <w:rPr>
          <w:bCs/>
          <w:lang w:val="en-GB"/>
        </w:rPr>
        <w:t>4. Payroll Costs</w:t>
      </w:r>
    </w:p>
    <w:tbl>
      <w:tblPr>
        <w:tblW w:w="8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5"/>
        <w:gridCol w:w="1494"/>
        <w:gridCol w:w="1494"/>
      </w:tblGrid>
      <w:tr w:rsidR="00C31B12" w:rsidRPr="00C31B12" w14:paraId="5B7018A8" w14:textId="77777777" w:rsidTr="00C31B12">
        <w:tblPrEx>
          <w:tblCellMar>
            <w:top w:w="0" w:type="dxa"/>
            <w:bottom w:w="0" w:type="dxa"/>
          </w:tblCellMar>
        </w:tblPrEx>
        <w:trPr>
          <w:tblHeader/>
        </w:trPr>
        <w:tc>
          <w:tcPr>
            <w:tcW w:w="5865" w:type="dxa"/>
            <w:shd w:val="clear" w:color="auto" w:fill="auto"/>
          </w:tcPr>
          <w:p w14:paraId="675FFF2B" w14:textId="77777777" w:rsidR="00C31B12" w:rsidRPr="00C31B12" w:rsidRDefault="00C31B12" w:rsidP="00C31B12">
            <w:pPr>
              <w:pStyle w:val="TableHead"/>
              <w:jc w:val="right"/>
            </w:pPr>
          </w:p>
        </w:tc>
        <w:tc>
          <w:tcPr>
            <w:tcW w:w="1494" w:type="dxa"/>
            <w:shd w:val="clear" w:color="auto" w:fill="auto"/>
          </w:tcPr>
          <w:p w14:paraId="68CD023D" w14:textId="77777777" w:rsidR="00C31B12" w:rsidRPr="00F868E5" w:rsidRDefault="00C31B12" w:rsidP="009912D3">
            <w:pPr>
              <w:pStyle w:val="TableHead"/>
              <w:spacing w:line="240" w:lineRule="auto"/>
              <w:jc w:val="right"/>
            </w:pPr>
            <w:r w:rsidRPr="00F868E5">
              <w:t>2010</w:t>
            </w:r>
          </w:p>
        </w:tc>
        <w:tc>
          <w:tcPr>
            <w:tcW w:w="1494" w:type="dxa"/>
            <w:shd w:val="clear" w:color="auto" w:fill="auto"/>
          </w:tcPr>
          <w:p w14:paraId="1BDBD466" w14:textId="77777777" w:rsidR="00C31B12" w:rsidRPr="00F868E5" w:rsidRDefault="00C31B12" w:rsidP="009912D3">
            <w:pPr>
              <w:pStyle w:val="TableHead"/>
              <w:spacing w:line="240" w:lineRule="auto"/>
              <w:jc w:val="right"/>
            </w:pPr>
            <w:r w:rsidRPr="00F868E5">
              <w:t>2009</w:t>
            </w:r>
          </w:p>
        </w:tc>
      </w:tr>
      <w:tr w:rsidR="00C31B12" w:rsidRPr="00C31B12" w14:paraId="424D3A6B" w14:textId="77777777" w:rsidTr="00C31B12">
        <w:tblPrEx>
          <w:tblCellMar>
            <w:top w:w="0" w:type="dxa"/>
            <w:bottom w:w="0" w:type="dxa"/>
          </w:tblCellMar>
        </w:tblPrEx>
        <w:tc>
          <w:tcPr>
            <w:tcW w:w="5865" w:type="dxa"/>
            <w:shd w:val="clear" w:color="auto" w:fill="auto"/>
          </w:tcPr>
          <w:p w14:paraId="766EC96F" w14:textId="77777777" w:rsidR="00C31B12" w:rsidRPr="00C31B12" w:rsidRDefault="00C31B12" w:rsidP="00C31B12">
            <w:pPr>
              <w:pStyle w:val="TableRowHead"/>
            </w:pPr>
          </w:p>
        </w:tc>
        <w:tc>
          <w:tcPr>
            <w:tcW w:w="1494" w:type="dxa"/>
            <w:shd w:val="clear" w:color="auto" w:fill="auto"/>
            <w:vAlign w:val="bottom"/>
          </w:tcPr>
          <w:p w14:paraId="13329074" w14:textId="77777777" w:rsidR="00C31B12" w:rsidRPr="00F868E5" w:rsidRDefault="00C31B12" w:rsidP="009912D3">
            <w:pPr>
              <w:spacing w:after="0" w:line="240" w:lineRule="auto"/>
              <w:jc w:val="right"/>
              <w:rPr>
                <w:rFonts w:cs="Arial"/>
                <w:b/>
                <w:bCs/>
                <w:lang w:val="en-GB" w:eastAsia="en-GB"/>
              </w:rPr>
            </w:pPr>
            <w:r w:rsidRPr="00F868E5">
              <w:rPr>
                <w:rFonts w:cs="Arial"/>
                <w:b/>
                <w:bCs/>
                <w:lang w:val="en-GB" w:eastAsia="en-GB"/>
              </w:rPr>
              <w:t xml:space="preserve">          €</w:t>
            </w:r>
          </w:p>
        </w:tc>
        <w:tc>
          <w:tcPr>
            <w:tcW w:w="1494" w:type="dxa"/>
            <w:shd w:val="clear" w:color="auto" w:fill="auto"/>
            <w:vAlign w:val="bottom"/>
          </w:tcPr>
          <w:p w14:paraId="15DC5FA0" w14:textId="77777777" w:rsidR="00C31B12" w:rsidRPr="00F868E5" w:rsidRDefault="00C31B12" w:rsidP="009912D3">
            <w:pPr>
              <w:spacing w:after="0" w:line="240" w:lineRule="auto"/>
              <w:jc w:val="right"/>
              <w:rPr>
                <w:rFonts w:cs="Arial"/>
                <w:b/>
                <w:bCs/>
                <w:lang w:val="en-GB" w:eastAsia="en-GB"/>
              </w:rPr>
            </w:pPr>
            <w:r w:rsidRPr="00F868E5">
              <w:rPr>
                <w:rFonts w:cs="Arial"/>
                <w:b/>
                <w:bCs/>
                <w:lang w:val="en-GB" w:eastAsia="en-GB"/>
              </w:rPr>
              <w:t xml:space="preserve">          €</w:t>
            </w:r>
          </w:p>
        </w:tc>
      </w:tr>
      <w:tr w:rsidR="00C31B12" w:rsidRPr="00C31B12" w14:paraId="047527C4" w14:textId="77777777" w:rsidTr="00C31B12">
        <w:tblPrEx>
          <w:tblCellMar>
            <w:top w:w="0" w:type="dxa"/>
            <w:bottom w:w="0" w:type="dxa"/>
          </w:tblCellMar>
        </w:tblPrEx>
        <w:tc>
          <w:tcPr>
            <w:tcW w:w="5865" w:type="dxa"/>
            <w:shd w:val="clear" w:color="auto" w:fill="auto"/>
            <w:vAlign w:val="bottom"/>
          </w:tcPr>
          <w:p w14:paraId="27C6E4AD" w14:textId="77777777" w:rsidR="00C31B12" w:rsidRPr="00117D8A" w:rsidRDefault="00C31B12" w:rsidP="00891E3A">
            <w:pPr>
              <w:pStyle w:val="TableRowHead"/>
              <w:rPr>
                <w:lang w:val="en-GB" w:eastAsia="en-GB"/>
              </w:rPr>
            </w:pPr>
            <w:r w:rsidRPr="00117D8A">
              <w:rPr>
                <w:lang w:val="en-GB" w:eastAsia="en-GB"/>
              </w:rPr>
              <w:t>NDA Staff Pay</w:t>
            </w:r>
          </w:p>
        </w:tc>
        <w:tc>
          <w:tcPr>
            <w:tcW w:w="1494" w:type="dxa"/>
            <w:shd w:val="clear" w:color="auto" w:fill="auto"/>
            <w:vAlign w:val="bottom"/>
          </w:tcPr>
          <w:p w14:paraId="143F9778"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2,230,067 </w:t>
            </w:r>
          </w:p>
        </w:tc>
        <w:tc>
          <w:tcPr>
            <w:tcW w:w="1494" w:type="dxa"/>
            <w:shd w:val="clear" w:color="auto" w:fill="auto"/>
            <w:vAlign w:val="bottom"/>
          </w:tcPr>
          <w:p w14:paraId="66A2892B"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2,445,132 </w:t>
            </w:r>
          </w:p>
        </w:tc>
      </w:tr>
      <w:tr w:rsidR="00C31B12" w:rsidRPr="00C31B12" w14:paraId="44ABDCCB" w14:textId="77777777" w:rsidTr="00C31B12">
        <w:tblPrEx>
          <w:tblCellMar>
            <w:top w:w="0" w:type="dxa"/>
            <w:bottom w:w="0" w:type="dxa"/>
          </w:tblCellMar>
        </w:tblPrEx>
        <w:tc>
          <w:tcPr>
            <w:tcW w:w="5865" w:type="dxa"/>
            <w:shd w:val="clear" w:color="auto" w:fill="auto"/>
            <w:vAlign w:val="bottom"/>
          </w:tcPr>
          <w:p w14:paraId="1D834852" w14:textId="77777777" w:rsidR="00C31B12" w:rsidRPr="00117D8A" w:rsidRDefault="00C31B12" w:rsidP="00891E3A">
            <w:pPr>
              <w:pStyle w:val="TableRowHead"/>
              <w:rPr>
                <w:lang w:val="en-GB" w:eastAsia="en-GB"/>
              </w:rPr>
            </w:pPr>
            <w:r w:rsidRPr="00117D8A">
              <w:rPr>
                <w:lang w:val="en-GB" w:eastAsia="en-GB"/>
              </w:rPr>
              <w:t>Agency Staff</w:t>
            </w:r>
          </w:p>
        </w:tc>
        <w:tc>
          <w:tcPr>
            <w:tcW w:w="1494" w:type="dxa"/>
            <w:shd w:val="clear" w:color="auto" w:fill="auto"/>
            <w:vAlign w:val="bottom"/>
          </w:tcPr>
          <w:p w14:paraId="507A3B85"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5,471 </w:t>
            </w:r>
          </w:p>
        </w:tc>
        <w:tc>
          <w:tcPr>
            <w:tcW w:w="1494" w:type="dxa"/>
            <w:shd w:val="clear" w:color="auto" w:fill="auto"/>
            <w:vAlign w:val="bottom"/>
          </w:tcPr>
          <w:p w14:paraId="7C4A2CF6"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54,695 </w:t>
            </w:r>
          </w:p>
        </w:tc>
      </w:tr>
      <w:tr w:rsidR="00C31B12" w:rsidRPr="00C31B12" w14:paraId="24077A2B" w14:textId="77777777" w:rsidTr="00C31B12">
        <w:tblPrEx>
          <w:tblCellMar>
            <w:top w:w="0" w:type="dxa"/>
            <w:bottom w:w="0" w:type="dxa"/>
          </w:tblCellMar>
        </w:tblPrEx>
        <w:tc>
          <w:tcPr>
            <w:tcW w:w="5865" w:type="dxa"/>
            <w:shd w:val="clear" w:color="auto" w:fill="auto"/>
            <w:vAlign w:val="bottom"/>
          </w:tcPr>
          <w:p w14:paraId="1042224E" w14:textId="77777777" w:rsidR="00C31B12" w:rsidRPr="00117D8A" w:rsidRDefault="00C31B12" w:rsidP="00891E3A">
            <w:pPr>
              <w:pStyle w:val="TableRowHead"/>
              <w:rPr>
                <w:lang w:val="en-GB" w:eastAsia="en-GB"/>
              </w:rPr>
            </w:pPr>
            <w:r w:rsidRPr="00117D8A">
              <w:rPr>
                <w:lang w:val="en-GB" w:eastAsia="en-GB"/>
              </w:rPr>
              <w:t>NEPS Staff Pay</w:t>
            </w:r>
          </w:p>
        </w:tc>
        <w:tc>
          <w:tcPr>
            <w:tcW w:w="1494" w:type="dxa"/>
            <w:shd w:val="clear" w:color="auto" w:fill="auto"/>
            <w:vAlign w:val="bottom"/>
          </w:tcPr>
          <w:p w14:paraId="542AB38C"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0 </w:t>
            </w:r>
          </w:p>
        </w:tc>
        <w:tc>
          <w:tcPr>
            <w:tcW w:w="1494" w:type="dxa"/>
            <w:shd w:val="clear" w:color="auto" w:fill="auto"/>
            <w:vAlign w:val="bottom"/>
          </w:tcPr>
          <w:p w14:paraId="0536D7F5" w14:textId="77777777" w:rsidR="00C31B12" w:rsidRPr="00C31B12" w:rsidRDefault="00C31B12" w:rsidP="009912D3">
            <w:pPr>
              <w:spacing w:after="0" w:line="240" w:lineRule="auto"/>
              <w:jc w:val="right"/>
              <w:rPr>
                <w:rFonts w:cs="Arial"/>
                <w:lang w:val="en-GB" w:eastAsia="en-GB"/>
              </w:rPr>
            </w:pPr>
            <w:r w:rsidRPr="00C31B12">
              <w:rPr>
                <w:rFonts w:cs="Arial"/>
                <w:lang w:val="en-GB" w:eastAsia="en-GB"/>
              </w:rPr>
              <w:t xml:space="preserve">30,320 </w:t>
            </w:r>
          </w:p>
        </w:tc>
      </w:tr>
      <w:tr w:rsidR="00C31B12" w:rsidRPr="00C31B12" w14:paraId="1D2DBC66" w14:textId="77777777" w:rsidTr="00C31B12">
        <w:tblPrEx>
          <w:tblCellMar>
            <w:top w:w="0" w:type="dxa"/>
            <w:bottom w:w="0" w:type="dxa"/>
          </w:tblCellMar>
        </w:tblPrEx>
        <w:tc>
          <w:tcPr>
            <w:tcW w:w="5865" w:type="dxa"/>
            <w:shd w:val="clear" w:color="auto" w:fill="auto"/>
          </w:tcPr>
          <w:p w14:paraId="4DE684E2" w14:textId="77777777" w:rsidR="00C31B12" w:rsidRPr="00C31B12" w:rsidRDefault="00C31B12" w:rsidP="00C31B12">
            <w:pPr>
              <w:pStyle w:val="TableRowHead"/>
            </w:pPr>
          </w:p>
        </w:tc>
        <w:tc>
          <w:tcPr>
            <w:tcW w:w="1494" w:type="dxa"/>
            <w:shd w:val="clear" w:color="auto" w:fill="auto"/>
            <w:vAlign w:val="bottom"/>
          </w:tcPr>
          <w:p w14:paraId="1F84B3F6" w14:textId="77777777" w:rsidR="00C31B12" w:rsidRPr="009912D3" w:rsidRDefault="00C31B12" w:rsidP="009912D3">
            <w:pPr>
              <w:spacing w:after="0" w:line="240" w:lineRule="auto"/>
              <w:jc w:val="right"/>
              <w:rPr>
                <w:rFonts w:cs="Arial"/>
                <w:b/>
                <w:lang w:val="en-GB" w:eastAsia="en-GB"/>
              </w:rPr>
            </w:pPr>
            <w:r w:rsidRPr="009912D3">
              <w:rPr>
                <w:rFonts w:cs="Arial"/>
                <w:b/>
                <w:lang w:val="en-GB" w:eastAsia="en-GB"/>
              </w:rPr>
              <w:t xml:space="preserve">2,235,538 </w:t>
            </w:r>
          </w:p>
        </w:tc>
        <w:tc>
          <w:tcPr>
            <w:tcW w:w="1494" w:type="dxa"/>
            <w:shd w:val="clear" w:color="auto" w:fill="auto"/>
            <w:vAlign w:val="bottom"/>
          </w:tcPr>
          <w:p w14:paraId="40F8A063" w14:textId="77777777" w:rsidR="00C31B12" w:rsidRPr="009912D3" w:rsidRDefault="00C31B12" w:rsidP="009912D3">
            <w:pPr>
              <w:spacing w:after="0" w:line="240" w:lineRule="auto"/>
              <w:jc w:val="right"/>
              <w:rPr>
                <w:rFonts w:cs="Arial"/>
                <w:b/>
                <w:lang w:val="en-GB" w:eastAsia="en-GB"/>
              </w:rPr>
            </w:pPr>
            <w:r w:rsidRPr="009912D3">
              <w:rPr>
                <w:rFonts w:cs="Arial"/>
                <w:b/>
                <w:lang w:val="en-GB" w:eastAsia="en-GB"/>
              </w:rPr>
              <w:t xml:space="preserve">2,530,147 </w:t>
            </w:r>
          </w:p>
        </w:tc>
      </w:tr>
    </w:tbl>
    <w:p w14:paraId="7EA16500" w14:textId="77777777" w:rsidR="00C31B12" w:rsidRDefault="00C31B12" w:rsidP="00C31B12">
      <w:pPr>
        <w:rPr>
          <w:lang w:val="en-GB" w:eastAsia="en-GB"/>
        </w:rPr>
      </w:pPr>
      <w:r w:rsidRPr="00C31B12">
        <w:rPr>
          <w:lang w:val="en-GB" w:eastAsia="en-GB"/>
        </w:rPr>
        <w:t>The average number of staff employed by the Authority in the year was 36 (2009: 38)</w:t>
      </w:r>
      <w:r w:rsidR="00891E3A">
        <w:rPr>
          <w:lang w:val="en-GB" w:eastAsia="en-GB"/>
        </w:rPr>
        <w:t>.</w:t>
      </w:r>
    </w:p>
    <w:p w14:paraId="10ACA9F0" w14:textId="77777777" w:rsidR="00891E3A" w:rsidRDefault="00C31B12" w:rsidP="00891E3A">
      <w:pPr>
        <w:pStyle w:val="Heading3"/>
        <w:rPr>
          <w:lang w:val="en-GB" w:eastAsia="en-GB"/>
        </w:rPr>
      </w:pPr>
      <w:r w:rsidRPr="00C31B12">
        <w:rPr>
          <w:lang w:val="en-GB" w:eastAsia="en-GB"/>
        </w:rPr>
        <w:t>Director's Remuneration</w:t>
      </w:r>
    </w:p>
    <w:p w14:paraId="4B001642" w14:textId="77777777" w:rsidR="00C31B12" w:rsidRPr="00C31B12" w:rsidRDefault="00C31B12" w:rsidP="00891E3A">
      <w:pPr>
        <w:rPr>
          <w:lang w:val="en-GB" w:eastAsia="en-GB"/>
        </w:rPr>
      </w:pPr>
      <w:r w:rsidRPr="00C31B12">
        <w:rPr>
          <w:lang w:val="en-GB" w:eastAsia="en-GB"/>
        </w:rPr>
        <w:t xml:space="preserve">The Director was paid a salary in 2010 of €98,054 (2009: €97,559) and arrears of €5,035 on the Civil Service Principal Officer Scale. The arrears paid in 2010, which relate to the Grade, are attributable to general round increases due under section 27.17 of Towards 2016 in March and September 2008 and an increment due in 2009. No other payment was made in the year to the Director </w:t>
      </w:r>
      <w:proofErr w:type="gramStart"/>
      <w:r w:rsidRPr="00C31B12">
        <w:rPr>
          <w:lang w:val="en-GB" w:eastAsia="en-GB"/>
        </w:rPr>
        <w:t>in the nature of pay</w:t>
      </w:r>
      <w:proofErr w:type="gramEnd"/>
      <w:r w:rsidRPr="00C31B12">
        <w:rPr>
          <w:lang w:val="en-GB" w:eastAsia="en-GB"/>
        </w:rPr>
        <w:t>. The Director is a member of an unfunded defined benefit public sector scheme and her entitlements do not extend beyond the standard entitlements available under such a scheme.</w:t>
      </w:r>
    </w:p>
    <w:p w14:paraId="5D62B30C" w14:textId="77777777" w:rsidR="00891E3A" w:rsidRDefault="00891E3A" w:rsidP="00B22912">
      <w:pPr>
        <w:pStyle w:val="TableTitle"/>
        <w:jc w:val="left"/>
      </w:pPr>
      <w:r w:rsidRPr="00891E3A">
        <w:rPr>
          <w:bCs/>
          <w:lang w:val="en-GB"/>
        </w:rPr>
        <w:lastRenderedPageBreak/>
        <w:t>5. Administration Costs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260"/>
        <w:gridCol w:w="1440"/>
        <w:gridCol w:w="1368"/>
      </w:tblGrid>
      <w:tr w:rsidR="00891E3A" w:rsidRPr="00891E3A" w14:paraId="7602BD70" w14:textId="77777777" w:rsidTr="00117D8A">
        <w:tblPrEx>
          <w:tblCellMar>
            <w:top w:w="0" w:type="dxa"/>
            <w:bottom w:w="0" w:type="dxa"/>
          </w:tblCellMar>
        </w:tblPrEx>
        <w:trPr>
          <w:tblHeader/>
        </w:trPr>
        <w:tc>
          <w:tcPr>
            <w:tcW w:w="4788" w:type="dxa"/>
            <w:shd w:val="clear" w:color="auto" w:fill="auto"/>
          </w:tcPr>
          <w:p w14:paraId="2E7BC1BB" w14:textId="77777777" w:rsidR="00891E3A" w:rsidRPr="00891E3A" w:rsidRDefault="00891E3A" w:rsidP="0013007A">
            <w:pPr>
              <w:pStyle w:val="TableHead"/>
              <w:keepNext/>
              <w:jc w:val="right"/>
            </w:pPr>
          </w:p>
        </w:tc>
        <w:tc>
          <w:tcPr>
            <w:tcW w:w="1260" w:type="dxa"/>
            <w:shd w:val="clear" w:color="auto" w:fill="auto"/>
          </w:tcPr>
          <w:p w14:paraId="5CC3EBC3" w14:textId="77777777" w:rsidR="00891E3A" w:rsidRPr="00490F84" w:rsidRDefault="00891E3A" w:rsidP="0013007A">
            <w:pPr>
              <w:pStyle w:val="TableHead"/>
              <w:keepNext/>
              <w:spacing w:line="240" w:lineRule="auto"/>
              <w:jc w:val="right"/>
            </w:pPr>
            <w:r w:rsidRPr="00490F84">
              <w:t>Notes</w:t>
            </w:r>
          </w:p>
        </w:tc>
        <w:tc>
          <w:tcPr>
            <w:tcW w:w="1440" w:type="dxa"/>
            <w:shd w:val="clear" w:color="auto" w:fill="auto"/>
          </w:tcPr>
          <w:p w14:paraId="633886F5" w14:textId="77777777" w:rsidR="00891E3A" w:rsidRPr="00490F84" w:rsidRDefault="00891E3A" w:rsidP="0013007A">
            <w:pPr>
              <w:pStyle w:val="TableHead"/>
              <w:keepNext/>
              <w:spacing w:line="240" w:lineRule="auto"/>
              <w:jc w:val="right"/>
            </w:pPr>
            <w:r w:rsidRPr="00490F84">
              <w:t>2010</w:t>
            </w:r>
          </w:p>
        </w:tc>
        <w:tc>
          <w:tcPr>
            <w:tcW w:w="1368" w:type="dxa"/>
            <w:shd w:val="clear" w:color="auto" w:fill="auto"/>
          </w:tcPr>
          <w:p w14:paraId="0A9E4D28" w14:textId="77777777" w:rsidR="00891E3A" w:rsidRPr="00490F84" w:rsidRDefault="00891E3A" w:rsidP="0013007A">
            <w:pPr>
              <w:pStyle w:val="TableHead"/>
              <w:keepNext/>
              <w:spacing w:line="240" w:lineRule="auto"/>
              <w:jc w:val="right"/>
            </w:pPr>
            <w:r w:rsidRPr="00490F84">
              <w:t>2009</w:t>
            </w:r>
          </w:p>
        </w:tc>
      </w:tr>
      <w:tr w:rsidR="00891E3A" w:rsidRPr="00891E3A" w14:paraId="630A08EA" w14:textId="77777777" w:rsidTr="00117D8A">
        <w:tblPrEx>
          <w:tblCellMar>
            <w:top w:w="0" w:type="dxa"/>
            <w:bottom w:w="0" w:type="dxa"/>
          </w:tblCellMar>
        </w:tblPrEx>
        <w:tc>
          <w:tcPr>
            <w:tcW w:w="4788" w:type="dxa"/>
            <w:shd w:val="clear" w:color="auto" w:fill="auto"/>
          </w:tcPr>
          <w:p w14:paraId="622A5D95" w14:textId="77777777" w:rsidR="00891E3A" w:rsidRPr="00891E3A" w:rsidRDefault="00891E3A" w:rsidP="0013007A">
            <w:pPr>
              <w:pStyle w:val="TableRowHead"/>
            </w:pPr>
          </w:p>
        </w:tc>
        <w:tc>
          <w:tcPr>
            <w:tcW w:w="1260" w:type="dxa"/>
            <w:shd w:val="clear" w:color="auto" w:fill="auto"/>
          </w:tcPr>
          <w:p w14:paraId="0E550C8D" w14:textId="77777777" w:rsidR="00891E3A" w:rsidRPr="00490F84" w:rsidRDefault="00891E3A" w:rsidP="0013007A">
            <w:pPr>
              <w:pStyle w:val="TableCell"/>
              <w:keepNext/>
              <w:jc w:val="right"/>
            </w:pPr>
          </w:p>
        </w:tc>
        <w:tc>
          <w:tcPr>
            <w:tcW w:w="1440" w:type="dxa"/>
            <w:shd w:val="clear" w:color="auto" w:fill="auto"/>
            <w:vAlign w:val="bottom"/>
          </w:tcPr>
          <w:p w14:paraId="6FCF3484" w14:textId="77777777" w:rsidR="00891E3A" w:rsidRPr="00490F84" w:rsidRDefault="00891E3A" w:rsidP="0013007A">
            <w:pPr>
              <w:keepNext/>
              <w:spacing w:after="0" w:line="240" w:lineRule="auto"/>
              <w:jc w:val="right"/>
              <w:rPr>
                <w:rFonts w:cs="Arial"/>
                <w:b/>
                <w:bCs/>
                <w:lang w:val="en-GB" w:eastAsia="en-GB"/>
              </w:rPr>
            </w:pPr>
            <w:r w:rsidRPr="00490F84">
              <w:rPr>
                <w:rFonts w:cs="Arial"/>
                <w:b/>
                <w:bCs/>
                <w:lang w:val="en-GB" w:eastAsia="en-GB"/>
              </w:rPr>
              <w:t xml:space="preserve">          €</w:t>
            </w:r>
          </w:p>
        </w:tc>
        <w:tc>
          <w:tcPr>
            <w:tcW w:w="1368" w:type="dxa"/>
            <w:shd w:val="clear" w:color="auto" w:fill="auto"/>
            <w:vAlign w:val="bottom"/>
          </w:tcPr>
          <w:p w14:paraId="7B1EAE1A" w14:textId="77777777" w:rsidR="00891E3A" w:rsidRPr="00490F84" w:rsidRDefault="00891E3A" w:rsidP="0013007A">
            <w:pPr>
              <w:keepNext/>
              <w:spacing w:after="0" w:line="240" w:lineRule="auto"/>
              <w:jc w:val="right"/>
              <w:rPr>
                <w:rFonts w:cs="Arial"/>
                <w:b/>
                <w:bCs/>
                <w:lang w:val="en-GB" w:eastAsia="en-GB"/>
              </w:rPr>
            </w:pPr>
            <w:r w:rsidRPr="00490F84">
              <w:rPr>
                <w:rFonts w:cs="Arial"/>
                <w:b/>
                <w:bCs/>
                <w:lang w:val="en-GB" w:eastAsia="en-GB"/>
              </w:rPr>
              <w:t xml:space="preserve">          €</w:t>
            </w:r>
          </w:p>
        </w:tc>
      </w:tr>
      <w:tr w:rsidR="00891E3A" w:rsidRPr="00891E3A" w14:paraId="3D9CF698" w14:textId="77777777" w:rsidTr="00117D8A">
        <w:tblPrEx>
          <w:tblCellMar>
            <w:top w:w="0" w:type="dxa"/>
            <w:bottom w:w="0" w:type="dxa"/>
          </w:tblCellMar>
        </w:tblPrEx>
        <w:tc>
          <w:tcPr>
            <w:tcW w:w="4788" w:type="dxa"/>
            <w:shd w:val="clear" w:color="auto" w:fill="auto"/>
            <w:vAlign w:val="bottom"/>
          </w:tcPr>
          <w:p w14:paraId="1304E163" w14:textId="77777777" w:rsidR="00891E3A" w:rsidRPr="00117D8A" w:rsidRDefault="00891E3A" w:rsidP="0013007A">
            <w:pPr>
              <w:pStyle w:val="TableRowHead"/>
              <w:rPr>
                <w:lang w:val="en-GB" w:eastAsia="en-GB"/>
              </w:rPr>
            </w:pPr>
            <w:r w:rsidRPr="00117D8A">
              <w:rPr>
                <w:lang w:val="en-GB" w:eastAsia="en-GB"/>
              </w:rPr>
              <w:t>Travel</w:t>
            </w:r>
          </w:p>
        </w:tc>
        <w:tc>
          <w:tcPr>
            <w:tcW w:w="1260" w:type="dxa"/>
            <w:shd w:val="clear" w:color="auto" w:fill="auto"/>
            <w:vAlign w:val="bottom"/>
          </w:tcPr>
          <w:p w14:paraId="3D47476A"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28B8D0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28,612</w:t>
            </w:r>
          </w:p>
        </w:tc>
        <w:tc>
          <w:tcPr>
            <w:tcW w:w="1368" w:type="dxa"/>
            <w:shd w:val="clear" w:color="auto" w:fill="auto"/>
            <w:vAlign w:val="bottom"/>
          </w:tcPr>
          <w:p w14:paraId="6EAEA92C"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32,140</w:t>
            </w:r>
          </w:p>
        </w:tc>
      </w:tr>
      <w:tr w:rsidR="00891E3A" w:rsidRPr="00891E3A" w14:paraId="1BBB720C" w14:textId="77777777" w:rsidTr="00117D8A">
        <w:tblPrEx>
          <w:tblCellMar>
            <w:top w:w="0" w:type="dxa"/>
            <w:bottom w:w="0" w:type="dxa"/>
          </w:tblCellMar>
        </w:tblPrEx>
        <w:tc>
          <w:tcPr>
            <w:tcW w:w="4788" w:type="dxa"/>
            <w:shd w:val="clear" w:color="auto" w:fill="auto"/>
            <w:vAlign w:val="bottom"/>
          </w:tcPr>
          <w:p w14:paraId="49ACF791" w14:textId="77777777" w:rsidR="00891E3A" w:rsidRPr="00117D8A" w:rsidRDefault="00891E3A" w:rsidP="0013007A">
            <w:pPr>
              <w:pStyle w:val="TableRowHead"/>
              <w:rPr>
                <w:lang w:val="en-GB" w:eastAsia="en-GB"/>
              </w:rPr>
            </w:pPr>
            <w:r w:rsidRPr="00117D8A">
              <w:rPr>
                <w:lang w:val="en-GB" w:eastAsia="en-GB"/>
              </w:rPr>
              <w:t>Training</w:t>
            </w:r>
          </w:p>
        </w:tc>
        <w:tc>
          <w:tcPr>
            <w:tcW w:w="1260" w:type="dxa"/>
            <w:shd w:val="clear" w:color="auto" w:fill="auto"/>
            <w:vAlign w:val="bottom"/>
          </w:tcPr>
          <w:p w14:paraId="0BA2410F"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AA6859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17,331</w:t>
            </w:r>
          </w:p>
        </w:tc>
        <w:tc>
          <w:tcPr>
            <w:tcW w:w="1368" w:type="dxa"/>
            <w:shd w:val="clear" w:color="auto" w:fill="auto"/>
            <w:vAlign w:val="bottom"/>
          </w:tcPr>
          <w:p w14:paraId="115F9A9F"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39,511</w:t>
            </w:r>
          </w:p>
        </w:tc>
      </w:tr>
      <w:tr w:rsidR="00891E3A" w:rsidRPr="00891E3A" w14:paraId="76C8B3AB" w14:textId="77777777" w:rsidTr="00117D8A">
        <w:tblPrEx>
          <w:tblCellMar>
            <w:top w:w="0" w:type="dxa"/>
            <w:bottom w:w="0" w:type="dxa"/>
          </w:tblCellMar>
        </w:tblPrEx>
        <w:tc>
          <w:tcPr>
            <w:tcW w:w="4788" w:type="dxa"/>
            <w:shd w:val="clear" w:color="auto" w:fill="auto"/>
            <w:vAlign w:val="bottom"/>
          </w:tcPr>
          <w:p w14:paraId="0112F740" w14:textId="77777777" w:rsidR="00891E3A" w:rsidRPr="00117D8A" w:rsidRDefault="00891E3A" w:rsidP="0013007A">
            <w:pPr>
              <w:pStyle w:val="TableRowHead"/>
              <w:rPr>
                <w:lang w:val="en-GB" w:eastAsia="en-GB"/>
              </w:rPr>
            </w:pPr>
            <w:r w:rsidRPr="00117D8A">
              <w:rPr>
                <w:lang w:val="en-GB" w:eastAsia="en-GB"/>
              </w:rPr>
              <w:t>Conference / Seminar Fees</w:t>
            </w:r>
          </w:p>
        </w:tc>
        <w:tc>
          <w:tcPr>
            <w:tcW w:w="1260" w:type="dxa"/>
            <w:shd w:val="clear" w:color="auto" w:fill="auto"/>
            <w:vAlign w:val="bottom"/>
          </w:tcPr>
          <w:p w14:paraId="4FA41144" w14:textId="77777777" w:rsidR="00891E3A" w:rsidRPr="00891E3A" w:rsidRDefault="00891E3A" w:rsidP="0013007A">
            <w:pPr>
              <w:keepNext/>
              <w:spacing w:after="0" w:line="240" w:lineRule="auto"/>
              <w:jc w:val="right"/>
              <w:rPr>
                <w:rFonts w:cs="Arial"/>
                <w:lang w:val="en-GB" w:eastAsia="en-GB"/>
              </w:rPr>
            </w:pPr>
          </w:p>
        </w:tc>
        <w:tc>
          <w:tcPr>
            <w:tcW w:w="1440" w:type="dxa"/>
            <w:shd w:val="clear" w:color="auto" w:fill="auto"/>
            <w:vAlign w:val="bottom"/>
          </w:tcPr>
          <w:p w14:paraId="64372E53"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6,707</w:t>
            </w:r>
          </w:p>
        </w:tc>
        <w:tc>
          <w:tcPr>
            <w:tcW w:w="1368" w:type="dxa"/>
            <w:shd w:val="clear" w:color="auto" w:fill="auto"/>
            <w:vAlign w:val="bottom"/>
          </w:tcPr>
          <w:p w14:paraId="33F91C8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6,576</w:t>
            </w:r>
          </w:p>
        </w:tc>
      </w:tr>
      <w:tr w:rsidR="00891E3A" w:rsidRPr="00891E3A" w14:paraId="2A93034E" w14:textId="77777777" w:rsidTr="00117D8A">
        <w:tblPrEx>
          <w:tblCellMar>
            <w:top w:w="0" w:type="dxa"/>
            <w:bottom w:w="0" w:type="dxa"/>
          </w:tblCellMar>
        </w:tblPrEx>
        <w:tc>
          <w:tcPr>
            <w:tcW w:w="4788" w:type="dxa"/>
            <w:shd w:val="clear" w:color="auto" w:fill="auto"/>
            <w:vAlign w:val="bottom"/>
          </w:tcPr>
          <w:p w14:paraId="0CA1A9A6" w14:textId="77777777" w:rsidR="00891E3A" w:rsidRPr="00117D8A" w:rsidRDefault="00891E3A" w:rsidP="0013007A">
            <w:pPr>
              <w:pStyle w:val="TableRowHead"/>
              <w:rPr>
                <w:lang w:val="en-GB" w:eastAsia="en-GB"/>
              </w:rPr>
            </w:pPr>
            <w:r w:rsidRPr="00117D8A">
              <w:rPr>
                <w:lang w:val="en-GB" w:eastAsia="en-GB"/>
              </w:rPr>
              <w:t>Recruitment</w:t>
            </w:r>
          </w:p>
        </w:tc>
        <w:tc>
          <w:tcPr>
            <w:tcW w:w="1260" w:type="dxa"/>
            <w:shd w:val="clear" w:color="auto" w:fill="auto"/>
            <w:vAlign w:val="bottom"/>
          </w:tcPr>
          <w:p w14:paraId="30F608F7"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9C2C664"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7041E249"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6,756</w:t>
            </w:r>
          </w:p>
        </w:tc>
      </w:tr>
      <w:tr w:rsidR="00891E3A" w:rsidRPr="00891E3A" w14:paraId="068EDE8A" w14:textId="77777777" w:rsidTr="00117D8A">
        <w:tblPrEx>
          <w:tblCellMar>
            <w:top w:w="0" w:type="dxa"/>
            <w:bottom w:w="0" w:type="dxa"/>
          </w:tblCellMar>
        </w:tblPrEx>
        <w:tc>
          <w:tcPr>
            <w:tcW w:w="4788" w:type="dxa"/>
            <w:shd w:val="clear" w:color="auto" w:fill="auto"/>
            <w:vAlign w:val="bottom"/>
          </w:tcPr>
          <w:p w14:paraId="64F299AE" w14:textId="77777777" w:rsidR="00891E3A" w:rsidRPr="00117D8A" w:rsidRDefault="00891E3A" w:rsidP="0013007A">
            <w:pPr>
              <w:pStyle w:val="TableRowHead"/>
              <w:rPr>
                <w:lang w:val="en-GB" w:eastAsia="en-GB"/>
              </w:rPr>
            </w:pPr>
            <w:r w:rsidRPr="00117D8A">
              <w:rPr>
                <w:lang w:val="en-GB" w:eastAsia="en-GB"/>
              </w:rPr>
              <w:t>Authority Fees &amp; Expenses</w:t>
            </w:r>
          </w:p>
        </w:tc>
        <w:tc>
          <w:tcPr>
            <w:tcW w:w="1260" w:type="dxa"/>
            <w:shd w:val="clear" w:color="auto" w:fill="auto"/>
            <w:vAlign w:val="bottom"/>
          </w:tcPr>
          <w:p w14:paraId="49FE99F4"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w:t>
            </w:r>
          </w:p>
        </w:tc>
        <w:tc>
          <w:tcPr>
            <w:tcW w:w="1440" w:type="dxa"/>
            <w:shd w:val="clear" w:color="auto" w:fill="auto"/>
            <w:vAlign w:val="bottom"/>
          </w:tcPr>
          <w:p w14:paraId="4764F524"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70,736</w:t>
            </w:r>
          </w:p>
        </w:tc>
        <w:tc>
          <w:tcPr>
            <w:tcW w:w="1368" w:type="dxa"/>
            <w:shd w:val="clear" w:color="auto" w:fill="auto"/>
            <w:vAlign w:val="bottom"/>
          </w:tcPr>
          <w:p w14:paraId="071D353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55,056</w:t>
            </w:r>
          </w:p>
        </w:tc>
      </w:tr>
      <w:tr w:rsidR="00891E3A" w:rsidRPr="00891E3A" w14:paraId="5A1CE02E" w14:textId="77777777" w:rsidTr="00117D8A">
        <w:tblPrEx>
          <w:tblCellMar>
            <w:top w:w="0" w:type="dxa"/>
            <w:bottom w:w="0" w:type="dxa"/>
          </w:tblCellMar>
        </w:tblPrEx>
        <w:tc>
          <w:tcPr>
            <w:tcW w:w="4788" w:type="dxa"/>
            <w:shd w:val="clear" w:color="auto" w:fill="auto"/>
            <w:vAlign w:val="bottom"/>
          </w:tcPr>
          <w:p w14:paraId="31FC1506" w14:textId="77777777" w:rsidR="00891E3A" w:rsidRPr="00117D8A" w:rsidRDefault="00891E3A" w:rsidP="0013007A">
            <w:pPr>
              <w:pStyle w:val="TableRowHead"/>
              <w:rPr>
                <w:lang w:val="en-GB" w:eastAsia="en-GB"/>
              </w:rPr>
            </w:pPr>
            <w:r w:rsidRPr="00117D8A">
              <w:rPr>
                <w:lang w:val="en-GB" w:eastAsia="en-GB"/>
              </w:rPr>
              <w:t>Audit fee</w:t>
            </w:r>
          </w:p>
        </w:tc>
        <w:tc>
          <w:tcPr>
            <w:tcW w:w="1260" w:type="dxa"/>
            <w:shd w:val="clear" w:color="auto" w:fill="auto"/>
            <w:vAlign w:val="bottom"/>
          </w:tcPr>
          <w:p w14:paraId="2EBF4632"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AF4BCC9"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18,620</w:t>
            </w:r>
          </w:p>
        </w:tc>
        <w:tc>
          <w:tcPr>
            <w:tcW w:w="1368" w:type="dxa"/>
            <w:shd w:val="clear" w:color="auto" w:fill="auto"/>
            <w:vAlign w:val="bottom"/>
          </w:tcPr>
          <w:p w14:paraId="19FB55F2"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23,000</w:t>
            </w:r>
          </w:p>
        </w:tc>
      </w:tr>
      <w:tr w:rsidR="00891E3A" w:rsidRPr="00891E3A" w14:paraId="5A7CE7DB" w14:textId="77777777" w:rsidTr="00117D8A">
        <w:tblPrEx>
          <w:tblCellMar>
            <w:top w:w="0" w:type="dxa"/>
            <w:bottom w:w="0" w:type="dxa"/>
          </w:tblCellMar>
        </w:tblPrEx>
        <w:tc>
          <w:tcPr>
            <w:tcW w:w="4788" w:type="dxa"/>
            <w:shd w:val="clear" w:color="auto" w:fill="auto"/>
            <w:vAlign w:val="bottom"/>
          </w:tcPr>
          <w:p w14:paraId="20D1388D" w14:textId="77777777" w:rsidR="00891E3A" w:rsidRPr="00117D8A" w:rsidRDefault="00891E3A" w:rsidP="0013007A">
            <w:pPr>
              <w:pStyle w:val="TableRowHead"/>
              <w:rPr>
                <w:lang w:val="en-GB" w:eastAsia="en-GB"/>
              </w:rPr>
            </w:pPr>
            <w:r w:rsidRPr="00117D8A">
              <w:rPr>
                <w:lang w:val="en-GB" w:eastAsia="en-GB"/>
              </w:rPr>
              <w:t>Bank Interest / Charges</w:t>
            </w:r>
          </w:p>
        </w:tc>
        <w:tc>
          <w:tcPr>
            <w:tcW w:w="1260" w:type="dxa"/>
            <w:shd w:val="clear" w:color="auto" w:fill="auto"/>
            <w:vAlign w:val="bottom"/>
          </w:tcPr>
          <w:p w14:paraId="15734C05"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03382AA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497</w:t>
            </w:r>
          </w:p>
        </w:tc>
        <w:tc>
          <w:tcPr>
            <w:tcW w:w="1368" w:type="dxa"/>
            <w:shd w:val="clear" w:color="auto" w:fill="auto"/>
            <w:vAlign w:val="bottom"/>
          </w:tcPr>
          <w:p w14:paraId="1CC8B2B7"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595</w:t>
            </w:r>
          </w:p>
        </w:tc>
      </w:tr>
      <w:tr w:rsidR="00891E3A" w:rsidRPr="00891E3A" w14:paraId="0AFD66DA" w14:textId="77777777" w:rsidTr="00117D8A">
        <w:tblPrEx>
          <w:tblCellMar>
            <w:top w:w="0" w:type="dxa"/>
            <w:bottom w:w="0" w:type="dxa"/>
          </w:tblCellMar>
        </w:tblPrEx>
        <w:tc>
          <w:tcPr>
            <w:tcW w:w="4788" w:type="dxa"/>
            <w:shd w:val="clear" w:color="auto" w:fill="auto"/>
            <w:vAlign w:val="bottom"/>
          </w:tcPr>
          <w:p w14:paraId="04D79115" w14:textId="77777777" w:rsidR="00891E3A" w:rsidRPr="00117D8A" w:rsidRDefault="00891E3A" w:rsidP="0013007A">
            <w:pPr>
              <w:pStyle w:val="TableRowHead"/>
              <w:rPr>
                <w:lang w:val="en-GB" w:eastAsia="en-GB"/>
              </w:rPr>
            </w:pPr>
            <w:r w:rsidRPr="00117D8A">
              <w:rPr>
                <w:lang w:val="en-GB" w:eastAsia="en-GB"/>
              </w:rPr>
              <w:t>Canteen/meals</w:t>
            </w:r>
          </w:p>
        </w:tc>
        <w:tc>
          <w:tcPr>
            <w:tcW w:w="1260" w:type="dxa"/>
            <w:shd w:val="clear" w:color="auto" w:fill="auto"/>
            <w:vAlign w:val="bottom"/>
          </w:tcPr>
          <w:p w14:paraId="5CE581E8"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BB592B8"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80,654</w:t>
            </w:r>
          </w:p>
        </w:tc>
        <w:tc>
          <w:tcPr>
            <w:tcW w:w="1368" w:type="dxa"/>
            <w:shd w:val="clear" w:color="auto" w:fill="auto"/>
            <w:vAlign w:val="bottom"/>
          </w:tcPr>
          <w:p w14:paraId="2FCA9D32"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103,201</w:t>
            </w:r>
          </w:p>
        </w:tc>
      </w:tr>
      <w:tr w:rsidR="00891E3A" w:rsidRPr="00891E3A" w14:paraId="5C01E1A2" w14:textId="77777777" w:rsidTr="00117D8A">
        <w:tblPrEx>
          <w:tblCellMar>
            <w:top w:w="0" w:type="dxa"/>
            <w:bottom w:w="0" w:type="dxa"/>
          </w:tblCellMar>
        </w:tblPrEx>
        <w:tc>
          <w:tcPr>
            <w:tcW w:w="4788" w:type="dxa"/>
            <w:shd w:val="clear" w:color="auto" w:fill="auto"/>
            <w:vAlign w:val="bottom"/>
          </w:tcPr>
          <w:p w14:paraId="365F6AF3" w14:textId="77777777" w:rsidR="00891E3A" w:rsidRPr="00117D8A" w:rsidRDefault="00891E3A" w:rsidP="0013007A">
            <w:pPr>
              <w:pStyle w:val="TableRowHead"/>
              <w:rPr>
                <w:lang w:val="en-GB" w:eastAsia="en-GB"/>
              </w:rPr>
            </w:pPr>
            <w:r w:rsidRPr="00117D8A">
              <w:rPr>
                <w:lang w:val="en-GB" w:eastAsia="en-GB"/>
              </w:rPr>
              <w:t>Cleaning / Domestic</w:t>
            </w:r>
          </w:p>
        </w:tc>
        <w:tc>
          <w:tcPr>
            <w:tcW w:w="1260" w:type="dxa"/>
            <w:shd w:val="clear" w:color="auto" w:fill="auto"/>
            <w:vAlign w:val="bottom"/>
          </w:tcPr>
          <w:p w14:paraId="0596B722"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01FC587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50,508</w:t>
            </w:r>
          </w:p>
        </w:tc>
        <w:tc>
          <w:tcPr>
            <w:tcW w:w="1368" w:type="dxa"/>
            <w:shd w:val="clear" w:color="auto" w:fill="auto"/>
            <w:vAlign w:val="bottom"/>
          </w:tcPr>
          <w:p w14:paraId="48D9864C"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59,701</w:t>
            </w:r>
          </w:p>
        </w:tc>
      </w:tr>
      <w:tr w:rsidR="00891E3A" w:rsidRPr="00891E3A" w14:paraId="15C36C03" w14:textId="77777777" w:rsidTr="00117D8A">
        <w:tblPrEx>
          <w:tblCellMar>
            <w:top w:w="0" w:type="dxa"/>
            <w:bottom w:w="0" w:type="dxa"/>
          </w:tblCellMar>
        </w:tblPrEx>
        <w:tc>
          <w:tcPr>
            <w:tcW w:w="4788" w:type="dxa"/>
            <w:shd w:val="clear" w:color="auto" w:fill="auto"/>
            <w:vAlign w:val="bottom"/>
          </w:tcPr>
          <w:p w14:paraId="4F39F465" w14:textId="77777777" w:rsidR="00891E3A" w:rsidRPr="00117D8A" w:rsidRDefault="00891E3A" w:rsidP="0013007A">
            <w:pPr>
              <w:pStyle w:val="TableRowHead"/>
              <w:rPr>
                <w:lang w:val="en-GB" w:eastAsia="en-GB"/>
              </w:rPr>
            </w:pPr>
            <w:r w:rsidRPr="00117D8A">
              <w:rPr>
                <w:lang w:val="en-GB" w:eastAsia="en-GB"/>
              </w:rPr>
              <w:t xml:space="preserve">Computer Software </w:t>
            </w:r>
            <w:proofErr w:type="gramStart"/>
            <w:r w:rsidRPr="00117D8A">
              <w:rPr>
                <w:lang w:val="en-GB" w:eastAsia="en-GB"/>
              </w:rPr>
              <w:t>Non Capital</w:t>
            </w:r>
            <w:proofErr w:type="gramEnd"/>
          </w:p>
        </w:tc>
        <w:tc>
          <w:tcPr>
            <w:tcW w:w="1260" w:type="dxa"/>
            <w:shd w:val="clear" w:color="auto" w:fill="auto"/>
            <w:vAlign w:val="bottom"/>
          </w:tcPr>
          <w:p w14:paraId="7D6199C9" w14:textId="77777777" w:rsidR="00891E3A" w:rsidRPr="00891E3A" w:rsidRDefault="00891E3A" w:rsidP="0013007A">
            <w:pPr>
              <w:keepNext/>
              <w:spacing w:after="0" w:line="240" w:lineRule="auto"/>
              <w:jc w:val="right"/>
              <w:rPr>
                <w:rFonts w:cs="Arial"/>
                <w:lang w:val="en-GB" w:eastAsia="en-GB"/>
              </w:rPr>
            </w:pPr>
          </w:p>
        </w:tc>
        <w:tc>
          <w:tcPr>
            <w:tcW w:w="1440" w:type="dxa"/>
            <w:shd w:val="clear" w:color="auto" w:fill="auto"/>
            <w:vAlign w:val="bottom"/>
          </w:tcPr>
          <w:p w14:paraId="24559EB8"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15,763</w:t>
            </w:r>
          </w:p>
        </w:tc>
        <w:tc>
          <w:tcPr>
            <w:tcW w:w="1368" w:type="dxa"/>
            <w:shd w:val="clear" w:color="auto" w:fill="auto"/>
            <w:vAlign w:val="bottom"/>
          </w:tcPr>
          <w:p w14:paraId="03B6C580"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23,036</w:t>
            </w:r>
          </w:p>
        </w:tc>
      </w:tr>
      <w:tr w:rsidR="00891E3A" w:rsidRPr="00891E3A" w14:paraId="5E82B026" w14:textId="77777777" w:rsidTr="00117D8A">
        <w:tblPrEx>
          <w:tblCellMar>
            <w:top w:w="0" w:type="dxa"/>
            <w:bottom w:w="0" w:type="dxa"/>
          </w:tblCellMar>
        </w:tblPrEx>
        <w:tc>
          <w:tcPr>
            <w:tcW w:w="4788" w:type="dxa"/>
            <w:shd w:val="clear" w:color="auto" w:fill="auto"/>
            <w:vAlign w:val="bottom"/>
          </w:tcPr>
          <w:p w14:paraId="05135E86" w14:textId="77777777" w:rsidR="00891E3A" w:rsidRPr="00117D8A" w:rsidRDefault="00891E3A" w:rsidP="0013007A">
            <w:pPr>
              <w:pStyle w:val="TableRowHead"/>
              <w:rPr>
                <w:lang w:val="en-GB" w:eastAsia="en-GB"/>
              </w:rPr>
            </w:pPr>
            <w:r w:rsidRPr="00117D8A">
              <w:rPr>
                <w:lang w:val="en-GB" w:eastAsia="en-GB"/>
              </w:rPr>
              <w:t>Computer supplies</w:t>
            </w:r>
          </w:p>
        </w:tc>
        <w:tc>
          <w:tcPr>
            <w:tcW w:w="1260" w:type="dxa"/>
            <w:shd w:val="clear" w:color="auto" w:fill="auto"/>
            <w:vAlign w:val="bottom"/>
          </w:tcPr>
          <w:p w14:paraId="531DED55"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3E26A7A0"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868</w:t>
            </w:r>
          </w:p>
        </w:tc>
        <w:tc>
          <w:tcPr>
            <w:tcW w:w="1368" w:type="dxa"/>
            <w:shd w:val="clear" w:color="auto" w:fill="auto"/>
            <w:vAlign w:val="bottom"/>
          </w:tcPr>
          <w:p w14:paraId="6BF9857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249</w:t>
            </w:r>
          </w:p>
        </w:tc>
      </w:tr>
      <w:tr w:rsidR="00891E3A" w:rsidRPr="00891E3A" w14:paraId="135A432D" w14:textId="77777777" w:rsidTr="00117D8A">
        <w:tblPrEx>
          <w:tblCellMar>
            <w:top w:w="0" w:type="dxa"/>
            <w:bottom w:w="0" w:type="dxa"/>
          </w:tblCellMar>
        </w:tblPrEx>
        <w:tc>
          <w:tcPr>
            <w:tcW w:w="4788" w:type="dxa"/>
            <w:shd w:val="clear" w:color="auto" w:fill="auto"/>
            <w:vAlign w:val="bottom"/>
          </w:tcPr>
          <w:p w14:paraId="56AC945E" w14:textId="77777777" w:rsidR="00891E3A" w:rsidRPr="00117D8A" w:rsidRDefault="00891E3A" w:rsidP="0013007A">
            <w:pPr>
              <w:pStyle w:val="TableRowHead"/>
              <w:rPr>
                <w:lang w:val="en-GB" w:eastAsia="en-GB"/>
              </w:rPr>
            </w:pPr>
            <w:r w:rsidRPr="00117D8A">
              <w:rPr>
                <w:lang w:val="en-GB" w:eastAsia="en-GB"/>
              </w:rPr>
              <w:t>Consultancy fees</w:t>
            </w:r>
          </w:p>
        </w:tc>
        <w:tc>
          <w:tcPr>
            <w:tcW w:w="1260" w:type="dxa"/>
            <w:shd w:val="clear" w:color="auto" w:fill="auto"/>
            <w:vAlign w:val="bottom"/>
          </w:tcPr>
          <w:p w14:paraId="35C4CFF0"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5A69F258"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1,809</w:t>
            </w:r>
          </w:p>
        </w:tc>
        <w:tc>
          <w:tcPr>
            <w:tcW w:w="1368" w:type="dxa"/>
            <w:shd w:val="clear" w:color="auto" w:fill="auto"/>
            <w:vAlign w:val="bottom"/>
          </w:tcPr>
          <w:p w14:paraId="2D82F0BD"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2,794</w:t>
            </w:r>
          </w:p>
        </w:tc>
      </w:tr>
      <w:tr w:rsidR="00891E3A" w:rsidRPr="00891E3A" w14:paraId="6BED4120" w14:textId="77777777" w:rsidTr="00117D8A">
        <w:tblPrEx>
          <w:tblCellMar>
            <w:top w:w="0" w:type="dxa"/>
            <w:bottom w:w="0" w:type="dxa"/>
          </w:tblCellMar>
        </w:tblPrEx>
        <w:tc>
          <w:tcPr>
            <w:tcW w:w="4788" w:type="dxa"/>
            <w:shd w:val="clear" w:color="auto" w:fill="auto"/>
            <w:vAlign w:val="bottom"/>
          </w:tcPr>
          <w:p w14:paraId="08CFD7E3" w14:textId="77777777" w:rsidR="00891E3A" w:rsidRPr="00117D8A" w:rsidRDefault="00891E3A" w:rsidP="0013007A">
            <w:pPr>
              <w:pStyle w:val="TableRowHead"/>
              <w:rPr>
                <w:lang w:val="en-GB" w:eastAsia="en-GB"/>
              </w:rPr>
            </w:pPr>
            <w:r w:rsidRPr="00117D8A">
              <w:rPr>
                <w:lang w:val="en-GB" w:eastAsia="en-GB"/>
              </w:rPr>
              <w:t>Couriers</w:t>
            </w:r>
          </w:p>
        </w:tc>
        <w:tc>
          <w:tcPr>
            <w:tcW w:w="1260" w:type="dxa"/>
            <w:shd w:val="clear" w:color="auto" w:fill="auto"/>
            <w:vAlign w:val="bottom"/>
          </w:tcPr>
          <w:p w14:paraId="2899DE55"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31F3259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2,863</w:t>
            </w:r>
          </w:p>
        </w:tc>
        <w:tc>
          <w:tcPr>
            <w:tcW w:w="1368" w:type="dxa"/>
            <w:shd w:val="clear" w:color="auto" w:fill="auto"/>
            <w:vAlign w:val="bottom"/>
          </w:tcPr>
          <w:p w14:paraId="57F4F87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4,975</w:t>
            </w:r>
          </w:p>
        </w:tc>
      </w:tr>
      <w:tr w:rsidR="00891E3A" w:rsidRPr="00891E3A" w14:paraId="40074735" w14:textId="77777777" w:rsidTr="00117D8A">
        <w:tblPrEx>
          <w:tblCellMar>
            <w:top w:w="0" w:type="dxa"/>
            <w:bottom w:w="0" w:type="dxa"/>
          </w:tblCellMar>
        </w:tblPrEx>
        <w:tc>
          <w:tcPr>
            <w:tcW w:w="4788" w:type="dxa"/>
            <w:shd w:val="clear" w:color="auto" w:fill="auto"/>
            <w:vAlign w:val="bottom"/>
          </w:tcPr>
          <w:p w14:paraId="07E85C8B" w14:textId="77777777" w:rsidR="00891E3A" w:rsidRPr="00117D8A" w:rsidRDefault="00891E3A" w:rsidP="0013007A">
            <w:pPr>
              <w:pStyle w:val="TableRowHead"/>
              <w:rPr>
                <w:lang w:val="en-GB" w:eastAsia="en-GB"/>
              </w:rPr>
            </w:pPr>
            <w:r w:rsidRPr="00117D8A">
              <w:rPr>
                <w:lang w:val="en-GB" w:eastAsia="en-GB"/>
              </w:rPr>
              <w:t>Gas / electricity</w:t>
            </w:r>
          </w:p>
        </w:tc>
        <w:tc>
          <w:tcPr>
            <w:tcW w:w="1260" w:type="dxa"/>
            <w:shd w:val="clear" w:color="auto" w:fill="auto"/>
            <w:vAlign w:val="bottom"/>
          </w:tcPr>
          <w:p w14:paraId="7832F3F8"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55C6692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41,234</w:t>
            </w:r>
          </w:p>
        </w:tc>
        <w:tc>
          <w:tcPr>
            <w:tcW w:w="1368" w:type="dxa"/>
            <w:shd w:val="clear" w:color="auto" w:fill="auto"/>
            <w:vAlign w:val="bottom"/>
          </w:tcPr>
          <w:p w14:paraId="37BBF087"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37,595</w:t>
            </w:r>
          </w:p>
        </w:tc>
      </w:tr>
      <w:tr w:rsidR="00891E3A" w:rsidRPr="00891E3A" w14:paraId="72AACC54" w14:textId="77777777" w:rsidTr="00117D8A">
        <w:tblPrEx>
          <w:tblCellMar>
            <w:top w:w="0" w:type="dxa"/>
            <w:bottom w:w="0" w:type="dxa"/>
          </w:tblCellMar>
        </w:tblPrEx>
        <w:tc>
          <w:tcPr>
            <w:tcW w:w="4788" w:type="dxa"/>
            <w:shd w:val="clear" w:color="auto" w:fill="auto"/>
            <w:vAlign w:val="bottom"/>
          </w:tcPr>
          <w:p w14:paraId="72437FC3" w14:textId="77777777" w:rsidR="00891E3A" w:rsidRPr="00117D8A" w:rsidRDefault="00891E3A" w:rsidP="0013007A">
            <w:pPr>
              <w:pStyle w:val="TableRowHead"/>
              <w:rPr>
                <w:lang w:val="en-GB" w:eastAsia="en-GB"/>
              </w:rPr>
            </w:pPr>
            <w:r w:rsidRPr="00117D8A">
              <w:rPr>
                <w:lang w:val="en-GB" w:eastAsia="en-GB"/>
              </w:rPr>
              <w:t xml:space="preserve">Health </w:t>
            </w:r>
            <w:proofErr w:type="gramStart"/>
            <w:r w:rsidRPr="00117D8A">
              <w:rPr>
                <w:lang w:val="en-GB" w:eastAsia="en-GB"/>
              </w:rPr>
              <w:t>&amp;  Safety</w:t>
            </w:r>
            <w:proofErr w:type="gramEnd"/>
          </w:p>
        </w:tc>
        <w:tc>
          <w:tcPr>
            <w:tcW w:w="1260" w:type="dxa"/>
            <w:shd w:val="clear" w:color="auto" w:fill="auto"/>
            <w:vAlign w:val="bottom"/>
          </w:tcPr>
          <w:p w14:paraId="22894EEF"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08A5DA4E"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1,315</w:t>
            </w:r>
          </w:p>
        </w:tc>
        <w:tc>
          <w:tcPr>
            <w:tcW w:w="1368" w:type="dxa"/>
            <w:shd w:val="clear" w:color="auto" w:fill="auto"/>
            <w:vAlign w:val="bottom"/>
          </w:tcPr>
          <w:p w14:paraId="5DB48DA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3,002</w:t>
            </w:r>
          </w:p>
        </w:tc>
      </w:tr>
      <w:tr w:rsidR="00891E3A" w:rsidRPr="00891E3A" w14:paraId="3968D8B9" w14:textId="77777777" w:rsidTr="00117D8A">
        <w:tblPrEx>
          <w:tblCellMar>
            <w:top w:w="0" w:type="dxa"/>
            <w:bottom w:w="0" w:type="dxa"/>
          </w:tblCellMar>
        </w:tblPrEx>
        <w:tc>
          <w:tcPr>
            <w:tcW w:w="4788" w:type="dxa"/>
            <w:shd w:val="clear" w:color="auto" w:fill="auto"/>
            <w:vAlign w:val="bottom"/>
          </w:tcPr>
          <w:p w14:paraId="1D6DA71B" w14:textId="77777777" w:rsidR="00891E3A" w:rsidRPr="00117D8A" w:rsidRDefault="00891E3A" w:rsidP="0013007A">
            <w:pPr>
              <w:pStyle w:val="TableRowHead"/>
              <w:rPr>
                <w:lang w:val="en-GB" w:eastAsia="en-GB"/>
              </w:rPr>
            </w:pPr>
            <w:r w:rsidRPr="00117D8A">
              <w:rPr>
                <w:lang w:val="en-GB" w:eastAsia="en-GB"/>
              </w:rPr>
              <w:t>Insurance</w:t>
            </w:r>
          </w:p>
        </w:tc>
        <w:tc>
          <w:tcPr>
            <w:tcW w:w="1260" w:type="dxa"/>
            <w:shd w:val="clear" w:color="auto" w:fill="auto"/>
            <w:vAlign w:val="bottom"/>
          </w:tcPr>
          <w:p w14:paraId="12B08290"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188D9A4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14,509</w:t>
            </w:r>
          </w:p>
        </w:tc>
        <w:tc>
          <w:tcPr>
            <w:tcW w:w="1368" w:type="dxa"/>
            <w:shd w:val="clear" w:color="auto" w:fill="auto"/>
            <w:vAlign w:val="bottom"/>
          </w:tcPr>
          <w:p w14:paraId="0B64E9C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19,982</w:t>
            </w:r>
          </w:p>
        </w:tc>
      </w:tr>
      <w:tr w:rsidR="00891E3A" w:rsidRPr="00891E3A" w14:paraId="289F0AD5" w14:textId="77777777" w:rsidTr="00117D8A">
        <w:tblPrEx>
          <w:tblCellMar>
            <w:top w:w="0" w:type="dxa"/>
            <w:bottom w:w="0" w:type="dxa"/>
          </w:tblCellMar>
        </w:tblPrEx>
        <w:tc>
          <w:tcPr>
            <w:tcW w:w="4788" w:type="dxa"/>
            <w:shd w:val="clear" w:color="auto" w:fill="auto"/>
            <w:vAlign w:val="bottom"/>
          </w:tcPr>
          <w:p w14:paraId="064F06DB" w14:textId="77777777" w:rsidR="00891E3A" w:rsidRPr="00117D8A" w:rsidRDefault="00891E3A" w:rsidP="0013007A">
            <w:pPr>
              <w:pStyle w:val="TableRowHead"/>
              <w:rPr>
                <w:lang w:val="en-GB" w:eastAsia="en-GB"/>
              </w:rPr>
            </w:pPr>
            <w:r w:rsidRPr="00117D8A">
              <w:rPr>
                <w:lang w:val="en-GB" w:eastAsia="en-GB"/>
              </w:rPr>
              <w:t>IT Support</w:t>
            </w:r>
          </w:p>
        </w:tc>
        <w:tc>
          <w:tcPr>
            <w:tcW w:w="1260" w:type="dxa"/>
            <w:shd w:val="clear" w:color="auto" w:fill="auto"/>
            <w:vAlign w:val="bottom"/>
          </w:tcPr>
          <w:p w14:paraId="20C6A447"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F98EB6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64,203</w:t>
            </w:r>
          </w:p>
        </w:tc>
        <w:tc>
          <w:tcPr>
            <w:tcW w:w="1368" w:type="dxa"/>
            <w:shd w:val="clear" w:color="auto" w:fill="auto"/>
            <w:vAlign w:val="bottom"/>
          </w:tcPr>
          <w:p w14:paraId="288C477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0</w:t>
            </w:r>
          </w:p>
        </w:tc>
      </w:tr>
      <w:tr w:rsidR="00891E3A" w:rsidRPr="00891E3A" w14:paraId="35FB88CE" w14:textId="77777777" w:rsidTr="00117D8A">
        <w:tblPrEx>
          <w:tblCellMar>
            <w:top w:w="0" w:type="dxa"/>
            <w:bottom w:w="0" w:type="dxa"/>
          </w:tblCellMar>
        </w:tblPrEx>
        <w:tc>
          <w:tcPr>
            <w:tcW w:w="4788" w:type="dxa"/>
            <w:shd w:val="clear" w:color="auto" w:fill="auto"/>
            <w:vAlign w:val="bottom"/>
          </w:tcPr>
          <w:p w14:paraId="786F5C5A" w14:textId="77777777" w:rsidR="00891E3A" w:rsidRPr="00117D8A" w:rsidRDefault="00891E3A" w:rsidP="0013007A">
            <w:pPr>
              <w:pStyle w:val="TableRowHead"/>
              <w:rPr>
                <w:lang w:val="en-GB" w:eastAsia="en-GB"/>
              </w:rPr>
            </w:pPr>
            <w:r w:rsidRPr="00117D8A">
              <w:rPr>
                <w:lang w:val="en-GB" w:eastAsia="en-GB"/>
              </w:rPr>
              <w:t>Late Payment Interest</w:t>
            </w:r>
          </w:p>
        </w:tc>
        <w:tc>
          <w:tcPr>
            <w:tcW w:w="1260" w:type="dxa"/>
            <w:shd w:val="clear" w:color="auto" w:fill="auto"/>
            <w:vAlign w:val="bottom"/>
          </w:tcPr>
          <w:p w14:paraId="6336D3C4"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4966F5C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w:t>
            </w:r>
          </w:p>
        </w:tc>
        <w:tc>
          <w:tcPr>
            <w:tcW w:w="1368" w:type="dxa"/>
            <w:shd w:val="clear" w:color="auto" w:fill="auto"/>
            <w:vAlign w:val="bottom"/>
          </w:tcPr>
          <w:p w14:paraId="0DEF722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280</w:t>
            </w:r>
          </w:p>
        </w:tc>
      </w:tr>
      <w:tr w:rsidR="00891E3A" w:rsidRPr="00891E3A" w14:paraId="6EC5EE02" w14:textId="77777777" w:rsidTr="00117D8A">
        <w:tblPrEx>
          <w:tblCellMar>
            <w:top w:w="0" w:type="dxa"/>
            <w:bottom w:w="0" w:type="dxa"/>
          </w:tblCellMar>
        </w:tblPrEx>
        <w:tc>
          <w:tcPr>
            <w:tcW w:w="4788" w:type="dxa"/>
            <w:shd w:val="clear" w:color="auto" w:fill="auto"/>
            <w:vAlign w:val="bottom"/>
          </w:tcPr>
          <w:p w14:paraId="0DBC0E9F" w14:textId="77777777" w:rsidR="00891E3A" w:rsidRPr="00117D8A" w:rsidRDefault="00891E3A" w:rsidP="0013007A">
            <w:pPr>
              <w:pStyle w:val="TableRowHead"/>
              <w:rPr>
                <w:lang w:val="en-GB" w:eastAsia="en-GB"/>
              </w:rPr>
            </w:pPr>
            <w:r w:rsidRPr="00117D8A">
              <w:rPr>
                <w:lang w:val="en-GB" w:eastAsia="en-GB"/>
              </w:rPr>
              <w:t>Legal Fees</w:t>
            </w:r>
          </w:p>
        </w:tc>
        <w:tc>
          <w:tcPr>
            <w:tcW w:w="1260" w:type="dxa"/>
            <w:shd w:val="clear" w:color="auto" w:fill="auto"/>
            <w:vAlign w:val="bottom"/>
          </w:tcPr>
          <w:p w14:paraId="02899DB1"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4733E0E"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6,194</w:t>
            </w:r>
          </w:p>
        </w:tc>
        <w:tc>
          <w:tcPr>
            <w:tcW w:w="1368" w:type="dxa"/>
            <w:shd w:val="clear" w:color="auto" w:fill="auto"/>
            <w:vAlign w:val="bottom"/>
          </w:tcPr>
          <w:p w14:paraId="0420861E"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10,318</w:t>
            </w:r>
          </w:p>
        </w:tc>
      </w:tr>
      <w:tr w:rsidR="00891E3A" w:rsidRPr="00891E3A" w14:paraId="1546BEDB" w14:textId="77777777" w:rsidTr="00117D8A">
        <w:tblPrEx>
          <w:tblCellMar>
            <w:top w:w="0" w:type="dxa"/>
            <w:bottom w:w="0" w:type="dxa"/>
          </w:tblCellMar>
        </w:tblPrEx>
        <w:tc>
          <w:tcPr>
            <w:tcW w:w="4788" w:type="dxa"/>
            <w:shd w:val="clear" w:color="auto" w:fill="auto"/>
            <w:vAlign w:val="bottom"/>
          </w:tcPr>
          <w:p w14:paraId="3A48BD03" w14:textId="77777777" w:rsidR="00891E3A" w:rsidRPr="00117D8A" w:rsidRDefault="00891E3A" w:rsidP="0013007A">
            <w:pPr>
              <w:pStyle w:val="TableRowHead"/>
              <w:rPr>
                <w:lang w:val="en-GB" w:eastAsia="en-GB"/>
              </w:rPr>
            </w:pPr>
            <w:r w:rsidRPr="00117D8A">
              <w:rPr>
                <w:lang w:val="en-GB" w:eastAsia="en-GB"/>
              </w:rPr>
              <w:t>Maintenance</w:t>
            </w:r>
          </w:p>
        </w:tc>
        <w:tc>
          <w:tcPr>
            <w:tcW w:w="1260" w:type="dxa"/>
            <w:shd w:val="clear" w:color="auto" w:fill="auto"/>
            <w:vAlign w:val="bottom"/>
          </w:tcPr>
          <w:p w14:paraId="1387E05A"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5EB6A26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25,044</w:t>
            </w:r>
          </w:p>
        </w:tc>
        <w:tc>
          <w:tcPr>
            <w:tcW w:w="1368" w:type="dxa"/>
            <w:shd w:val="clear" w:color="auto" w:fill="auto"/>
            <w:vAlign w:val="bottom"/>
          </w:tcPr>
          <w:p w14:paraId="1F803A3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65,923</w:t>
            </w:r>
          </w:p>
        </w:tc>
      </w:tr>
      <w:tr w:rsidR="00891E3A" w:rsidRPr="00891E3A" w14:paraId="574B9933" w14:textId="77777777" w:rsidTr="00117D8A">
        <w:tblPrEx>
          <w:tblCellMar>
            <w:top w:w="0" w:type="dxa"/>
            <w:bottom w:w="0" w:type="dxa"/>
          </w:tblCellMar>
        </w:tblPrEx>
        <w:tc>
          <w:tcPr>
            <w:tcW w:w="4788" w:type="dxa"/>
            <w:shd w:val="clear" w:color="auto" w:fill="auto"/>
            <w:vAlign w:val="bottom"/>
          </w:tcPr>
          <w:p w14:paraId="56148DBB" w14:textId="77777777" w:rsidR="00891E3A" w:rsidRPr="00117D8A" w:rsidRDefault="00891E3A" w:rsidP="0013007A">
            <w:pPr>
              <w:pStyle w:val="TableRowHead"/>
              <w:rPr>
                <w:lang w:val="en-GB" w:eastAsia="en-GB"/>
              </w:rPr>
            </w:pPr>
            <w:r w:rsidRPr="00117D8A">
              <w:rPr>
                <w:lang w:val="en-GB" w:eastAsia="en-GB"/>
              </w:rPr>
              <w:t xml:space="preserve">Office furniture / equipment </w:t>
            </w:r>
            <w:proofErr w:type="gramStart"/>
            <w:r w:rsidRPr="00117D8A">
              <w:rPr>
                <w:lang w:val="en-GB" w:eastAsia="en-GB"/>
              </w:rPr>
              <w:t>Non Capital</w:t>
            </w:r>
            <w:proofErr w:type="gramEnd"/>
          </w:p>
        </w:tc>
        <w:tc>
          <w:tcPr>
            <w:tcW w:w="1260" w:type="dxa"/>
            <w:shd w:val="clear" w:color="auto" w:fill="auto"/>
            <w:vAlign w:val="bottom"/>
          </w:tcPr>
          <w:p w14:paraId="6D8E2548" w14:textId="77777777" w:rsidR="00891E3A" w:rsidRPr="00891E3A" w:rsidRDefault="00891E3A" w:rsidP="0013007A">
            <w:pPr>
              <w:keepNext/>
              <w:spacing w:after="0" w:line="240" w:lineRule="auto"/>
              <w:jc w:val="right"/>
              <w:rPr>
                <w:rFonts w:cs="Arial"/>
                <w:lang w:val="en-GB" w:eastAsia="en-GB"/>
              </w:rPr>
            </w:pPr>
          </w:p>
        </w:tc>
        <w:tc>
          <w:tcPr>
            <w:tcW w:w="1440" w:type="dxa"/>
            <w:shd w:val="clear" w:color="auto" w:fill="auto"/>
            <w:vAlign w:val="bottom"/>
          </w:tcPr>
          <w:p w14:paraId="01394002"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430</w:t>
            </w:r>
          </w:p>
        </w:tc>
        <w:tc>
          <w:tcPr>
            <w:tcW w:w="1368" w:type="dxa"/>
            <w:shd w:val="clear" w:color="auto" w:fill="auto"/>
            <w:vAlign w:val="bottom"/>
          </w:tcPr>
          <w:p w14:paraId="0C594227"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1,794</w:t>
            </w:r>
          </w:p>
        </w:tc>
      </w:tr>
      <w:tr w:rsidR="00891E3A" w:rsidRPr="00891E3A" w14:paraId="6AEB6AF7" w14:textId="77777777" w:rsidTr="00117D8A">
        <w:tblPrEx>
          <w:tblCellMar>
            <w:top w:w="0" w:type="dxa"/>
            <w:bottom w:w="0" w:type="dxa"/>
          </w:tblCellMar>
        </w:tblPrEx>
        <w:tc>
          <w:tcPr>
            <w:tcW w:w="4788" w:type="dxa"/>
            <w:shd w:val="clear" w:color="auto" w:fill="auto"/>
            <w:vAlign w:val="bottom"/>
          </w:tcPr>
          <w:p w14:paraId="0A41265D" w14:textId="77777777" w:rsidR="00891E3A" w:rsidRPr="00117D8A" w:rsidRDefault="00891E3A" w:rsidP="0013007A">
            <w:pPr>
              <w:pStyle w:val="TableRowHead"/>
              <w:rPr>
                <w:lang w:val="en-GB" w:eastAsia="en-GB"/>
              </w:rPr>
            </w:pPr>
            <w:r w:rsidRPr="00117D8A">
              <w:rPr>
                <w:lang w:val="en-GB" w:eastAsia="en-GB"/>
              </w:rPr>
              <w:t>Office supplies</w:t>
            </w:r>
          </w:p>
        </w:tc>
        <w:tc>
          <w:tcPr>
            <w:tcW w:w="1260" w:type="dxa"/>
            <w:shd w:val="clear" w:color="auto" w:fill="auto"/>
            <w:vAlign w:val="bottom"/>
          </w:tcPr>
          <w:p w14:paraId="00697E14"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A1672E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10,102</w:t>
            </w:r>
          </w:p>
        </w:tc>
        <w:tc>
          <w:tcPr>
            <w:tcW w:w="1368" w:type="dxa"/>
            <w:shd w:val="clear" w:color="auto" w:fill="auto"/>
            <w:vAlign w:val="bottom"/>
          </w:tcPr>
          <w:p w14:paraId="7A42ACC8"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10,965</w:t>
            </w:r>
          </w:p>
        </w:tc>
      </w:tr>
      <w:tr w:rsidR="00891E3A" w:rsidRPr="00891E3A" w14:paraId="41E35C99" w14:textId="77777777" w:rsidTr="00117D8A">
        <w:tblPrEx>
          <w:tblCellMar>
            <w:top w:w="0" w:type="dxa"/>
            <w:bottom w:w="0" w:type="dxa"/>
          </w:tblCellMar>
        </w:tblPrEx>
        <w:tc>
          <w:tcPr>
            <w:tcW w:w="4788" w:type="dxa"/>
            <w:shd w:val="clear" w:color="auto" w:fill="auto"/>
            <w:vAlign w:val="bottom"/>
          </w:tcPr>
          <w:p w14:paraId="64737EBD" w14:textId="77777777" w:rsidR="00891E3A" w:rsidRPr="00117D8A" w:rsidRDefault="00891E3A" w:rsidP="0013007A">
            <w:pPr>
              <w:pStyle w:val="TableRowHead"/>
              <w:rPr>
                <w:lang w:val="en-GB" w:eastAsia="en-GB"/>
              </w:rPr>
            </w:pPr>
            <w:r w:rsidRPr="00117D8A">
              <w:rPr>
                <w:lang w:val="en-GB" w:eastAsia="en-GB"/>
              </w:rPr>
              <w:t>Postage and Telephones</w:t>
            </w:r>
          </w:p>
        </w:tc>
        <w:tc>
          <w:tcPr>
            <w:tcW w:w="1260" w:type="dxa"/>
            <w:shd w:val="clear" w:color="auto" w:fill="auto"/>
            <w:vAlign w:val="bottom"/>
          </w:tcPr>
          <w:p w14:paraId="3DD1FFFD"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3C5652E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33,766</w:t>
            </w:r>
          </w:p>
        </w:tc>
        <w:tc>
          <w:tcPr>
            <w:tcW w:w="1368" w:type="dxa"/>
            <w:shd w:val="clear" w:color="auto" w:fill="auto"/>
            <w:vAlign w:val="bottom"/>
          </w:tcPr>
          <w:p w14:paraId="56B6E7B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53,965</w:t>
            </w:r>
          </w:p>
        </w:tc>
      </w:tr>
      <w:tr w:rsidR="00891E3A" w:rsidRPr="00891E3A" w14:paraId="6381F189" w14:textId="77777777" w:rsidTr="00117D8A">
        <w:tblPrEx>
          <w:tblCellMar>
            <w:top w:w="0" w:type="dxa"/>
            <w:bottom w:w="0" w:type="dxa"/>
          </w:tblCellMar>
        </w:tblPrEx>
        <w:tc>
          <w:tcPr>
            <w:tcW w:w="4788" w:type="dxa"/>
            <w:shd w:val="clear" w:color="auto" w:fill="auto"/>
            <w:vAlign w:val="bottom"/>
          </w:tcPr>
          <w:p w14:paraId="4A64379E" w14:textId="77777777" w:rsidR="00891E3A" w:rsidRPr="00117D8A" w:rsidRDefault="00891E3A" w:rsidP="0013007A">
            <w:pPr>
              <w:pStyle w:val="TableRowHead"/>
              <w:rPr>
                <w:lang w:val="en-GB" w:eastAsia="en-GB"/>
              </w:rPr>
            </w:pPr>
            <w:r w:rsidRPr="00117D8A">
              <w:rPr>
                <w:lang w:val="en-GB" w:eastAsia="en-GB"/>
              </w:rPr>
              <w:t>Printing / photocopying</w:t>
            </w:r>
          </w:p>
        </w:tc>
        <w:tc>
          <w:tcPr>
            <w:tcW w:w="1260" w:type="dxa"/>
            <w:shd w:val="clear" w:color="auto" w:fill="auto"/>
            <w:vAlign w:val="bottom"/>
          </w:tcPr>
          <w:p w14:paraId="01B680AB"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5172D28C"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14,704</w:t>
            </w:r>
          </w:p>
        </w:tc>
        <w:tc>
          <w:tcPr>
            <w:tcW w:w="1368" w:type="dxa"/>
            <w:shd w:val="clear" w:color="auto" w:fill="auto"/>
            <w:vAlign w:val="bottom"/>
          </w:tcPr>
          <w:p w14:paraId="3D042811"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21,228</w:t>
            </w:r>
          </w:p>
        </w:tc>
      </w:tr>
      <w:tr w:rsidR="00891E3A" w:rsidRPr="00891E3A" w14:paraId="7CEE874F" w14:textId="77777777" w:rsidTr="00117D8A">
        <w:tblPrEx>
          <w:tblCellMar>
            <w:top w:w="0" w:type="dxa"/>
            <w:bottom w:w="0" w:type="dxa"/>
          </w:tblCellMar>
        </w:tblPrEx>
        <w:tc>
          <w:tcPr>
            <w:tcW w:w="4788" w:type="dxa"/>
            <w:shd w:val="clear" w:color="auto" w:fill="auto"/>
            <w:vAlign w:val="bottom"/>
          </w:tcPr>
          <w:p w14:paraId="0B1BFB0D" w14:textId="77777777" w:rsidR="00891E3A" w:rsidRPr="00117D8A" w:rsidRDefault="00891E3A" w:rsidP="0013007A">
            <w:pPr>
              <w:pStyle w:val="TableRowHead"/>
              <w:rPr>
                <w:lang w:val="en-GB" w:eastAsia="en-GB"/>
              </w:rPr>
            </w:pPr>
            <w:r w:rsidRPr="00117D8A">
              <w:rPr>
                <w:lang w:val="en-GB" w:eastAsia="en-GB"/>
              </w:rPr>
              <w:t>Print Management</w:t>
            </w:r>
          </w:p>
        </w:tc>
        <w:tc>
          <w:tcPr>
            <w:tcW w:w="1260" w:type="dxa"/>
            <w:shd w:val="clear" w:color="auto" w:fill="auto"/>
            <w:vAlign w:val="bottom"/>
          </w:tcPr>
          <w:p w14:paraId="4B7AD2E0"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41F8BB3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12,187</w:t>
            </w:r>
          </w:p>
        </w:tc>
        <w:tc>
          <w:tcPr>
            <w:tcW w:w="1368" w:type="dxa"/>
            <w:shd w:val="clear" w:color="auto" w:fill="auto"/>
            <w:vAlign w:val="bottom"/>
          </w:tcPr>
          <w:p w14:paraId="7E32C64E"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18,729</w:t>
            </w:r>
          </w:p>
        </w:tc>
      </w:tr>
      <w:tr w:rsidR="00891E3A" w:rsidRPr="00891E3A" w14:paraId="6C963556" w14:textId="77777777" w:rsidTr="00117D8A">
        <w:tblPrEx>
          <w:tblCellMar>
            <w:top w:w="0" w:type="dxa"/>
            <w:bottom w:w="0" w:type="dxa"/>
          </w:tblCellMar>
        </w:tblPrEx>
        <w:tc>
          <w:tcPr>
            <w:tcW w:w="4788" w:type="dxa"/>
            <w:shd w:val="clear" w:color="auto" w:fill="auto"/>
            <w:vAlign w:val="bottom"/>
          </w:tcPr>
          <w:p w14:paraId="65C9CDF8" w14:textId="77777777" w:rsidR="00891E3A" w:rsidRPr="00117D8A" w:rsidRDefault="00891E3A" w:rsidP="0013007A">
            <w:pPr>
              <w:pStyle w:val="TableRowHead"/>
              <w:rPr>
                <w:lang w:val="en-GB" w:eastAsia="en-GB"/>
              </w:rPr>
            </w:pPr>
            <w:r w:rsidRPr="00117D8A">
              <w:rPr>
                <w:lang w:val="en-GB" w:eastAsia="en-GB"/>
              </w:rPr>
              <w:t>Public Relations</w:t>
            </w:r>
          </w:p>
        </w:tc>
        <w:tc>
          <w:tcPr>
            <w:tcW w:w="1260" w:type="dxa"/>
            <w:shd w:val="clear" w:color="auto" w:fill="auto"/>
            <w:vAlign w:val="bottom"/>
          </w:tcPr>
          <w:p w14:paraId="09EF8F12"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46504F33"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11FB3112"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41,657</w:t>
            </w:r>
          </w:p>
        </w:tc>
      </w:tr>
      <w:tr w:rsidR="00891E3A" w:rsidRPr="00891E3A" w14:paraId="2A468A16" w14:textId="77777777" w:rsidTr="00117D8A">
        <w:tblPrEx>
          <w:tblCellMar>
            <w:top w:w="0" w:type="dxa"/>
            <w:bottom w:w="0" w:type="dxa"/>
          </w:tblCellMar>
        </w:tblPrEx>
        <w:tc>
          <w:tcPr>
            <w:tcW w:w="4788" w:type="dxa"/>
            <w:shd w:val="clear" w:color="auto" w:fill="auto"/>
            <w:vAlign w:val="bottom"/>
          </w:tcPr>
          <w:p w14:paraId="59890E1D" w14:textId="77777777" w:rsidR="00891E3A" w:rsidRPr="00117D8A" w:rsidRDefault="00891E3A" w:rsidP="0013007A">
            <w:pPr>
              <w:pStyle w:val="TableRowHead"/>
              <w:rPr>
                <w:lang w:val="en-GB" w:eastAsia="en-GB"/>
              </w:rPr>
            </w:pPr>
            <w:r w:rsidRPr="00117D8A">
              <w:rPr>
                <w:lang w:val="en-GB" w:eastAsia="en-GB"/>
              </w:rPr>
              <w:t>Publications / periodicals</w:t>
            </w:r>
          </w:p>
        </w:tc>
        <w:tc>
          <w:tcPr>
            <w:tcW w:w="1260" w:type="dxa"/>
            <w:shd w:val="clear" w:color="auto" w:fill="auto"/>
            <w:vAlign w:val="bottom"/>
          </w:tcPr>
          <w:p w14:paraId="79EF61B2"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F83F0D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239</w:t>
            </w:r>
          </w:p>
        </w:tc>
        <w:tc>
          <w:tcPr>
            <w:tcW w:w="1368" w:type="dxa"/>
            <w:shd w:val="clear" w:color="auto" w:fill="auto"/>
            <w:vAlign w:val="bottom"/>
          </w:tcPr>
          <w:p w14:paraId="33BB0F4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5,039</w:t>
            </w:r>
          </w:p>
        </w:tc>
      </w:tr>
      <w:tr w:rsidR="00891E3A" w:rsidRPr="00891E3A" w14:paraId="2D4C5D44" w14:textId="77777777" w:rsidTr="00117D8A">
        <w:tblPrEx>
          <w:tblCellMar>
            <w:top w:w="0" w:type="dxa"/>
            <w:bottom w:w="0" w:type="dxa"/>
          </w:tblCellMar>
        </w:tblPrEx>
        <w:tc>
          <w:tcPr>
            <w:tcW w:w="4788" w:type="dxa"/>
            <w:shd w:val="clear" w:color="auto" w:fill="auto"/>
            <w:vAlign w:val="bottom"/>
          </w:tcPr>
          <w:p w14:paraId="6F2C3FA9" w14:textId="77777777" w:rsidR="00891E3A" w:rsidRPr="00117D8A" w:rsidRDefault="00891E3A" w:rsidP="0013007A">
            <w:pPr>
              <w:pStyle w:val="TableRowHead"/>
              <w:rPr>
                <w:lang w:val="en-GB" w:eastAsia="en-GB"/>
              </w:rPr>
            </w:pPr>
            <w:r w:rsidRPr="00117D8A">
              <w:rPr>
                <w:lang w:val="en-GB" w:eastAsia="en-GB"/>
              </w:rPr>
              <w:t>Rates</w:t>
            </w:r>
          </w:p>
        </w:tc>
        <w:tc>
          <w:tcPr>
            <w:tcW w:w="1260" w:type="dxa"/>
            <w:shd w:val="clear" w:color="auto" w:fill="auto"/>
            <w:vAlign w:val="bottom"/>
          </w:tcPr>
          <w:p w14:paraId="0F933627"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1D911E1B"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70,459</w:t>
            </w:r>
          </w:p>
        </w:tc>
        <w:tc>
          <w:tcPr>
            <w:tcW w:w="1368" w:type="dxa"/>
            <w:shd w:val="clear" w:color="auto" w:fill="auto"/>
            <w:vAlign w:val="bottom"/>
          </w:tcPr>
          <w:p w14:paraId="633CC487"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71,899</w:t>
            </w:r>
          </w:p>
        </w:tc>
      </w:tr>
      <w:tr w:rsidR="00891E3A" w:rsidRPr="00891E3A" w14:paraId="2AC47CDC" w14:textId="77777777" w:rsidTr="00117D8A">
        <w:tblPrEx>
          <w:tblCellMar>
            <w:top w:w="0" w:type="dxa"/>
            <w:bottom w:w="0" w:type="dxa"/>
          </w:tblCellMar>
        </w:tblPrEx>
        <w:tc>
          <w:tcPr>
            <w:tcW w:w="4788" w:type="dxa"/>
            <w:shd w:val="clear" w:color="auto" w:fill="auto"/>
            <w:vAlign w:val="bottom"/>
          </w:tcPr>
          <w:p w14:paraId="65A2B498" w14:textId="77777777" w:rsidR="00891E3A" w:rsidRPr="00117D8A" w:rsidRDefault="00891E3A" w:rsidP="0013007A">
            <w:pPr>
              <w:pStyle w:val="TableRowHead"/>
              <w:rPr>
                <w:lang w:val="en-GB" w:eastAsia="en-GB"/>
              </w:rPr>
            </w:pPr>
            <w:r w:rsidRPr="00117D8A">
              <w:rPr>
                <w:lang w:val="en-GB" w:eastAsia="en-GB"/>
              </w:rPr>
              <w:t>Representations</w:t>
            </w:r>
          </w:p>
        </w:tc>
        <w:tc>
          <w:tcPr>
            <w:tcW w:w="1260" w:type="dxa"/>
            <w:shd w:val="clear" w:color="auto" w:fill="auto"/>
            <w:vAlign w:val="bottom"/>
          </w:tcPr>
          <w:p w14:paraId="2DF72295"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CF66F2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15139193"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219</w:t>
            </w:r>
          </w:p>
        </w:tc>
      </w:tr>
      <w:tr w:rsidR="00891E3A" w:rsidRPr="00891E3A" w14:paraId="1D408A1C" w14:textId="77777777" w:rsidTr="00117D8A">
        <w:tblPrEx>
          <w:tblCellMar>
            <w:top w:w="0" w:type="dxa"/>
            <w:bottom w:w="0" w:type="dxa"/>
          </w:tblCellMar>
        </w:tblPrEx>
        <w:tc>
          <w:tcPr>
            <w:tcW w:w="4788" w:type="dxa"/>
            <w:shd w:val="clear" w:color="auto" w:fill="auto"/>
            <w:vAlign w:val="bottom"/>
          </w:tcPr>
          <w:p w14:paraId="4EF6D033" w14:textId="77777777" w:rsidR="00891E3A" w:rsidRPr="00117D8A" w:rsidRDefault="00891E3A" w:rsidP="0013007A">
            <w:pPr>
              <w:pStyle w:val="TableRowHead"/>
              <w:rPr>
                <w:lang w:val="en-GB" w:eastAsia="en-GB"/>
              </w:rPr>
            </w:pPr>
            <w:r w:rsidRPr="00117D8A">
              <w:rPr>
                <w:lang w:val="en-GB" w:eastAsia="en-GB"/>
              </w:rPr>
              <w:t>Security</w:t>
            </w:r>
          </w:p>
        </w:tc>
        <w:tc>
          <w:tcPr>
            <w:tcW w:w="1260" w:type="dxa"/>
            <w:shd w:val="clear" w:color="auto" w:fill="auto"/>
            <w:vAlign w:val="bottom"/>
          </w:tcPr>
          <w:p w14:paraId="6D9E0AEB"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6315C3C4"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11,649</w:t>
            </w:r>
          </w:p>
        </w:tc>
        <w:tc>
          <w:tcPr>
            <w:tcW w:w="1368" w:type="dxa"/>
            <w:shd w:val="clear" w:color="auto" w:fill="auto"/>
            <w:vAlign w:val="bottom"/>
          </w:tcPr>
          <w:p w14:paraId="550433B5"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15,089</w:t>
            </w:r>
          </w:p>
        </w:tc>
      </w:tr>
      <w:tr w:rsidR="00891E3A" w:rsidRPr="00891E3A" w14:paraId="3A8DD2D8" w14:textId="77777777" w:rsidTr="00117D8A">
        <w:tblPrEx>
          <w:tblCellMar>
            <w:top w:w="0" w:type="dxa"/>
            <w:bottom w:w="0" w:type="dxa"/>
          </w:tblCellMar>
        </w:tblPrEx>
        <w:tc>
          <w:tcPr>
            <w:tcW w:w="4788" w:type="dxa"/>
            <w:shd w:val="clear" w:color="auto" w:fill="auto"/>
            <w:vAlign w:val="bottom"/>
          </w:tcPr>
          <w:p w14:paraId="4FFF2877" w14:textId="77777777" w:rsidR="00891E3A" w:rsidRPr="00117D8A" w:rsidRDefault="00891E3A" w:rsidP="0013007A">
            <w:pPr>
              <w:pStyle w:val="TableRowHead"/>
              <w:rPr>
                <w:lang w:val="en-GB" w:eastAsia="en-GB"/>
              </w:rPr>
            </w:pPr>
            <w:r w:rsidRPr="00117D8A">
              <w:rPr>
                <w:lang w:val="en-GB" w:eastAsia="en-GB"/>
              </w:rPr>
              <w:t>Subscriptions / Donations</w:t>
            </w:r>
          </w:p>
        </w:tc>
        <w:tc>
          <w:tcPr>
            <w:tcW w:w="1260" w:type="dxa"/>
            <w:shd w:val="clear" w:color="auto" w:fill="auto"/>
            <w:vAlign w:val="bottom"/>
          </w:tcPr>
          <w:p w14:paraId="0AC04456"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0D0A4853"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11,290</w:t>
            </w:r>
          </w:p>
        </w:tc>
        <w:tc>
          <w:tcPr>
            <w:tcW w:w="1368" w:type="dxa"/>
            <w:shd w:val="clear" w:color="auto" w:fill="auto"/>
            <w:vAlign w:val="bottom"/>
          </w:tcPr>
          <w:p w14:paraId="5E854AA7"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12,092</w:t>
            </w:r>
          </w:p>
        </w:tc>
      </w:tr>
      <w:tr w:rsidR="00891E3A" w:rsidRPr="00891E3A" w14:paraId="7927E2FF" w14:textId="77777777" w:rsidTr="00117D8A">
        <w:tblPrEx>
          <w:tblCellMar>
            <w:top w:w="0" w:type="dxa"/>
            <w:bottom w:w="0" w:type="dxa"/>
          </w:tblCellMar>
        </w:tblPrEx>
        <w:tc>
          <w:tcPr>
            <w:tcW w:w="4788" w:type="dxa"/>
            <w:shd w:val="clear" w:color="auto" w:fill="auto"/>
            <w:vAlign w:val="bottom"/>
          </w:tcPr>
          <w:p w14:paraId="6DDE6AB4" w14:textId="77777777" w:rsidR="00891E3A" w:rsidRPr="00117D8A" w:rsidRDefault="00891E3A" w:rsidP="0013007A">
            <w:pPr>
              <w:pStyle w:val="TableRowHead"/>
              <w:rPr>
                <w:lang w:val="en-GB" w:eastAsia="en-GB"/>
              </w:rPr>
            </w:pPr>
            <w:r w:rsidRPr="00117D8A">
              <w:rPr>
                <w:lang w:val="en-GB" w:eastAsia="en-GB"/>
              </w:rPr>
              <w:t>Sundry</w:t>
            </w:r>
          </w:p>
        </w:tc>
        <w:tc>
          <w:tcPr>
            <w:tcW w:w="1260" w:type="dxa"/>
            <w:shd w:val="clear" w:color="auto" w:fill="auto"/>
            <w:vAlign w:val="bottom"/>
          </w:tcPr>
          <w:p w14:paraId="08B06B1D"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7309E46A"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2,833</w:t>
            </w:r>
          </w:p>
        </w:tc>
        <w:tc>
          <w:tcPr>
            <w:tcW w:w="1368" w:type="dxa"/>
            <w:shd w:val="clear" w:color="auto" w:fill="auto"/>
            <w:vAlign w:val="bottom"/>
          </w:tcPr>
          <w:p w14:paraId="5D8CAF24"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-4,133</w:t>
            </w:r>
          </w:p>
        </w:tc>
      </w:tr>
      <w:tr w:rsidR="00891E3A" w:rsidRPr="00891E3A" w14:paraId="1FC816A4" w14:textId="77777777" w:rsidTr="00117D8A">
        <w:tblPrEx>
          <w:tblCellMar>
            <w:top w:w="0" w:type="dxa"/>
            <w:bottom w:w="0" w:type="dxa"/>
          </w:tblCellMar>
        </w:tblPrEx>
        <w:tc>
          <w:tcPr>
            <w:tcW w:w="4788" w:type="dxa"/>
            <w:shd w:val="clear" w:color="auto" w:fill="auto"/>
            <w:vAlign w:val="bottom"/>
          </w:tcPr>
          <w:p w14:paraId="0A3C588F" w14:textId="77777777" w:rsidR="00891E3A" w:rsidRPr="00117D8A" w:rsidRDefault="00891E3A" w:rsidP="0013007A">
            <w:pPr>
              <w:pStyle w:val="TableRowHead"/>
              <w:rPr>
                <w:lang w:val="en-GB" w:eastAsia="en-GB"/>
              </w:rPr>
            </w:pPr>
            <w:r w:rsidRPr="00117D8A">
              <w:rPr>
                <w:lang w:val="en-GB" w:eastAsia="en-GB"/>
              </w:rPr>
              <w:t>Telephone Maintenance</w:t>
            </w:r>
          </w:p>
        </w:tc>
        <w:tc>
          <w:tcPr>
            <w:tcW w:w="1260" w:type="dxa"/>
            <w:shd w:val="clear" w:color="auto" w:fill="auto"/>
            <w:vAlign w:val="bottom"/>
          </w:tcPr>
          <w:p w14:paraId="481E2C9B"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48A21B29"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2,885</w:t>
            </w:r>
          </w:p>
        </w:tc>
        <w:tc>
          <w:tcPr>
            <w:tcW w:w="1368" w:type="dxa"/>
            <w:shd w:val="clear" w:color="auto" w:fill="auto"/>
            <w:vAlign w:val="bottom"/>
          </w:tcPr>
          <w:p w14:paraId="0DF8E078" w14:textId="77777777" w:rsidR="00891E3A" w:rsidRPr="00891E3A" w:rsidRDefault="00891E3A" w:rsidP="0013007A">
            <w:pPr>
              <w:keepNext/>
              <w:spacing w:after="0" w:line="240" w:lineRule="auto"/>
              <w:jc w:val="right"/>
              <w:rPr>
                <w:rFonts w:cs="Arial"/>
                <w:lang w:val="en-GB" w:eastAsia="en-GB"/>
              </w:rPr>
            </w:pPr>
            <w:r w:rsidRPr="00891E3A">
              <w:rPr>
                <w:rFonts w:cs="Arial"/>
                <w:lang w:val="en-GB" w:eastAsia="en-GB"/>
              </w:rPr>
              <w:t>7,879</w:t>
            </w:r>
          </w:p>
        </w:tc>
      </w:tr>
      <w:tr w:rsidR="00891E3A" w:rsidRPr="00891E3A" w14:paraId="15378639" w14:textId="77777777" w:rsidTr="00117D8A">
        <w:tblPrEx>
          <w:tblCellMar>
            <w:top w:w="0" w:type="dxa"/>
            <w:bottom w:w="0" w:type="dxa"/>
          </w:tblCellMar>
        </w:tblPrEx>
        <w:tc>
          <w:tcPr>
            <w:tcW w:w="4788" w:type="dxa"/>
            <w:shd w:val="clear" w:color="auto" w:fill="auto"/>
            <w:vAlign w:val="bottom"/>
          </w:tcPr>
          <w:p w14:paraId="5A194A26" w14:textId="77777777" w:rsidR="00891E3A" w:rsidRPr="00117D8A" w:rsidRDefault="00891E3A" w:rsidP="0013007A">
            <w:pPr>
              <w:pStyle w:val="TableRowHead"/>
              <w:rPr>
                <w:lang w:val="en-GB" w:eastAsia="en-GB"/>
              </w:rPr>
            </w:pPr>
          </w:p>
        </w:tc>
        <w:tc>
          <w:tcPr>
            <w:tcW w:w="1260" w:type="dxa"/>
            <w:shd w:val="clear" w:color="auto" w:fill="auto"/>
            <w:vAlign w:val="bottom"/>
          </w:tcPr>
          <w:p w14:paraId="173E72F7" w14:textId="77777777" w:rsidR="00891E3A" w:rsidRPr="00891E3A" w:rsidRDefault="00891E3A" w:rsidP="0013007A">
            <w:pPr>
              <w:keepNext/>
              <w:spacing w:after="0" w:line="240" w:lineRule="auto"/>
              <w:rPr>
                <w:rFonts w:cs="Arial"/>
                <w:lang w:val="en-GB" w:eastAsia="en-GB"/>
              </w:rPr>
            </w:pPr>
          </w:p>
        </w:tc>
        <w:tc>
          <w:tcPr>
            <w:tcW w:w="1440" w:type="dxa"/>
            <w:shd w:val="clear" w:color="auto" w:fill="auto"/>
            <w:vAlign w:val="bottom"/>
          </w:tcPr>
          <w:p w14:paraId="51CD3B6E" w14:textId="77777777" w:rsidR="00891E3A" w:rsidRPr="009912D3" w:rsidRDefault="00891E3A" w:rsidP="0013007A">
            <w:pPr>
              <w:keepNext/>
              <w:spacing w:after="0" w:line="240" w:lineRule="auto"/>
              <w:jc w:val="right"/>
              <w:rPr>
                <w:rFonts w:cs="Arial"/>
                <w:b/>
                <w:lang w:val="en-GB" w:eastAsia="en-GB"/>
              </w:rPr>
            </w:pPr>
            <w:r w:rsidRPr="009912D3">
              <w:rPr>
                <w:rFonts w:cs="Arial"/>
                <w:b/>
                <w:lang w:val="en-GB" w:eastAsia="en-GB"/>
              </w:rPr>
              <w:t>618,039</w:t>
            </w:r>
          </w:p>
        </w:tc>
        <w:tc>
          <w:tcPr>
            <w:tcW w:w="1368" w:type="dxa"/>
            <w:shd w:val="clear" w:color="auto" w:fill="auto"/>
            <w:vAlign w:val="bottom"/>
          </w:tcPr>
          <w:p w14:paraId="496DD2A9" w14:textId="77777777" w:rsidR="00891E3A" w:rsidRPr="009912D3" w:rsidRDefault="00891E3A" w:rsidP="0013007A">
            <w:pPr>
              <w:keepNext/>
              <w:spacing w:after="0" w:line="240" w:lineRule="auto"/>
              <w:jc w:val="right"/>
              <w:rPr>
                <w:rFonts w:cs="Arial"/>
                <w:b/>
                <w:lang w:val="en-GB" w:eastAsia="en-GB"/>
              </w:rPr>
            </w:pPr>
            <w:r w:rsidRPr="009912D3">
              <w:rPr>
                <w:rFonts w:cs="Arial"/>
                <w:b/>
                <w:lang w:val="en-GB" w:eastAsia="en-GB"/>
              </w:rPr>
              <w:t>751,112</w:t>
            </w:r>
          </w:p>
        </w:tc>
      </w:tr>
    </w:tbl>
    <w:p w14:paraId="0E24F09B" w14:textId="77777777" w:rsidR="00117D8A" w:rsidRDefault="00117D8A" w:rsidP="00117D8A">
      <w:pPr>
        <w:pStyle w:val="TableTitle"/>
        <w:jc w:val="left"/>
        <w:rPr>
          <w:lang w:val="en-GB" w:eastAsia="en-GB"/>
        </w:rPr>
      </w:pPr>
      <w:r w:rsidRPr="00117D8A">
        <w:rPr>
          <w:lang w:val="en-GB" w:eastAsia="en-GB"/>
        </w:rPr>
        <w:t>6. Authority Fees &amp; Expenses</w:t>
      </w:r>
    </w:p>
    <w:p w14:paraId="3A2F311E" w14:textId="77777777" w:rsidR="00117D8A" w:rsidRDefault="0013007A" w:rsidP="00117D8A">
      <w:pPr>
        <w:rPr>
          <w:lang w:val="en-GB" w:eastAsia="en-GB"/>
        </w:rPr>
      </w:pPr>
      <w:r>
        <w:rPr>
          <w:lang w:val="en-GB" w:eastAsia="en-GB"/>
        </w:rPr>
        <w:t>Expenditure of €</w:t>
      </w:r>
      <w:r w:rsidR="00117D8A" w:rsidRPr="00117D8A">
        <w:rPr>
          <w:lang w:val="en-GB" w:eastAsia="en-GB"/>
        </w:rPr>
        <w:t>62,843 (€43,896 in 2009) in respect of the Authority Fees was paid.</w:t>
      </w:r>
    </w:p>
    <w:p w14:paraId="3F7C1853" w14:textId="77777777" w:rsidR="0013007A" w:rsidRDefault="0013007A" w:rsidP="00117D8A">
      <w:pPr>
        <w:rPr>
          <w:lang w:val="en-GB"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808"/>
        <w:gridCol w:w="1800"/>
        <w:gridCol w:w="2520"/>
        <w:gridCol w:w="1620"/>
      </w:tblGrid>
      <w:tr w:rsidR="00117D8A" w:rsidRPr="00117D8A" w14:paraId="52F6E8B9" w14:textId="77777777" w:rsidTr="009912D3">
        <w:tblPrEx>
          <w:tblCellMar>
            <w:top w:w="0" w:type="dxa"/>
            <w:bottom w:w="0" w:type="dxa"/>
          </w:tblCellMar>
        </w:tblPrEx>
        <w:trPr>
          <w:tblHeader/>
        </w:trPr>
        <w:tc>
          <w:tcPr>
            <w:tcW w:w="2808" w:type="dxa"/>
            <w:shd w:val="clear" w:color="auto" w:fill="auto"/>
          </w:tcPr>
          <w:p w14:paraId="16BE0C7C" w14:textId="77777777" w:rsidR="00117D8A" w:rsidRPr="009912D3" w:rsidRDefault="00117D8A" w:rsidP="00117D8A">
            <w:pPr>
              <w:pStyle w:val="TableHead"/>
              <w:jc w:val="right"/>
              <w:rPr>
                <w:lang w:val="en-GB" w:eastAsia="en-GB"/>
              </w:rPr>
            </w:pPr>
            <w:r w:rsidRPr="009912D3">
              <w:rPr>
                <w:lang w:val="en-GB" w:eastAsia="en-GB"/>
              </w:rPr>
              <w:lastRenderedPageBreak/>
              <w:t>Authority Member</w:t>
            </w:r>
          </w:p>
        </w:tc>
        <w:tc>
          <w:tcPr>
            <w:tcW w:w="1800" w:type="dxa"/>
            <w:shd w:val="clear" w:color="auto" w:fill="auto"/>
            <w:vAlign w:val="bottom"/>
          </w:tcPr>
          <w:p w14:paraId="13F1ACD8" w14:textId="77777777" w:rsidR="00117D8A" w:rsidRPr="009912D3" w:rsidRDefault="00117D8A" w:rsidP="00117D8A">
            <w:pPr>
              <w:pStyle w:val="TableHead"/>
              <w:jc w:val="right"/>
              <w:rPr>
                <w:lang w:val="en-GB" w:eastAsia="en-GB"/>
              </w:rPr>
            </w:pPr>
            <w:r w:rsidRPr="009912D3">
              <w:rPr>
                <w:lang w:val="en-GB" w:eastAsia="en-GB"/>
              </w:rPr>
              <w:t>Fees</w:t>
            </w:r>
          </w:p>
        </w:tc>
        <w:tc>
          <w:tcPr>
            <w:tcW w:w="2520" w:type="dxa"/>
            <w:shd w:val="clear" w:color="auto" w:fill="auto"/>
            <w:vAlign w:val="bottom"/>
          </w:tcPr>
          <w:p w14:paraId="39808BFF" w14:textId="77777777" w:rsidR="00117D8A" w:rsidRPr="009912D3" w:rsidRDefault="00117D8A" w:rsidP="00117D8A">
            <w:pPr>
              <w:pStyle w:val="TableHead"/>
              <w:jc w:val="right"/>
              <w:rPr>
                <w:lang w:val="en-GB" w:eastAsia="en-GB"/>
              </w:rPr>
            </w:pPr>
            <w:r w:rsidRPr="009912D3">
              <w:rPr>
                <w:lang w:val="en-GB" w:eastAsia="en-GB"/>
              </w:rPr>
              <w:t>Expenses paid to or on behalf of</w:t>
            </w:r>
          </w:p>
        </w:tc>
        <w:tc>
          <w:tcPr>
            <w:tcW w:w="1620" w:type="dxa"/>
            <w:shd w:val="clear" w:color="auto" w:fill="auto"/>
          </w:tcPr>
          <w:p w14:paraId="138791F4" w14:textId="77777777" w:rsidR="00117D8A" w:rsidRPr="009912D3" w:rsidRDefault="00117D8A" w:rsidP="00117D8A">
            <w:pPr>
              <w:pStyle w:val="TableHead"/>
              <w:jc w:val="right"/>
            </w:pPr>
            <w:r w:rsidRPr="009912D3">
              <w:t>Total</w:t>
            </w:r>
          </w:p>
        </w:tc>
      </w:tr>
      <w:tr w:rsidR="00117D8A" w:rsidRPr="00117D8A" w14:paraId="58B1F041" w14:textId="77777777" w:rsidTr="009912D3">
        <w:tblPrEx>
          <w:tblCellMar>
            <w:top w:w="0" w:type="dxa"/>
            <w:bottom w:w="0" w:type="dxa"/>
          </w:tblCellMar>
        </w:tblPrEx>
        <w:tc>
          <w:tcPr>
            <w:tcW w:w="2808" w:type="dxa"/>
            <w:shd w:val="clear" w:color="auto" w:fill="auto"/>
            <w:vAlign w:val="bottom"/>
          </w:tcPr>
          <w:p w14:paraId="654AEC0E" w14:textId="77777777" w:rsidR="00117D8A" w:rsidRPr="009912D3" w:rsidRDefault="00117D8A" w:rsidP="00117D8A">
            <w:pPr>
              <w:pStyle w:val="TableRowHead"/>
              <w:rPr>
                <w:lang w:val="en-GB" w:eastAsia="en-GB"/>
              </w:rPr>
            </w:pPr>
            <w:r w:rsidRPr="009912D3">
              <w:rPr>
                <w:lang w:val="en-GB" w:eastAsia="en-GB"/>
              </w:rPr>
              <w:t xml:space="preserve">Peter </w:t>
            </w:r>
            <w:proofErr w:type="spellStart"/>
            <w:r w:rsidRPr="009912D3">
              <w:rPr>
                <w:lang w:val="en-GB" w:eastAsia="en-GB"/>
              </w:rPr>
              <w:t>Mckevitt</w:t>
            </w:r>
            <w:proofErr w:type="spellEnd"/>
          </w:p>
        </w:tc>
        <w:tc>
          <w:tcPr>
            <w:tcW w:w="1800" w:type="dxa"/>
            <w:shd w:val="clear" w:color="auto" w:fill="auto"/>
            <w:vAlign w:val="bottom"/>
          </w:tcPr>
          <w:p w14:paraId="064EAFAE"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€8,978.00</w:t>
            </w:r>
          </w:p>
        </w:tc>
        <w:tc>
          <w:tcPr>
            <w:tcW w:w="2520" w:type="dxa"/>
            <w:shd w:val="clear" w:color="auto" w:fill="auto"/>
            <w:vAlign w:val="bottom"/>
          </w:tcPr>
          <w:p w14:paraId="13B64A7B"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€51.20</w:t>
            </w:r>
          </w:p>
        </w:tc>
        <w:tc>
          <w:tcPr>
            <w:tcW w:w="1620" w:type="dxa"/>
            <w:shd w:val="clear" w:color="auto" w:fill="auto"/>
          </w:tcPr>
          <w:p w14:paraId="535400DD" w14:textId="77777777" w:rsidR="00117D8A" w:rsidRPr="009912D3" w:rsidRDefault="00117D8A" w:rsidP="00117D8A">
            <w:pPr>
              <w:pStyle w:val="TableCell"/>
              <w:jc w:val="right"/>
            </w:pPr>
          </w:p>
        </w:tc>
      </w:tr>
      <w:tr w:rsidR="00117D8A" w:rsidRPr="00117D8A" w14:paraId="4024B974" w14:textId="77777777" w:rsidTr="009912D3">
        <w:tblPrEx>
          <w:tblCellMar>
            <w:top w:w="0" w:type="dxa"/>
            <w:bottom w:w="0" w:type="dxa"/>
          </w:tblCellMar>
        </w:tblPrEx>
        <w:tc>
          <w:tcPr>
            <w:tcW w:w="2808" w:type="dxa"/>
            <w:shd w:val="clear" w:color="auto" w:fill="auto"/>
            <w:vAlign w:val="bottom"/>
          </w:tcPr>
          <w:p w14:paraId="3D5AE2E0" w14:textId="77777777" w:rsidR="00117D8A" w:rsidRPr="009912D3" w:rsidRDefault="00117D8A" w:rsidP="00117D8A">
            <w:pPr>
              <w:pStyle w:val="TableRowHead"/>
              <w:rPr>
                <w:lang w:val="en-GB" w:eastAsia="en-GB"/>
              </w:rPr>
            </w:pPr>
            <w:r w:rsidRPr="009912D3">
              <w:rPr>
                <w:lang w:val="en-GB" w:eastAsia="en-GB"/>
              </w:rPr>
              <w:t>Caroline Burrell</w:t>
            </w:r>
          </w:p>
        </w:tc>
        <w:tc>
          <w:tcPr>
            <w:tcW w:w="1800" w:type="dxa"/>
            <w:shd w:val="clear" w:color="auto" w:fill="auto"/>
            <w:vAlign w:val="bottom"/>
          </w:tcPr>
          <w:p w14:paraId="62BE8F7A"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43932EEF"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€186.07</w:t>
            </w:r>
          </w:p>
        </w:tc>
        <w:tc>
          <w:tcPr>
            <w:tcW w:w="1620" w:type="dxa"/>
            <w:shd w:val="clear" w:color="auto" w:fill="auto"/>
          </w:tcPr>
          <w:p w14:paraId="007C6B15" w14:textId="77777777" w:rsidR="00117D8A" w:rsidRPr="009912D3" w:rsidRDefault="00117D8A" w:rsidP="00117D8A">
            <w:pPr>
              <w:pStyle w:val="TableCell"/>
              <w:jc w:val="right"/>
            </w:pPr>
          </w:p>
        </w:tc>
      </w:tr>
      <w:tr w:rsidR="00117D8A" w:rsidRPr="00117D8A" w14:paraId="43B7BD36" w14:textId="77777777" w:rsidTr="009912D3">
        <w:tblPrEx>
          <w:tblCellMar>
            <w:top w:w="0" w:type="dxa"/>
            <w:bottom w:w="0" w:type="dxa"/>
          </w:tblCellMar>
        </w:tblPrEx>
        <w:tc>
          <w:tcPr>
            <w:tcW w:w="2808" w:type="dxa"/>
            <w:shd w:val="clear" w:color="auto" w:fill="auto"/>
            <w:vAlign w:val="bottom"/>
          </w:tcPr>
          <w:p w14:paraId="5BEB7327" w14:textId="77777777" w:rsidR="00117D8A" w:rsidRPr="009912D3" w:rsidRDefault="00117D8A" w:rsidP="00117D8A">
            <w:pPr>
              <w:pStyle w:val="TableRowHead"/>
              <w:rPr>
                <w:lang w:val="en-GB" w:eastAsia="en-GB"/>
              </w:rPr>
            </w:pPr>
            <w:r w:rsidRPr="009912D3">
              <w:rPr>
                <w:lang w:val="en-GB" w:eastAsia="en-GB"/>
              </w:rPr>
              <w:t>Desmond Kenny</w:t>
            </w:r>
          </w:p>
        </w:tc>
        <w:tc>
          <w:tcPr>
            <w:tcW w:w="1800" w:type="dxa"/>
            <w:shd w:val="clear" w:color="auto" w:fill="auto"/>
            <w:vAlign w:val="bottom"/>
          </w:tcPr>
          <w:p w14:paraId="72AD8691"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06105BFF"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3CA5E7BB" w14:textId="77777777" w:rsidR="00117D8A" w:rsidRPr="009912D3" w:rsidRDefault="00117D8A" w:rsidP="00117D8A">
            <w:pPr>
              <w:pStyle w:val="TableCell"/>
              <w:jc w:val="right"/>
            </w:pPr>
          </w:p>
        </w:tc>
      </w:tr>
      <w:tr w:rsidR="00117D8A" w:rsidRPr="00117D8A" w14:paraId="6FB2C83E" w14:textId="77777777" w:rsidTr="009912D3">
        <w:tblPrEx>
          <w:tblCellMar>
            <w:top w:w="0" w:type="dxa"/>
            <w:bottom w:w="0" w:type="dxa"/>
          </w:tblCellMar>
        </w:tblPrEx>
        <w:tc>
          <w:tcPr>
            <w:tcW w:w="2808" w:type="dxa"/>
            <w:shd w:val="clear" w:color="auto" w:fill="auto"/>
            <w:vAlign w:val="bottom"/>
          </w:tcPr>
          <w:p w14:paraId="7AE29702" w14:textId="77777777" w:rsidR="00117D8A" w:rsidRPr="009912D3" w:rsidRDefault="00117D8A" w:rsidP="00117D8A">
            <w:pPr>
              <w:pStyle w:val="TableRowHead"/>
              <w:rPr>
                <w:lang w:val="en-GB" w:eastAsia="en-GB"/>
              </w:rPr>
            </w:pPr>
            <w:r w:rsidRPr="009912D3">
              <w:rPr>
                <w:lang w:val="en-GB" w:eastAsia="en-GB"/>
              </w:rPr>
              <w:t>Fiona Duignan</w:t>
            </w:r>
          </w:p>
        </w:tc>
        <w:tc>
          <w:tcPr>
            <w:tcW w:w="1800" w:type="dxa"/>
            <w:shd w:val="clear" w:color="auto" w:fill="auto"/>
            <w:vAlign w:val="bottom"/>
          </w:tcPr>
          <w:p w14:paraId="61C8121F"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536C2CC4"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77FE3E8E" w14:textId="77777777" w:rsidR="00117D8A" w:rsidRPr="009912D3" w:rsidRDefault="00117D8A" w:rsidP="00117D8A">
            <w:pPr>
              <w:pStyle w:val="TableCell"/>
              <w:jc w:val="right"/>
            </w:pPr>
          </w:p>
        </w:tc>
      </w:tr>
      <w:tr w:rsidR="00117D8A" w:rsidRPr="00117D8A" w14:paraId="5AAEA182" w14:textId="77777777" w:rsidTr="009912D3">
        <w:tblPrEx>
          <w:tblCellMar>
            <w:top w:w="0" w:type="dxa"/>
            <w:bottom w:w="0" w:type="dxa"/>
          </w:tblCellMar>
        </w:tblPrEx>
        <w:tc>
          <w:tcPr>
            <w:tcW w:w="2808" w:type="dxa"/>
            <w:shd w:val="clear" w:color="auto" w:fill="auto"/>
            <w:vAlign w:val="bottom"/>
          </w:tcPr>
          <w:p w14:paraId="38B8D9B3" w14:textId="77777777" w:rsidR="00117D8A" w:rsidRPr="009912D3" w:rsidRDefault="00117D8A" w:rsidP="00117D8A">
            <w:pPr>
              <w:pStyle w:val="TableRowHead"/>
              <w:rPr>
                <w:lang w:val="en-GB" w:eastAsia="en-GB"/>
              </w:rPr>
            </w:pPr>
            <w:r w:rsidRPr="009912D3">
              <w:rPr>
                <w:lang w:val="en-GB" w:eastAsia="en-GB"/>
              </w:rPr>
              <w:t xml:space="preserve">Joanne </w:t>
            </w:r>
            <w:proofErr w:type="spellStart"/>
            <w:r w:rsidRPr="009912D3">
              <w:rPr>
                <w:lang w:val="en-GB" w:eastAsia="en-GB"/>
              </w:rPr>
              <w:t>Mccarthy</w:t>
            </w:r>
            <w:proofErr w:type="spellEnd"/>
          </w:p>
        </w:tc>
        <w:tc>
          <w:tcPr>
            <w:tcW w:w="1800" w:type="dxa"/>
            <w:shd w:val="clear" w:color="auto" w:fill="auto"/>
            <w:vAlign w:val="bottom"/>
          </w:tcPr>
          <w:p w14:paraId="26848684"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45292B4D"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576F0F66" w14:textId="77777777" w:rsidR="00117D8A" w:rsidRPr="009912D3" w:rsidRDefault="00117D8A" w:rsidP="00117D8A">
            <w:pPr>
              <w:pStyle w:val="TableCell"/>
              <w:jc w:val="right"/>
            </w:pPr>
          </w:p>
        </w:tc>
      </w:tr>
      <w:tr w:rsidR="00117D8A" w:rsidRPr="00117D8A" w14:paraId="63A173F8" w14:textId="77777777" w:rsidTr="009912D3">
        <w:tblPrEx>
          <w:tblCellMar>
            <w:top w:w="0" w:type="dxa"/>
            <w:bottom w:w="0" w:type="dxa"/>
          </w:tblCellMar>
        </w:tblPrEx>
        <w:tc>
          <w:tcPr>
            <w:tcW w:w="2808" w:type="dxa"/>
            <w:shd w:val="clear" w:color="auto" w:fill="auto"/>
            <w:vAlign w:val="bottom"/>
          </w:tcPr>
          <w:p w14:paraId="7876CFD1" w14:textId="77777777" w:rsidR="00117D8A" w:rsidRPr="009912D3" w:rsidRDefault="00117D8A" w:rsidP="00117D8A">
            <w:pPr>
              <w:pStyle w:val="TableRowHead"/>
              <w:rPr>
                <w:lang w:val="en-GB" w:eastAsia="en-GB"/>
              </w:rPr>
            </w:pPr>
            <w:r w:rsidRPr="009912D3">
              <w:rPr>
                <w:lang w:val="en-GB" w:eastAsia="en-GB"/>
              </w:rPr>
              <w:t>Mary Lavelle</w:t>
            </w:r>
          </w:p>
        </w:tc>
        <w:tc>
          <w:tcPr>
            <w:tcW w:w="1800" w:type="dxa"/>
            <w:shd w:val="clear" w:color="auto" w:fill="auto"/>
            <w:vAlign w:val="bottom"/>
          </w:tcPr>
          <w:p w14:paraId="010F6BBB"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47A4A080"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11AE37DA" w14:textId="77777777" w:rsidR="00117D8A" w:rsidRPr="009912D3" w:rsidRDefault="00117D8A" w:rsidP="00117D8A">
            <w:pPr>
              <w:pStyle w:val="TableCell"/>
              <w:jc w:val="right"/>
            </w:pPr>
          </w:p>
        </w:tc>
      </w:tr>
      <w:tr w:rsidR="00117D8A" w:rsidRPr="00117D8A" w14:paraId="7AB40565" w14:textId="77777777" w:rsidTr="009912D3">
        <w:tblPrEx>
          <w:tblCellMar>
            <w:top w:w="0" w:type="dxa"/>
            <w:bottom w:w="0" w:type="dxa"/>
          </w:tblCellMar>
        </w:tblPrEx>
        <w:tc>
          <w:tcPr>
            <w:tcW w:w="2808" w:type="dxa"/>
            <w:shd w:val="clear" w:color="auto" w:fill="auto"/>
            <w:vAlign w:val="bottom"/>
          </w:tcPr>
          <w:p w14:paraId="43EADFC3" w14:textId="77777777" w:rsidR="00117D8A" w:rsidRPr="009912D3" w:rsidRDefault="00117D8A" w:rsidP="00117D8A">
            <w:pPr>
              <w:pStyle w:val="TableRowHead"/>
              <w:rPr>
                <w:lang w:val="en-GB" w:eastAsia="en-GB"/>
              </w:rPr>
            </w:pPr>
            <w:r w:rsidRPr="009912D3">
              <w:rPr>
                <w:lang w:val="en-GB" w:eastAsia="en-GB"/>
              </w:rPr>
              <w:t>Tara Cunningham</w:t>
            </w:r>
          </w:p>
        </w:tc>
        <w:tc>
          <w:tcPr>
            <w:tcW w:w="1800" w:type="dxa"/>
            <w:shd w:val="clear" w:color="auto" w:fill="auto"/>
            <w:vAlign w:val="bottom"/>
          </w:tcPr>
          <w:p w14:paraId="2497208C"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54C85321"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242A02A4" w14:textId="77777777" w:rsidR="00117D8A" w:rsidRPr="009912D3" w:rsidRDefault="00117D8A" w:rsidP="00117D8A">
            <w:pPr>
              <w:pStyle w:val="TableCell"/>
              <w:jc w:val="right"/>
            </w:pPr>
          </w:p>
        </w:tc>
      </w:tr>
      <w:tr w:rsidR="00117D8A" w:rsidRPr="00117D8A" w14:paraId="53765F8A" w14:textId="77777777" w:rsidTr="009912D3">
        <w:tblPrEx>
          <w:tblCellMar>
            <w:top w:w="0" w:type="dxa"/>
            <w:bottom w:w="0" w:type="dxa"/>
          </w:tblCellMar>
        </w:tblPrEx>
        <w:tc>
          <w:tcPr>
            <w:tcW w:w="2808" w:type="dxa"/>
            <w:shd w:val="clear" w:color="auto" w:fill="auto"/>
            <w:vAlign w:val="bottom"/>
          </w:tcPr>
          <w:p w14:paraId="67400041" w14:textId="77777777" w:rsidR="00117D8A" w:rsidRPr="009912D3" w:rsidRDefault="00117D8A" w:rsidP="00117D8A">
            <w:pPr>
              <w:pStyle w:val="TableRowHead"/>
              <w:rPr>
                <w:lang w:val="en-GB" w:eastAsia="en-GB"/>
              </w:rPr>
            </w:pPr>
            <w:r w:rsidRPr="009912D3">
              <w:rPr>
                <w:lang w:val="en-GB" w:eastAsia="en-GB"/>
              </w:rPr>
              <w:t>Tony Bates</w:t>
            </w:r>
          </w:p>
        </w:tc>
        <w:tc>
          <w:tcPr>
            <w:tcW w:w="1800" w:type="dxa"/>
            <w:shd w:val="clear" w:color="auto" w:fill="auto"/>
            <w:vAlign w:val="bottom"/>
          </w:tcPr>
          <w:p w14:paraId="1D56B487"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22585CA3"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32E69888" w14:textId="77777777" w:rsidR="00117D8A" w:rsidRPr="009912D3" w:rsidRDefault="00117D8A" w:rsidP="00117D8A">
            <w:pPr>
              <w:pStyle w:val="TableCell"/>
              <w:jc w:val="right"/>
            </w:pPr>
          </w:p>
        </w:tc>
      </w:tr>
      <w:tr w:rsidR="00117D8A" w:rsidRPr="00117D8A" w14:paraId="6DF701B7" w14:textId="77777777" w:rsidTr="009912D3">
        <w:tblPrEx>
          <w:tblCellMar>
            <w:top w:w="0" w:type="dxa"/>
            <w:bottom w:w="0" w:type="dxa"/>
          </w:tblCellMar>
        </w:tblPrEx>
        <w:tc>
          <w:tcPr>
            <w:tcW w:w="2808" w:type="dxa"/>
            <w:shd w:val="clear" w:color="auto" w:fill="auto"/>
            <w:vAlign w:val="bottom"/>
          </w:tcPr>
          <w:p w14:paraId="7F3C0B91" w14:textId="77777777" w:rsidR="00117D8A" w:rsidRPr="009912D3" w:rsidRDefault="00117D8A" w:rsidP="00117D8A">
            <w:pPr>
              <w:pStyle w:val="TableRowHead"/>
              <w:rPr>
                <w:lang w:val="en-GB" w:eastAsia="en-GB"/>
              </w:rPr>
            </w:pPr>
            <w:r w:rsidRPr="009912D3">
              <w:rPr>
                <w:lang w:val="en-GB" w:eastAsia="en-GB"/>
              </w:rPr>
              <w:t xml:space="preserve">Frank </w:t>
            </w:r>
            <w:proofErr w:type="spellStart"/>
            <w:r w:rsidRPr="009912D3">
              <w:rPr>
                <w:lang w:val="en-GB" w:eastAsia="en-GB"/>
              </w:rPr>
              <w:t>Cunneen</w:t>
            </w:r>
            <w:proofErr w:type="spellEnd"/>
          </w:p>
        </w:tc>
        <w:tc>
          <w:tcPr>
            <w:tcW w:w="1800" w:type="dxa"/>
            <w:shd w:val="clear" w:color="auto" w:fill="auto"/>
            <w:vAlign w:val="bottom"/>
          </w:tcPr>
          <w:p w14:paraId="3D94C318"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0F0D4EA8"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0C8F3BD5" w14:textId="77777777" w:rsidR="00117D8A" w:rsidRPr="009912D3" w:rsidRDefault="00117D8A" w:rsidP="00117D8A">
            <w:pPr>
              <w:pStyle w:val="TableCell"/>
              <w:jc w:val="right"/>
            </w:pPr>
          </w:p>
        </w:tc>
      </w:tr>
      <w:tr w:rsidR="00117D8A" w:rsidRPr="00117D8A" w14:paraId="4E6445E8" w14:textId="77777777" w:rsidTr="009912D3">
        <w:tblPrEx>
          <w:tblCellMar>
            <w:top w:w="0" w:type="dxa"/>
            <w:bottom w:w="0" w:type="dxa"/>
          </w:tblCellMar>
        </w:tblPrEx>
        <w:tc>
          <w:tcPr>
            <w:tcW w:w="2808" w:type="dxa"/>
            <w:shd w:val="clear" w:color="auto" w:fill="auto"/>
            <w:vAlign w:val="bottom"/>
          </w:tcPr>
          <w:p w14:paraId="3809B12F" w14:textId="77777777" w:rsidR="00117D8A" w:rsidRPr="009912D3" w:rsidRDefault="00117D8A" w:rsidP="00117D8A">
            <w:pPr>
              <w:pStyle w:val="TableRowHead"/>
              <w:rPr>
                <w:lang w:val="en-GB" w:eastAsia="en-GB"/>
              </w:rPr>
            </w:pPr>
            <w:r w:rsidRPr="009912D3">
              <w:rPr>
                <w:lang w:val="en-GB" w:eastAsia="en-GB"/>
              </w:rPr>
              <w:t>David Joyce</w:t>
            </w:r>
          </w:p>
        </w:tc>
        <w:tc>
          <w:tcPr>
            <w:tcW w:w="1800" w:type="dxa"/>
            <w:shd w:val="clear" w:color="auto" w:fill="auto"/>
            <w:vAlign w:val="bottom"/>
          </w:tcPr>
          <w:p w14:paraId="66DF1A89"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1809D808" w14:textId="77777777" w:rsidR="00117D8A" w:rsidRPr="009912D3" w:rsidRDefault="00117D8A" w:rsidP="00117D8A">
            <w:pPr>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4CB171B7" w14:textId="77777777" w:rsidR="00117D8A" w:rsidRPr="009912D3" w:rsidRDefault="00117D8A" w:rsidP="00117D8A">
            <w:pPr>
              <w:pStyle w:val="TableCell"/>
              <w:jc w:val="right"/>
            </w:pPr>
          </w:p>
        </w:tc>
      </w:tr>
      <w:tr w:rsidR="00117D8A" w:rsidRPr="00117D8A" w14:paraId="4E355B99" w14:textId="77777777" w:rsidTr="009912D3">
        <w:tblPrEx>
          <w:tblCellMar>
            <w:top w:w="0" w:type="dxa"/>
            <w:bottom w:w="0" w:type="dxa"/>
          </w:tblCellMar>
        </w:tblPrEx>
        <w:tc>
          <w:tcPr>
            <w:tcW w:w="2808" w:type="dxa"/>
            <w:shd w:val="clear" w:color="auto" w:fill="auto"/>
            <w:vAlign w:val="bottom"/>
          </w:tcPr>
          <w:p w14:paraId="77DAB99B" w14:textId="77777777" w:rsidR="00117D8A" w:rsidRPr="009912D3" w:rsidRDefault="00117D8A" w:rsidP="009912D3">
            <w:pPr>
              <w:spacing w:after="0" w:line="240" w:lineRule="auto"/>
              <w:rPr>
                <w:rFonts w:cs="Arial"/>
                <w:lang w:val="en-GB" w:eastAsia="en-GB"/>
              </w:rPr>
            </w:pPr>
          </w:p>
        </w:tc>
        <w:tc>
          <w:tcPr>
            <w:tcW w:w="1800" w:type="dxa"/>
            <w:shd w:val="clear" w:color="auto" w:fill="auto"/>
            <w:vAlign w:val="bottom"/>
          </w:tcPr>
          <w:p w14:paraId="1D0F77D5"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€62,843.00</w:t>
            </w:r>
          </w:p>
        </w:tc>
        <w:tc>
          <w:tcPr>
            <w:tcW w:w="2520" w:type="dxa"/>
            <w:shd w:val="clear" w:color="auto" w:fill="auto"/>
            <w:vAlign w:val="bottom"/>
          </w:tcPr>
          <w:p w14:paraId="7574D80E"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€237.27</w:t>
            </w:r>
          </w:p>
        </w:tc>
        <w:tc>
          <w:tcPr>
            <w:tcW w:w="1620" w:type="dxa"/>
            <w:shd w:val="clear" w:color="auto" w:fill="auto"/>
            <w:vAlign w:val="bottom"/>
          </w:tcPr>
          <w:p w14:paraId="1E917B56"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€63,080.27</w:t>
            </w:r>
          </w:p>
        </w:tc>
      </w:tr>
      <w:tr w:rsidR="00117D8A" w:rsidRPr="00117D8A" w14:paraId="01DE3ACB" w14:textId="77777777" w:rsidTr="009912D3">
        <w:tblPrEx>
          <w:tblCellMar>
            <w:top w:w="0" w:type="dxa"/>
            <w:bottom w:w="0" w:type="dxa"/>
          </w:tblCellMar>
        </w:tblPrEx>
        <w:tc>
          <w:tcPr>
            <w:tcW w:w="2808" w:type="dxa"/>
            <w:shd w:val="clear" w:color="auto" w:fill="auto"/>
            <w:vAlign w:val="bottom"/>
          </w:tcPr>
          <w:p w14:paraId="7007CFC0" w14:textId="77777777" w:rsidR="00117D8A" w:rsidRPr="009912D3" w:rsidRDefault="00117D8A" w:rsidP="00117D8A">
            <w:pPr>
              <w:pStyle w:val="TableRowHead"/>
              <w:rPr>
                <w:lang w:val="en-GB" w:eastAsia="en-GB"/>
              </w:rPr>
            </w:pPr>
            <w:r w:rsidRPr="009912D3">
              <w:rPr>
                <w:lang w:val="en-GB" w:eastAsia="en-GB"/>
              </w:rPr>
              <w:t>Employers PRSI for Authority</w:t>
            </w:r>
          </w:p>
        </w:tc>
        <w:tc>
          <w:tcPr>
            <w:tcW w:w="1800" w:type="dxa"/>
            <w:shd w:val="clear" w:color="auto" w:fill="auto"/>
            <w:vAlign w:val="bottom"/>
          </w:tcPr>
          <w:p w14:paraId="76B9EA6A" w14:textId="77777777" w:rsidR="00117D8A" w:rsidRPr="009912D3" w:rsidRDefault="00117D8A" w:rsidP="00117D8A">
            <w:pPr>
              <w:spacing w:after="0" w:line="240" w:lineRule="auto"/>
              <w:jc w:val="right"/>
              <w:rPr>
                <w:rFonts w:cs="Arial"/>
                <w:b/>
                <w:bCs/>
                <w:lang w:val="en-GB" w:eastAsia="en-GB"/>
              </w:rPr>
            </w:pPr>
          </w:p>
        </w:tc>
        <w:tc>
          <w:tcPr>
            <w:tcW w:w="2520" w:type="dxa"/>
            <w:shd w:val="clear" w:color="auto" w:fill="auto"/>
            <w:vAlign w:val="bottom"/>
          </w:tcPr>
          <w:p w14:paraId="5562D37A" w14:textId="77777777" w:rsidR="00117D8A" w:rsidRPr="009912D3" w:rsidRDefault="00117D8A" w:rsidP="00117D8A">
            <w:pPr>
              <w:spacing w:after="0" w:line="240" w:lineRule="auto"/>
              <w:jc w:val="right"/>
              <w:rPr>
                <w:rFonts w:cs="Arial"/>
                <w:b/>
                <w:bCs/>
                <w:lang w:val="en-GB" w:eastAsia="en-GB"/>
              </w:rPr>
            </w:pPr>
          </w:p>
        </w:tc>
        <w:tc>
          <w:tcPr>
            <w:tcW w:w="1620" w:type="dxa"/>
            <w:shd w:val="clear" w:color="auto" w:fill="auto"/>
            <w:vAlign w:val="bottom"/>
          </w:tcPr>
          <w:p w14:paraId="4B57C99C"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€6,010.98</w:t>
            </w:r>
          </w:p>
        </w:tc>
      </w:tr>
      <w:tr w:rsidR="00117D8A" w:rsidRPr="00117D8A" w14:paraId="2A117A9D" w14:textId="77777777" w:rsidTr="009912D3">
        <w:tblPrEx>
          <w:tblCellMar>
            <w:top w:w="0" w:type="dxa"/>
            <w:bottom w:w="0" w:type="dxa"/>
          </w:tblCellMar>
        </w:tblPrEx>
        <w:tc>
          <w:tcPr>
            <w:tcW w:w="2808" w:type="dxa"/>
            <w:shd w:val="clear" w:color="auto" w:fill="auto"/>
            <w:vAlign w:val="bottom"/>
          </w:tcPr>
          <w:p w14:paraId="45823E69" w14:textId="77777777" w:rsidR="00117D8A" w:rsidRPr="009912D3" w:rsidRDefault="00117D8A" w:rsidP="00117D8A">
            <w:pPr>
              <w:pStyle w:val="TableRowHead"/>
              <w:rPr>
                <w:lang w:val="en-GB" w:eastAsia="en-GB"/>
              </w:rPr>
            </w:pPr>
            <w:r w:rsidRPr="009912D3">
              <w:rPr>
                <w:lang w:val="en-GB" w:eastAsia="en-GB"/>
              </w:rPr>
              <w:t>Other Expenses</w:t>
            </w:r>
          </w:p>
        </w:tc>
        <w:tc>
          <w:tcPr>
            <w:tcW w:w="1800" w:type="dxa"/>
            <w:shd w:val="clear" w:color="auto" w:fill="auto"/>
            <w:vAlign w:val="bottom"/>
          </w:tcPr>
          <w:p w14:paraId="30A1129F" w14:textId="77777777" w:rsidR="00117D8A" w:rsidRPr="009912D3" w:rsidRDefault="00117D8A" w:rsidP="00117D8A">
            <w:pPr>
              <w:spacing w:after="0" w:line="240" w:lineRule="auto"/>
              <w:jc w:val="right"/>
              <w:rPr>
                <w:rFonts w:cs="Arial"/>
                <w:b/>
                <w:bCs/>
                <w:lang w:val="en-GB" w:eastAsia="en-GB"/>
              </w:rPr>
            </w:pPr>
          </w:p>
        </w:tc>
        <w:tc>
          <w:tcPr>
            <w:tcW w:w="2520" w:type="dxa"/>
            <w:shd w:val="clear" w:color="auto" w:fill="auto"/>
            <w:vAlign w:val="bottom"/>
          </w:tcPr>
          <w:p w14:paraId="2E542B64" w14:textId="77777777" w:rsidR="00117D8A" w:rsidRPr="009912D3" w:rsidRDefault="00117D8A" w:rsidP="00117D8A">
            <w:pPr>
              <w:spacing w:after="0" w:line="240" w:lineRule="auto"/>
              <w:jc w:val="right"/>
              <w:rPr>
                <w:rFonts w:cs="Arial"/>
                <w:b/>
                <w:bCs/>
                <w:lang w:val="en-GB" w:eastAsia="en-GB"/>
              </w:rPr>
            </w:pPr>
          </w:p>
        </w:tc>
        <w:tc>
          <w:tcPr>
            <w:tcW w:w="1620" w:type="dxa"/>
            <w:shd w:val="clear" w:color="auto" w:fill="auto"/>
            <w:vAlign w:val="bottom"/>
          </w:tcPr>
          <w:p w14:paraId="6E1155B2"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€1,644.36</w:t>
            </w:r>
          </w:p>
        </w:tc>
      </w:tr>
      <w:tr w:rsidR="00117D8A" w:rsidRPr="00117D8A" w14:paraId="39D4AB18" w14:textId="77777777" w:rsidTr="009912D3">
        <w:tblPrEx>
          <w:tblCellMar>
            <w:top w:w="0" w:type="dxa"/>
            <w:bottom w:w="0" w:type="dxa"/>
          </w:tblCellMar>
        </w:tblPrEx>
        <w:tc>
          <w:tcPr>
            <w:tcW w:w="2808" w:type="dxa"/>
            <w:shd w:val="clear" w:color="auto" w:fill="auto"/>
            <w:vAlign w:val="bottom"/>
          </w:tcPr>
          <w:p w14:paraId="7B9990B4" w14:textId="77777777" w:rsidR="00117D8A" w:rsidRPr="009912D3" w:rsidRDefault="00117D8A" w:rsidP="009912D3">
            <w:pPr>
              <w:spacing w:after="0" w:line="240" w:lineRule="auto"/>
              <w:rPr>
                <w:rFonts w:cs="Arial"/>
                <w:lang w:val="en-GB" w:eastAsia="en-GB"/>
              </w:rPr>
            </w:pPr>
          </w:p>
        </w:tc>
        <w:tc>
          <w:tcPr>
            <w:tcW w:w="1800" w:type="dxa"/>
            <w:shd w:val="clear" w:color="auto" w:fill="auto"/>
            <w:vAlign w:val="bottom"/>
          </w:tcPr>
          <w:p w14:paraId="4D514805" w14:textId="77777777" w:rsidR="00117D8A" w:rsidRPr="009912D3" w:rsidRDefault="00117D8A" w:rsidP="009912D3">
            <w:pPr>
              <w:spacing w:after="0" w:line="240" w:lineRule="auto"/>
              <w:jc w:val="center"/>
              <w:rPr>
                <w:rFonts w:cs="Arial"/>
                <w:b/>
                <w:bCs/>
                <w:lang w:val="en-GB" w:eastAsia="en-GB"/>
              </w:rPr>
            </w:pPr>
          </w:p>
        </w:tc>
        <w:tc>
          <w:tcPr>
            <w:tcW w:w="2520" w:type="dxa"/>
            <w:shd w:val="clear" w:color="auto" w:fill="auto"/>
            <w:vAlign w:val="bottom"/>
          </w:tcPr>
          <w:p w14:paraId="4244C0C2" w14:textId="77777777" w:rsidR="00117D8A" w:rsidRPr="009912D3" w:rsidRDefault="00117D8A" w:rsidP="009912D3">
            <w:pPr>
              <w:spacing w:after="0" w:line="240" w:lineRule="auto"/>
              <w:jc w:val="center"/>
              <w:rPr>
                <w:rFonts w:cs="Arial"/>
                <w:b/>
                <w:bCs/>
                <w:lang w:val="en-GB" w:eastAsia="en-GB"/>
              </w:rPr>
            </w:pPr>
          </w:p>
        </w:tc>
        <w:tc>
          <w:tcPr>
            <w:tcW w:w="1620" w:type="dxa"/>
            <w:shd w:val="clear" w:color="auto" w:fill="auto"/>
            <w:vAlign w:val="bottom"/>
          </w:tcPr>
          <w:p w14:paraId="62A39D41" w14:textId="77777777" w:rsidR="00117D8A" w:rsidRPr="009912D3" w:rsidRDefault="00117D8A" w:rsidP="00117D8A">
            <w:pPr>
              <w:spacing w:after="0" w:line="240" w:lineRule="auto"/>
              <w:jc w:val="right"/>
              <w:rPr>
                <w:rFonts w:cs="Arial"/>
                <w:b/>
                <w:bCs/>
                <w:lang w:val="en-GB" w:eastAsia="en-GB"/>
              </w:rPr>
            </w:pPr>
            <w:r w:rsidRPr="009912D3">
              <w:rPr>
                <w:rFonts w:cs="Arial"/>
                <w:b/>
                <w:bCs/>
                <w:lang w:val="en-GB" w:eastAsia="en-GB"/>
              </w:rPr>
              <w:t>€70,735.61</w:t>
            </w:r>
          </w:p>
        </w:tc>
      </w:tr>
    </w:tbl>
    <w:p w14:paraId="2EB48173" w14:textId="77777777" w:rsidR="009912D3" w:rsidRDefault="009912D3" w:rsidP="009912D3">
      <w:pPr>
        <w:pStyle w:val="TableTitle"/>
        <w:jc w:val="left"/>
      </w:pPr>
      <w:r w:rsidRPr="009912D3">
        <w:rPr>
          <w:bCs/>
          <w:lang w:val="en-GB"/>
        </w:rPr>
        <w:t>7. Fixed Assets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67"/>
        <w:gridCol w:w="1467"/>
        <w:gridCol w:w="1467"/>
        <w:gridCol w:w="1467"/>
      </w:tblGrid>
      <w:tr w:rsidR="009912D3" w:rsidRPr="009912D3" w14:paraId="26970E01" w14:textId="77777777" w:rsidTr="009912D3">
        <w:tblPrEx>
          <w:tblCellMar>
            <w:top w:w="0" w:type="dxa"/>
            <w:bottom w:w="0" w:type="dxa"/>
          </w:tblCellMar>
        </w:tblPrEx>
        <w:trPr>
          <w:tblHeader/>
        </w:trPr>
        <w:tc>
          <w:tcPr>
            <w:tcW w:w="2988" w:type="dxa"/>
            <w:shd w:val="clear" w:color="auto" w:fill="auto"/>
          </w:tcPr>
          <w:p w14:paraId="5DD6E86D" w14:textId="77777777" w:rsidR="009912D3" w:rsidRPr="009912D3" w:rsidRDefault="009912D3" w:rsidP="009912D3">
            <w:pPr>
              <w:pStyle w:val="TableHead"/>
              <w:jc w:val="right"/>
            </w:pPr>
          </w:p>
        </w:tc>
        <w:tc>
          <w:tcPr>
            <w:tcW w:w="1467" w:type="dxa"/>
            <w:shd w:val="clear" w:color="auto" w:fill="auto"/>
            <w:vAlign w:val="bottom"/>
          </w:tcPr>
          <w:p w14:paraId="189F7AA9" w14:textId="77777777" w:rsidR="009912D3" w:rsidRPr="009912D3" w:rsidRDefault="009912D3" w:rsidP="009912D3">
            <w:pPr>
              <w:pStyle w:val="TableHead"/>
              <w:jc w:val="right"/>
              <w:rPr>
                <w:lang w:val="en-GB" w:eastAsia="en-GB"/>
              </w:rPr>
            </w:pPr>
            <w:r w:rsidRPr="009912D3">
              <w:rPr>
                <w:lang w:val="en-GB" w:eastAsia="en-GB"/>
              </w:rPr>
              <w:t>Computer Hardware and Software</w:t>
            </w:r>
          </w:p>
        </w:tc>
        <w:tc>
          <w:tcPr>
            <w:tcW w:w="1467" w:type="dxa"/>
            <w:shd w:val="clear" w:color="auto" w:fill="auto"/>
            <w:vAlign w:val="bottom"/>
          </w:tcPr>
          <w:p w14:paraId="39316FCD" w14:textId="77777777" w:rsidR="009912D3" w:rsidRPr="009912D3" w:rsidRDefault="009912D3" w:rsidP="009912D3">
            <w:pPr>
              <w:pStyle w:val="TableHead"/>
              <w:jc w:val="right"/>
              <w:rPr>
                <w:lang w:val="en-GB" w:eastAsia="en-GB"/>
              </w:rPr>
            </w:pPr>
            <w:r w:rsidRPr="009912D3">
              <w:rPr>
                <w:lang w:val="en-GB" w:eastAsia="en-GB"/>
              </w:rPr>
              <w:t>Office Furniture and Equipment</w:t>
            </w:r>
          </w:p>
        </w:tc>
        <w:tc>
          <w:tcPr>
            <w:tcW w:w="1467" w:type="dxa"/>
            <w:shd w:val="clear" w:color="auto" w:fill="auto"/>
            <w:vAlign w:val="bottom"/>
          </w:tcPr>
          <w:p w14:paraId="389ACD1C" w14:textId="77777777" w:rsidR="009912D3" w:rsidRPr="009912D3" w:rsidRDefault="009912D3" w:rsidP="009912D3">
            <w:pPr>
              <w:pStyle w:val="TableHead"/>
              <w:jc w:val="right"/>
              <w:rPr>
                <w:lang w:val="en-GB" w:eastAsia="en-GB"/>
              </w:rPr>
            </w:pPr>
            <w:r w:rsidRPr="009912D3">
              <w:rPr>
                <w:lang w:val="en-GB" w:eastAsia="en-GB"/>
              </w:rPr>
              <w:t>Premises</w:t>
            </w:r>
          </w:p>
        </w:tc>
        <w:tc>
          <w:tcPr>
            <w:tcW w:w="1467" w:type="dxa"/>
            <w:shd w:val="clear" w:color="auto" w:fill="auto"/>
            <w:vAlign w:val="bottom"/>
          </w:tcPr>
          <w:p w14:paraId="25BB8982" w14:textId="77777777" w:rsidR="009912D3" w:rsidRPr="009912D3" w:rsidRDefault="009912D3" w:rsidP="009912D3">
            <w:pPr>
              <w:pStyle w:val="TableHead"/>
              <w:jc w:val="right"/>
              <w:rPr>
                <w:lang w:val="en-GB" w:eastAsia="en-GB"/>
              </w:rPr>
            </w:pPr>
            <w:r w:rsidRPr="009912D3">
              <w:rPr>
                <w:lang w:val="en-GB" w:eastAsia="en-GB"/>
              </w:rPr>
              <w:t>Total</w:t>
            </w:r>
          </w:p>
        </w:tc>
      </w:tr>
      <w:tr w:rsidR="009912D3" w:rsidRPr="009912D3" w14:paraId="648A8B09" w14:textId="77777777" w:rsidTr="009912D3">
        <w:tblPrEx>
          <w:tblCellMar>
            <w:top w:w="0" w:type="dxa"/>
            <w:bottom w:w="0" w:type="dxa"/>
          </w:tblCellMar>
        </w:tblPrEx>
        <w:tc>
          <w:tcPr>
            <w:tcW w:w="2988" w:type="dxa"/>
            <w:shd w:val="clear" w:color="auto" w:fill="auto"/>
          </w:tcPr>
          <w:p w14:paraId="0C0104AC" w14:textId="77777777" w:rsidR="009912D3" w:rsidRPr="009912D3" w:rsidRDefault="009912D3" w:rsidP="009912D3">
            <w:pPr>
              <w:pStyle w:val="TableRowHead"/>
            </w:pPr>
          </w:p>
        </w:tc>
        <w:tc>
          <w:tcPr>
            <w:tcW w:w="1467" w:type="dxa"/>
            <w:shd w:val="clear" w:color="auto" w:fill="auto"/>
            <w:vAlign w:val="bottom"/>
          </w:tcPr>
          <w:p w14:paraId="1E1CF8D4"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        €</w:t>
            </w:r>
          </w:p>
        </w:tc>
        <w:tc>
          <w:tcPr>
            <w:tcW w:w="1467" w:type="dxa"/>
            <w:shd w:val="clear" w:color="auto" w:fill="auto"/>
            <w:vAlign w:val="bottom"/>
          </w:tcPr>
          <w:p w14:paraId="58829549"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        €</w:t>
            </w:r>
          </w:p>
        </w:tc>
        <w:tc>
          <w:tcPr>
            <w:tcW w:w="1467" w:type="dxa"/>
            <w:shd w:val="clear" w:color="auto" w:fill="auto"/>
            <w:vAlign w:val="bottom"/>
          </w:tcPr>
          <w:p w14:paraId="24A5FB2C"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        €</w:t>
            </w:r>
          </w:p>
        </w:tc>
        <w:tc>
          <w:tcPr>
            <w:tcW w:w="1467" w:type="dxa"/>
            <w:shd w:val="clear" w:color="auto" w:fill="auto"/>
            <w:vAlign w:val="bottom"/>
          </w:tcPr>
          <w:p w14:paraId="0EA17ECF"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        €</w:t>
            </w:r>
          </w:p>
        </w:tc>
      </w:tr>
      <w:tr w:rsidR="009912D3" w:rsidRPr="009912D3" w14:paraId="7D8CFBA9" w14:textId="77777777" w:rsidTr="009912D3">
        <w:tblPrEx>
          <w:tblCellMar>
            <w:top w:w="0" w:type="dxa"/>
            <w:bottom w:w="0" w:type="dxa"/>
          </w:tblCellMar>
        </w:tblPrEx>
        <w:tc>
          <w:tcPr>
            <w:tcW w:w="8856" w:type="dxa"/>
            <w:gridSpan w:val="5"/>
            <w:shd w:val="clear" w:color="auto" w:fill="auto"/>
          </w:tcPr>
          <w:p w14:paraId="3204CF2F" w14:textId="77777777" w:rsidR="009912D3" w:rsidRPr="009912D3" w:rsidRDefault="009912D3" w:rsidP="009912D3">
            <w:pPr>
              <w:pStyle w:val="TableHead"/>
              <w:jc w:val="center"/>
              <w:rPr>
                <w:rFonts w:cs="Arial"/>
                <w:lang w:val="en-GB" w:eastAsia="en-GB"/>
              </w:rPr>
            </w:pPr>
            <w:r w:rsidRPr="009912D3">
              <w:rPr>
                <w:lang w:val="en-GB" w:eastAsia="en-GB"/>
              </w:rPr>
              <w:t>Cost or Valuation</w:t>
            </w:r>
          </w:p>
        </w:tc>
      </w:tr>
      <w:tr w:rsidR="009912D3" w:rsidRPr="009912D3" w14:paraId="3BAC5B63" w14:textId="77777777" w:rsidTr="009912D3">
        <w:tblPrEx>
          <w:tblCellMar>
            <w:top w:w="0" w:type="dxa"/>
            <w:bottom w:w="0" w:type="dxa"/>
          </w:tblCellMar>
        </w:tblPrEx>
        <w:tc>
          <w:tcPr>
            <w:tcW w:w="2988" w:type="dxa"/>
            <w:shd w:val="clear" w:color="auto" w:fill="auto"/>
            <w:vAlign w:val="bottom"/>
          </w:tcPr>
          <w:p w14:paraId="249F8E70" w14:textId="77777777" w:rsidR="009912D3" w:rsidRPr="009912D3" w:rsidRDefault="009912D3" w:rsidP="009912D3">
            <w:pPr>
              <w:pStyle w:val="TableRowHead"/>
              <w:rPr>
                <w:lang w:val="en-GB" w:eastAsia="en-GB"/>
              </w:rPr>
            </w:pPr>
            <w:r w:rsidRPr="009912D3">
              <w:rPr>
                <w:lang w:val="en-GB" w:eastAsia="en-GB"/>
              </w:rPr>
              <w:t xml:space="preserve">Balance </w:t>
            </w:r>
            <w:proofErr w:type="gramStart"/>
            <w:r w:rsidRPr="009912D3">
              <w:rPr>
                <w:lang w:val="en-GB" w:eastAsia="en-GB"/>
              </w:rPr>
              <w:t>at</w:t>
            </w:r>
            <w:proofErr w:type="gramEnd"/>
            <w:r w:rsidRPr="009912D3">
              <w:rPr>
                <w:lang w:val="en-GB" w:eastAsia="en-GB"/>
              </w:rPr>
              <w:t xml:space="preserve"> 1 January 2010</w:t>
            </w:r>
          </w:p>
        </w:tc>
        <w:tc>
          <w:tcPr>
            <w:tcW w:w="1467" w:type="dxa"/>
            <w:shd w:val="clear" w:color="auto" w:fill="auto"/>
            <w:vAlign w:val="bottom"/>
          </w:tcPr>
          <w:p w14:paraId="182824E6"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390,059 </w:t>
            </w:r>
          </w:p>
        </w:tc>
        <w:tc>
          <w:tcPr>
            <w:tcW w:w="1467" w:type="dxa"/>
            <w:shd w:val="clear" w:color="auto" w:fill="auto"/>
            <w:vAlign w:val="bottom"/>
          </w:tcPr>
          <w:p w14:paraId="571C4699"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311,221 </w:t>
            </w:r>
          </w:p>
        </w:tc>
        <w:tc>
          <w:tcPr>
            <w:tcW w:w="1467" w:type="dxa"/>
            <w:shd w:val="clear" w:color="auto" w:fill="auto"/>
            <w:vAlign w:val="bottom"/>
          </w:tcPr>
          <w:p w14:paraId="72CD3A83"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3,941,086 </w:t>
            </w:r>
          </w:p>
        </w:tc>
        <w:tc>
          <w:tcPr>
            <w:tcW w:w="1467" w:type="dxa"/>
            <w:shd w:val="clear" w:color="auto" w:fill="auto"/>
            <w:vAlign w:val="bottom"/>
          </w:tcPr>
          <w:p w14:paraId="464AB91D"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4,642,366 </w:t>
            </w:r>
          </w:p>
        </w:tc>
      </w:tr>
      <w:tr w:rsidR="009912D3" w:rsidRPr="009912D3" w14:paraId="5B8F07E8" w14:textId="77777777" w:rsidTr="009912D3">
        <w:tblPrEx>
          <w:tblCellMar>
            <w:top w:w="0" w:type="dxa"/>
            <w:bottom w:w="0" w:type="dxa"/>
          </w:tblCellMar>
        </w:tblPrEx>
        <w:tc>
          <w:tcPr>
            <w:tcW w:w="2988" w:type="dxa"/>
            <w:shd w:val="clear" w:color="auto" w:fill="auto"/>
            <w:vAlign w:val="bottom"/>
          </w:tcPr>
          <w:p w14:paraId="5E3AB43D" w14:textId="77777777" w:rsidR="009912D3" w:rsidRPr="009912D3" w:rsidRDefault="009912D3" w:rsidP="009912D3">
            <w:pPr>
              <w:pStyle w:val="TableRowHead"/>
              <w:rPr>
                <w:lang w:val="en-GB" w:eastAsia="en-GB"/>
              </w:rPr>
            </w:pPr>
            <w:r w:rsidRPr="009912D3">
              <w:rPr>
                <w:lang w:val="en-GB" w:eastAsia="en-GB"/>
              </w:rPr>
              <w:t xml:space="preserve">Additions at cost </w:t>
            </w:r>
          </w:p>
        </w:tc>
        <w:tc>
          <w:tcPr>
            <w:tcW w:w="1467" w:type="dxa"/>
            <w:shd w:val="clear" w:color="auto" w:fill="auto"/>
            <w:vAlign w:val="bottom"/>
          </w:tcPr>
          <w:p w14:paraId="0D2168BF"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2,525 </w:t>
            </w:r>
          </w:p>
        </w:tc>
        <w:tc>
          <w:tcPr>
            <w:tcW w:w="1467" w:type="dxa"/>
            <w:shd w:val="clear" w:color="auto" w:fill="auto"/>
            <w:vAlign w:val="bottom"/>
          </w:tcPr>
          <w:p w14:paraId="55BC2008"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1,204 </w:t>
            </w:r>
          </w:p>
        </w:tc>
        <w:tc>
          <w:tcPr>
            <w:tcW w:w="1467" w:type="dxa"/>
            <w:shd w:val="clear" w:color="auto" w:fill="auto"/>
            <w:vAlign w:val="bottom"/>
          </w:tcPr>
          <w:p w14:paraId="2D25B909"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1B3857DA"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3,729 </w:t>
            </w:r>
          </w:p>
        </w:tc>
      </w:tr>
      <w:tr w:rsidR="009912D3" w:rsidRPr="009912D3" w14:paraId="6767C763" w14:textId="77777777" w:rsidTr="009912D3">
        <w:tblPrEx>
          <w:tblCellMar>
            <w:top w:w="0" w:type="dxa"/>
            <w:bottom w:w="0" w:type="dxa"/>
          </w:tblCellMar>
        </w:tblPrEx>
        <w:tc>
          <w:tcPr>
            <w:tcW w:w="2988" w:type="dxa"/>
            <w:shd w:val="clear" w:color="auto" w:fill="auto"/>
            <w:vAlign w:val="bottom"/>
          </w:tcPr>
          <w:p w14:paraId="192F3496" w14:textId="77777777" w:rsidR="009912D3" w:rsidRPr="009912D3" w:rsidRDefault="009912D3" w:rsidP="009912D3">
            <w:pPr>
              <w:pStyle w:val="TableRowHead"/>
              <w:rPr>
                <w:lang w:val="en-GB" w:eastAsia="en-GB"/>
              </w:rPr>
            </w:pPr>
            <w:r w:rsidRPr="009912D3">
              <w:rPr>
                <w:lang w:val="en-GB" w:eastAsia="en-GB"/>
              </w:rPr>
              <w:t>Disposals at Cost</w:t>
            </w:r>
          </w:p>
        </w:tc>
        <w:tc>
          <w:tcPr>
            <w:tcW w:w="1467" w:type="dxa"/>
            <w:shd w:val="clear" w:color="auto" w:fill="auto"/>
            <w:vAlign w:val="bottom"/>
          </w:tcPr>
          <w:p w14:paraId="43012826"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1E6E027D"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7D62303A"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3AE11177"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r>
      <w:tr w:rsidR="009912D3" w:rsidRPr="009912D3" w14:paraId="22C0FB86" w14:textId="77777777" w:rsidTr="009912D3">
        <w:tblPrEx>
          <w:tblCellMar>
            <w:top w:w="0" w:type="dxa"/>
            <w:bottom w:w="0" w:type="dxa"/>
          </w:tblCellMar>
        </w:tblPrEx>
        <w:tc>
          <w:tcPr>
            <w:tcW w:w="2988" w:type="dxa"/>
            <w:shd w:val="clear" w:color="auto" w:fill="auto"/>
            <w:vAlign w:val="bottom"/>
          </w:tcPr>
          <w:p w14:paraId="135913E8" w14:textId="77777777" w:rsidR="009912D3" w:rsidRPr="009912D3" w:rsidRDefault="009912D3" w:rsidP="009912D3">
            <w:pPr>
              <w:pStyle w:val="TableRowHead"/>
              <w:rPr>
                <w:lang w:val="en-GB" w:eastAsia="en-GB"/>
              </w:rPr>
            </w:pPr>
            <w:r w:rsidRPr="009912D3">
              <w:rPr>
                <w:lang w:val="en-GB" w:eastAsia="en-GB"/>
              </w:rPr>
              <w:t xml:space="preserve">Balance </w:t>
            </w:r>
            <w:proofErr w:type="gramStart"/>
            <w:r w:rsidRPr="009912D3">
              <w:rPr>
                <w:lang w:val="en-GB" w:eastAsia="en-GB"/>
              </w:rPr>
              <w:t>at</w:t>
            </w:r>
            <w:proofErr w:type="gramEnd"/>
            <w:r w:rsidRPr="009912D3">
              <w:rPr>
                <w:lang w:val="en-GB" w:eastAsia="en-GB"/>
              </w:rPr>
              <w:t xml:space="preserve"> 31 December 2010</w:t>
            </w:r>
          </w:p>
        </w:tc>
        <w:tc>
          <w:tcPr>
            <w:tcW w:w="1467" w:type="dxa"/>
            <w:shd w:val="clear" w:color="auto" w:fill="auto"/>
            <w:vAlign w:val="bottom"/>
          </w:tcPr>
          <w:p w14:paraId="5B5D772F"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392,584 </w:t>
            </w:r>
          </w:p>
        </w:tc>
        <w:tc>
          <w:tcPr>
            <w:tcW w:w="1467" w:type="dxa"/>
            <w:shd w:val="clear" w:color="auto" w:fill="auto"/>
            <w:vAlign w:val="bottom"/>
          </w:tcPr>
          <w:p w14:paraId="2BB21FFD"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312,425 </w:t>
            </w:r>
          </w:p>
        </w:tc>
        <w:tc>
          <w:tcPr>
            <w:tcW w:w="1467" w:type="dxa"/>
            <w:shd w:val="clear" w:color="auto" w:fill="auto"/>
            <w:vAlign w:val="bottom"/>
          </w:tcPr>
          <w:p w14:paraId="6B82058C"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3,941,086 </w:t>
            </w:r>
          </w:p>
        </w:tc>
        <w:tc>
          <w:tcPr>
            <w:tcW w:w="1467" w:type="dxa"/>
            <w:shd w:val="clear" w:color="auto" w:fill="auto"/>
            <w:vAlign w:val="bottom"/>
          </w:tcPr>
          <w:p w14:paraId="761BC77D"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4,646,095 </w:t>
            </w:r>
          </w:p>
        </w:tc>
      </w:tr>
      <w:tr w:rsidR="009912D3" w:rsidRPr="009912D3" w14:paraId="60B54F32" w14:textId="77777777" w:rsidTr="009912D3">
        <w:tblPrEx>
          <w:tblCellMar>
            <w:top w:w="0" w:type="dxa"/>
            <w:bottom w:w="0" w:type="dxa"/>
          </w:tblCellMar>
        </w:tblPrEx>
        <w:tc>
          <w:tcPr>
            <w:tcW w:w="8856" w:type="dxa"/>
            <w:gridSpan w:val="5"/>
            <w:shd w:val="clear" w:color="auto" w:fill="auto"/>
            <w:vAlign w:val="bottom"/>
          </w:tcPr>
          <w:p w14:paraId="607E19EC" w14:textId="77777777" w:rsidR="009912D3" w:rsidRPr="009912D3" w:rsidRDefault="009912D3" w:rsidP="009912D3">
            <w:pPr>
              <w:pStyle w:val="TableHead"/>
              <w:jc w:val="center"/>
            </w:pPr>
            <w:r w:rsidRPr="009912D3">
              <w:rPr>
                <w:lang w:val="en-GB" w:eastAsia="en-GB"/>
              </w:rPr>
              <w:t>Accumulated Depreciation</w:t>
            </w:r>
          </w:p>
        </w:tc>
      </w:tr>
      <w:tr w:rsidR="009912D3" w:rsidRPr="009912D3" w14:paraId="2BF43802" w14:textId="77777777" w:rsidTr="009912D3">
        <w:tblPrEx>
          <w:tblCellMar>
            <w:top w:w="0" w:type="dxa"/>
            <w:bottom w:w="0" w:type="dxa"/>
          </w:tblCellMar>
        </w:tblPrEx>
        <w:tc>
          <w:tcPr>
            <w:tcW w:w="2988" w:type="dxa"/>
            <w:shd w:val="clear" w:color="auto" w:fill="auto"/>
            <w:vAlign w:val="bottom"/>
          </w:tcPr>
          <w:p w14:paraId="26AC108D" w14:textId="77777777" w:rsidR="009912D3" w:rsidRPr="009912D3" w:rsidRDefault="009912D3" w:rsidP="009912D3">
            <w:pPr>
              <w:pStyle w:val="TableRowHead"/>
              <w:rPr>
                <w:lang w:val="en-GB" w:eastAsia="en-GB"/>
              </w:rPr>
            </w:pPr>
            <w:r w:rsidRPr="009912D3">
              <w:rPr>
                <w:lang w:val="en-GB" w:eastAsia="en-GB"/>
              </w:rPr>
              <w:t xml:space="preserve">Balance </w:t>
            </w:r>
            <w:proofErr w:type="gramStart"/>
            <w:r w:rsidRPr="009912D3">
              <w:rPr>
                <w:lang w:val="en-GB" w:eastAsia="en-GB"/>
              </w:rPr>
              <w:t>at</w:t>
            </w:r>
            <w:proofErr w:type="gramEnd"/>
            <w:r w:rsidRPr="009912D3">
              <w:rPr>
                <w:lang w:val="en-GB" w:eastAsia="en-GB"/>
              </w:rPr>
              <w:t xml:space="preserve"> 1 January 2010</w:t>
            </w:r>
          </w:p>
        </w:tc>
        <w:tc>
          <w:tcPr>
            <w:tcW w:w="1467" w:type="dxa"/>
            <w:shd w:val="clear" w:color="auto" w:fill="auto"/>
            <w:vAlign w:val="bottom"/>
          </w:tcPr>
          <w:p w14:paraId="3203AD77"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387,771 </w:t>
            </w:r>
          </w:p>
        </w:tc>
        <w:tc>
          <w:tcPr>
            <w:tcW w:w="1467" w:type="dxa"/>
            <w:shd w:val="clear" w:color="auto" w:fill="auto"/>
            <w:vAlign w:val="bottom"/>
          </w:tcPr>
          <w:p w14:paraId="5222899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280,356 </w:t>
            </w:r>
          </w:p>
        </w:tc>
        <w:tc>
          <w:tcPr>
            <w:tcW w:w="1467" w:type="dxa"/>
            <w:shd w:val="clear" w:color="auto" w:fill="auto"/>
            <w:vAlign w:val="bottom"/>
          </w:tcPr>
          <w:p w14:paraId="120469A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769,023 </w:t>
            </w:r>
          </w:p>
        </w:tc>
        <w:tc>
          <w:tcPr>
            <w:tcW w:w="1467" w:type="dxa"/>
            <w:shd w:val="clear" w:color="auto" w:fill="auto"/>
            <w:vAlign w:val="bottom"/>
          </w:tcPr>
          <w:p w14:paraId="4E54F2D2"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1,437,150 </w:t>
            </w:r>
          </w:p>
        </w:tc>
      </w:tr>
      <w:tr w:rsidR="009912D3" w:rsidRPr="009912D3" w14:paraId="6D7DD8DC" w14:textId="77777777" w:rsidTr="009912D3">
        <w:tblPrEx>
          <w:tblCellMar>
            <w:top w:w="0" w:type="dxa"/>
            <w:bottom w:w="0" w:type="dxa"/>
          </w:tblCellMar>
        </w:tblPrEx>
        <w:tc>
          <w:tcPr>
            <w:tcW w:w="2988" w:type="dxa"/>
            <w:shd w:val="clear" w:color="auto" w:fill="auto"/>
            <w:vAlign w:val="bottom"/>
          </w:tcPr>
          <w:p w14:paraId="531576C6" w14:textId="77777777" w:rsidR="009912D3" w:rsidRPr="009912D3" w:rsidRDefault="009912D3" w:rsidP="009912D3">
            <w:pPr>
              <w:pStyle w:val="TableRowHead"/>
              <w:rPr>
                <w:lang w:val="en-GB" w:eastAsia="en-GB"/>
              </w:rPr>
            </w:pPr>
            <w:r w:rsidRPr="009912D3">
              <w:rPr>
                <w:lang w:val="en-GB" w:eastAsia="en-GB"/>
              </w:rPr>
              <w:t>Charged in the year</w:t>
            </w:r>
          </w:p>
        </w:tc>
        <w:tc>
          <w:tcPr>
            <w:tcW w:w="1467" w:type="dxa"/>
            <w:shd w:val="clear" w:color="auto" w:fill="auto"/>
            <w:vAlign w:val="bottom"/>
          </w:tcPr>
          <w:p w14:paraId="797A5FCB"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1,435 </w:t>
            </w:r>
          </w:p>
        </w:tc>
        <w:tc>
          <w:tcPr>
            <w:tcW w:w="1467" w:type="dxa"/>
            <w:shd w:val="clear" w:color="auto" w:fill="auto"/>
            <w:vAlign w:val="bottom"/>
          </w:tcPr>
          <w:p w14:paraId="66B9F517"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16,243 </w:t>
            </w:r>
          </w:p>
        </w:tc>
        <w:tc>
          <w:tcPr>
            <w:tcW w:w="1467" w:type="dxa"/>
            <w:shd w:val="clear" w:color="auto" w:fill="auto"/>
            <w:vAlign w:val="bottom"/>
          </w:tcPr>
          <w:p w14:paraId="06FC676C"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79,302 </w:t>
            </w:r>
          </w:p>
        </w:tc>
        <w:tc>
          <w:tcPr>
            <w:tcW w:w="1467" w:type="dxa"/>
            <w:shd w:val="clear" w:color="auto" w:fill="auto"/>
            <w:vAlign w:val="bottom"/>
          </w:tcPr>
          <w:p w14:paraId="1C185B93"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96,980 </w:t>
            </w:r>
          </w:p>
        </w:tc>
      </w:tr>
      <w:tr w:rsidR="009912D3" w:rsidRPr="009912D3" w14:paraId="747F5CD8" w14:textId="77777777" w:rsidTr="009912D3">
        <w:tblPrEx>
          <w:tblCellMar>
            <w:top w:w="0" w:type="dxa"/>
            <w:bottom w:w="0" w:type="dxa"/>
          </w:tblCellMar>
        </w:tblPrEx>
        <w:tc>
          <w:tcPr>
            <w:tcW w:w="2988" w:type="dxa"/>
            <w:shd w:val="clear" w:color="auto" w:fill="auto"/>
            <w:vAlign w:val="bottom"/>
          </w:tcPr>
          <w:p w14:paraId="0FF5748C" w14:textId="77777777" w:rsidR="009912D3" w:rsidRPr="009912D3" w:rsidRDefault="009912D3" w:rsidP="009912D3">
            <w:pPr>
              <w:pStyle w:val="TableRowHead"/>
              <w:rPr>
                <w:lang w:val="en-GB" w:eastAsia="en-GB"/>
              </w:rPr>
            </w:pPr>
            <w:r w:rsidRPr="009912D3">
              <w:rPr>
                <w:lang w:val="en-GB" w:eastAsia="en-GB"/>
              </w:rPr>
              <w:t>Disposals</w:t>
            </w:r>
          </w:p>
        </w:tc>
        <w:tc>
          <w:tcPr>
            <w:tcW w:w="1467" w:type="dxa"/>
            <w:shd w:val="clear" w:color="auto" w:fill="auto"/>
            <w:vAlign w:val="bottom"/>
          </w:tcPr>
          <w:p w14:paraId="5684E5D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43715D4A"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6F14BBF8"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c>
          <w:tcPr>
            <w:tcW w:w="1467" w:type="dxa"/>
            <w:shd w:val="clear" w:color="auto" w:fill="auto"/>
            <w:vAlign w:val="bottom"/>
          </w:tcPr>
          <w:p w14:paraId="097BFC0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0 </w:t>
            </w:r>
          </w:p>
        </w:tc>
      </w:tr>
      <w:tr w:rsidR="009912D3" w:rsidRPr="009912D3" w14:paraId="273D4672" w14:textId="77777777" w:rsidTr="009912D3">
        <w:tblPrEx>
          <w:tblCellMar>
            <w:top w:w="0" w:type="dxa"/>
            <w:bottom w:w="0" w:type="dxa"/>
          </w:tblCellMar>
        </w:tblPrEx>
        <w:tc>
          <w:tcPr>
            <w:tcW w:w="2988" w:type="dxa"/>
            <w:shd w:val="clear" w:color="auto" w:fill="auto"/>
            <w:vAlign w:val="bottom"/>
          </w:tcPr>
          <w:p w14:paraId="5519CA4C" w14:textId="77777777" w:rsidR="009912D3" w:rsidRPr="009912D3" w:rsidRDefault="009912D3" w:rsidP="009912D3">
            <w:pPr>
              <w:pStyle w:val="TableRowHead"/>
              <w:rPr>
                <w:lang w:val="en-GB" w:eastAsia="en-GB"/>
              </w:rPr>
            </w:pPr>
            <w:r w:rsidRPr="009912D3">
              <w:rPr>
                <w:lang w:val="en-GB" w:eastAsia="en-GB"/>
              </w:rPr>
              <w:t xml:space="preserve">Balance at 31 </w:t>
            </w:r>
            <w:proofErr w:type="gramStart"/>
            <w:r w:rsidRPr="009912D3">
              <w:rPr>
                <w:lang w:val="en-GB" w:eastAsia="en-GB"/>
              </w:rPr>
              <w:t>December  2010</w:t>
            </w:r>
            <w:proofErr w:type="gramEnd"/>
          </w:p>
        </w:tc>
        <w:tc>
          <w:tcPr>
            <w:tcW w:w="1467" w:type="dxa"/>
            <w:shd w:val="clear" w:color="auto" w:fill="auto"/>
            <w:vAlign w:val="bottom"/>
          </w:tcPr>
          <w:p w14:paraId="59729AF4"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389,206 </w:t>
            </w:r>
          </w:p>
        </w:tc>
        <w:tc>
          <w:tcPr>
            <w:tcW w:w="1467" w:type="dxa"/>
            <w:shd w:val="clear" w:color="auto" w:fill="auto"/>
            <w:vAlign w:val="bottom"/>
          </w:tcPr>
          <w:p w14:paraId="1CAF5836"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296,599 </w:t>
            </w:r>
          </w:p>
        </w:tc>
        <w:tc>
          <w:tcPr>
            <w:tcW w:w="1467" w:type="dxa"/>
            <w:shd w:val="clear" w:color="auto" w:fill="auto"/>
            <w:vAlign w:val="bottom"/>
          </w:tcPr>
          <w:p w14:paraId="0DD7D3BB"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848,325 </w:t>
            </w:r>
          </w:p>
        </w:tc>
        <w:tc>
          <w:tcPr>
            <w:tcW w:w="1467" w:type="dxa"/>
            <w:shd w:val="clear" w:color="auto" w:fill="auto"/>
            <w:vAlign w:val="bottom"/>
          </w:tcPr>
          <w:p w14:paraId="2BE264AF" w14:textId="77777777" w:rsidR="009912D3" w:rsidRPr="0013007A" w:rsidRDefault="009912D3" w:rsidP="009912D3">
            <w:pPr>
              <w:spacing w:after="0" w:line="240" w:lineRule="auto"/>
              <w:jc w:val="right"/>
              <w:rPr>
                <w:rFonts w:cs="Arial"/>
                <w:b/>
                <w:lang w:val="en-GB" w:eastAsia="en-GB"/>
              </w:rPr>
            </w:pPr>
            <w:r w:rsidRPr="0013007A">
              <w:rPr>
                <w:rFonts w:cs="Arial"/>
                <w:b/>
                <w:lang w:val="en-GB" w:eastAsia="en-GB"/>
              </w:rPr>
              <w:t xml:space="preserve">1,534,130 </w:t>
            </w:r>
          </w:p>
        </w:tc>
      </w:tr>
      <w:tr w:rsidR="009912D3" w:rsidRPr="009912D3" w14:paraId="0E8C4DD8" w14:textId="77777777" w:rsidTr="009912D3">
        <w:tblPrEx>
          <w:tblCellMar>
            <w:top w:w="0" w:type="dxa"/>
            <w:bottom w:w="0" w:type="dxa"/>
          </w:tblCellMar>
        </w:tblPrEx>
        <w:tc>
          <w:tcPr>
            <w:tcW w:w="2988" w:type="dxa"/>
            <w:shd w:val="clear" w:color="auto" w:fill="auto"/>
            <w:vAlign w:val="bottom"/>
          </w:tcPr>
          <w:p w14:paraId="74C45815" w14:textId="77777777" w:rsidR="009912D3" w:rsidRPr="009912D3" w:rsidRDefault="009912D3" w:rsidP="009912D3">
            <w:pPr>
              <w:pStyle w:val="TableRowHead"/>
              <w:rPr>
                <w:lang w:val="en-GB" w:eastAsia="en-GB"/>
              </w:rPr>
            </w:pPr>
            <w:r w:rsidRPr="009912D3">
              <w:rPr>
                <w:lang w:val="en-GB" w:eastAsia="en-GB"/>
              </w:rPr>
              <w:t>Net Book Value - 31 December 2010</w:t>
            </w:r>
          </w:p>
        </w:tc>
        <w:tc>
          <w:tcPr>
            <w:tcW w:w="1467" w:type="dxa"/>
            <w:shd w:val="clear" w:color="auto" w:fill="auto"/>
            <w:vAlign w:val="bottom"/>
          </w:tcPr>
          <w:p w14:paraId="2B740136"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3,378 </w:t>
            </w:r>
          </w:p>
        </w:tc>
        <w:tc>
          <w:tcPr>
            <w:tcW w:w="1467" w:type="dxa"/>
            <w:shd w:val="clear" w:color="auto" w:fill="auto"/>
            <w:vAlign w:val="bottom"/>
          </w:tcPr>
          <w:p w14:paraId="1C5F3788"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15,826 </w:t>
            </w:r>
          </w:p>
        </w:tc>
        <w:tc>
          <w:tcPr>
            <w:tcW w:w="1467" w:type="dxa"/>
            <w:shd w:val="clear" w:color="auto" w:fill="auto"/>
            <w:vAlign w:val="bottom"/>
          </w:tcPr>
          <w:p w14:paraId="0BE217C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3,092,761 </w:t>
            </w:r>
          </w:p>
        </w:tc>
        <w:tc>
          <w:tcPr>
            <w:tcW w:w="1467" w:type="dxa"/>
            <w:shd w:val="clear" w:color="auto" w:fill="auto"/>
            <w:vAlign w:val="bottom"/>
          </w:tcPr>
          <w:p w14:paraId="7BB5F53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3,111,965 </w:t>
            </w:r>
          </w:p>
        </w:tc>
      </w:tr>
      <w:tr w:rsidR="009912D3" w:rsidRPr="009912D3" w14:paraId="17163825" w14:textId="77777777" w:rsidTr="009912D3">
        <w:tblPrEx>
          <w:tblCellMar>
            <w:top w:w="0" w:type="dxa"/>
            <w:bottom w:w="0" w:type="dxa"/>
          </w:tblCellMar>
        </w:tblPrEx>
        <w:tc>
          <w:tcPr>
            <w:tcW w:w="2988" w:type="dxa"/>
            <w:shd w:val="clear" w:color="auto" w:fill="auto"/>
            <w:vAlign w:val="bottom"/>
          </w:tcPr>
          <w:p w14:paraId="37930075" w14:textId="77777777" w:rsidR="009912D3" w:rsidRPr="009912D3" w:rsidRDefault="009912D3" w:rsidP="009912D3">
            <w:pPr>
              <w:pStyle w:val="TableRowHead"/>
              <w:rPr>
                <w:lang w:val="en-GB" w:eastAsia="en-GB"/>
              </w:rPr>
            </w:pPr>
            <w:r w:rsidRPr="009912D3">
              <w:rPr>
                <w:lang w:val="en-GB" w:eastAsia="en-GB"/>
              </w:rPr>
              <w:t>Net Book Value - 31 December 2009</w:t>
            </w:r>
          </w:p>
        </w:tc>
        <w:tc>
          <w:tcPr>
            <w:tcW w:w="1467" w:type="dxa"/>
            <w:shd w:val="clear" w:color="auto" w:fill="auto"/>
            <w:vAlign w:val="bottom"/>
          </w:tcPr>
          <w:p w14:paraId="1D8549B2"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2,288 </w:t>
            </w:r>
          </w:p>
        </w:tc>
        <w:tc>
          <w:tcPr>
            <w:tcW w:w="1467" w:type="dxa"/>
            <w:shd w:val="clear" w:color="auto" w:fill="auto"/>
            <w:vAlign w:val="bottom"/>
          </w:tcPr>
          <w:p w14:paraId="1D68E631"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30,865 </w:t>
            </w:r>
          </w:p>
        </w:tc>
        <w:tc>
          <w:tcPr>
            <w:tcW w:w="1467" w:type="dxa"/>
            <w:shd w:val="clear" w:color="auto" w:fill="auto"/>
            <w:vAlign w:val="bottom"/>
          </w:tcPr>
          <w:p w14:paraId="5C53A5F0"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3,172,063 </w:t>
            </w:r>
          </w:p>
        </w:tc>
        <w:tc>
          <w:tcPr>
            <w:tcW w:w="1467" w:type="dxa"/>
            <w:shd w:val="clear" w:color="auto" w:fill="auto"/>
            <w:vAlign w:val="bottom"/>
          </w:tcPr>
          <w:p w14:paraId="1011D49D" w14:textId="77777777" w:rsidR="009912D3" w:rsidRPr="0013007A" w:rsidRDefault="009912D3" w:rsidP="009912D3">
            <w:pPr>
              <w:spacing w:after="0" w:line="240" w:lineRule="auto"/>
              <w:jc w:val="right"/>
              <w:rPr>
                <w:rFonts w:cs="Arial"/>
                <w:lang w:val="en-GB" w:eastAsia="en-GB"/>
              </w:rPr>
            </w:pPr>
            <w:r w:rsidRPr="0013007A">
              <w:rPr>
                <w:rFonts w:cs="Arial"/>
                <w:lang w:val="en-GB" w:eastAsia="en-GB"/>
              </w:rPr>
              <w:t xml:space="preserve">3,205,216 </w:t>
            </w:r>
          </w:p>
        </w:tc>
      </w:tr>
    </w:tbl>
    <w:p w14:paraId="4A74A441" w14:textId="77777777" w:rsidR="009912D3" w:rsidRDefault="009912D3" w:rsidP="009912D3">
      <w:r>
        <w:br/>
      </w:r>
      <w:r w:rsidRPr="009912D3">
        <w:t xml:space="preserve">The Board operates its business from a premises at 25 </w:t>
      </w:r>
      <w:proofErr w:type="gramStart"/>
      <w:r w:rsidRPr="009912D3">
        <w:t>Clyde road</w:t>
      </w:r>
      <w:proofErr w:type="gramEnd"/>
      <w:r w:rsidRPr="009912D3">
        <w:t xml:space="preserve">, Ballsbridge, </w:t>
      </w:r>
      <w:smartTag w:uri="urn:schemas-microsoft-com:office:smarttags" w:element="City">
        <w:smartTag w:uri="urn:schemas-microsoft-com:office:smarttags" w:element="place">
          <w:r w:rsidRPr="009912D3">
            <w:t>Dublin</w:t>
          </w:r>
        </w:smartTag>
      </w:smartTag>
      <w:r w:rsidRPr="009912D3">
        <w:t xml:space="preserve"> 4 which it owns. The board does not own or lease any other property.</w:t>
      </w:r>
    </w:p>
    <w:p w14:paraId="77CE3005" w14:textId="77777777" w:rsidR="009912D3" w:rsidRDefault="009912D3" w:rsidP="004F58E4">
      <w:pPr>
        <w:pStyle w:val="TableTitle"/>
        <w:jc w:val="left"/>
      </w:pPr>
      <w:r w:rsidRPr="009912D3">
        <w:rPr>
          <w:bCs/>
          <w:lang w:val="en-GB"/>
        </w:rPr>
        <w:lastRenderedPageBreak/>
        <w:t>8. Capital Account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148"/>
        <w:gridCol w:w="900"/>
        <w:gridCol w:w="1404"/>
        <w:gridCol w:w="1404"/>
      </w:tblGrid>
      <w:tr w:rsidR="004F58E4" w:rsidRPr="009912D3" w14:paraId="6FA5A0E3" w14:textId="77777777" w:rsidTr="004F58E4">
        <w:tblPrEx>
          <w:tblCellMar>
            <w:top w:w="0" w:type="dxa"/>
            <w:bottom w:w="0" w:type="dxa"/>
          </w:tblCellMar>
        </w:tblPrEx>
        <w:trPr>
          <w:tblHeader/>
        </w:trPr>
        <w:tc>
          <w:tcPr>
            <w:tcW w:w="5148" w:type="dxa"/>
            <w:shd w:val="clear" w:color="auto" w:fill="auto"/>
          </w:tcPr>
          <w:p w14:paraId="3C152AED" w14:textId="77777777" w:rsidR="004F58E4" w:rsidRPr="004F58E4" w:rsidRDefault="004F58E4" w:rsidP="009912D3">
            <w:pPr>
              <w:pStyle w:val="TableHead"/>
              <w:jc w:val="right"/>
            </w:pPr>
          </w:p>
        </w:tc>
        <w:tc>
          <w:tcPr>
            <w:tcW w:w="900" w:type="dxa"/>
            <w:shd w:val="clear" w:color="auto" w:fill="auto"/>
          </w:tcPr>
          <w:p w14:paraId="131C8A5C" w14:textId="77777777" w:rsidR="004F58E4" w:rsidRPr="004F58E4" w:rsidRDefault="004F58E4" w:rsidP="00AF114C">
            <w:pPr>
              <w:pStyle w:val="TableHead"/>
              <w:spacing w:line="240" w:lineRule="auto"/>
              <w:jc w:val="right"/>
            </w:pPr>
            <w:r w:rsidRPr="004F58E4">
              <w:t>Notes</w:t>
            </w:r>
          </w:p>
        </w:tc>
        <w:tc>
          <w:tcPr>
            <w:tcW w:w="1404" w:type="dxa"/>
            <w:shd w:val="clear" w:color="auto" w:fill="auto"/>
          </w:tcPr>
          <w:p w14:paraId="48F4B11B" w14:textId="77777777" w:rsidR="004F58E4" w:rsidRPr="004F58E4" w:rsidRDefault="004F58E4" w:rsidP="00AF114C">
            <w:pPr>
              <w:pStyle w:val="TableHead"/>
              <w:spacing w:line="240" w:lineRule="auto"/>
              <w:jc w:val="right"/>
            </w:pPr>
            <w:r w:rsidRPr="004F58E4">
              <w:t>2010</w:t>
            </w:r>
          </w:p>
        </w:tc>
        <w:tc>
          <w:tcPr>
            <w:tcW w:w="1404" w:type="dxa"/>
            <w:shd w:val="clear" w:color="auto" w:fill="auto"/>
          </w:tcPr>
          <w:p w14:paraId="6E3B2FCC" w14:textId="77777777" w:rsidR="004F58E4" w:rsidRPr="004F58E4" w:rsidRDefault="004F58E4" w:rsidP="00AF114C">
            <w:pPr>
              <w:pStyle w:val="TableHead"/>
              <w:spacing w:line="240" w:lineRule="auto"/>
              <w:jc w:val="right"/>
            </w:pPr>
            <w:r w:rsidRPr="004F58E4">
              <w:t>2009</w:t>
            </w:r>
          </w:p>
        </w:tc>
      </w:tr>
      <w:tr w:rsidR="004F58E4" w:rsidRPr="009912D3" w14:paraId="5F37A4CA" w14:textId="77777777" w:rsidTr="004F58E4">
        <w:tblPrEx>
          <w:tblCellMar>
            <w:top w:w="0" w:type="dxa"/>
            <w:bottom w:w="0" w:type="dxa"/>
          </w:tblCellMar>
        </w:tblPrEx>
        <w:tc>
          <w:tcPr>
            <w:tcW w:w="5148" w:type="dxa"/>
            <w:shd w:val="clear" w:color="auto" w:fill="auto"/>
          </w:tcPr>
          <w:p w14:paraId="401A275D" w14:textId="77777777" w:rsidR="004F58E4" w:rsidRPr="004F58E4" w:rsidRDefault="004F58E4" w:rsidP="009912D3">
            <w:pPr>
              <w:pStyle w:val="TableRowHead"/>
            </w:pPr>
          </w:p>
        </w:tc>
        <w:tc>
          <w:tcPr>
            <w:tcW w:w="900" w:type="dxa"/>
            <w:shd w:val="clear" w:color="auto" w:fill="auto"/>
          </w:tcPr>
          <w:p w14:paraId="46650136" w14:textId="77777777" w:rsidR="004F58E4" w:rsidRPr="004F58E4" w:rsidRDefault="004F58E4" w:rsidP="00AF114C">
            <w:pPr>
              <w:pStyle w:val="TableCell"/>
              <w:jc w:val="right"/>
            </w:pPr>
          </w:p>
        </w:tc>
        <w:tc>
          <w:tcPr>
            <w:tcW w:w="1404" w:type="dxa"/>
            <w:shd w:val="clear" w:color="auto" w:fill="auto"/>
            <w:vAlign w:val="bottom"/>
          </w:tcPr>
          <w:p w14:paraId="2BEC5A12" w14:textId="77777777" w:rsidR="004F58E4" w:rsidRPr="004F58E4" w:rsidRDefault="004F58E4" w:rsidP="00AF114C">
            <w:pPr>
              <w:spacing w:after="0" w:line="240" w:lineRule="auto"/>
              <w:jc w:val="right"/>
              <w:rPr>
                <w:rFonts w:cs="Arial"/>
                <w:b/>
                <w:bCs/>
                <w:lang w:val="en-GB" w:eastAsia="en-GB"/>
              </w:rPr>
            </w:pPr>
            <w:r w:rsidRPr="004F58E4">
              <w:rPr>
                <w:rFonts w:cs="Arial"/>
                <w:b/>
                <w:bCs/>
                <w:lang w:val="en-GB" w:eastAsia="en-GB"/>
              </w:rPr>
              <w:t xml:space="preserve">          €</w:t>
            </w:r>
          </w:p>
        </w:tc>
        <w:tc>
          <w:tcPr>
            <w:tcW w:w="1404" w:type="dxa"/>
            <w:shd w:val="clear" w:color="auto" w:fill="auto"/>
            <w:vAlign w:val="bottom"/>
          </w:tcPr>
          <w:p w14:paraId="25483C22" w14:textId="77777777" w:rsidR="004F58E4" w:rsidRPr="004F58E4" w:rsidRDefault="004F58E4" w:rsidP="00AF114C">
            <w:pPr>
              <w:spacing w:after="0" w:line="240" w:lineRule="auto"/>
              <w:jc w:val="right"/>
              <w:rPr>
                <w:rFonts w:cs="Arial"/>
                <w:b/>
                <w:bCs/>
                <w:lang w:val="en-GB" w:eastAsia="en-GB"/>
              </w:rPr>
            </w:pPr>
            <w:r w:rsidRPr="004F58E4">
              <w:rPr>
                <w:rFonts w:cs="Arial"/>
                <w:b/>
                <w:bCs/>
                <w:lang w:val="en-GB" w:eastAsia="en-GB"/>
              </w:rPr>
              <w:t xml:space="preserve">          €</w:t>
            </w:r>
          </w:p>
        </w:tc>
      </w:tr>
      <w:tr w:rsidR="004F58E4" w:rsidRPr="009912D3" w14:paraId="27133F04" w14:textId="77777777" w:rsidTr="004F58E4">
        <w:tblPrEx>
          <w:tblCellMar>
            <w:top w:w="0" w:type="dxa"/>
            <w:bottom w:w="0" w:type="dxa"/>
          </w:tblCellMar>
        </w:tblPrEx>
        <w:tc>
          <w:tcPr>
            <w:tcW w:w="5148" w:type="dxa"/>
            <w:shd w:val="clear" w:color="auto" w:fill="auto"/>
            <w:vAlign w:val="bottom"/>
          </w:tcPr>
          <w:p w14:paraId="74B9BB50" w14:textId="77777777" w:rsidR="004F58E4" w:rsidRPr="004F58E4" w:rsidRDefault="004F58E4" w:rsidP="004F58E4">
            <w:pPr>
              <w:pStyle w:val="TableRowHead"/>
              <w:rPr>
                <w:lang w:val="en-GB" w:eastAsia="en-GB"/>
              </w:rPr>
            </w:pPr>
            <w:r w:rsidRPr="004F58E4">
              <w:rPr>
                <w:lang w:val="en-GB" w:eastAsia="en-GB"/>
              </w:rPr>
              <w:t xml:space="preserve">Balance </w:t>
            </w:r>
            <w:proofErr w:type="gramStart"/>
            <w:r w:rsidRPr="004F58E4">
              <w:rPr>
                <w:lang w:val="en-GB" w:eastAsia="en-GB"/>
              </w:rPr>
              <w:t>at</w:t>
            </w:r>
            <w:proofErr w:type="gramEnd"/>
            <w:r w:rsidRPr="004F58E4">
              <w:rPr>
                <w:lang w:val="en-GB" w:eastAsia="en-GB"/>
              </w:rPr>
              <w:t xml:space="preserve"> 1 January</w:t>
            </w:r>
          </w:p>
        </w:tc>
        <w:tc>
          <w:tcPr>
            <w:tcW w:w="900" w:type="dxa"/>
            <w:shd w:val="clear" w:color="auto" w:fill="auto"/>
            <w:vAlign w:val="bottom"/>
          </w:tcPr>
          <w:p w14:paraId="1453D56A" w14:textId="77777777" w:rsidR="004F58E4" w:rsidRPr="004F58E4" w:rsidRDefault="004F58E4" w:rsidP="00AF114C">
            <w:pPr>
              <w:spacing w:after="0" w:line="240" w:lineRule="auto"/>
              <w:rPr>
                <w:rFonts w:cs="Arial"/>
                <w:lang w:val="en-GB" w:eastAsia="en-GB"/>
              </w:rPr>
            </w:pPr>
          </w:p>
        </w:tc>
        <w:tc>
          <w:tcPr>
            <w:tcW w:w="1404" w:type="dxa"/>
            <w:shd w:val="clear" w:color="auto" w:fill="auto"/>
            <w:vAlign w:val="bottom"/>
          </w:tcPr>
          <w:p w14:paraId="6F2F05F7"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3,205,216 </w:t>
            </w:r>
          </w:p>
        </w:tc>
        <w:tc>
          <w:tcPr>
            <w:tcW w:w="1404" w:type="dxa"/>
            <w:shd w:val="clear" w:color="auto" w:fill="auto"/>
            <w:vAlign w:val="bottom"/>
          </w:tcPr>
          <w:p w14:paraId="7A04D95A"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3,315,567 </w:t>
            </w:r>
          </w:p>
        </w:tc>
      </w:tr>
      <w:tr w:rsidR="004F58E4" w:rsidRPr="009912D3" w14:paraId="52C34BE2" w14:textId="77777777" w:rsidTr="00AF114C">
        <w:tblPrEx>
          <w:tblCellMar>
            <w:top w:w="0" w:type="dxa"/>
            <w:bottom w:w="0" w:type="dxa"/>
          </w:tblCellMar>
        </w:tblPrEx>
        <w:tc>
          <w:tcPr>
            <w:tcW w:w="8856" w:type="dxa"/>
            <w:gridSpan w:val="4"/>
            <w:shd w:val="clear" w:color="auto" w:fill="auto"/>
            <w:vAlign w:val="bottom"/>
          </w:tcPr>
          <w:p w14:paraId="286556E5" w14:textId="77777777" w:rsidR="004F58E4" w:rsidRPr="004F58E4" w:rsidRDefault="004F58E4" w:rsidP="004F58E4">
            <w:pPr>
              <w:pStyle w:val="TableHead"/>
              <w:jc w:val="center"/>
              <w:rPr>
                <w:rFonts w:cs="Arial"/>
                <w:lang w:val="en-GB" w:eastAsia="en-GB"/>
              </w:rPr>
            </w:pPr>
            <w:r w:rsidRPr="004F58E4">
              <w:rPr>
                <w:lang w:val="en-GB" w:eastAsia="en-GB"/>
              </w:rPr>
              <w:t>Transfer (to) / from the Income and Expenditure Account</w:t>
            </w:r>
          </w:p>
        </w:tc>
      </w:tr>
      <w:tr w:rsidR="004F58E4" w:rsidRPr="009912D3" w14:paraId="657266CE" w14:textId="77777777" w:rsidTr="004F58E4">
        <w:tblPrEx>
          <w:tblCellMar>
            <w:top w:w="0" w:type="dxa"/>
            <w:bottom w:w="0" w:type="dxa"/>
          </w:tblCellMar>
        </w:tblPrEx>
        <w:tc>
          <w:tcPr>
            <w:tcW w:w="5148" w:type="dxa"/>
            <w:shd w:val="clear" w:color="auto" w:fill="auto"/>
            <w:vAlign w:val="bottom"/>
          </w:tcPr>
          <w:p w14:paraId="2942FBE3" w14:textId="77777777" w:rsidR="004F58E4" w:rsidRPr="004F58E4" w:rsidRDefault="004F58E4" w:rsidP="004F58E4">
            <w:pPr>
              <w:pStyle w:val="TableRowHead"/>
              <w:rPr>
                <w:lang w:val="en-GB" w:eastAsia="en-GB"/>
              </w:rPr>
            </w:pPr>
            <w:r w:rsidRPr="004F58E4">
              <w:rPr>
                <w:lang w:val="en-GB" w:eastAsia="en-GB"/>
              </w:rPr>
              <w:t xml:space="preserve">Income applied to purchase fixed assets </w:t>
            </w:r>
          </w:p>
        </w:tc>
        <w:tc>
          <w:tcPr>
            <w:tcW w:w="900" w:type="dxa"/>
            <w:shd w:val="clear" w:color="auto" w:fill="auto"/>
            <w:vAlign w:val="bottom"/>
          </w:tcPr>
          <w:p w14:paraId="09C604B1"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7 </w:t>
            </w:r>
          </w:p>
        </w:tc>
        <w:tc>
          <w:tcPr>
            <w:tcW w:w="1404" w:type="dxa"/>
            <w:shd w:val="clear" w:color="auto" w:fill="auto"/>
            <w:vAlign w:val="bottom"/>
          </w:tcPr>
          <w:p w14:paraId="0CAEA9E2"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3,729 </w:t>
            </w:r>
          </w:p>
        </w:tc>
        <w:tc>
          <w:tcPr>
            <w:tcW w:w="1404" w:type="dxa"/>
            <w:shd w:val="clear" w:color="auto" w:fill="auto"/>
            <w:vAlign w:val="bottom"/>
          </w:tcPr>
          <w:p w14:paraId="23B803B1"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1,825 </w:t>
            </w:r>
          </w:p>
        </w:tc>
      </w:tr>
      <w:tr w:rsidR="004F58E4" w:rsidRPr="009912D3" w14:paraId="3D7C219F" w14:textId="77777777" w:rsidTr="004F58E4">
        <w:tblPrEx>
          <w:tblCellMar>
            <w:top w:w="0" w:type="dxa"/>
            <w:bottom w:w="0" w:type="dxa"/>
          </w:tblCellMar>
        </w:tblPrEx>
        <w:tc>
          <w:tcPr>
            <w:tcW w:w="5148" w:type="dxa"/>
            <w:shd w:val="clear" w:color="auto" w:fill="auto"/>
            <w:vAlign w:val="bottom"/>
          </w:tcPr>
          <w:p w14:paraId="70DECDF1" w14:textId="77777777" w:rsidR="004F58E4" w:rsidRPr="004F58E4" w:rsidRDefault="004F58E4" w:rsidP="004F58E4">
            <w:pPr>
              <w:pStyle w:val="TableRowHead"/>
              <w:rPr>
                <w:lang w:val="en-GB" w:eastAsia="en-GB"/>
              </w:rPr>
            </w:pPr>
            <w:r w:rsidRPr="004F58E4">
              <w:rPr>
                <w:lang w:val="en-GB" w:eastAsia="en-GB"/>
              </w:rPr>
              <w:t xml:space="preserve">Amortised in the year in line with asset depreciation </w:t>
            </w:r>
          </w:p>
        </w:tc>
        <w:tc>
          <w:tcPr>
            <w:tcW w:w="900" w:type="dxa"/>
            <w:shd w:val="clear" w:color="auto" w:fill="auto"/>
            <w:vAlign w:val="bottom"/>
          </w:tcPr>
          <w:p w14:paraId="2E8F7FFA"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7 </w:t>
            </w:r>
          </w:p>
        </w:tc>
        <w:tc>
          <w:tcPr>
            <w:tcW w:w="1404" w:type="dxa"/>
            <w:shd w:val="clear" w:color="auto" w:fill="auto"/>
            <w:vAlign w:val="bottom"/>
          </w:tcPr>
          <w:p w14:paraId="522D632D"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(96,980)</w:t>
            </w:r>
          </w:p>
        </w:tc>
        <w:tc>
          <w:tcPr>
            <w:tcW w:w="1404" w:type="dxa"/>
            <w:shd w:val="clear" w:color="auto" w:fill="auto"/>
            <w:vAlign w:val="bottom"/>
          </w:tcPr>
          <w:p w14:paraId="32428885"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(112,176)</w:t>
            </w:r>
          </w:p>
        </w:tc>
      </w:tr>
      <w:tr w:rsidR="004F58E4" w:rsidRPr="009912D3" w14:paraId="0268F5EF" w14:textId="77777777" w:rsidTr="004F58E4">
        <w:tblPrEx>
          <w:tblCellMar>
            <w:top w:w="0" w:type="dxa"/>
            <w:bottom w:w="0" w:type="dxa"/>
          </w:tblCellMar>
        </w:tblPrEx>
        <w:tc>
          <w:tcPr>
            <w:tcW w:w="5148" w:type="dxa"/>
            <w:shd w:val="clear" w:color="auto" w:fill="auto"/>
            <w:vAlign w:val="bottom"/>
          </w:tcPr>
          <w:p w14:paraId="5E22994A" w14:textId="77777777" w:rsidR="004F58E4" w:rsidRPr="004F58E4" w:rsidRDefault="004F58E4" w:rsidP="004F58E4">
            <w:pPr>
              <w:pStyle w:val="TableRowHead"/>
              <w:rPr>
                <w:lang w:val="en-GB" w:eastAsia="en-GB"/>
              </w:rPr>
            </w:pPr>
            <w:r w:rsidRPr="004F58E4">
              <w:rPr>
                <w:lang w:val="en-GB" w:eastAsia="en-GB"/>
              </w:rPr>
              <w:t>Release on Disposal of Fixed Assets</w:t>
            </w:r>
          </w:p>
        </w:tc>
        <w:tc>
          <w:tcPr>
            <w:tcW w:w="900" w:type="dxa"/>
            <w:shd w:val="clear" w:color="auto" w:fill="auto"/>
            <w:vAlign w:val="bottom"/>
          </w:tcPr>
          <w:p w14:paraId="705FA57D"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7 </w:t>
            </w:r>
          </w:p>
        </w:tc>
        <w:tc>
          <w:tcPr>
            <w:tcW w:w="1404" w:type="dxa"/>
            <w:shd w:val="clear" w:color="auto" w:fill="auto"/>
            <w:vAlign w:val="bottom"/>
          </w:tcPr>
          <w:p w14:paraId="205CA50C"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0 </w:t>
            </w:r>
          </w:p>
        </w:tc>
        <w:tc>
          <w:tcPr>
            <w:tcW w:w="1404" w:type="dxa"/>
            <w:shd w:val="clear" w:color="auto" w:fill="auto"/>
            <w:vAlign w:val="bottom"/>
          </w:tcPr>
          <w:p w14:paraId="1D3481EC"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 xml:space="preserve">0 </w:t>
            </w:r>
          </w:p>
        </w:tc>
      </w:tr>
      <w:tr w:rsidR="004F58E4" w:rsidRPr="009912D3" w14:paraId="25BA0CCC" w14:textId="77777777" w:rsidTr="004F58E4">
        <w:tblPrEx>
          <w:tblCellMar>
            <w:top w:w="0" w:type="dxa"/>
            <w:bottom w:w="0" w:type="dxa"/>
          </w:tblCellMar>
        </w:tblPrEx>
        <w:tc>
          <w:tcPr>
            <w:tcW w:w="5148" w:type="dxa"/>
            <w:shd w:val="clear" w:color="auto" w:fill="auto"/>
            <w:vAlign w:val="bottom"/>
          </w:tcPr>
          <w:p w14:paraId="0FAF71F9" w14:textId="77777777" w:rsidR="004F58E4" w:rsidRPr="004F58E4" w:rsidRDefault="004F58E4" w:rsidP="004F58E4">
            <w:pPr>
              <w:pStyle w:val="TableRowHead"/>
              <w:rPr>
                <w:lang w:val="en-GB" w:eastAsia="en-GB"/>
              </w:rPr>
            </w:pPr>
          </w:p>
        </w:tc>
        <w:tc>
          <w:tcPr>
            <w:tcW w:w="900" w:type="dxa"/>
            <w:shd w:val="clear" w:color="auto" w:fill="auto"/>
            <w:vAlign w:val="bottom"/>
          </w:tcPr>
          <w:p w14:paraId="58B40E03" w14:textId="77777777" w:rsidR="004F58E4" w:rsidRPr="004F58E4" w:rsidRDefault="004F58E4" w:rsidP="00AF114C">
            <w:pPr>
              <w:spacing w:after="0" w:line="240" w:lineRule="auto"/>
              <w:rPr>
                <w:rFonts w:cs="Arial"/>
                <w:lang w:val="en-GB" w:eastAsia="en-GB"/>
              </w:rPr>
            </w:pPr>
          </w:p>
        </w:tc>
        <w:tc>
          <w:tcPr>
            <w:tcW w:w="1404" w:type="dxa"/>
            <w:shd w:val="clear" w:color="auto" w:fill="auto"/>
            <w:vAlign w:val="bottom"/>
          </w:tcPr>
          <w:p w14:paraId="0E8A6E8C"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(93,251)</w:t>
            </w:r>
          </w:p>
        </w:tc>
        <w:tc>
          <w:tcPr>
            <w:tcW w:w="1404" w:type="dxa"/>
            <w:shd w:val="clear" w:color="auto" w:fill="auto"/>
            <w:vAlign w:val="bottom"/>
          </w:tcPr>
          <w:p w14:paraId="6FBFA216" w14:textId="77777777" w:rsidR="004F58E4" w:rsidRPr="004F58E4" w:rsidRDefault="004F58E4" w:rsidP="00AF114C">
            <w:pPr>
              <w:spacing w:after="0" w:line="240" w:lineRule="auto"/>
              <w:jc w:val="right"/>
              <w:rPr>
                <w:rFonts w:cs="Arial"/>
                <w:lang w:val="en-GB" w:eastAsia="en-GB"/>
              </w:rPr>
            </w:pPr>
            <w:r w:rsidRPr="004F58E4">
              <w:rPr>
                <w:rFonts w:cs="Arial"/>
                <w:lang w:val="en-GB" w:eastAsia="en-GB"/>
              </w:rPr>
              <w:t>(110,351)</w:t>
            </w:r>
          </w:p>
        </w:tc>
      </w:tr>
      <w:tr w:rsidR="004F58E4" w:rsidRPr="009912D3" w14:paraId="23DC43F2" w14:textId="77777777" w:rsidTr="004F58E4">
        <w:tblPrEx>
          <w:tblCellMar>
            <w:top w:w="0" w:type="dxa"/>
            <w:bottom w:w="0" w:type="dxa"/>
          </w:tblCellMar>
        </w:tblPrEx>
        <w:tc>
          <w:tcPr>
            <w:tcW w:w="5148" w:type="dxa"/>
            <w:shd w:val="clear" w:color="auto" w:fill="auto"/>
            <w:vAlign w:val="bottom"/>
          </w:tcPr>
          <w:p w14:paraId="6D89A9AD" w14:textId="77777777" w:rsidR="004F58E4" w:rsidRPr="004F58E4" w:rsidRDefault="004F58E4" w:rsidP="004F58E4">
            <w:pPr>
              <w:pStyle w:val="TableRowHead"/>
              <w:rPr>
                <w:lang w:val="en-GB" w:eastAsia="en-GB"/>
              </w:rPr>
            </w:pPr>
            <w:r w:rsidRPr="004F58E4">
              <w:rPr>
                <w:lang w:val="en-GB" w:eastAsia="en-GB"/>
              </w:rPr>
              <w:t xml:space="preserve">Balance </w:t>
            </w:r>
            <w:proofErr w:type="gramStart"/>
            <w:r w:rsidRPr="004F58E4">
              <w:rPr>
                <w:lang w:val="en-GB" w:eastAsia="en-GB"/>
              </w:rPr>
              <w:t>at</w:t>
            </w:r>
            <w:proofErr w:type="gramEnd"/>
            <w:r w:rsidRPr="004F58E4">
              <w:rPr>
                <w:lang w:val="en-GB" w:eastAsia="en-GB"/>
              </w:rPr>
              <w:t xml:space="preserve"> 31 December </w:t>
            </w:r>
          </w:p>
        </w:tc>
        <w:tc>
          <w:tcPr>
            <w:tcW w:w="900" w:type="dxa"/>
            <w:shd w:val="clear" w:color="auto" w:fill="auto"/>
            <w:vAlign w:val="bottom"/>
          </w:tcPr>
          <w:p w14:paraId="553F3B32" w14:textId="77777777" w:rsidR="004F58E4" w:rsidRPr="004F58E4" w:rsidRDefault="004F58E4" w:rsidP="00AF114C">
            <w:pPr>
              <w:spacing w:after="0" w:line="240" w:lineRule="auto"/>
              <w:jc w:val="right"/>
              <w:rPr>
                <w:rFonts w:cs="Arial"/>
                <w:lang w:val="en-GB" w:eastAsia="en-GB"/>
              </w:rPr>
            </w:pPr>
          </w:p>
        </w:tc>
        <w:tc>
          <w:tcPr>
            <w:tcW w:w="1404" w:type="dxa"/>
            <w:shd w:val="clear" w:color="auto" w:fill="auto"/>
            <w:vAlign w:val="bottom"/>
          </w:tcPr>
          <w:p w14:paraId="75CED5FC" w14:textId="77777777" w:rsidR="004F58E4" w:rsidRPr="004F58E4" w:rsidRDefault="004F58E4" w:rsidP="00AF114C">
            <w:pPr>
              <w:spacing w:after="0" w:line="240" w:lineRule="auto"/>
              <w:jc w:val="right"/>
              <w:rPr>
                <w:rFonts w:cs="Arial"/>
                <w:b/>
                <w:lang w:val="en-GB" w:eastAsia="en-GB"/>
              </w:rPr>
            </w:pPr>
            <w:r w:rsidRPr="004F58E4">
              <w:rPr>
                <w:rFonts w:cs="Arial"/>
                <w:b/>
                <w:lang w:val="en-GB" w:eastAsia="en-GB"/>
              </w:rPr>
              <w:t xml:space="preserve">3,111,965 </w:t>
            </w:r>
          </w:p>
        </w:tc>
        <w:tc>
          <w:tcPr>
            <w:tcW w:w="1404" w:type="dxa"/>
            <w:shd w:val="clear" w:color="auto" w:fill="auto"/>
            <w:vAlign w:val="bottom"/>
          </w:tcPr>
          <w:p w14:paraId="1AF4292C" w14:textId="77777777" w:rsidR="004F58E4" w:rsidRPr="004F58E4" w:rsidRDefault="004F58E4" w:rsidP="00AF114C">
            <w:pPr>
              <w:spacing w:after="0" w:line="240" w:lineRule="auto"/>
              <w:jc w:val="right"/>
              <w:rPr>
                <w:rFonts w:cs="Arial"/>
                <w:b/>
                <w:lang w:val="en-GB" w:eastAsia="en-GB"/>
              </w:rPr>
            </w:pPr>
            <w:r w:rsidRPr="004F58E4">
              <w:rPr>
                <w:rFonts w:cs="Arial"/>
                <w:b/>
                <w:lang w:val="en-GB" w:eastAsia="en-GB"/>
              </w:rPr>
              <w:t xml:space="preserve">3,205,216 </w:t>
            </w:r>
          </w:p>
        </w:tc>
      </w:tr>
    </w:tbl>
    <w:p w14:paraId="54274EEA" w14:textId="77777777" w:rsidR="004F58E4" w:rsidRDefault="004F58E4" w:rsidP="004F58E4">
      <w:pPr>
        <w:pStyle w:val="TableTitle"/>
        <w:jc w:val="left"/>
      </w:pPr>
      <w:r w:rsidRPr="004F58E4">
        <w:rPr>
          <w:bCs/>
          <w:lang w:val="en-GB"/>
        </w:rPr>
        <w:t>9. Cash Flow Reconciliation</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148"/>
        <w:gridCol w:w="1854"/>
        <w:gridCol w:w="1854"/>
      </w:tblGrid>
      <w:tr w:rsidR="004F58E4" w:rsidRPr="004F58E4" w14:paraId="31DB84ED" w14:textId="77777777" w:rsidTr="00B22912">
        <w:tblPrEx>
          <w:tblCellMar>
            <w:top w:w="0" w:type="dxa"/>
            <w:bottom w:w="0" w:type="dxa"/>
          </w:tblCellMar>
        </w:tblPrEx>
        <w:trPr>
          <w:tblHeader/>
        </w:trPr>
        <w:tc>
          <w:tcPr>
            <w:tcW w:w="5148" w:type="dxa"/>
            <w:shd w:val="clear" w:color="auto" w:fill="auto"/>
          </w:tcPr>
          <w:p w14:paraId="030B4319" w14:textId="77777777" w:rsidR="004F58E4" w:rsidRPr="00B22912" w:rsidRDefault="004F58E4" w:rsidP="004F58E4">
            <w:pPr>
              <w:pStyle w:val="TableHead"/>
              <w:jc w:val="right"/>
            </w:pPr>
          </w:p>
        </w:tc>
        <w:tc>
          <w:tcPr>
            <w:tcW w:w="1854" w:type="dxa"/>
            <w:shd w:val="clear" w:color="auto" w:fill="auto"/>
          </w:tcPr>
          <w:p w14:paraId="6219D29F" w14:textId="77777777" w:rsidR="004F58E4" w:rsidRPr="00B22912" w:rsidRDefault="004F58E4" w:rsidP="00AF114C">
            <w:pPr>
              <w:pStyle w:val="TableHead"/>
              <w:spacing w:line="240" w:lineRule="auto"/>
              <w:jc w:val="right"/>
            </w:pPr>
            <w:r w:rsidRPr="00B22912">
              <w:t>2010</w:t>
            </w:r>
          </w:p>
        </w:tc>
        <w:tc>
          <w:tcPr>
            <w:tcW w:w="1854" w:type="dxa"/>
            <w:shd w:val="clear" w:color="auto" w:fill="auto"/>
          </w:tcPr>
          <w:p w14:paraId="13B214FA" w14:textId="77777777" w:rsidR="004F58E4" w:rsidRPr="00B22912" w:rsidRDefault="004F58E4" w:rsidP="00AF114C">
            <w:pPr>
              <w:pStyle w:val="TableHead"/>
              <w:spacing w:line="240" w:lineRule="auto"/>
              <w:jc w:val="right"/>
            </w:pPr>
            <w:r w:rsidRPr="00B22912">
              <w:t>2009</w:t>
            </w:r>
          </w:p>
        </w:tc>
      </w:tr>
      <w:tr w:rsidR="004F58E4" w:rsidRPr="004F58E4" w14:paraId="7F18002E" w14:textId="77777777" w:rsidTr="00B22912">
        <w:tblPrEx>
          <w:tblCellMar>
            <w:top w:w="0" w:type="dxa"/>
            <w:bottom w:w="0" w:type="dxa"/>
          </w:tblCellMar>
        </w:tblPrEx>
        <w:tc>
          <w:tcPr>
            <w:tcW w:w="5148" w:type="dxa"/>
            <w:shd w:val="clear" w:color="auto" w:fill="auto"/>
          </w:tcPr>
          <w:p w14:paraId="4D874439" w14:textId="77777777" w:rsidR="004F58E4" w:rsidRPr="00B22912" w:rsidRDefault="004F58E4" w:rsidP="004F58E4">
            <w:pPr>
              <w:pStyle w:val="TableRowHead"/>
            </w:pPr>
          </w:p>
        </w:tc>
        <w:tc>
          <w:tcPr>
            <w:tcW w:w="1854" w:type="dxa"/>
            <w:shd w:val="clear" w:color="auto" w:fill="auto"/>
            <w:vAlign w:val="bottom"/>
          </w:tcPr>
          <w:p w14:paraId="59512D86" w14:textId="77777777" w:rsidR="004F58E4" w:rsidRPr="00B22912" w:rsidRDefault="004F58E4" w:rsidP="00AF114C">
            <w:pPr>
              <w:spacing w:after="0" w:line="240" w:lineRule="auto"/>
              <w:jc w:val="right"/>
              <w:rPr>
                <w:rFonts w:cs="Arial"/>
                <w:b/>
                <w:bCs/>
                <w:lang w:val="en-GB" w:eastAsia="en-GB"/>
              </w:rPr>
            </w:pPr>
            <w:r w:rsidRPr="00B22912">
              <w:rPr>
                <w:rFonts w:cs="Arial"/>
                <w:b/>
                <w:bCs/>
                <w:lang w:val="en-GB" w:eastAsia="en-GB"/>
              </w:rPr>
              <w:t xml:space="preserve">          €</w:t>
            </w:r>
          </w:p>
        </w:tc>
        <w:tc>
          <w:tcPr>
            <w:tcW w:w="1854" w:type="dxa"/>
            <w:shd w:val="clear" w:color="auto" w:fill="auto"/>
            <w:vAlign w:val="bottom"/>
          </w:tcPr>
          <w:p w14:paraId="1A4C6053" w14:textId="77777777" w:rsidR="004F58E4" w:rsidRPr="00B22912" w:rsidRDefault="004F58E4" w:rsidP="00AF114C">
            <w:pPr>
              <w:spacing w:after="0" w:line="240" w:lineRule="auto"/>
              <w:jc w:val="right"/>
              <w:rPr>
                <w:rFonts w:cs="Arial"/>
                <w:b/>
                <w:bCs/>
                <w:lang w:val="en-GB" w:eastAsia="en-GB"/>
              </w:rPr>
            </w:pPr>
            <w:r w:rsidRPr="00B22912">
              <w:rPr>
                <w:rFonts w:cs="Arial"/>
                <w:b/>
                <w:bCs/>
                <w:lang w:val="en-GB" w:eastAsia="en-GB"/>
              </w:rPr>
              <w:t xml:space="preserve">          €</w:t>
            </w:r>
          </w:p>
        </w:tc>
      </w:tr>
      <w:tr w:rsidR="004F58E4" w:rsidRPr="004F58E4" w14:paraId="63D53C50" w14:textId="77777777" w:rsidTr="00B22912">
        <w:tblPrEx>
          <w:tblCellMar>
            <w:top w:w="0" w:type="dxa"/>
            <w:bottom w:w="0" w:type="dxa"/>
          </w:tblCellMar>
        </w:tblPrEx>
        <w:tc>
          <w:tcPr>
            <w:tcW w:w="8856" w:type="dxa"/>
            <w:gridSpan w:val="3"/>
            <w:shd w:val="clear" w:color="auto" w:fill="auto"/>
          </w:tcPr>
          <w:p w14:paraId="56CBCF1C" w14:textId="77777777" w:rsidR="004F58E4" w:rsidRPr="00B22912" w:rsidRDefault="004F58E4" w:rsidP="004F58E4">
            <w:pPr>
              <w:pStyle w:val="TableHead"/>
              <w:jc w:val="center"/>
            </w:pPr>
            <w:r w:rsidRPr="00B22912">
              <w:rPr>
                <w:lang w:val="en-GB" w:eastAsia="en-GB"/>
              </w:rPr>
              <w:t xml:space="preserve">9 (a) Reconciliation </w:t>
            </w:r>
            <w:proofErr w:type="gramStart"/>
            <w:r w:rsidRPr="00B22912">
              <w:rPr>
                <w:lang w:val="en-GB" w:eastAsia="en-GB"/>
              </w:rPr>
              <w:t>Of</w:t>
            </w:r>
            <w:proofErr w:type="gramEnd"/>
            <w:r w:rsidRPr="00B22912">
              <w:rPr>
                <w:lang w:val="en-GB" w:eastAsia="en-GB"/>
              </w:rPr>
              <w:t xml:space="preserve"> Deficit For The Year To Cashflow From Operating Activities</w:t>
            </w:r>
          </w:p>
        </w:tc>
      </w:tr>
      <w:tr w:rsidR="004F58E4" w:rsidRPr="004F58E4" w14:paraId="2908ABDD" w14:textId="77777777" w:rsidTr="00B22912">
        <w:tblPrEx>
          <w:tblCellMar>
            <w:top w:w="0" w:type="dxa"/>
            <w:bottom w:w="0" w:type="dxa"/>
          </w:tblCellMar>
        </w:tblPrEx>
        <w:tc>
          <w:tcPr>
            <w:tcW w:w="5148" w:type="dxa"/>
            <w:shd w:val="clear" w:color="auto" w:fill="auto"/>
            <w:vAlign w:val="bottom"/>
          </w:tcPr>
          <w:p w14:paraId="0677AC6C" w14:textId="77777777" w:rsidR="004F58E4" w:rsidRPr="00B22912" w:rsidRDefault="004F58E4" w:rsidP="004F58E4">
            <w:pPr>
              <w:pStyle w:val="TableRowHead"/>
              <w:rPr>
                <w:lang w:val="en-GB" w:eastAsia="en-GB"/>
              </w:rPr>
            </w:pPr>
            <w:r w:rsidRPr="00B22912">
              <w:rPr>
                <w:lang w:val="en-GB" w:eastAsia="en-GB"/>
              </w:rPr>
              <w:t>Surplus / (Deficit) for the period</w:t>
            </w:r>
          </w:p>
        </w:tc>
        <w:tc>
          <w:tcPr>
            <w:tcW w:w="1854" w:type="dxa"/>
            <w:shd w:val="clear" w:color="auto" w:fill="auto"/>
            <w:vAlign w:val="bottom"/>
          </w:tcPr>
          <w:p w14:paraId="381E592B"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115,010 </w:t>
            </w:r>
          </w:p>
        </w:tc>
        <w:tc>
          <w:tcPr>
            <w:tcW w:w="1854" w:type="dxa"/>
            <w:shd w:val="clear" w:color="auto" w:fill="auto"/>
            <w:vAlign w:val="bottom"/>
          </w:tcPr>
          <w:p w14:paraId="7F4F875B"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(30,968)</w:t>
            </w:r>
          </w:p>
        </w:tc>
      </w:tr>
      <w:tr w:rsidR="004F58E4" w:rsidRPr="004F58E4" w14:paraId="7F98ECCA" w14:textId="77777777" w:rsidTr="00B22912">
        <w:tblPrEx>
          <w:tblCellMar>
            <w:top w:w="0" w:type="dxa"/>
            <w:bottom w:w="0" w:type="dxa"/>
          </w:tblCellMar>
        </w:tblPrEx>
        <w:tc>
          <w:tcPr>
            <w:tcW w:w="5148" w:type="dxa"/>
            <w:shd w:val="clear" w:color="auto" w:fill="auto"/>
            <w:vAlign w:val="bottom"/>
          </w:tcPr>
          <w:p w14:paraId="4CB61639" w14:textId="77777777" w:rsidR="004F58E4" w:rsidRPr="00B22912" w:rsidRDefault="004F58E4" w:rsidP="004F58E4">
            <w:pPr>
              <w:pStyle w:val="TableRowHead"/>
              <w:rPr>
                <w:lang w:val="en-GB" w:eastAsia="en-GB"/>
              </w:rPr>
            </w:pPr>
            <w:r w:rsidRPr="00B22912">
              <w:rPr>
                <w:lang w:val="en-GB" w:eastAsia="en-GB"/>
              </w:rPr>
              <w:t>Adjustment for non operating items</w:t>
            </w:r>
          </w:p>
        </w:tc>
        <w:tc>
          <w:tcPr>
            <w:tcW w:w="1854" w:type="dxa"/>
            <w:shd w:val="clear" w:color="auto" w:fill="auto"/>
            <w:vAlign w:val="bottom"/>
          </w:tcPr>
          <w:p w14:paraId="007F79DA" w14:textId="77777777" w:rsidR="004F58E4" w:rsidRPr="00B22912" w:rsidRDefault="004F58E4" w:rsidP="00AF114C">
            <w:pPr>
              <w:spacing w:after="0" w:line="240" w:lineRule="auto"/>
              <w:jc w:val="right"/>
              <w:rPr>
                <w:rFonts w:cs="Arial"/>
                <w:lang w:val="en-GB" w:eastAsia="en-GB"/>
              </w:rPr>
            </w:pPr>
          </w:p>
        </w:tc>
        <w:tc>
          <w:tcPr>
            <w:tcW w:w="1854" w:type="dxa"/>
            <w:shd w:val="clear" w:color="auto" w:fill="auto"/>
            <w:vAlign w:val="bottom"/>
          </w:tcPr>
          <w:p w14:paraId="35725E50" w14:textId="77777777" w:rsidR="004F58E4" w:rsidRPr="00B22912" w:rsidRDefault="004F58E4" w:rsidP="00AF114C">
            <w:pPr>
              <w:spacing w:after="0" w:line="240" w:lineRule="auto"/>
              <w:jc w:val="right"/>
              <w:rPr>
                <w:rFonts w:cs="Arial"/>
                <w:lang w:val="en-GB" w:eastAsia="en-GB"/>
              </w:rPr>
            </w:pPr>
          </w:p>
        </w:tc>
      </w:tr>
      <w:tr w:rsidR="004F58E4" w:rsidRPr="004F58E4" w14:paraId="79E2C6F9" w14:textId="77777777" w:rsidTr="00B22912">
        <w:tblPrEx>
          <w:tblCellMar>
            <w:top w:w="0" w:type="dxa"/>
            <w:bottom w:w="0" w:type="dxa"/>
          </w:tblCellMar>
        </w:tblPrEx>
        <w:tc>
          <w:tcPr>
            <w:tcW w:w="5148" w:type="dxa"/>
            <w:shd w:val="clear" w:color="auto" w:fill="auto"/>
            <w:vAlign w:val="bottom"/>
          </w:tcPr>
          <w:p w14:paraId="28C102DC" w14:textId="77777777" w:rsidR="004F58E4" w:rsidRPr="00B22912" w:rsidRDefault="004F58E4" w:rsidP="004F58E4">
            <w:pPr>
              <w:pStyle w:val="TableRowHead"/>
              <w:rPr>
                <w:lang w:val="en-GB" w:eastAsia="en-GB"/>
              </w:rPr>
            </w:pPr>
            <w:r w:rsidRPr="00B22912">
              <w:rPr>
                <w:lang w:val="en-GB" w:eastAsia="en-GB"/>
              </w:rPr>
              <w:t>Interest Receivable</w:t>
            </w:r>
          </w:p>
        </w:tc>
        <w:tc>
          <w:tcPr>
            <w:tcW w:w="1854" w:type="dxa"/>
            <w:shd w:val="clear" w:color="auto" w:fill="auto"/>
            <w:vAlign w:val="bottom"/>
          </w:tcPr>
          <w:p w14:paraId="0F9786F8"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(1)</w:t>
            </w:r>
          </w:p>
        </w:tc>
        <w:tc>
          <w:tcPr>
            <w:tcW w:w="1854" w:type="dxa"/>
            <w:shd w:val="clear" w:color="auto" w:fill="auto"/>
            <w:vAlign w:val="bottom"/>
          </w:tcPr>
          <w:p w14:paraId="432191CA"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(128)</w:t>
            </w:r>
          </w:p>
        </w:tc>
      </w:tr>
      <w:tr w:rsidR="004F58E4" w:rsidRPr="004F58E4" w14:paraId="0E4D1468" w14:textId="77777777" w:rsidTr="00B22912">
        <w:tblPrEx>
          <w:tblCellMar>
            <w:top w:w="0" w:type="dxa"/>
            <w:bottom w:w="0" w:type="dxa"/>
          </w:tblCellMar>
        </w:tblPrEx>
        <w:tc>
          <w:tcPr>
            <w:tcW w:w="5148" w:type="dxa"/>
            <w:shd w:val="clear" w:color="auto" w:fill="auto"/>
            <w:vAlign w:val="bottom"/>
          </w:tcPr>
          <w:p w14:paraId="0BF8416F" w14:textId="77777777" w:rsidR="004F58E4" w:rsidRPr="00B22912" w:rsidRDefault="004F58E4" w:rsidP="004F58E4">
            <w:pPr>
              <w:pStyle w:val="TableRowHead"/>
              <w:rPr>
                <w:lang w:val="en-GB" w:eastAsia="en-GB"/>
              </w:rPr>
            </w:pPr>
            <w:r w:rsidRPr="00B22912">
              <w:rPr>
                <w:lang w:val="en-GB" w:eastAsia="en-GB"/>
              </w:rPr>
              <w:t xml:space="preserve">Movement on Capital Account </w:t>
            </w:r>
          </w:p>
        </w:tc>
        <w:tc>
          <w:tcPr>
            <w:tcW w:w="1854" w:type="dxa"/>
            <w:shd w:val="clear" w:color="auto" w:fill="auto"/>
            <w:vAlign w:val="bottom"/>
          </w:tcPr>
          <w:p w14:paraId="4DF30648"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(93,251)</w:t>
            </w:r>
          </w:p>
        </w:tc>
        <w:tc>
          <w:tcPr>
            <w:tcW w:w="1854" w:type="dxa"/>
            <w:shd w:val="clear" w:color="auto" w:fill="auto"/>
            <w:vAlign w:val="bottom"/>
          </w:tcPr>
          <w:p w14:paraId="7F44D284"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(110,351)</w:t>
            </w:r>
          </w:p>
        </w:tc>
      </w:tr>
      <w:tr w:rsidR="004F58E4" w:rsidRPr="004F58E4" w14:paraId="32B3C6A1" w14:textId="77777777" w:rsidTr="00B22912">
        <w:tblPrEx>
          <w:tblCellMar>
            <w:top w:w="0" w:type="dxa"/>
            <w:bottom w:w="0" w:type="dxa"/>
          </w:tblCellMar>
        </w:tblPrEx>
        <w:tc>
          <w:tcPr>
            <w:tcW w:w="5148" w:type="dxa"/>
            <w:shd w:val="clear" w:color="auto" w:fill="auto"/>
            <w:vAlign w:val="bottom"/>
          </w:tcPr>
          <w:p w14:paraId="3E149666" w14:textId="77777777" w:rsidR="004F58E4" w:rsidRPr="00B22912" w:rsidRDefault="004F58E4" w:rsidP="004F58E4">
            <w:pPr>
              <w:pStyle w:val="TableRowHead"/>
              <w:rPr>
                <w:lang w:val="en-GB" w:eastAsia="en-GB"/>
              </w:rPr>
            </w:pPr>
            <w:r w:rsidRPr="00B22912">
              <w:rPr>
                <w:lang w:val="en-GB" w:eastAsia="en-GB"/>
              </w:rPr>
              <w:t xml:space="preserve">Adjustment for </w:t>
            </w:r>
            <w:proofErr w:type="gramStart"/>
            <w:r w:rsidRPr="00B22912">
              <w:rPr>
                <w:lang w:val="en-GB" w:eastAsia="en-GB"/>
              </w:rPr>
              <w:t>non cash</w:t>
            </w:r>
            <w:proofErr w:type="gramEnd"/>
            <w:r w:rsidRPr="00B22912">
              <w:rPr>
                <w:lang w:val="en-GB" w:eastAsia="en-GB"/>
              </w:rPr>
              <w:t xml:space="preserve"> items</w:t>
            </w:r>
          </w:p>
        </w:tc>
        <w:tc>
          <w:tcPr>
            <w:tcW w:w="1854" w:type="dxa"/>
            <w:shd w:val="clear" w:color="auto" w:fill="auto"/>
            <w:vAlign w:val="bottom"/>
          </w:tcPr>
          <w:p w14:paraId="36DA9EDF" w14:textId="77777777" w:rsidR="004F58E4" w:rsidRPr="00B22912" w:rsidRDefault="004F58E4" w:rsidP="00AF114C">
            <w:pPr>
              <w:spacing w:after="0" w:line="240" w:lineRule="auto"/>
              <w:jc w:val="right"/>
              <w:rPr>
                <w:rFonts w:cs="Arial"/>
                <w:lang w:val="en-GB" w:eastAsia="en-GB"/>
              </w:rPr>
            </w:pPr>
          </w:p>
        </w:tc>
        <w:tc>
          <w:tcPr>
            <w:tcW w:w="1854" w:type="dxa"/>
            <w:shd w:val="clear" w:color="auto" w:fill="auto"/>
            <w:vAlign w:val="bottom"/>
          </w:tcPr>
          <w:p w14:paraId="7C0DA65A" w14:textId="77777777" w:rsidR="004F58E4" w:rsidRPr="00B22912" w:rsidRDefault="004F58E4" w:rsidP="00AF114C">
            <w:pPr>
              <w:spacing w:after="0" w:line="240" w:lineRule="auto"/>
              <w:jc w:val="right"/>
              <w:rPr>
                <w:rFonts w:cs="Arial"/>
                <w:lang w:val="en-GB" w:eastAsia="en-GB"/>
              </w:rPr>
            </w:pPr>
          </w:p>
        </w:tc>
      </w:tr>
      <w:tr w:rsidR="004F58E4" w:rsidRPr="004F58E4" w14:paraId="48482AD8" w14:textId="77777777" w:rsidTr="00B22912">
        <w:tblPrEx>
          <w:tblCellMar>
            <w:top w:w="0" w:type="dxa"/>
            <w:bottom w:w="0" w:type="dxa"/>
          </w:tblCellMar>
        </w:tblPrEx>
        <w:tc>
          <w:tcPr>
            <w:tcW w:w="5148" w:type="dxa"/>
            <w:shd w:val="clear" w:color="auto" w:fill="auto"/>
            <w:vAlign w:val="bottom"/>
          </w:tcPr>
          <w:p w14:paraId="35D7D2C0" w14:textId="77777777" w:rsidR="004F58E4" w:rsidRPr="00B22912" w:rsidRDefault="004F58E4" w:rsidP="004F58E4">
            <w:pPr>
              <w:pStyle w:val="TableRowHead"/>
              <w:rPr>
                <w:lang w:val="en-GB" w:eastAsia="en-GB"/>
              </w:rPr>
            </w:pPr>
            <w:r w:rsidRPr="00B22912">
              <w:rPr>
                <w:lang w:val="en-GB" w:eastAsia="en-GB"/>
              </w:rPr>
              <w:t>Depreciation</w:t>
            </w:r>
          </w:p>
        </w:tc>
        <w:tc>
          <w:tcPr>
            <w:tcW w:w="1854" w:type="dxa"/>
            <w:shd w:val="clear" w:color="auto" w:fill="auto"/>
            <w:vAlign w:val="bottom"/>
          </w:tcPr>
          <w:p w14:paraId="33BCD56F"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96,980 </w:t>
            </w:r>
          </w:p>
        </w:tc>
        <w:tc>
          <w:tcPr>
            <w:tcW w:w="1854" w:type="dxa"/>
            <w:shd w:val="clear" w:color="auto" w:fill="auto"/>
            <w:vAlign w:val="bottom"/>
          </w:tcPr>
          <w:p w14:paraId="6E54DA50"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112,176 </w:t>
            </w:r>
          </w:p>
        </w:tc>
      </w:tr>
      <w:tr w:rsidR="004F58E4" w:rsidRPr="004F58E4" w14:paraId="11B59E72" w14:textId="77777777" w:rsidTr="00B22912">
        <w:tblPrEx>
          <w:tblCellMar>
            <w:top w:w="0" w:type="dxa"/>
            <w:bottom w:w="0" w:type="dxa"/>
          </w:tblCellMar>
        </w:tblPrEx>
        <w:tc>
          <w:tcPr>
            <w:tcW w:w="5148" w:type="dxa"/>
            <w:shd w:val="clear" w:color="auto" w:fill="auto"/>
            <w:vAlign w:val="bottom"/>
          </w:tcPr>
          <w:p w14:paraId="13A07D02" w14:textId="77777777" w:rsidR="004F58E4" w:rsidRPr="00B22912" w:rsidRDefault="004F58E4" w:rsidP="004F58E4">
            <w:pPr>
              <w:pStyle w:val="TableRowHead"/>
              <w:rPr>
                <w:lang w:val="en-GB" w:eastAsia="en-GB"/>
              </w:rPr>
            </w:pPr>
            <w:r w:rsidRPr="00B22912">
              <w:rPr>
                <w:lang w:val="en-GB" w:eastAsia="en-GB"/>
              </w:rPr>
              <w:t xml:space="preserve">Change in Debtors </w:t>
            </w:r>
          </w:p>
        </w:tc>
        <w:tc>
          <w:tcPr>
            <w:tcW w:w="1854" w:type="dxa"/>
            <w:shd w:val="clear" w:color="auto" w:fill="auto"/>
            <w:vAlign w:val="bottom"/>
          </w:tcPr>
          <w:p w14:paraId="0EE875B8"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(2,575)</w:t>
            </w:r>
          </w:p>
        </w:tc>
        <w:tc>
          <w:tcPr>
            <w:tcW w:w="1854" w:type="dxa"/>
            <w:shd w:val="clear" w:color="auto" w:fill="auto"/>
            <w:vAlign w:val="bottom"/>
          </w:tcPr>
          <w:p w14:paraId="06F8CBF8"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173,598 </w:t>
            </w:r>
          </w:p>
        </w:tc>
      </w:tr>
      <w:tr w:rsidR="004F58E4" w:rsidRPr="004F58E4" w14:paraId="5892A7DC" w14:textId="77777777" w:rsidTr="00B22912">
        <w:tblPrEx>
          <w:tblCellMar>
            <w:top w:w="0" w:type="dxa"/>
            <w:bottom w:w="0" w:type="dxa"/>
          </w:tblCellMar>
        </w:tblPrEx>
        <w:tc>
          <w:tcPr>
            <w:tcW w:w="5148" w:type="dxa"/>
            <w:shd w:val="clear" w:color="auto" w:fill="auto"/>
            <w:vAlign w:val="bottom"/>
          </w:tcPr>
          <w:p w14:paraId="7F8C3B79" w14:textId="77777777" w:rsidR="004F58E4" w:rsidRPr="00B22912" w:rsidRDefault="004F58E4" w:rsidP="004F58E4">
            <w:pPr>
              <w:pStyle w:val="TableRowHead"/>
              <w:rPr>
                <w:lang w:val="en-GB" w:eastAsia="en-GB"/>
              </w:rPr>
            </w:pPr>
            <w:r w:rsidRPr="00B22912">
              <w:rPr>
                <w:lang w:val="en-GB" w:eastAsia="en-GB"/>
              </w:rPr>
              <w:t xml:space="preserve">Change in Creditors </w:t>
            </w:r>
          </w:p>
        </w:tc>
        <w:tc>
          <w:tcPr>
            <w:tcW w:w="1854" w:type="dxa"/>
            <w:shd w:val="clear" w:color="auto" w:fill="auto"/>
            <w:vAlign w:val="bottom"/>
          </w:tcPr>
          <w:p w14:paraId="41D29CC6"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(143,200)</w:t>
            </w:r>
          </w:p>
        </w:tc>
        <w:tc>
          <w:tcPr>
            <w:tcW w:w="1854" w:type="dxa"/>
            <w:shd w:val="clear" w:color="auto" w:fill="auto"/>
            <w:vAlign w:val="bottom"/>
          </w:tcPr>
          <w:p w14:paraId="47D52FAC"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(233,287)</w:t>
            </w:r>
          </w:p>
        </w:tc>
      </w:tr>
      <w:tr w:rsidR="004F58E4" w:rsidRPr="004F58E4" w14:paraId="5BFE6300" w14:textId="77777777" w:rsidTr="00B22912">
        <w:tblPrEx>
          <w:tblCellMar>
            <w:top w:w="0" w:type="dxa"/>
            <w:bottom w:w="0" w:type="dxa"/>
          </w:tblCellMar>
        </w:tblPrEx>
        <w:tc>
          <w:tcPr>
            <w:tcW w:w="5148" w:type="dxa"/>
            <w:shd w:val="clear" w:color="auto" w:fill="auto"/>
            <w:vAlign w:val="bottom"/>
          </w:tcPr>
          <w:p w14:paraId="0D3E7C9D" w14:textId="77777777" w:rsidR="004F58E4" w:rsidRPr="00B22912" w:rsidRDefault="004F58E4" w:rsidP="004F58E4">
            <w:pPr>
              <w:pStyle w:val="TableRowHead"/>
              <w:rPr>
                <w:lang w:val="en-GB" w:eastAsia="en-GB"/>
              </w:rPr>
            </w:pPr>
            <w:r w:rsidRPr="00B22912">
              <w:rPr>
                <w:lang w:val="en-GB" w:eastAsia="en-GB"/>
              </w:rPr>
              <w:t>Cashflow from Operating Activities</w:t>
            </w:r>
          </w:p>
        </w:tc>
        <w:tc>
          <w:tcPr>
            <w:tcW w:w="1854" w:type="dxa"/>
            <w:shd w:val="clear" w:color="auto" w:fill="auto"/>
            <w:vAlign w:val="bottom"/>
          </w:tcPr>
          <w:p w14:paraId="313F56C6"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(27,036)</w:t>
            </w:r>
          </w:p>
        </w:tc>
        <w:tc>
          <w:tcPr>
            <w:tcW w:w="1854" w:type="dxa"/>
            <w:shd w:val="clear" w:color="auto" w:fill="auto"/>
            <w:vAlign w:val="bottom"/>
          </w:tcPr>
          <w:p w14:paraId="65F0A532"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(88,960)</w:t>
            </w:r>
          </w:p>
        </w:tc>
      </w:tr>
      <w:tr w:rsidR="004F58E4" w:rsidRPr="004F58E4" w14:paraId="429223B8" w14:textId="77777777" w:rsidTr="00B22912">
        <w:tblPrEx>
          <w:tblCellMar>
            <w:top w:w="0" w:type="dxa"/>
            <w:bottom w:w="0" w:type="dxa"/>
          </w:tblCellMar>
        </w:tblPrEx>
        <w:tc>
          <w:tcPr>
            <w:tcW w:w="8856" w:type="dxa"/>
            <w:gridSpan w:val="3"/>
            <w:shd w:val="clear" w:color="auto" w:fill="auto"/>
            <w:vAlign w:val="bottom"/>
          </w:tcPr>
          <w:p w14:paraId="4928F029" w14:textId="77777777" w:rsidR="004F58E4" w:rsidRPr="00B22912" w:rsidRDefault="004F58E4" w:rsidP="004F58E4">
            <w:pPr>
              <w:pStyle w:val="TableHead"/>
              <w:jc w:val="center"/>
            </w:pPr>
            <w:r w:rsidRPr="00B22912">
              <w:rPr>
                <w:lang w:val="en-GB" w:eastAsia="en-GB"/>
              </w:rPr>
              <w:t xml:space="preserve">9(b) Reconciliation </w:t>
            </w:r>
            <w:proofErr w:type="gramStart"/>
            <w:r w:rsidRPr="00B22912">
              <w:rPr>
                <w:lang w:val="en-GB" w:eastAsia="en-GB"/>
              </w:rPr>
              <w:t>Of</w:t>
            </w:r>
            <w:proofErr w:type="gramEnd"/>
            <w:r w:rsidRPr="00B22912">
              <w:rPr>
                <w:lang w:val="en-GB" w:eastAsia="en-GB"/>
              </w:rPr>
              <w:t xml:space="preserve"> Cashflow To Movement In Net Funds</w:t>
            </w:r>
          </w:p>
        </w:tc>
      </w:tr>
      <w:tr w:rsidR="004F58E4" w:rsidRPr="004F58E4" w14:paraId="51A42EAE" w14:textId="77777777" w:rsidTr="00B22912">
        <w:tblPrEx>
          <w:tblCellMar>
            <w:top w:w="0" w:type="dxa"/>
            <w:bottom w:w="0" w:type="dxa"/>
          </w:tblCellMar>
        </w:tblPrEx>
        <w:tc>
          <w:tcPr>
            <w:tcW w:w="5148" w:type="dxa"/>
            <w:shd w:val="clear" w:color="auto" w:fill="auto"/>
            <w:vAlign w:val="bottom"/>
          </w:tcPr>
          <w:p w14:paraId="7B7126FA" w14:textId="77777777" w:rsidR="004F58E4" w:rsidRPr="00B22912" w:rsidRDefault="004F58E4" w:rsidP="004F58E4">
            <w:pPr>
              <w:pStyle w:val="TableRowHead"/>
              <w:rPr>
                <w:lang w:val="en-GB" w:eastAsia="en-GB"/>
              </w:rPr>
            </w:pPr>
            <w:r w:rsidRPr="00B22912">
              <w:rPr>
                <w:lang w:val="en-GB" w:eastAsia="en-GB"/>
              </w:rPr>
              <w:t xml:space="preserve">Net Funds </w:t>
            </w:r>
            <w:proofErr w:type="gramStart"/>
            <w:r w:rsidRPr="00B22912">
              <w:rPr>
                <w:lang w:val="en-GB" w:eastAsia="en-GB"/>
              </w:rPr>
              <w:t>at</w:t>
            </w:r>
            <w:proofErr w:type="gramEnd"/>
            <w:r w:rsidRPr="00B22912">
              <w:rPr>
                <w:lang w:val="en-GB" w:eastAsia="en-GB"/>
              </w:rPr>
              <w:t xml:space="preserve"> 31 December 2009</w:t>
            </w:r>
          </w:p>
        </w:tc>
        <w:tc>
          <w:tcPr>
            <w:tcW w:w="1854" w:type="dxa"/>
            <w:shd w:val="clear" w:color="auto" w:fill="auto"/>
            <w:vAlign w:val="bottom"/>
          </w:tcPr>
          <w:p w14:paraId="3EF13C8E"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31,065 </w:t>
            </w:r>
          </w:p>
        </w:tc>
        <w:tc>
          <w:tcPr>
            <w:tcW w:w="1854" w:type="dxa"/>
            <w:shd w:val="clear" w:color="auto" w:fill="auto"/>
            <w:vAlign w:val="bottom"/>
          </w:tcPr>
          <w:p w14:paraId="47ACF79D"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121,722 </w:t>
            </w:r>
          </w:p>
        </w:tc>
      </w:tr>
      <w:tr w:rsidR="004F58E4" w:rsidRPr="004F58E4" w14:paraId="3A395A31" w14:textId="77777777" w:rsidTr="00B22912">
        <w:tblPrEx>
          <w:tblCellMar>
            <w:top w:w="0" w:type="dxa"/>
            <w:bottom w:w="0" w:type="dxa"/>
          </w:tblCellMar>
        </w:tblPrEx>
        <w:tc>
          <w:tcPr>
            <w:tcW w:w="5148" w:type="dxa"/>
            <w:shd w:val="clear" w:color="auto" w:fill="auto"/>
            <w:vAlign w:val="bottom"/>
          </w:tcPr>
          <w:p w14:paraId="229FB197" w14:textId="77777777" w:rsidR="004F58E4" w:rsidRPr="00B22912" w:rsidRDefault="004F58E4" w:rsidP="004F58E4">
            <w:pPr>
              <w:pStyle w:val="TableRowHead"/>
              <w:rPr>
                <w:lang w:val="en-GB" w:eastAsia="en-GB"/>
              </w:rPr>
            </w:pPr>
            <w:r w:rsidRPr="00B22912">
              <w:rPr>
                <w:lang w:val="en-GB" w:eastAsia="en-GB"/>
              </w:rPr>
              <w:t>Decrease in Cash</w:t>
            </w:r>
          </w:p>
        </w:tc>
        <w:tc>
          <w:tcPr>
            <w:tcW w:w="1854" w:type="dxa"/>
            <w:shd w:val="clear" w:color="auto" w:fill="auto"/>
            <w:vAlign w:val="bottom"/>
          </w:tcPr>
          <w:p w14:paraId="636CA24E"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(30,764)</w:t>
            </w:r>
          </w:p>
        </w:tc>
        <w:tc>
          <w:tcPr>
            <w:tcW w:w="1854" w:type="dxa"/>
            <w:shd w:val="clear" w:color="auto" w:fill="auto"/>
            <w:vAlign w:val="bottom"/>
          </w:tcPr>
          <w:p w14:paraId="599B69DE"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(90,657)</w:t>
            </w:r>
          </w:p>
        </w:tc>
      </w:tr>
      <w:tr w:rsidR="004F58E4" w:rsidRPr="004F58E4" w14:paraId="71BA9B8D" w14:textId="77777777" w:rsidTr="00B22912">
        <w:tblPrEx>
          <w:tblCellMar>
            <w:top w:w="0" w:type="dxa"/>
            <w:bottom w:w="0" w:type="dxa"/>
          </w:tblCellMar>
        </w:tblPrEx>
        <w:tc>
          <w:tcPr>
            <w:tcW w:w="5148" w:type="dxa"/>
            <w:shd w:val="clear" w:color="auto" w:fill="auto"/>
            <w:vAlign w:val="bottom"/>
          </w:tcPr>
          <w:p w14:paraId="4545DCE5" w14:textId="77777777" w:rsidR="004F58E4" w:rsidRPr="00B22912" w:rsidRDefault="004F58E4" w:rsidP="004F58E4">
            <w:pPr>
              <w:pStyle w:val="TableRowHead"/>
              <w:rPr>
                <w:lang w:val="en-GB" w:eastAsia="en-GB"/>
              </w:rPr>
            </w:pPr>
            <w:r w:rsidRPr="00B22912">
              <w:rPr>
                <w:lang w:val="en-GB" w:eastAsia="en-GB"/>
              </w:rPr>
              <w:t xml:space="preserve">Net Funds </w:t>
            </w:r>
            <w:proofErr w:type="gramStart"/>
            <w:r w:rsidRPr="00B22912">
              <w:rPr>
                <w:lang w:val="en-GB" w:eastAsia="en-GB"/>
              </w:rPr>
              <w:t>at</w:t>
            </w:r>
            <w:proofErr w:type="gramEnd"/>
            <w:r w:rsidRPr="00B22912">
              <w:rPr>
                <w:lang w:val="en-GB" w:eastAsia="en-GB"/>
              </w:rPr>
              <w:t xml:space="preserve"> 31 December 2010</w:t>
            </w:r>
          </w:p>
        </w:tc>
        <w:tc>
          <w:tcPr>
            <w:tcW w:w="1854" w:type="dxa"/>
            <w:shd w:val="clear" w:color="auto" w:fill="auto"/>
            <w:vAlign w:val="bottom"/>
          </w:tcPr>
          <w:p w14:paraId="243827E4"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301 </w:t>
            </w:r>
          </w:p>
        </w:tc>
        <w:tc>
          <w:tcPr>
            <w:tcW w:w="1854" w:type="dxa"/>
            <w:shd w:val="clear" w:color="auto" w:fill="auto"/>
            <w:vAlign w:val="bottom"/>
          </w:tcPr>
          <w:p w14:paraId="195F227C" w14:textId="77777777" w:rsidR="004F58E4" w:rsidRPr="00B22912" w:rsidRDefault="004F58E4" w:rsidP="00AF114C">
            <w:pPr>
              <w:spacing w:after="0" w:line="240" w:lineRule="auto"/>
              <w:jc w:val="right"/>
              <w:rPr>
                <w:rFonts w:cs="Arial"/>
                <w:lang w:val="en-GB" w:eastAsia="en-GB"/>
              </w:rPr>
            </w:pPr>
            <w:r w:rsidRPr="00B22912">
              <w:rPr>
                <w:rFonts w:cs="Arial"/>
                <w:lang w:val="en-GB" w:eastAsia="en-GB"/>
              </w:rPr>
              <w:t xml:space="preserve">31,065 </w:t>
            </w:r>
          </w:p>
        </w:tc>
      </w:tr>
    </w:tbl>
    <w:p w14:paraId="1EEE6C62" w14:textId="77777777" w:rsidR="00B22912" w:rsidRPr="00B22912" w:rsidRDefault="00B22912" w:rsidP="00B22912">
      <w:pPr>
        <w:pStyle w:val="Heading3"/>
        <w:rPr>
          <w:lang w:val="en-GB" w:eastAsia="en-GB"/>
        </w:rPr>
      </w:pPr>
      <w:r w:rsidRPr="00B22912">
        <w:rPr>
          <w:lang w:val="en-GB" w:eastAsia="en-GB"/>
        </w:rPr>
        <w:t>10. Superannuation</w:t>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3BC09E54" w14:textId="77777777" w:rsidR="00B22912" w:rsidRDefault="00B22912" w:rsidP="00B22912">
      <w:pPr>
        <w:rPr>
          <w:lang w:val="en-GB" w:eastAsia="en-GB"/>
        </w:rPr>
      </w:pPr>
      <w:r w:rsidRPr="00B22912">
        <w:rPr>
          <w:lang w:val="en-GB" w:eastAsia="en-GB"/>
        </w:rPr>
        <w:t>Under the National Disability Authority Act 1999, the Authority with the approval of the Minister for Justice Equality &amp; Law Reform and the consent of the Minister for Finance, shall make a scheme or schemes for the granting of superannuation benefits to or in respect of the members of staff, including the Director of the Authority.</w:t>
      </w:r>
    </w:p>
    <w:p w14:paraId="6786D53B" w14:textId="77777777" w:rsidR="00B22912" w:rsidRDefault="00B22912" w:rsidP="00B22912">
      <w:pPr>
        <w:rPr>
          <w:lang w:val="en-GB" w:eastAsia="en-GB"/>
        </w:rPr>
      </w:pPr>
      <w:r w:rsidRPr="00B22912">
        <w:rPr>
          <w:lang w:val="en-GB" w:eastAsia="en-GB"/>
        </w:rPr>
        <w:t>A Model Scheme has been drafted and is awaiting approval from the Department of Justice, Equality and Law Reform and the Department of Finance.</w:t>
      </w:r>
      <w:r>
        <w:rPr>
          <w:lang w:val="en-GB" w:eastAsia="en-GB"/>
        </w:rPr>
        <w:t xml:space="preserve"> </w:t>
      </w:r>
    </w:p>
    <w:p w14:paraId="3AAF14AC" w14:textId="77777777" w:rsidR="00B22912" w:rsidRDefault="00B22912" w:rsidP="00B22912">
      <w:pPr>
        <w:rPr>
          <w:lang w:val="en-GB" w:eastAsia="en-GB"/>
        </w:rPr>
      </w:pPr>
      <w:r w:rsidRPr="00B22912">
        <w:rPr>
          <w:lang w:val="en-GB" w:eastAsia="en-GB"/>
        </w:rPr>
        <w:t xml:space="preserve">The National Disability Authority operates unfunded defined benefit </w:t>
      </w:r>
      <w:r w:rsidR="0013007A">
        <w:rPr>
          <w:lang w:val="en-GB" w:eastAsia="en-GB"/>
        </w:rPr>
        <w:t xml:space="preserve">of </w:t>
      </w:r>
      <w:r w:rsidRPr="00B22912">
        <w:rPr>
          <w:lang w:val="en-GB" w:eastAsia="en-GB"/>
        </w:rPr>
        <w:t xml:space="preserve">superannuation schemes for staff. Superannuation entitlements arising under the schemes are paid out of current income and are charged to the Income and Expenditure Account, net of employee superannuation contributions, in the year in which they become payable. </w:t>
      </w:r>
    </w:p>
    <w:p w14:paraId="69B8D4F6" w14:textId="77777777" w:rsidR="00B22912" w:rsidRPr="00B22912" w:rsidRDefault="00B22912" w:rsidP="00B22912">
      <w:pPr>
        <w:rPr>
          <w:lang w:val="en-GB" w:eastAsia="en-GB"/>
        </w:rPr>
      </w:pPr>
      <w:r w:rsidRPr="00B22912">
        <w:rPr>
          <w:lang w:val="en-GB" w:eastAsia="en-GB"/>
        </w:rPr>
        <w:lastRenderedPageBreak/>
        <w:t xml:space="preserve">At present staff who were formerly staff of the National Rehabilitation Board (NRB) who retire receive Superannuation benefits under the terms of the Local Government Superannuation Scheme. Staff who have been employed by NDA </w:t>
      </w:r>
      <w:proofErr w:type="gramStart"/>
      <w:r w:rsidRPr="00B22912">
        <w:rPr>
          <w:lang w:val="en-GB" w:eastAsia="en-GB"/>
        </w:rPr>
        <w:t>subsequent to</w:t>
      </w:r>
      <w:proofErr w:type="gramEnd"/>
      <w:r w:rsidRPr="00B22912">
        <w:rPr>
          <w:lang w:val="en-GB" w:eastAsia="en-GB"/>
        </w:rPr>
        <w:t xml:space="preserve"> its establishment and who retire receive benefits in line with the terms of the Nominated Health Agencies Superannuation Scheme.</w:t>
      </w:r>
    </w:p>
    <w:p w14:paraId="72CED055" w14:textId="77777777" w:rsidR="00B22912" w:rsidRDefault="00B22912" w:rsidP="00B22912">
      <w:pPr>
        <w:pStyle w:val="Heading4"/>
        <w:rPr>
          <w:lang w:val="en-GB" w:eastAsia="en-GB"/>
        </w:rPr>
      </w:pPr>
      <w:r w:rsidRPr="00B22912">
        <w:rPr>
          <w:lang w:val="en-GB" w:eastAsia="en-GB"/>
        </w:rPr>
        <w:t>(a) Pension Scheme</w:t>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031B4D76" w14:textId="77777777" w:rsidR="00B22912" w:rsidRDefault="00B22912" w:rsidP="00B22912">
      <w:pPr>
        <w:rPr>
          <w:lang w:val="en-GB" w:eastAsia="en-GB"/>
        </w:rPr>
      </w:pPr>
      <w:r w:rsidRPr="00B22912">
        <w:rPr>
          <w:lang w:val="en-GB" w:eastAsia="en-GB"/>
        </w:rPr>
        <w:t xml:space="preserve">The results set out below are based on an actuarial valuation of the liabilities in respect of the serving, retired and deceased staff of the NDA as </w:t>
      </w:r>
      <w:proofErr w:type="gramStart"/>
      <w:r w:rsidRPr="00B22912">
        <w:rPr>
          <w:lang w:val="en-GB" w:eastAsia="en-GB"/>
        </w:rPr>
        <w:t>at</w:t>
      </w:r>
      <w:proofErr w:type="gramEnd"/>
      <w:r w:rsidRPr="00B22912">
        <w:rPr>
          <w:lang w:val="en-GB" w:eastAsia="en-GB"/>
        </w:rPr>
        <w:t xml:space="preserve"> 31 December 2010. This valuation was carried out by a qualified independent actuary for the purpose of the accounting standard, Financial Reporting Standard No.17- Retirement Benefits (FRS 17)</w:t>
      </w:r>
      <w:r>
        <w:rPr>
          <w:lang w:val="en-GB" w:eastAsia="en-GB"/>
        </w:rPr>
        <w:t>.</w:t>
      </w:r>
    </w:p>
    <w:p w14:paraId="49774FA7" w14:textId="77777777" w:rsidR="00B22912" w:rsidRDefault="00B22912" w:rsidP="00B22912">
      <w:pPr>
        <w:rPr>
          <w:lang w:val="en-GB" w:eastAsia="en-GB"/>
        </w:rPr>
      </w:pPr>
      <w:r w:rsidRPr="00B22912">
        <w:rPr>
          <w:lang w:val="en-GB" w:eastAsia="en-GB"/>
        </w:rPr>
        <w:t>This valuation was carried out using the projected unit method.</w:t>
      </w:r>
      <w:r>
        <w:rPr>
          <w:lang w:val="en-GB" w:eastAsia="en-GB"/>
        </w:rPr>
        <w:t xml:space="preserve"> </w:t>
      </w:r>
      <w:r w:rsidRPr="00B22912">
        <w:rPr>
          <w:lang w:val="en-GB" w:eastAsia="en-GB"/>
        </w:rPr>
        <w:t>The financial assumptions used to calculate scheme liabilities were as follows:</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708"/>
        <w:gridCol w:w="1008"/>
        <w:gridCol w:w="1008"/>
        <w:gridCol w:w="1008"/>
        <w:gridCol w:w="1008"/>
        <w:gridCol w:w="1008"/>
      </w:tblGrid>
      <w:tr w:rsidR="001F30C2" w:rsidRPr="001F30C2" w14:paraId="75E208CF" w14:textId="77777777" w:rsidTr="001F30C2">
        <w:tblPrEx>
          <w:tblCellMar>
            <w:top w:w="0" w:type="dxa"/>
            <w:bottom w:w="0" w:type="dxa"/>
          </w:tblCellMar>
        </w:tblPrEx>
        <w:trPr>
          <w:tblHeader/>
        </w:trPr>
        <w:tc>
          <w:tcPr>
            <w:tcW w:w="3708" w:type="dxa"/>
            <w:shd w:val="clear" w:color="auto" w:fill="auto"/>
            <w:vAlign w:val="center"/>
          </w:tcPr>
          <w:p w14:paraId="0137A4D2" w14:textId="77777777" w:rsidR="001F30C2" w:rsidRPr="001F30C2" w:rsidRDefault="001F30C2" w:rsidP="001F30C2">
            <w:pPr>
              <w:pStyle w:val="TableHead"/>
              <w:jc w:val="right"/>
              <w:rPr>
                <w:lang w:val="en-GB" w:eastAsia="en-GB"/>
              </w:rPr>
            </w:pPr>
          </w:p>
        </w:tc>
        <w:tc>
          <w:tcPr>
            <w:tcW w:w="1008" w:type="dxa"/>
            <w:shd w:val="clear" w:color="auto" w:fill="auto"/>
            <w:vAlign w:val="center"/>
          </w:tcPr>
          <w:p w14:paraId="4EBACD07" w14:textId="77777777" w:rsidR="001F30C2" w:rsidRPr="00B22912" w:rsidRDefault="001F30C2" w:rsidP="001F30C2">
            <w:pPr>
              <w:pStyle w:val="TableHead"/>
              <w:spacing w:line="240" w:lineRule="auto"/>
              <w:jc w:val="right"/>
            </w:pPr>
            <w:r w:rsidRPr="00B22912">
              <w:t>2010</w:t>
            </w:r>
          </w:p>
        </w:tc>
        <w:tc>
          <w:tcPr>
            <w:tcW w:w="1008" w:type="dxa"/>
            <w:shd w:val="clear" w:color="auto" w:fill="auto"/>
            <w:vAlign w:val="center"/>
          </w:tcPr>
          <w:p w14:paraId="6F585CFC" w14:textId="77777777" w:rsidR="001F30C2" w:rsidRPr="00B22912" w:rsidRDefault="001F30C2" w:rsidP="001F30C2">
            <w:pPr>
              <w:pStyle w:val="TableHead"/>
              <w:spacing w:line="240" w:lineRule="auto"/>
              <w:jc w:val="right"/>
            </w:pPr>
            <w:r w:rsidRPr="00B22912">
              <w:t>2009</w:t>
            </w:r>
          </w:p>
        </w:tc>
        <w:tc>
          <w:tcPr>
            <w:tcW w:w="1008" w:type="dxa"/>
            <w:shd w:val="clear" w:color="auto" w:fill="auto"/>
            <w:vAlign w:val="center"/>
          </w:tcPr>
          <w:p w14:paraId="2BF413E1" w14:textId="77777777" w:rsidR="001F30C2" w:rsidRPr="001F30C2" w:rsidRDefault="001F30C2" w:rsidP="001F30C2">
            <w:pPr>
              <w:pStyle w:val="TableHead"/>
              <w:jc w:val="right"/>
              <w:rPr>
                <w:lang w:val="en-GB" w:eastAsia="en-GB"/>
              </w:rPr>
            </w:pPr>
            <w:r w:rsidRPr="001F30C2">
              <w:rPr>
                <w:lang w:val="en-GB" w:eastAsia="en-GB"/>
              </w:rPr>
              <w:t>2008</w:t>
            </w:r>
          </w:p>
        </w:tc>
        <w:tc>
          <w:tcPr>
            <w:tcW w:w="1008" w:type="dxa"/>
            <w:shd w:val="clear" w:color="auto" w:fill="auto"/>
            <w:vAlign w:val="center"/>
          </w:tcPr>
          <w:p w14:paraId="4DAB5A9B" w14:textId="77777777" w:rsidR="001F30C2" w:rsidRPr="001F30C2" w:rsidRDefault="001F30C2" w:rsidP="001F30C2">
            <w:pPr>
              <w:pStyle w:val="TableHead"/>
              <w:jc w:val="right"/>
              <w:rPr>
                <w:lang w:val="en-GB" w:eastAsia="en-GB"/>
              </w:rPr>
            </w:pPr>
            <w:r w:rsidRPr="001F30C2">
              <w:rPr>
                <w:lang w:val="en-GB" w:eastAsia="en-GB"/>
              </w:rPr>
              <w:t>2007</w:t>
            </w:r>
          </w:p>
        </w:tc>
        <w:tc>
          <w:tcPr>
            <w:tcW w:w="1008" w:type="dxa"/>
            <w:shd w:val="clear" w:color="auto" w:fill="auto"/>
            <w:vAlign w:val="center"/>
          </w:tcPr>
          <w:p w14:paraId="41BFCB2B" w14:textId="77777777" w:rsidR="001F30C2" w:rsidRPr="001F30C2" w:rsidRDefault="001F30C2" w:rsidP="001F30C2">
            <w:pPr>
              <w:pStyle w:val="TableHead"/>
              <w:jc w:val="right"/>
              <w:rPr>
                <w:lang w:val="en-GB" w:eastAsia="en-GB"/>
              </w:rPr>
            </w:pPr>
            <w:r w:rsidRPr="001F30C2">
              <w:rPr>
                <w:lang w:val="en-GB" w:eastAsia="en-GB"/>
              </w:rPr>
              <w:t>2006</w:t>
            </w:r>
          </w:p>
        </w:tc>
      </w:tr>
      <w:tr w:rsidR="001F30C2" w:rsidRPr="001F30C2" w14:paraId="7AFD6E25" w14:textId="77777777" w:rsidTr="001F30C2">
        <w:tblPrEx>
          <w:tblCellMar>
            <w:top w:w="0" w:type="dxa"/>
            <w:bottom w:w="0" w:type="dxa"/>
          </w:tblCellMar>
        </w:tblPrEx>
        <w:tc>
          <w:tcPr>
            <w:tcW w:w="3708" w:type="dxa"/>
            <w:shd w:val="clear" w:color="auto" w:fill="auto"/>
            <w:vAlign w:val="center"/>
          </w:tcPr>
          <w:p w14:paraId="7B78E562" w14:textId="77777777" w:rsidR="001F30C2" w:rsidRPr="001F30C2" w:rsidRDefault="001F30C2" w:rsidP="001F30C2">
            <w:pPr>
              <w:pStyle w:val="TableRowHead"/>
              <w:rPr>
                <w:lang w:val="en-GB" w:eastAsia="en-GB"/>
              </w:rPr>
            </w:pPr>
            <w:r w:rsidRPr="001F30C2">
              <w:rPr>
                <w:lang w:val="en-GB" w:eastAsia="en-GB"/>
              </w:rPr>
              <w:t xml:space="preserve">Discount Rate                                  </w:t>
            </w:r>
          </w:p>
        </w:tc>
        <w:tc>
          <w:tcPr>
            <w:tcW w:w="1008" w:type="dxa"/>
            <w:shd w:val="clear" w:color="auto" w:fill="auto"/>
            <w:vAlign w:val="center"/>
          </w:tcPr>
          <w:p w14:paraId="6804C7ED"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1A76BB86"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5804B0C9"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46FEF632"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3E37BA93"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5.5%</w:t>
            </w:r>
          </w:p>
        </w:tc>
      </w:tr>
      <w:tr w:rsidR="001F30C2" w:rsidRPr="001F30C2" w14:paraId="5B8BBAAE" w14:textId="77777777" w:rsidTr="001F30C2">
        <w:tblPrEx>
          <w:tblCellMar>
            <w:top w:w="0" w:type="dxa"/>
            <w:bottom w:w="0" w:type="dxa"/>
          </w:tblCellMar>
        </w:tblPrEx>
        <w:tc>
          <w:tcPr>
            <w:tcW w:w="3708" w:type="dxa"/>
            <w:shd w:val="clear" w:color="auto" w:fill="auto"/>
            <w:vAlign w:val="center"/>
          </w:tcPr>
          <w:p w14:paraId="67776BFD" w14:textId="77777777" w:rsidR="001F30C2" w:rsidRPr="001F30C2" w:rsidRDefault="001F30C2" w:rsidP="001F30C2">
            <w:pPr>
              <w:pStyle w:val="TableRowHead"/>
              <w:rPr>
                <w:lang w:val="en-GB" w:eastAsia="en-GB"/>
              </w:rPr>
            </w:pPr>
            <w:r w:rsidRPr="001F30C2">
              <w:rPr>
                <w:lang w:val="en-GB" w:eastAsia="en-GB"/>
              </w:rPr>
              <w:t xml:space="preserve">Salary </w:t>
            </w:r>
            <w:proofErr w:type="gramStart"/>
            <w:r w:rsidRPr="001F30C2">
              <w:rPr>
                <w:lang w:val="en-GB" w:eastAsia="en-GB"/>
              </w:rPr>
              <w:t>increase</w:t>
            </w:r>
            <w:proofErr w:type="gramEnd"/>
            <w:r w:rsidRPr="001F30C2">
              <w:rPr>
                <w:lang w:val="en-GB" w:eastAsia="en-GB"/>
              </w:rPr>
              <w:t xml:space="preserve"> assumption</w:t>
            </w:r>
          </w:p>
        </w:tc>
        <w:tc>
          <w:tcPr>
            <w:tcW w:w="1008" w:type="dxa"/>
            <w:shd w:val="clear" w:color="auto" w:fill="auto"/>
            <w:vAlign w:val="center"/>
          </w:tcPr>
          <w:p w14:paraId="6B76AE23"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43035DC4"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7330F527"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3839C7EA"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1BB72178"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r>
      <w:tr w:rsidR="001F30C2" w:rsidRPr="001F30C2" w14:paraId="6AFC64AB" w14:textId="77777777" w:rsidTr="001F30C2">
        <w:tblPrEx>
          <w:tblCellMar>
            <w:top w:w="0" w:type="dxa"/>
            <w:bottom w:w="0" w:type="dxa"/>
          </w:tblCellMar>
        </w:tblPrEx>
        <w:tc>
          <w:tcPr>
            <w:tcW w:w="3708" w:type="dxa"/>
            <w:shd w:val="clear" w:color="auto" w:fill="auto"/>
            <w:vAlign w:val="center"/>
          </w:tcPr>
          <w:p w14:paraId="1A8586FF" w14:textId="77777777" w:rsidR="001F30C2" w:rsidRPr="001F30C2" w:rsidRDefault="001F30C2" w:rsidP="001F30C2">
            <w:pPr>
              <w:pStyle w:val="TableRowHead"/>
              <w:rPr>
                <w:lang w:val="en-GB" w:eastAsia="en-GB"/>
              </w:rPr>
            </w:pPr>
            <w:r w:rsidRPr="001F30C2">
              <w:rPr>
                <w:lang w:val="en-GB" w:eastAsia="en-GB"/>
              </w:rPr>
              <w:t>Pension increase assumption</w:t>
            </w:r>
          </w:p>
        </w:tc>
        <w:tc>
          <w:tcPr>
            <w:tcW w:w="1008" w:type="dxa"/>
            <w:shd w:val="clear" w:color="auto" w:fill="auto"/>
            <w:vAlign w:val="center"/>
          </w:tcPr>
          <w:p w14:paraId="0F9899B0"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6C4CBF7D"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75B1459"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C287093"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167393DE"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4%</w:t>
            </w:r>
          </w:p>
        </w:tc>
      </w:tr>
      <w:tr w:rsidR="001F30C2" w:rsidRPr="001F30C2" w14:paraId="47B4827E" w14:textId="77777777" w:rsidTr="001F30C2">
        <w:tblPrEx>
          <w:tblCellMar>
            <w:top w:w="0" w:type="dxa"/>
            <w:bottom w:w="0" w:type="dxa"/>
          </w:tblCellMar>
        </w:tblPrEx>
        <w:tc>
          <w:tcPr>
            <w:tcW w:w="3708" w:type="dxa"/>
            <w:shd w:val="clear" w:color="auto" w:fill="auto"/>
            <w:vAlign w:val="center"/>
          </w:tcPr>
          <w:p w14:paraId="6FAED6B9" w14:textId="77777777" w:rsidR="001F30C2" w:rsidRPr="001F30C2" w:rsidRDefault="001F30C2" w:rsidP="001F30C2">
            <w:pPr>
              <w:pStyle w:val="TableRowHead"/>
              <w:rPr>
                <w:lang w:val="en-GB" w:eastAsia="en-GB"/>
              </w:rPr>
            </w:pPr>
            <w:r w:rsidRPr="001F30C2">
              <w:rPr>
                <w:lang w:val="en-GB" w:eastAsia="en-GB"/>
              </w:rPr>
              <w:t>Price inflation</w:t>
            </w:r>
          </w:p>
        </w:tc>
        <w:tc>
          <w:tcPr>
            <w:tcW w:w="1008" w:type="dxa"/>
            <w:shd w:val="clear" w:color="auto" w:fill="auto"/>
            <w:vAlign w:val="center"/>
          </w:tcPr>
          <w:p w14:paraId="217078E9"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72DB464D"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6124F8FF"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627146BF"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2EB3EDBF" w14:textId="77777777" w:rsidR="001F30C2" w:rsidRPr="001F30C2" w:rsidRDefault="001F30C2" w:rsidP="001F30C2">
            <w:pPr>
              <w:spacing w:after="0" w:line="240" w:lineRule="auto"/>
              <w:jc w:val="right"/>
              <w:rPr>
                <w:rFonts w:cs="Arial"/>
                <w:lang w:val="en-GB" w:eastAsia="en-GB"/>
              </w:rPr>
            </w:pPr>
            <w:r w:rsidRPr="001F30C2">
              <w:rPr>
                <w:rFonts w:cs="Arial"/>
                <w:lang w:val="en-GB" w:eastAsia="en-GB"/>
              </w:rPr>
              <w:t>2%</w:t>
            </w:r>
          </w:p>
        </w:tc>
      </w:tr>
    </w:tbl>
    <w:p w14:paraId="72FEE7E6" w14:textId="77777777" w:rsidR="00826690" w:rsidRDefault="001F30C2" w:rsidP="001F30C2">
      <w:pPr>
        <w:rPr>
          <w:lang w:val="en-GB" w:eastAsia="en-GB"/>
        </w:rPr>
      </w:pPr>
      <w:r>
        <w:rPr>
          <w:lang w:val="en-GB" w:eastAsia="en-GB"/>
        </w:rPr>
        <w:br/>
        <w:t>As the NDA schemes are unfunded</w:t>
      </w:r>
      <w:r w:rsidRPr="001F30C2">
        <w:rPr>
          <w:lang w:val="en-GB" w:eastAsia="en-GB"/>
        </w:rPr>
        <w:t>, there are no assets held in respect of accrued pension liabilities of the NDA staff.</w:t>
      </w:r>
      <w:r w:rsidR="00B22912" w:rsidRPr="00B22912">
        <w:rPr>
          <w:lang w:val="en-GB" w:eastAsia="en-GB"/>
        </w:rPr>
        <w:tab/>
      </w:r>
    </w:p>
    <w:p w14:paraId="38135160" w14:textId="77777777" w:rsidR="00826690" w:rsidRPr="00826690" w:rsidRDefault="00826690" w:rsidP="00826690">
      <w:pPr>
        <w:pStyle w:val="TableTitle"/>
        <w:jc w:val="left"/>
        <w:rPr>
          <w:bCs/>
          <w:lang w:val="en-GB" w:eastAsia="en-GB"/>
        </w:rPr>
      </w:pPr>
      <w:r w:rsidRPr="00826690">
        <w:rPr>
          <w:bCs/>
          <w:lang w:val="en-GB" w:eastAsia="en-GB"/>
        </w:rPr>
        <w:t xml:space="preserve">(b) Net Deferred Funding </w:t>
      </w:r>
      <w:proofErr w:type="gramStart"/>
      <w:r w:rsidRPr="00826690">
        <w:rPr>
          <w:bCs/>
          <w:lang w:val="en-GB" w:eastAsia="en-GB"/>
        </w:rPr>
        <w:t>For</w:t>
      </w:r>
      <w:proofErr w:type="gramEnd"/>
      <w:r w:rsidRPr="00826690">
        <w:rPr>
          <w:bCs/>
          <w:lang w:val="en-GB" w:eastAsia="en-GB"/>
        </w:rPr>
        <w:t xml:space="preserve"> Pensions In Year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826690" w:rsidRPr="00826690" w14:paraId="1FAD1FAE" w14:textId="77777777" w:rsidTr="00826690">
        <w:tblPrEx>
          <w:tblCellMar>
            <w:top w:w="0" w:type="dxa"/>
            <w:bottom w:w="0" w:type="dxa"/>
          </w:tblCellMar>
        </w:tblPrEx>
        <w:trPr>
          <w:tblHeader/>
        </w:trPr>
        <w:tc>
          <w:tcPr>
            <w:tcW w:w="5868" w:type="dxa"/>
            <w:shd w:val="clear" w:color="auto" w:fill="auto"/>
          </w:tcPr>
          <w:p w14:paraId="58259C3A" w14:textId="77777777" w:rsidR="00826690" w:rsidRPr="00826690" w:rsidRDefault="00826690" w:rsidP="00770D62">
            <w:pPr>
              <w:pStyle w:val="TableHead"/>
              <w:keepLines/>
              <w:jc w:val="right"/>
              <w:rPr>
                <w:lang w:val="en-GB" w:eastAsia="en-GB"/>
              </w:rPr>
            </w:pPr>
          </w:p>
        </w:tc>
        <w:tc>
          <w:tcPr>
            <w:tcW w:w="1494" w:type="dxa"/>
            <w:shd w:val="clear" w:color="auto" w:fill="auto"/>
          </w:tcPr>
          <w:p w14:paraId="35E73A6F" w14:textId="77777777" w:rsidR="00826690" w:rsidRPr="00B22912" w:rsidRDefault="00826690" w:rsidP="00770D62">
            <w:pPr>
              <w:pStyle w:val="TableHead"/>
              <w:keepLines/>
              <w:spacing w:line="240" w:lineRule="auto"/>
              <w:jc w:val="right"/>
            </w:pPr>
            <w:r w:rsidRPr="00B22912">
              <w:t>2010</w:t>
            </w:r>
          </w:p>
        </w:tc>
        <w:tc>
          <w:tcPr>
            <w:tcW w:w="1494" w:type="dxa"/>
            <w:shd w:val="clear" w:color="auto" w:fill="auto"/>
          </w:tcPr>
          <w:p w14:paraId="02B9743E" w14:textId="77777777" w:rsidR="00826690" w:rsidRPr="00B22912" w:rsidRDefault="00826690" w:rsidP="00770D62">
            <w:pPr>
              <w:pStyle w:val="TableHead"/>
              <w:keepLines/>
              <w:spacing w:line="240" w:lineRule="auto"/>
              <w:jc w:val="right"/>
            </w:pPr>
            <w:r w:rsidRPr="00B22912">
              <w:t>2009</w:t>
            </w:r>
          </w:p>
        </w:tc>
      </w:tr>
      <w:tr w:rsidR="00826690" w:rsidRPr="00826690" w14:paraId="5651F8B1" w14:textId="77777777" w:rsidTr="00826690">
        <w:tblPrEx>
          <w:tblCellMar>
            <w:top w:w="0" w:type="dxa"/>
            <w:bottom w:w="0" w:type="dxa"/>
          </w:tblCellMar>
        </w:tblPrEx>
        <w:tc>
          <w:tcPr>
            <w:tcW w:w="5868" w:type="dxa"/>
            <w:shd w:val="clear" w:color="auto" w:fill="auto"/>
          </w:tcPr>
          <w:p w14:paraId="4FA50FAF" w14:textId="77777777" w:rsidR="00826690" w:rsidRPr="00826690" w:rsidRDefault="00826690" w:rsidP="00770D62">
            <w:pPr>
              <w:pStyle w:val="TableRowHead"/>
              <w:keepNext w:val="0"/>
              <w:keepLines/>
              <w:rPr>
                <w:lang w:val="en-GB" w:eastAsia="en-GB"/>
              </w:rPr>
            </w:pPr>
          </w:p>
        </w:tc>
        <w:tc>
          <w:tcPr>
            <w:tcW w:w="1494" w:type="dxa"/>
            <w:shd w:val="clear" w:color="auto" w:fill="auto"/>
            <w:vAlign w:val="bottom"/>
          </w:tcPr>
          <w:p w14:paraId="0A578345" w14:textId="77777777" w:rsidR="00826690" w:rsidRPr="00B22912" w:rsidRDefault="00826690" w:rsidP="00770D62">
            <w:pPr>
              <w:keepLines/>
              <w:spacing w:after="0" w:line="240" w:lineRule="auto"/>
              <w:jc w:val="right"/>
              <w:rPr>
                <w:rFonts w:cs="Arial"/>
                <w:b/>
                <w:bCs/>
                <w:lang w:val="en-GB" w:eastAsia="en-GB"/>
              </w:rPr>
            </w:pPr>
            <w:r w:rsidRPr="00B22912">
              <w:rPr>
                <w:rFonts w:cs="Arial"/>
                <w:b/>
                <w:bCs/>
                <w:lang w:val="en-GB" w:eastAsia="en-GB"/>
              </w:rPr>
              <w:t xml:space="preserve">          €</w:t>
            </w:r>
          </w:p>
        </w:tc>
        <w:tc>
          <w:tcPr>
            <w:tcW w:w="1494" w:type="dxa"/>
            <w:shd w:val="clear" w:color="auto" w:fill="auto"/>
            <w:vAlign w:val="bottom"/>
          </w:tcPr>
          <w:p w14:paraId="5A53A79C" w14:textId="77777777" w:rsidR="00826690" w:rsidRPr="00B22912" w:rsidRDefault="00826690" w:rsidP="00770D62">
            <w:pPr>
              <w:keepLines/>
              <w:spacing w:after="0" w:line="240" w:lineRule="auto"/>
              <w:jc w:val="right"/>
              <w:rPr>
                <w:rFonts w:cs="Arial"/>
                <w:b/>
                <w:bCs/>
                <w:lang w:val="en-GB" w:eastAsia="en-GB"/>
              </w:rPr>
            </w:pPr>
            <w:r w:rsidRPr="00B22912">
              <w:rPr>
                <w:rFonts w:cs="Arial"/>
                <w:b/>
                <w:bCs/>
                <w:lang w:val="en-GB" w:eastAsia="en-GB"/>
              </w:rPr>
              <w:t xml:space="preserve">          €</w:t>
            </w:r>
          </w:p>
        </w:tc>
      </w:tr>
      <w:tr w:rsidR="00826690" w:rsidRPr="00826690" w14:paraId="673FC21C" w14:textId="77777777" w:rsidTr="00826690">
        <w:tblPrEx>
          <w:tblCellMar>
            <w:top w:w="0" w:type="dxa"/>
            <w:bottom w:w="0" w:type="dxa"/>
          </w:tblCellMar>
        </w:tblPrEx>
        <w:tc>
          <w:tcPr>
            <w:tcW w:w="5868" w:type="dxa"/>
            <w:shd w:val="clear" w:color="auto" w:fill="auto"/>
            <w:vAlign w:val="bottom"/>
          </w:tcPr>
          <w:p w14:paraId="21BE8328" w14:textId="77777777" w:rsidR="00826690" w:rsidRPr="0013007A" w:rsidRDefault="00826690" w:rsidP="00770D62">
            <w:pPr>
              <w:pStyle w:val="TableRowHead"/>
              <w:keepNext w:val="0"/>
              <w:keepLines/>
              <w:rPr>
                <w:lang w:val="en-GB" w:eastAsia="en-GB"/>
              </w:rPr>
            </w:pPr>
            <w:r w:rsidRPr="0013007A">
              <w:rPr>
                <w:lang w:val="en-GB" w:eastAsia="en-GB"/>
              </w:rPr>
              <w:t>Funding recoverable in respect of current year pension costs</w:t>
            </w:r>
          </w:p>
        </w:tc>
        <w:tc>
          <w:tcPr>
            <w:tcW w:w="1494" w:type="dxa"/>
            <w:shd w:val="clear" w:color="auto" w:fill="auto"/>
            <w:vAlign w:val="bottom"/>
          </w:tcPr>
          <w:p w14:paraId="24BA5BBE" w14:textId="77777777" w:rsidR="00826690" w:rsidRPr="001F30C2" w:rsidRDefault="00826690" w:rsidP="00770D62">
            <w:pPr>
              <w:keepLines/>
              <w:spacing w:after="0" w:line="240" w:lineRule="auto"/>
              <w:jc w:val="right"/>
              <w:rPr>
                <w:rFonts w:cs="Arial"/>
                <w:lang w:val="en-GB" w:eastAsia="en-GB"/>
              </w:rPr>
            </w:pPr>
            <w:r w:rsidRPr="001F30C2">
              <w:rPr>
                <w:rFonts w:cs="Arial"/>
                <w:lang w:val="en-GB" w:eastAsia="en-GB"/>
              </w:rPr>
              <w:t xml:space="preserve">1,550,000 </w:t>
            </w:r>
          </w:p>
        </w:tc>
        <w:tc>
          <w:tcPr>
            <w:tcW w:w="1494" w:type="dxa"/>
            <w:shd w:val="clear" w:color="auto" w:fill="auto"/>
            <w:vAlign w:val="bottom"/>
          </w:tcPr>
          <w:p w14:paraId="1C5E4312" w14:textId="77777777" w:rsidR="00826690" w:rsidRPr="001F30C2" w:rsidRDefault="00826690" w:rsidP="00770D62">
            <w:pPr>
              <w:keepLines/>
              <w:spacing w:after="0" w:line="240" w:lineRule="auto"/>
              <w:jc w:val="right"/>
              <w:rPr>
                <w:rFonts w:cs="Arial"/>
                <w:lang w:val="en-GB" w:eastAsia="en-GB"/>
              </w:rPr>
            </w:pPr>
            <w:r w:rsidRPr="001F30C2">
              <w:rPr>
                <w:rFonts w:cs="Arial"/>
                <w:lang w:val="en-GB" w:eastAsia="en-GB"/>
              </w:rPr>
              <w:t xml:space="preserve">1,480,000 </w:t>
            </w:r>
          </w:p>
        </w:tc>
      </w:tr>
      <w:tr w:rsidR="00826690" w:rsidRPr="00826690" w14:paraId="55A3700E" w14:textId="77777777" w:rsidTr="00826690">
        <w:tblPrEx>
          <w:tblCellMar>
            <w:top w:w="0" w:type="dxa"/>
            <w:bottom w:w="0" w:type="dxa"/>
          </w:tblCellMar>
        </w:tblPrEx>
        <w:tc>
          <w:tcPr>
            <w:tcW w:w="5868" w:type="dxa"/>
            <w:shd w:val="clear" w:color="auto" w:fill="auto"/>
            <w:vAlign w:val="bottom"/>
          </w:tcPr>
          <w:p w14:paraId="14068B55" w14:textId="77777777" w:rsidR="00826690" w:rsidRPr="0013007A" w:rsidRDefault="00826690" w:rsidP="00770D62">
            <w:pPr>
              <w:pStyle w:val="TableRowHead"/>
              <w:keepNext w:val="0"/>
              <w:keepLines/>
              <w:rPr>
                <w:lang w:val="en-GB" w:eastAsia="en-GB"/>
              </w:rPr>
            </w:pPr>
            <w:r w:rsidRPr="0013007A">
              <w:rPr>
                <w:lang w:val="en-GB" w:eastAsia="en-GB"/>
              </w:rPr>
              <w:t>State Grant applied to pay pensioners</w:t>
            </w:r>
          </w:p>
        </w:tc>
        <w:tc>
          <w:tcPr>
            <w:tcW w:w="1494" w:type="dxa"/>
            <w:shd w:val="clear" w:color="auto" w:fill="auto"/>
            <w:vAlign w:val="bottom"/>
          </w:tcPr>
          <w:p w14:paraId="5A1C0994" w14:textId="77777777" w:rsidR="00826690" w:rsidRPr="001F30C2" w:rsidRDefault="00826690" w:rsidP="00770D62">
            <w:pPr>
              <w:keepLines/>
              <w:spacing w:after="0" w:line="240" w:lineRule="auto"/>
              <w:jc w:val="right"/>
              <w:rPr>
                <w:rFonts w:cs="Arial"/>
                <w:lang w:val="en-GB" w:eastAsia="en-GB"/>
              </w:rPr>
            </w:pPr>
            <w:r w:rsidRPr="001F30C2">
              <w:rPr>
                <w:rFonts w:cs="Arial"/>
                <w:lang w:val="en-GB" w:eastAsia="en-GB"/>
              </w:rPr>
              <w:t>(536,272)</w:t>
            </w:r>
          </w:p>
        </w:tc>
        <w:tc>
          <w:tcPr>
            <w:tcW w:w="1494" w:type="dxa"/>
            <w:shd w:val="clear" w:color="auto" w:fill="auto"/>
            <w:vAlign w:val="bottom"/>
          </w:tcPr>
          <w:p w14:paraId="00A85A78" w14:textId="77777777" w:rsidR="00826690" w:rsidRPr="001F30C2" w:rsidRDefault="00826690" w:rsidP="00770D62">
            <w:pPr>
              <w:keepLines/>
              <w:spacing w:after="0" w:line="240" w:lineRule="auto"/>
              <w:jc w:val="right"/>
              <w:rPr>
                <w:rFonts w:cs="Arial"/>
                <w:lang w:val="en-GB" w:eastAsia="en-GB"/>
              </w:rPr>
            </w:pPr>
            <w:r w:rsidRPr="001F30C2">
              <w:rPr>
                <w:rFonts w:cs="Arial"/>
                <w:lang w:val="en-GB" w:eastAsia="en-GB"/>
              </w:rPr>
              <w:t>(819,494)</w:t>
            </w:r>
          </w:p>
        </w:tc>
      </w:tr>
      <w:tr w:rsidR="00826690" w:rsidRPr="00826690" w14:paraId="37C81735" w14:textId="77777777" w:rsidTr="00AF114C">
        <w:tblPrEx>
          <w:tblCellMar>
            <w:top w:w="0" w:type="dxa"/>
            <w:bottom w:w="0" w:type="dxa"/>
          </w:tblCellMar>
        </w:tblPrEx>
        <w:tc>
          <w:tcPr>
            <w:tcW w:w="5868" w:type="dxa"/>
            <w:shd w:val="clear" w:color="auto" w:fill="auto"/>
          </w:tcPr>
          <w:p w14:paraId="7A0EA758" w14:textId="77777777" w:rsidR="00826690" w:rsidRPr="00826690" w:rsidRDefault="00826690" w:rsidP="00770D62">
            <w:pPr>
              <w:pStyle w:val="TableRowHead"/>
              <w:keepNext w:val="0"/>
              <w:keepLines/>
              <w:rPr>
                <w:lang w:val="en-GB" w:eastAsia="en-GB"/>
              </w:rPr>
            </w:pPr>
          </w:p>
        </w:tc>
        <w:tc>
          <w:tcPr>
            <w:tcW w:w="1494" w:type="dxa"/>
            <w:shd w:val="clear" w:color="auto" w:fill="auto"/>
            <w:vAlign w:val="bottom"/>
          </w:tcPr>
          <w:p w14:paraId="1F36D39B" w14:textId="77777777" w:rsidR="00826690" w:rsidRPr="00826690" w:rsidRDefault="00826690" w:rsidP="00770D62">
            <w:pPr>
              <w:keepLines/>
              <w:spacing w:after="0" w:line="240" w:lineRule="auto"/>
              <w:jc w:val="right"/>
              <w:rPr>
                <w:rFonts w:cs="Arial"/>
                <w:b/>
                <w:lang w:val="en-GB" w:eastAsia="en-GB"/>
              </w:rPr>
            </w:pPr>
            <w:r w:rsidRPr="00826690">
              <w:rPr>
                <w:rFonts w:cs="Arial"/>
                <w:b/>
                <w:lang w:val="en-GB" w:eastAsia="en-GB"/>
              </w:rPr>
              <w:t xml:space="preserve">1,013,728 </w:t>
            </w:r>
          </w:p>
        </w:tc>
        <w:tc>
          <w:tcPr>
            <w:tcW w:w="1494" w:type="dxa"/>
            <w:shd w:val="clear" w:color="auto" w:fill="auto"/>
            <w:vAlign w:val="bottom"/>
          </w:tcPr>
          <w:p w14:paraId="1560A5DF" w14:textId="77777777" w:rsidR="00826690" w:rsidRPr="00826690" w:rsidRDefault="00826690" w:rsidP="00770D62">
            <w:pPr>
              <w:keepLines/>
              <w:spacing w:after="0" w:line="240" w:lineRule="auto"/>
              <w:jc w:val="right"/>
              <w:rPr>
                <w:rFonts w:cs="Arial"/>
                <w:b/>
                <w:lang w:val="en-GB" w:eastAsia="en-GB"/>
              </w:rPr>
            </w:pPr>
            <w:r w:rsidRPr="00826690">
              <w:rPr>
                <w:rFonts w:cs="Arial"/>
                <w:b/>
                <w:lang w:val="en-GB" w:eastAsia="en-GB"/>
              </w:rPr>
              <w:t xml:space="preserve">660,506 </w:t>
            </w:r>
          </w:p>
        </w:tc>
      </w:tr>
    </w:tbl>
    <w:p w14:paraId="122F12C4" w14:textId="77777777" w:rsidR="00826690" w:rsidRDefault="0013007A" w:rsidP="00826690">
      <w:pPr>
        <w:pStyle w:val="TableTitle"/>
        <w:jc w:val="left"/>
      </w:pPr>
      <w:r>
        <w:rPr>
          <w:lang w:val="en-GB" w:eastAsia="en-GB"/>
        </w:rPr>
        <w:t xml:space="preserve">(c) Analysis of the amount </w:t>
      </w:r>
      <w:r w:rsidR="00826690" w:rsidRPr="001F30C2">
        <w:rPr>
          <w:lang w:val="en-GB" w:eastAsia="en-GB"/>
        </w:rPr>
        <w:t>charged to operating profit under FRS 17</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944"/>
        <w:gridCol w:w="1944"/>
      </w:tblGrid>
      <w:tr w:rsidR="00826690" w:rsidRPr="00826690" w14:paraId="520D0317" w14:textId="77777777" w:rsidTr="00826690">
        <w:tblPrEx>
          <w:tblCellMar>
            <w:top w:w="0" w:type="dxa"/>
            <w:bottom w:w="0" w:type="dxa"/>
          </w:tblCellMar>
        </w:tblPrEx>
        <w:tc>
          <w:tcPr>
            <w:tcW w:w="4968" w:type="dxa"/>
            <w:shd w:val="clear" w:color="auto" w:fill="auto"/>
          </w:tcPr>
          <w:p w14:paraId="32EF99C2" w14:textId="77777777" w:rsidR="00826690" w:rsidRPr="0013007A" w:rsidRDefault="00826690" w:rsidP="00826690">
            <w:pPr>
              <w:pStyle w:val="TableRowHead"/>
              <w:rPr>
                <w:lang w:val="en-GB" w:eastAsia="en-GB"/>
              </w:rPr>
            </w:pPr>
          </w:p>
        </w:tc>
        <w:tc>
          <w:tcPr>
            <w:tcW w:w="1944" w:type="dxa"/>
            <w:shd w:val="clear" w:color="auto" w:fill="auto"/>
          </w:tcPr>
          <w:p w14:paraId="2CEA75EE" w14:textId="77777777" w:rsidR="00826690" w:rsidRPr="0013007A" w:rsidRDefault="00826690" w:rsidP="00AF114C">
            <w:pPr>
              <w:pStyle w:val="TableHead"/>
              <w:spacing w:line="240" w:lineRule="auto"/>
              <w:jc w:val="right"/>
            </w:pPr>
            <w:r w:rsidRPr="0013007A">
              <w:t>2010</w:t>
            </w:r>
          </w:p>
        </w:tc>
        <w:tc>
          <w:tcPr>
            <w:tcW w:w="1944" w:type="dxa"/>
            <w:shd w:val="clear" w:color="auto" w:fill="auto"/>
          </w:tcPr>
          <w:p w14:paraId="39BAE5C2" w14:textId="77777777" w:rsidR="00826690" w:rsidRPr="0013007A" w:rsidRDefault="00826690" w:rsidP="00AF114C">
            <w:pPr>
              <w:pStyle w:val="TableHead"/>
              <w:spacing w:line="240" w:lineRule="auto"/>
              <w:jc w:val="right"/>
            </w:pPr>
            <w:r w:rsidRPr="0013007A">
              <w:t>2009</w:t>
            </w:r>
          </w:p>
        </w:tc>
      </w:tr>
      <w:tr w:rsidR="00826690" w:rsidRPr="00826690" w14:paraId="3E8E61AE" w14:textId="77777777" w:rsidTr="00826690">
        <w:tblPrEx>
          <w:tblCellMar>
            <w:top w:w="0" w:type="dxa"/>
            <w:bottom w:w="0" w:type="dxa"/>
          </w:tblCellMar>
        </w:tblPrEx>
        <w:tc>
          <w:tcPr>
            <w:tcW w:w="4968" w:type="dxa"/>
            <w:shd w:val="clear" w:color="auto" w:fill="auto"/>
          </w:tcPr>
          <w:p w14:paraId="583C6B5C" w14:textId="77777777" w:rsidR="00826690" w:rsidRPr="0013007A" w:rsidRDefault="00826690" w:rsidP="00826690">
            <w:pPr>
              <w:pStyle w:val="TableRowHead"/>
              <w:rPr>
                <w:lang w:val="en-GB" w:eastAsia="en-GB"/>
              </w:rPr>
            </w:pPr>
          </w:p>
        </w:tc>
        <w:tc>
          <w:tcPr>
            <w:tcW w:w="1944" w:type="dxa"/>
            <w:shd w:val="clear" w:color="auto" w:fill="auto"/>
            <w:vAlign w:val="bottom"/>
          </w:tcPr>
          <w:p w14:paraId="20EF98BE" w14:textId="77777777" w:rsidR="00826690" w:rsidRPr="0013007A" w:rsidRDefault="00826690" w:rsidP="00AF114C">
            <w:pPr>
              <w:spacing w:after="0" w:line="240" w:lineRule="auto"/>
              <w:jc w:val="right"/>
              <w:rPr>
                <w:rFonts w:cs="Arial"/>
                <w:b/>
                <w:bCs/>
                <w:lang w:val="en-GB" w:eastAsia="en-GB"/>
              </w:rPr>
            </w:pPr>
            <w:r w:rsidRPr="0013007A">
              <w:rPr>
                <w:rFonts w:cs="Arial"/>
                <w:b/>
                <w:bCs/>
                <w:lang w:val="en-GB" w:eastAsia="en-GB"/>
              </w:rPr>
              <w:t xml:space="preserve">          €</w:t>
            </w:r>
          </w:p>
        </w:tc>
        <w:tc>
          <w:tcPr>
            <w:tcW w:w="1944" w:type="dxa"/>
            <w:shd w:val="clear" w:color="auto" w:fill="auto"/>
            <w:vAlign w:val="bottom"/>
          </w:tcPr>
          <w:p w14:paraId="22C36F37" w14:textId="77777777" w:rsidR="00826690" w:rsidRPr="0013007A" w:rsidRDefault="00826690" w:rsidP="00AF114C">
            <w:pPr>
              <w:spacing w:after="0" w:line="240" w:lineRule="auto"/>
              <w:jc w:val="right"/>
              <w:rPr>
                <w:rFonts w:cs="Arial"/>
                <w:b/>
                <w:bCs/>
                <w:lang w:val="en-GB" w:eastAsia="en-GB"/>
              </w:rPr>
            </w:pPr>
            <w:r w:rsidRPr="0013007A">
              <w:rPr>
                <w:rFonts w:cs="Arial"/>
                <w:b/>
                <w:bCs/>
                <w:lang w:val="en-GB" w:eastAsia="en-GB"/>
              </w:rPr>
              <w:t xml:space="preserve">          €</w:t>
            </w:r>
          </w:p>
        </w:tc>
      </w:tr>
      <w:tr w:rsidR="00826690" w:rsidRPr="00826690" w14:paraId="4A303EFF" w14:textId="77777777" w:rsidTr="00826690">
        <w:tblPrEx>
          <w:tblCellMar>
            <w:top w:w="0" w:type="dxa"/>
            <w:bottom w:w="0" w:type="dxa"/>
          </w:tblCellMar>
        </w:tblPrEx>
        <w:tc>
          <w:tcPr>
            <w:tcW w:w="4968" w:type="dxa"/>
            <w:shd w:val="clear" w:color="auto" w:fill="auto"/>
            <w:vAlign w:val="bottom"/>
          </w:tcPr>
          <w:p w14:paraId="77461BBC" w14:textId="77777777" w:rsidR="00826690" w:rsidRPr="0013007A" w:rsidRDefault="00826690" w:rsidP="00826690">
            <w:pPr>
              <w:pStyle w:val="TableRowHead"/>
              <w:rPr>
                <w:lang w:val="en-GB" w:eastAsia="en-GB"/>
              </w:rPr>
            </w:pPr>
            <w:r w:rsidRPr="0013007A">
              <w:rPr>
                <w:lang w:val="en-GB" w:eastAsia="en-GB"/>
              </w:rPr>
              <w:t>Current service cost</w:t>
            </w:r>
          </w:p>
        </w:tc>
        <w:tc>
          <w:tcPr>
            <w:tcW w:w="1944" w:type="dxa"/>
            <w:shd w:val="clear" w:color="auto" w:fill="auto"/>
            <w:vAlign w:val="bottom"/>
          </w:tcPr>
          <w:p w14:paraId="57A2FF18"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 xml:space="preserve">550,000 </w:t>
            </w:r>
          </w:p>
        </w:tc>
        <w:tc>
          <w:tcPr>
            <w:tcW w:w="1944" w:type="dxa"/>
            <w:shd w:val="clear" w:color="auto" w:fill="auto"/>
            <w:vAlign w:val="bottom"/>
          </w:tcPr>
          <w:p w14:paraId="2321290B"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 xml:space="preserve">580,000 </w:t>
            </w:r>
          </w:p>
        </w:tc>
      </w:tr>
      <w:tr w:rsidR="00826690" w:rsidRPr="00826690" w14:paraId="2CDFE211" w14:textId="77777777" w:rsidTr="00826690">
        <w:tblPrEx>
          <w:tblCellMar>
            <w:top w:w="0" w:type="dxa"/>
            <w:bottom w:w="0" w:type="dxa"/>
          </w:tblCellMar>
        </w:tblPrEx>
        <w:tc>
          <w:tcPr>
            <w:tcW w:w="4968" w:type="dxa"/>
            <w:shd w:val="clear" w:color="auto" w:fill="auto"/>
            <w:vAlign w:val="bottom"/>
          </w:tcPr>
          <w:p w14:paraId="37ED98B9" w14:textId="77777777" w:rsidR="00826690" w:rsidRPr="0013007A" w:rsidRDefault="00826690" w:rsidP="00826690">
            <w:pPr>
              <w:pStyle w:val="TableRowHead"/>
              <w:rPr>
                <w:lang w:val="en-GB" w:eastAsia="en-GB"/>
              </w:rPr>
            </w:pPr>
            <w:r w:rsidRPr="0013007A">
              <w:rPr>
                <w:lang w:val="en-GB" w:eastAsia="en-GB"/>
              </w:rPr>
              <w:t xml:space="preserve">Interest on pension scheme liabilities </w:t>
            </w:r>
          </w:p>
        </w:tc>
        <w:tc>
          <w:tcPr>
            <w:tcW w:w="1944" w:type="dxa"/>
            <w:shd w:val="clear" w:color="auto" w:fill="auto"/>
            <w:vAlign w:val="bottom"/>
          </w:tcPr>
          <w:p w14:paraId="3108D41D"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 xml:space="preserve">1,000,000 </w:t>
            </w:r>
          </w:p>
        </w:tc>
        <w:tc>
          <w:tcPr>
            <w:tcW w:w="1944" w:type="dxa"/>
            <w:shd w:val="clear" w:color="auto" w:fill="auto"/>
            <w:vAlign w:val="bottom"/>
          </w:tcPr>
          <w:p w14:paraId="3ABE2D62"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 xml:space="preserve">900,000 </w:t>
            </w:r>
          </w:p>
        </w:tc>
      </w:tr>
      <w:tr w:rsidR="00826690" w:rsidRPr="00826690" w14:paraId="54B36F1B" w14:textId="77777777" w:rsidTr="00826690">
        <w:tblPrEx>
          <w:tblCellMar>
            <w:top w:w="0" w:type="dxa"/>
            <w:bottom w:w="0" w:type="dxa"/>
          </w:tblCellMar>
        </w:tblPrEx>
        <w:tc>
          <w:tcPr>
            <w:tcW w:w="4968" w:type="dxa"/>
            <w:shd w:val="clear" w:color="auto" w:fill="auto"/>
            <w:vAlign w:val="bottom"/>
          </w:tcPr>
          <w:p w14:paraId="23F07B5F" w14:textId="77777777" w:rsidR="00826690" w:rsidRPr="0013007A" w:rsidRDefault="00826690" w:rsidP="00826690">
            <w:pPr>
              <w:pStyle w:val="TableRowHead"/>
              <w:rPr>
                <w:lang w:val="en-GB" w:eastAsia="en-GB"/>
              </w:rPr>
            </w:pPr>
            <w:r w:rsidRPr="0013007A">
              <w:rPr>
                <w:lang w:val="en-GB" w:eastAsia="en-GB"/>
              </w:rPr>
              <w:t>Employee contribution</w:t>
            </w:r>
          </w:p>
        </w:tc>
        <w:tc>
          <w:tcPr>
            <w:tcW w:w="1944" w:type="dxa"/>
            <w:shd w:val="clear" w:color="auto" w:fill="auto"/>
            <w:vAlign w:val="bottom"/>
          </w:tcPr>
          <w:p w14:paraId="5BB9B324"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(142,720)</w:t>
            </w:r>
          </w:p>
        </w:tc>
        <w:tc>
          <w:tcPr>
            <w:tcW w:w="1944" w:type="dxa"/>
            <w:shd w:val="clear" w:color="auto" w:fill="auto"/>
            <w:vAlign w:val="bottom"/>
          </w:tcPr>
          <w:p w14:paraId="7E1A5ECA"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(197,783)</w:t>
            </w:r>
          </w:p>
        </w:tc>
      </w:tr>
      <w:tr w:rsidR="00826690" w:rsidRPr="00826690" w14:paraId="02F8BFEA" w14:textId="77777777" w:rsidTr="00826690">
        <w:tblPrEx>
          <w:tblCellMar>
            <w:top w:w="0" w:type="dxa"/>
            <w:bottom w:w="0" w:type="dxa"/>
          </w:tblCellMar>
        </w:tblPrEx>
        <w:tc>
          <w:tcPr>
            <w:tcW w:w="4968" w:type="dxa"/>
            <w:shd w:val="clear" w:color="auto" w:fill="auto"/>
            <w:vAlign w:val="bottom"/>
          </w:tcPr>
          <w:p w14:paraId="02BA453D" w14:textId="77777777" w:rsidR="00826690" w:rsidRPr="0013007A" w:rsidRDefault="00826690" w:rsidP="00826690">
            <w:pPr>
              <w:pStyle w:val="TableRowHead"/>
              <w:rPr>
                <w:lang w:val="en-GB" w:eastAsia="en-GB"/>
              </w:rPr>
            </w:pPr>
            <w:r w:rsidRPr="0013007A">
              <w:rPr>
                <w:lang w:val="en-GB" w:eastAsia="en-GB"/>
              </w:rPr>
              <w:t>Past service cost</w:t>
            </w:r>
          </w:p>
        </w:tc>
        <w:tc>
          <w:tcPr>
            <w:tcW w:w="1944" w:type="dxa"/>
            <w:shd w:val="clear" w:color="auto" w:fill="auto"/>
            <w:vAlign w:val="bottom"/>
          </w:tcPr>
          <w:p w14:paraId="3EFEF440" w14:textId="77777777" w:rsidR="00826690" w:rsidRPr="0013007A" w:rsidRDefault="00826690" w:rsidP="00826690">
            <w:pPr>
              <w:spacing w:after="0" w:line="240" w:lineRule="auto"/>
              <w:jc w:val="right"/>
              <w:rPr>
                <w:rFonts w:cs="Arial"/>
                <w:lang w:val="en-GB" w:eastAsia="en-GB"/>
              </w:rPr>
            </w:pPr>
            <w:r w:rsidRPr="0013007A">
              <w:rPr>
                <w:rFonts w:cs="Arial"/>
                <w:lang w:val="en-GB" w:eastAsia="en-GB"/>
              </w:rPr>
              <w:t>-</w:t>
            </w:r>
          </w:p>
        </w:tc>
        <w:tc>
          <w:tcPr>
            <w:tcW w:w="1944" w:type="dxa"/>
            <w:shd w:val="clear" w:color="auto" w:fill="auto"/>
            <w:vAlign w:val="bottom"/>
          </w:tcPr>
          <w:p w14:paraId="55ED12D8" w14:textId="77777777" w:rsidR="00826690" w:rsidRPr="0013007A" w:rsidRDefault="00826690" w:rsidP="00AF114C">
            <w:pPr>
              <w:spacing w:after="0" w:line="240" w:lineRule="auto"/>
              <w:jc w:val="right"/>
              <w:rPr>
                <w:rFonts w:cs="Arial"/>
                <w:lang w:val="en-GB" w:eastAsia="en-GB"/>
              </w:rPr>
            </w:pPr>
            <w:r w:rsidRPr="0013007A">
              <w:rPr>
                <w:rFonts w:cs="Arial"/>
                <w:lang w:val="en-GB" w:eastAsia="en-GB"/>
              </w:rPr>
              <w:t xml:space="preserve">            -     </w:t>
            </w:r>
          </w:p>
        </w:tc>
      </w:tr>
      <w:tr w:rsidR="00826690" w:rsidRPr="00826690" w14:paraId="2C5046AF" w14:textId="77777777" w:rsidTr="00826690">
        <w:tblPrEx>
          <w:tblCellMar>
            <w:top w:w="0" w:type="dxa"/>
            <w:bottom w:w="0" w:type="dxa"/>
          </w:tblCellMar>
        </w:tblPrEx>
        <w:tc>
          <w:tcPr>
            <w:tcW w:w="4968" w:type="dxa"/>
            <w:shd w:val="clear" w:color="auto" w:fill="auto"/>
            <w:vAlign w:val="bottom"/>
          </w:tcPr>
          <w:p w14:paraId="1BE72683" w14:textId="77777777" w:rsidR="00826690" w:rsidRPr="0013007A" w:rsidRDefault="00826690" w:rsidP="00826690">
            <w:pPr>
              <w:pStyle w:val="TableRowHead"/>
              <w:rPr>
                <w:lang w:val="en-GB" w:eastAsia="en-GB"/>
              </w:rPr>
            </w:pPr>
            <w:r w:rsidRPr="0013007A">
              <w:rPr>
                <w:lang w:val="en-GB" w:eastAsia="en-GB"/>
              </w:rPr>
              <w:t>Total operating charge</w:t>
            </w:r>
          </w:p>
        </w:tc>
        <w:tc>
          <w:tcPr>
            <w:tcW w:w="1944" w:type="dxa"/>
            <w:shd w:val="clear" w:color="auto" w:fill="auto"/>
            <w:vAlign w:val="bottom"/>
          </w:tcPr>
          <w:p w14:paraId="0DBD3368" w14:textId="77777777" w:rsidR="00826690" w:rsidRPr="0013007A" w:rsidRDefault="00826690" w:rsidP="00AF114C">
            <w:pPr>
              <w:spacing w:after="0" w:line="240" w:lineRule="auto"/>
              <w:jc w:val="right"/>
              <w:rPr>
                <w:rFonts w:cs="Arial"/>
                <w:b/>
                <w:lang w:val="en-GB" w:eastAsia="en-GB"/>
              </w:rPr>
            </w:pPr>
            <w:r w:rsidRPr="0013007A">
              <w:rPr>
                <w:rFonts w:cs="Arial"/>
                <w:b/>
                <w:lang w:val="en-GB" w:eastAsia="en-GB"/>
              </w:rPr>
              <w:t xml:space="preserve">1,407,280 </w:t>
            </w:r>
          </w:p>
        </w:tc>
        <w:tc>
          <w:tcPr>
            <w:tcW w:w="1944" w:type="dxa"/>
            <w:shd w:val="clear" w:color="auto" w:fill="auto"/>
            <w:vAlign w:val="bottom"/>
          </w:tcPr>
          <w:p w14:paraId="2E69CFA9" w14:textId="77777777" w:rsidR="00826690" w:rsidRPr="0013007A" w:rsidRDefault="00826690" w:rsidP="00AF114C">
            <w:pPr>
              <w:spacing w:after="0" w:line="240" w:lineRule="auto"/>
              <w:jc w:val="right"/>
              <w:rPr>
                <w:rFonts w:cs="Arial"/>
                <w:b/>
                <w:lang w:val="en-GB" w:eastAsia="en-GB"/>
              </w:rPr>
            </w:pPr>
            <w:r w:rsidRPr="0013007A">
              <w:rPr>
                <w:rFonts w:cs="Arial"/>
                <w:b/>
                <w:lang w:val="en-GB" w:eastAsia="en-GB"/>
              </w:rPr>
              <w:t xml:space="preserve">1,282,217 </w:t>
            </w:r>
          </w:p>
        </w:tc>
      </w:tr>
    </w:tbl>
    <w:p w14:paraId="1EB47B92" w14:textId="77777777" w:rsidR="00826690" w:rsidRDefault="00826690" w:rsidP="00826690">
      <w:pPr>
        <w:pStyle w:val="Heading4"/>
        <w:rPr>
          <w:lang w:val="en-GB" w:eastAsia="en-GB"/>
        </w:rPr>
      </w:pPr>
      <w:r w:rsidRPr="001F30C2">
        <w:rPr>
          <w:lang w:val="en-GB" w:eastAsia="en-GB"/>
        </w:rPr>
        <w:t>(d) Deferred Funding Asset for Pensions</w:t>
      </w:r>
    </w:p>
    <w:p w14:paraId="0CF55B45" w14:textId="77777777" w:rsidR="0013007A" w:rsidRDefault="00826690" w:rsidP="0013007A">
      <w:r w:rsidRPr="00826690">
        <w:t xml:space="preserve">The National Disability Authority recognises these amounts as an asset corresponding to the unfunded deferred liability for pensions </w:t>
      </w:r>
      <w:proofErr w:type="gramStart"/>
      <w:r w:rsidRPr="00826690">
        <w:t>on the basis of</w:t>
      </w:r>
      <w:proofErr w:type="gramEnd"/>
      <w:r w:rsidRPr="00826690">
        <w:t xml:space="preserve"> the set of assumptions described above and a number of past events</w:t>
      </w:r>
      <w:r w:rsidR="006F18C4">
        <w:t xml:space="preserve">. </w:t>
      </w:r>
      <w:r w:rsidRPr="00826690">
        <w:t xml:space="preserve">These events include the statutory basis for the establishment of </w:t>
      </w:r>
      <w:r w:rsidRPr="00826690">
        <w:lastRenderedPageBreak/>
        <w:t>the superannuation scheme, and the policy and practice currently in place in relation to funding public service pensions including contributions by employees and the annual estimates process</w:t>
      </w:r>
      <w:r w:rsidR="006F18C4">
        <w:t xml:space="preserve">. </w:t>
      </w:r>
      <w:r w:rsidRPr="00826690">
        <w:t xml:space="preserve"> While there is no formal agreement regarding these specific amounts with the Department of Justice, Equality &amp; Law Reform, the National Disability Authority has no evidence that this funding policy will not continue to meet such sums in accordance with current practice</w:t>
      </w:r>
      <w:r w:rsidR="006F18C4">
        <w:t xml:space="preserve">. </w:t>
      </w:r>
      <w:r w:rsidRPr="00826690">
        <w:t xml:space="preserve">The deferred funding asset for pensions as </w:t>
      </w:r>
      <w:proofErr w:type="gramStart"/>
      <w:r w:rsidRPr="00826690">
        <w:t>at</w:t>
      </w:r>
      <w:proofErr w:type="gramEnd"/>
      <w:r w:rsidRPr="00826690">
        <w:t xml:space="preserve"> 31 December 2010 amounted to €17.1 million (2009: €18.5 million).</w:t>
      </w:r>
    </w:p>
    <w:p w14:paraId="3BBB27A1" w14:textId="77777777" w:rsidR="009079DB" w:rsidRPr="0013007A" w:rsidRDefault="009079DB" w:rsidP="0013007A">
      <w:pPr>
        <w:pStyle w:val="TableTitle"/>
        <w:jc w:val="left"/>
      </w:pPr>
      <w:r w:rsidRPr="00826690">
        <w:rPr>
          <w:lang w:val="en-GB" w:eastAsia="en-GB"/>
        </w:rPr>
        <w:t>(e) Movement in deficit during the year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88"/>
        <w:gridCol w:w="2484"/>
        <w:gridCol w:w="2484"/>
      </w:tblGrid>
      <w:tr w:rsidR="009079DB" w:rsidRPr="009079DB" w14:paraId="08593F8E" w14:textId="77777777" w:rsidTr="00AF114C">
        <w:tblPrEx>
          <w:tblCellMar>
            <w:top w:w="0" w:type="dxa"/>
            <w:bottom w:w="0" w:type="dxa"/>
          </w:tblCellMar>
        </w:tblPrEx>
        <w:trPr>
          <w:tblHeader/>
        </w:trPr>
        <w:tc>
          <w:tcPr>
            <w:tcW w:w="3888" w:type="dxa"/>
            <w:shd w:val="clear" w:color="auto" w:fill="auto"/>
          </w:tcPr>
          <w:p w14:paraId="15EC22DC" w14:textId="77777777" w:rsidR="009079DB" w:rsidRPr="009079DB" w:rsidRDefault="009079DB" w:rsidP="0013007A">
            <w:pPr>
              <w:pStyle w:val="TableHead"/>
              <w:widowControl w:val="0"/>
              <w:jc w:val="right"/>
            </w:pPr>
          </w:p>
        </w:tc>
        <w:tc>
          <w:tcPr>
            <w:tcW w:w="2484" w:type="dxa"/>
            <w:shd w:val="clear" w:color="auto" w:fill="auto"/>
          </w:tcPr>
          <w:p w14:paraId="1F01FD75" w14:textId="77777777" w:rsidR="009079DB" w:rsidRPr="00B22912" w:rsidRDefault="009079DB" w:rsidP="0013007A">
            <w:pPr>
              <w:pStyle w:val="TableHead"/>
              <w:widowControl w:val="0"/>
              <w:spacing w:line="240" w:lineRule="auto"/>
              <w:jc w:val="right"/>
            </w:pPr>
            <w:r w:rsidRPr="00B22912">
              <w:t>2010</w:t>
            </w:r>
          </w:p>
        </w:tc>
        <w:tc>
          <w:tcPr>
            <w:tcW w:w="2484" w:type="dxa"/>
            <w:shd w:val="clear" w:color="auto" w:fill="auto"/>
          </w:tcPr>
          <w:p w14:paraId="2A653970" w14:textId="77777777" w:rsidR="009079DB" w:rsidRPr="00B22912" w:rsidRDefault="009079DB" w:rsidP="0013007A">
            <w:pPr>
              <w:pStyle w:val="TableHead"/>
              <w:widowControl w:val="0"/>
              <w:spacing w:line="240" w:lineRule="auto"/>
              <w:jc w:val="right"/>
            </w:pPr>
            <w:r w:rsidRPr="00B22912">
              <w:t>2009</w:t>
            </w:r>
          </w:p>
        </w:tc>
      </w:tr>
      <w:tr w:rsidR="009079DB" w:rsidRPr="009079DB" w14:paraId="76CEDED5" w14:textId="77777777" w:rsidTr="00AF114C">
        <w:tblPrEx>
          <w:tblCellMar>
            <w:top w:w="0" w:type="dxa"/>
            <w:bottom w:w="0" w:type="dxa"/>
          </w:tblCellMar>
        </w:tblPrEx>
        <w:tc>
          <w:tcPr>
            <w:tcW w:w="3888" w:type="dxa"/>
            <w:shd w:val="clear" w:color="auto" w:fill="auto"/>
          </w:tcPr>
          <w:p w14:paraId="62E7D119" w14:textId="77777777" w:rsidR="009079DB" w:rsidRPr="009079DB" w:rsidRDefault="009079DB" w:rsidP="0013007A">
            <w:pPr>
              <w:pStyle w:val="TableRowHead"/>
              <w:keepNext w:val="0"/>
              <w:widowControl w:val="0"/>
            </w:pPr>
          </w:p>
        </w:tc>
        <w:tc>
          <w:tcPr>
            <w:tcW w:w="2484" w:type="dxa"/>
            <w:shd w:val="clear" w:color="auto" w:fill="auto"/>
            <w:vAlign w:val="bottom"/>
          </w:tcPr>
          <w:p w14:paraId="724D93DB" w14:textId="77777777" w:rsidR="009079DB" w:rsidRPr="00B22912" w:rsidRDefault="009079DB" w:rsidP="0013007A">
            <w:pPr>
              <w:widowControl w:val="0"/>
              <w:spacing w:after="0" w:line="240" w:lineRule="auto"/>
              <w:jc w:val="right"/>
              <w:rPr>
                <w:rFonts w:cs="Arial"/>
                <w:b/>
                <w:bCs/>
                <w:lang w:val="en-GB" w:eastAsia="en-GB"/>
              </w:rPr>
            </w:pPr>
            <w:r w:rsidRPr="00B22912">
              <w:rPr>
                <w:rFonts w:cs="Arial"/>
                <w:b/>
                <w:bCs/>
                <w:lang w:val="en-GB" w:eastAsia="en-GB"/>
              </w:rPr>
              <w:t xml:space="preserve">          €</w:t>
            </w:r>
          </w:p>
        </w:tc>
        <w:tc>
          <w:tcPr>
            <w:tcW w:w="2484" w:type="dxa"/>
            <w:shd w:val="clear" w:color="auto" w:fill="auto"/>
            <w:vAlign w:val="bottom"/>
          </w:tcPr>
          <w:p w14:paraId="252E285B" w14:textId="77777777" w:rsidR="009079DB" w:rsidRPr="00B22912" w:rsidRDefault="009079DB" w:rsidP="0013007A">
            <w:pPr>
              <w:widowControl w:val="0"/>
              <w:spacing w:after="0" w:line="240" w:lineRule="auto"/>
              <w:jc w:val="right"/>
              <w:rPr>
                <w:rFonts w:cs="Arial"/>
                <w:b/>
                <w:bCs/>
                <w:lang w:val="en-GB" w:eastAsia="en-GB"/>
              </w:rPr>
            </w:pPr>
            <w:r w:rsidRPr="00B22912">
              <w:rPr>
                <w:rFonts w:cs="Arial"/>
                <w:b/>
                <w:bCs/>
                <w:lang w:val="en-GB" w:eastAsia="en-GB"/>
              </w:rPr>
              <w:t xml:space="preserve">          €</w:t>
            </w:r>
          </w:p>
        </w:tc>
      </w:tr>
      <w:tr w:rsidR="009079DB" w:rsidRPr="009079DB" w14:paraId="3F742CAC" w14:textId="77777777" w:rsidTr="00AF114C">
        <w:tblPrEx>
          <w:tblCellMar>
            <w:top w:w="0" w:type="dxa"/>
            <w:bottom w:w="0" w:type="dxa"/>
          </w:tblCellMar>
        </w:tblPrEx>
        <w:tc>
          <w:tcPr>
            <w:tcW w:w="3888" w:type="dxa"/>
            <w:shd w:val="clear" w:color="auto" w:fill="auto"/>
            <w:vAlign w:val="bottom"/>
          </w:tcPr>
          <w:p w14:paraId="79477EEC" w14:textId="77777777" w:rsidR="009079DB" w:rsidRPr="0013007A" w:rsidRDefault="009079DB" w:rsidP="0013007A">
            <w:pPr>
              <w:pStyle w:val="TableRowHead"/>
              <w:keepNext w:val="0"/>
              <w:widowControl w:val="0"/>
              <w:rPr>
                <w:lang w:val="en-GB" w:eastAsia="en-GB"/>
              </w:rPr>
            </w:pPr>
            <w:r w:rsidRPr="0013007A">
              <w:rPr>
                <w:lang w:val="en-GB" w:eastAsia="en-GB"/>
              </w:rPr>
              <w:t xml:space="preserve">Scheme Liability </w:t>
            </w:r>
            <w:proofErr w:type="gramStart"/>
            <w:r w:rsidRPr="0013007A">
              <w:rPr>
                <w:lang w:val="en-GB" w:eastAsia="en-GB"/>
              </w:rPr>
              <w:t>at</w:t>
            </w:r>
            <w:proofErr w:type="gramEnd"/>
            <w:r w:rsidRPr="0013007A">
              <w:rPr>
                <w:lang w:val="en-GB" w:eastAsia="en-GB"/>
              </w:rPr>
              <w:t xml:space="preserve"> 1 January</w:t>
            </w:r>
          </w:p>
        </w:tc>
        <w:tc>
          <w:tcPr>
            <w:tcW w:w="2484" w:type="dxa"/>
            <w:shd w:val="clear" w:color="auto" w:fill="auto"/>
            <w:vAlign w:val="bottom"/>
          </w:tcPr>
          <w:p w14:paraId="46DD1327"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€18,500,000 </w:t>
            </w:r>
          </w:p>
        </w:tc>
        <w:tc>
          <w:tcPr>
            <w:tcW w:w="2484" w:type="dxa"/>
            <w:shd w:val="clear" w:color="auto" w:fill="auto"/>
            <w:vAlign w:val="bottom"/>
          </w:tcPr>
          <w:p w14:paraId="2A349CE8"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€16,100,000 </w:t>
            </w:r>
          </w:p>
        </w:tc>
      </w:tr>
      <w:tr w:rsidR="009079DB" w:rsidRPr="009079DB" w14:paraId="468CAAFE" w14:textId="77777777" w:rsidTr="00AF114C">
        <w:tblPrEx>
          <w:tblCellMar>
            <w:top w:w="0" w:type="dxa"/>
            <w:bottom w:w="0" w:type="dxa"/>
          </w:tblCellMar>
        </w:tblPrEx>
        <w:tc>
          <w:tcPr>
            <w:tcW w:w="3888" w:type="dxa"/>
            <w:shd w:val="clear" w:color="auto" w:fill="auto"/>
            <w:vAlign w:val="bottom"/>
          </w:tcPr>
          <w:p w14:paraId="66E2ABC2" w14:textId="77777777" w:rsidR="009079DB" w:rsidRPr="0013007A" w:rsidRDefault="009079DB" w:rsidP="0013007A">
            <w:pPr>
              <w:pStyle w:val="TableRowHead"/>
              <w:keepNext w:val="0"/>
              <w:widowControl w:val="0"/>
              <w:rPr>
                <w:lang w:val="en-GB" w:eastAsia="en-GB"/>
              </w:rPr>
            </w:pPr>
            <w:r w:rsidRPr="0013007A">
              <w:rPr>
                <w:lang w:val="en-GB" w:eastAsia="en-GB"/>
              </w:rPr>
              <w:t>Current service cost</w:t>
            </w:r>
          </w:p>
        </w:tc>
        <w:tc>
          <w:tcPr>
            <w:tcW w:w="2484" w:type="dxa"/>
            <w:shd w:val="clear" w:color="auto" w:fill="auto"/>
            <w:vAlign w:val="bottom"/>
          </w:tcPr>
          <w:p w14:paraId="20E4132F"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€550,000 </w:t>
            </w:r>
          </w:p>
        </w:tc>
        <w:tc>
          <w:tcPr>
            <w:tcW w:w="2484" w:type="dxa"/>
            <w:shd w:val="clear" w:color="auto" w:fill="auto"/>
            <w:vAlign w:val="bottom"/>
          </w:tcPr>
          <w:p w14:paraId="68C0C684"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€580,000 </w:t>
            </w:r>
          </w:p>
        </w:tc>
      </w:tr>
      <w:tr w:rsidR="009079DB" w:rsidRPr="009079DB" w14:paraId="13E1C360" w14:textId="77777777" w:rsidTr="00AF114C">
        <w:tblPrEx>
          <w:tblCellMar>
            <w:top w:w="0" w:type="dxa"/>
            <w:bottom w:w="0" w:type="dxa"/>
          </w:tblCellMar>
        </w:tblPrEx>
        <w:tc>
          <w:tcPr>
            <w:tcW w:w="3888" w:type="dxa"/>
            <w:shd w:val="clear" w:color="auto" w:fill="auto"/>
            <w:vAlign w:val="bottom"/>
          </w:tcPr>
          <w:p w14:paraId="1D88A17A" w14:textId="77777777" w:rsidR="009079DB" w:rsidRPr="0013007A" w:rsidRDefault="009079DB" w:rsidP="0013007A">
            <w:pPr>
              <w:pStyle w:val="TableRowHead"/>
              <w:keepNext w:val="0"/>
              <w:widowControl w:val="0"/>
              <w:rPr>
                <w:lang w:val="en-GB" w:eastAsia="en-GB"/>
              </w:rPr>
            </w:pPr>
            <w:r w:rsidRPr="0013007A">
              <w:rPr>
                <w:lang w:val="en-GB" w:eastAsia="en-GB"/>
              </w:rPr>
              <w:t>Interest on scheme liabilities</w:t>
            </w:r>
          </w:p>
        </w:tc>
        <w:tc>
          <w:tcPr>
            <w:tcW w:w="2484" w:type="dxa"/>
            <w:shd w:val="clear" w:color="auto" w:fill="auto"/>
            <w:vAlign w:val="bottom"/>
          </w:tcPr>
          <w:p w14:paraId="1DA77893"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€1,000,000 </w:t>
            </w:r>
          </w:p>
        </w:tc>
        <w:tc>
          <w:tcPr>
            <w:tcW w:w="2484" w:type="dxa"/>
            <w:shd w:val="clear" w:color="auto" w:fill="auto"/>
            <w:vAlign w:val="bottom"/>
          </w:tcPr>
          <w:p w14:paraId="3CC95C2B"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€900,000 </w:t>
            </w:r>
          </w:p>
        </w:tc>
      </w:tr>
      <w:tr w:rsidR="009079DB" w:rsidRPr="009079DB" w14:paraId="041153B5" w14:textId="77777777" w:rsidTr="00AF114C">
        <w:tblPrEx>
          <w:tblCellMar>
            <w:top w:w="0" w:type="dxa"/>
            <w:bottom w:w="0" w:type="dxa"/>
          </w:tblCellMar>
        </w:tblPrEx>
        <w:tc>
          <w:tcPr>
            <w:tcW w:w="3888" w:type="dxa"/>
            <w:shd w:val="clear" w:color="auto" w:fill="auto"/>
            <w:vAlign w:val="bottom"/>
          </w:tcPr>
          <w:p w14:paraId="571106FA" w14:textId="77777777" w:rsidR="009079DB" w:rsidRPr="0013007A" w:rsidRDefault="009079DB" w:rsidP="0013007A">
            <w:pPr>
              <w:pStyle w:val="TableRowHead"/>
              <w:keepNext w:val="0"/>
              <w:widowControl w:val="0"/>
              <w:rPr>
                <w:lang w:val="en-GB" w:eastAsia="en-GB"/>
              </w:rPr>
            </w:pPr>
            <w:r w:rsidRPr="0013007A">
              <w:rPr>
                <w:lang w:val="en-GB" w:eastAsia="en-GB"/>
              </w:rPr>
              <w:t>Benefits payable</w:t>
            </w:r>
          </w:p>
        </w:tc>
        <w:tc>
          <w:tcPr>
            <w:tcW w:w="2484" w:type="dxa"/>
            <w:shd w:val="clear" w:color="auto" w:fill="auto"/>
            <w:vAlign w:val="bottom"/>
          </w:tcPr>
          <w:p w14:paraId="43457B23"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(€531,000)</w:t>
            </w:r>
          </w:p>
        </w:tc>
        <w:tc>
          <w:tcPr>
            <w:tcW w:w="2484" w:type="dxa"/>
            <w:shd w:val="clear" w:color="auto" w:fill="auto"/>
            <w:vAlign w:val="bottom"/>
          </w:tcPr>
          <w:p w14:paraId="5B91D125"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(€769,000)</w:t>
            </w:r>
          </w:p>
        </w:tc>
      </w:tr>
      <w:tr w:rsidR="009079DB" w:rsidRPr="009079DB" w14:paraId="15836F7E" w14:textId="77777777" w:rsidTr="00AF114C">
        <w:tblPrEx>
          <w:tblCellMar>
            <w:top w:w="0" w:type="dxa"/>
            <w:bottom w:w="0" w:type="dxa"/>
          </w:tblCellMar>
        </w:tblPrEx>
        <w:tc>
          <w:tcPr>
            <w:tcW w:w="3888" w:type="dxa"/>
            <w:shd w:val="clear" w:color="auto" w:fill="auto"/>
            <w:vAlign w:val="bottom"/>
          </w:tcPr>
          <w:p w14:paraId="27C5035F" w14:textId="77777777" w:rsidR="009079DB" w:rsidRPr="0013007A" w:rsidRDefault="009079DB" w:rsidP="0013007A">
            <w:pPr>
              <w:pStyle w:val="TableRowHead"/>
              <w:keepNext w:val="0"/>
              <w:widowControl w:val="0"/>
              <w:rPr>
                <w:lang w:val="en-GB" w:eastAsia="en-GB"/>
              </w:rPr>
            </w:pPr>
            <w:r w:rsidRPr="0013007A">
              <w:rPr>
                <w:lang w:val="en-GB" w:eastAsia="en-GB"/>
              </w:rPr>
              <w:t>Actuarial loss recognised in STRGL</w:t>
            </w:r>
          </w:p>
        </w:tc>
        <w:tc>
          <w:tcPr>
            <w:tcW w:w="2484" w:type="dxa"/>
            <w:shd w:val="clear" w:color="auto" w:fill="auto"/>
            <w:vAlign w:val="bottom"/>
          </w:tcPr>
          <w:p w14:paraId="4C1F2B54"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(€2,419,000)</w:t>
            </w:r>
          </w:p>
        </w:tc>
        <w:tc>
          <w:tcPr>
            <w:tcW w:w="2484" w:type="dxa"/>
            <w:shd w:val="clear" w:color="auto" w:fill="auto"/>
            <w:vAlign w:val="bottom"/>
          </w:tcPr>
          <w:p w14:paraId="62CE0ADB" w14:textId="77777777" w:rsidR="009079DB" w:rsidRPr="00826690" w:rsidRDefault="009079DB" w:rsidP="0013007A">
            <w:pPr>
              <w:widowControl w:val="0"/>
              <w:spacing w:after="0" w:line="240" w:lineRule="auto"/>
              <w:jc w:val="right"/>
              <w:rPr>
                <w:rFonts w:cs="Arial"/>
                <w:lang w:val="en-GB" w:eastAsia="en-GB"/>
              </w:rPr>
            </w:pPr>
            <w:r w:rsidRPr="00826690">
              <w:rPr>
                <w:rFonts w:cs="Arial"/>
                <w:lang w:val="en-GB" w:eastAsia="en-GB"/>
              </w:rPr>
              <w:t xml:space="preserve">€1,689,000 </w:t>
            </w:r>
          </w:p>
        </w:tc>
      </w:tr>
      <w:tr w:rsidR="009079DB" w:rsidRPr="009079DB" w14:paraId="3C4951DD" w14:textId="77777777" w:rsidTr="00AF114C">
        <w:tblPrEx>
          <w:tblCellMar>
            <w:top w:w="0" w:type="dxa"/>
            <w:bottom w:w="0" w:type="dxa"/>
          </w:tblCellMar>
        </w:tblPrEx>
        <w:tc>
          <w:tcPr>
            <w:tcW w:w="3888" w:type="dxa"/>
            <w:shd w:val="clear" w:color="auto" w:fill="auto"/>
            <w:vAlign w:val="bottom"/>
          </w:tcPr>
          <w:p w14:paraId="6E58F8E1" w14:textId="77777777" w:rsidR="009079DB" w:rsidRPr="0013007A" w:rsidRDefault="009079DB" w:rsidP="0013007A">
            <w:pPr>
              <w:pStyle w:val="TableRowHead"/>
              <w:keepNext w:val="0"/>
              <w:widowControl w:val="0"/>
              <w:rPr>
                <w:lang w:val="en-GB" w:eastAsia="en-GB"/>
              </w:rPr>
            </w:pPr>
            <w:r w:rsidRPr="0013007A">
              <w:rPr>
                <w:lang w:val="en-GB" w:eastAsia="en-GB"/>
              </w:rPr>
              <w:t>Pension Liability</w:t>
            </w:r>
          </w:p>
        </w:tc>
        <w:tc>
          <w:tcPr>
            <w:tcW w:w="2484" w:type="dxa"/>
            <w:shd w:val="clear" w:color="auto" w:fill="auto"/>
            <w:vAlign w:val="bottom"/>
          </w:tcPr>
          <w:p w14:paraId="6650D436" w14:textId="77777777" w:rsidR="009079DB" w:rsidRPr="009079DB" w:rsidRDefault="009079DB" w:rsidP="0013007A">
            <w:pPr>
              <w:widowControl w:val="0"/>
              <w:spacing w:after="0" w:line="240" w:lineRule="auto"/>
              <w:jc w:val="right"/>
              <w:rPr>
                <w:rFonts w:cs="Arial"/>
                <w:b/>
                <w:lang w:val="en-GB" w:eastAsia="en-GB"/>
              </w:rPr>
            </w:pPr>
            <w:r w:rsidRPr="009079DB">
              <w:rPr>
                <w:rFonts w:cs="Arial"/>
                <w:b/>
                <w:lang w:val="en-GB" w:eastAsia="en-GB"/>
              </w:rPr>
              <w:t xml:space="preserve">€17,100,000 </w:t>
            </w:r>
          </w:p>
        </w:tc>
        <w:tc>
          <w:tcPr>
            <w:tcW w:w="2484" w:type="dxa"/>
            <w:shd w:val="clear" w:color="auto" w:fill="auto"/>
            <w:vAlign w:val="bottom"/>
          </w:tcPr>
          <w:p w14:paraId="45E9FADA" w14:textId="77777777" w:rsidR="009079DB" w:rsidRPr="009079DB" w:rsidRDefault="009079DB" w:rsidP="0013007A">
            <w:pPr>
              <w:widowControl w:val="0"/>
              <w:spacing w:after="0" w:line="240" w:lineRule="auto"/>
              <w:jc w:val="right"/>
              <w:rPr>
                <w:rFonts w:cs="Arial"/>
                <w:b/>
                <w:lang w:val="en-GB" w:eastAsia="en-GB"/>
              </w:rPr>
            </w:pPr>
            <w:r w:rsidRPr="009079DB">
              <w:rPr>
                <w:rFonts w:cs="Arial"/>
                <w:b/>
                <w:lang w:val="en-GB" w:eastAsia="en-GB"/>
              </w:rPr>
              <w:t xml:space="preserve">€18,500,000 </w:t>
            </w:r>
          </w:p>
        </w:tc>
      </w:tr>
    </w:tbl>
    <w:p w14:paraId="63D66EDD" w14:textId="77777777" w:rsidR="009079DB" w:rsidRDefault="009079DB" w:rsidP="009079DB">
      <w:pPr>
        <w:pStyle w:val="TableTitle"/>
        <w:jc w:val="left"/>
        <w:rPr>
          <w:lang w:val="en-GB" w:eastAsia="en-GB"/>
        </w:rPr>
      </w:pPr>
      <w:r w:rsidRPr="00826690">
        <w:rPr>
          <w:lang w:val="en-GB" w:eastAsia="en-GB"/>
        </w:rPr>
        <w:t>History of experience gains and losses</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85"/>
        <w:gridCol w:w="1485"/>
        <w:gridCol w:w="1485"/>
        <w:gridCol w:w="1485"/>
      </w:tblGrid>
      <w:tr w:rsidR="00AF114C" w:rsidRPr="009079DB" w14:paraId="147458CA" w14:textId="77777777" w:rsidTr="00AF114C">
        <w:tblPrEx>
          <w:tblCellMar>
            <w:top w:w="0" w:type="dxa"/>
            <w:bottom w:w="0" w:type="dxa"/>
          </w:tblCellMar>
        </w:tblPrEx>
        <w:trPr>
          <w:tblHeader/>
        </w:trPr>
        <w:tc>
          <w:tcPr>
            <w:tcW w:w="8928" w:type="dxa"/>
            <w:gridSpan w:val="5"/>
            <w:shd w:val="clear" w:color="auto" w:fill="auto"/>
          </w:tcPr>
          <w:p w14:paraId="3467FD7C" w14:textId="77777777" w:rsidR="00AF114C" w:rsidRPr="009079DB" w:rsidRDefault="00AF114C" w:rsidP="0013007A">
            <w:pPr>
              <w:pStyle w:val="TableHead"/>
              <w:keepNext/>
              <w:widowControl w:val="0"/>
              <w:rPr>
                <w:lang w:val="en-GB" w:eastAsia="en-GB"/>
              </w:rPr>
            </w:pPr>
            <w:r w:rsidRPr="009079DB">
              <w:rPr>
                <w:lang w:val="en-GB" w:eastAsia="en-GB"/>
              </w:rPr>
              <w:t>Experience (gains) / losses on scheme liabilities</w:t>
            </w:r>
          </w:p>
        </w:tc>
      </w:tr>
      <w:tr w:rsidR="00AF114C" w:rsidRPr="009079DB" w14:paraId="04800F45" w14:textId="77777777" w:rsidTr="009079DB">
        <w:tblPrEx>
          <w:tblCellMar>
            <w:top w:w="0" w:type="dxa"/>
            <w:bottom w:w="0" w:type="dxa"/>
          </w:tblCellMar>
        </w:tblPrEx>
        <w:trPr>
          <w:tblHeader/>
        </w:trPr>
        <w:tc>
          <w:tcPr>
            <w:tcW w:w="2988" w:type="dxa"/>
            <w:shd w:val="clear" w:color="auto" w:fill="auto"/>
          </w:tcPr>
          <w:p w14:paraId="4E7EEF96" w14:textId="77777777" w:rsidR="00AF114C" w:rsidRPr="009079DB" w:rsidRDefault="00AF114C" w:rsidP="0013007A">
            <w:pPr>
              <w:pStyle w:val="TableHead"/>
              <w:keepNext/>
              <w:widowControl w:val="0"/>
              <w:jc w:val="right"/>
            </w:pPr>
          </w:p>
        </w:tc>
        <w:tc>
          <w:tcPr>
            <w:tcW w:w="1485" w:type="dxa"/>
            <w:shd w:val="clear" w:color="auto" w:fill="auto"/>
            <w:vAlign w:val="bottom"/>
          </w:tcPr>
          <w:p w14:paraId="76BA1BCA" w14:textId="77777777" w:rsidR="00AF114C" w:rsidRPr="009079DB" w:rsidRDefault="00AF114C" w:rsidP="0013007A">
            <w:pPr>
              <w:pStyle w:val="TableHead"/>
              <w:keepNext/>
              <w:widowControl w:val="0"/>
              <w:jc w:val="right"/>
              <w:rPr>
                <w:lang w:val="en-GB" w:eastAsia="en-GB"/>
              </w:rPr>
            </w:pPr>
            <w:r w:rsidRPr="009079DB">
              <w:rPr>
                <w:lang w:val="en-GB" w:eastAsia="en-GB"/>
              </w:rPr>
              <w:t>2010</w:t>
            </w:r>
          </w:p>
        </w:tc>
        <w:tc>
          <w:tcPr>
            <w:tcW w:w="1485" w:type="dxa"/>
            <w:shd w:val="clear" w:color="auto" w:fill="auto"/>
            <w:vAlign w:val="bottom"/>
          </w:tcPr>
          <w:p w14:paraId="5CC90D77" w14:textId="77777777" w:rsidR="00AF114C" w:rsidRPr="009079DB" w:rsidRDefault="00AF114C" w:rsidP="0013007A">
            <w:pPr>
              <w:pStyle w:val="TableHead"/>
              <w:keepNext/>
              <w:widowControl w:val="0"/>
              <w:jc w:val="right"/>
              <w:rPr>
                <w:lang w:val="en-GB" w:eastAsia="en-GB"/>
              </w:rPr>
            </w:pPr>
            <w:r w:rsidRPr="009079DB">
              <w:rPr>
                <w:lang w:val="en-GB" w:eastAsia="en-GB"/>
              </w:rPr>
              <w:t>2009</w:t>
            </w:r>
          </w:p>
        </w:tc>
        <w:tc>
          <w:tcPr>
            <w:tcW w:w="1485" w:type="dxa"/>
            <w:shd w:val="clear" w:color="auto" w:fill="auto"/>
            <w:vAlign w:val="bottom"/>
          </w:tcPr>
          <w:p w14:paraId="28167C74" w14:textId="77777777" w:rsidR="00AF114C" w:rsidRPr="009079DB" w:rsidRDefault="00AF114C" w:rsidP="0013007A">
            <w:pPr>
              <w:pStyle w:val="TableHead"/>
              <w:keepNext/>
              <w:widowControl w:val="0"/>
              <w:jc w:val="right"/>
              <w:rPr>
                <w:lang w:val="en-GB" w:eastAsia="en-GB"/>
              </w:rPr>
            </w:pPr>
            <w:r w:rsidRPr="009079DB">
              <w:rPr>
                <w:lang w:val="en-GB" w:eastAsia="en-GB"/>
              </w:rPr>
              <w:t>2008</w:t>
            </w:r>
          </w:p>
        </w:tc>
        <w:tc>
          <w:tcPr>
            <w:tcW w:w="1485" w:type="dxa"/>
            <w:shd w:val="clear" w:color="auto" w:fill="auto"/>
            <w:vAlign w:val="bottom"/>
          </w:tcPr>
          <w:p w14:paraId="01B1290A" w14:textId="77777777" w:rsidR="00AF114C" w:rsidRPr="009079DB" w:rsidRDefault="00AF114C" w:rsidP="0013007A">
            <w:pPr>
              <w:pStyle w:val="TableHead"/>
              <w:keepNext/>
              <w:widowControl w:val="0"/>
              <w:jc w:val="right"/>
              <w:rPr>
                <w:lang w:val="en-GB" w:eastAsia="en-GB"/>
              </w:rPr>
            </w:pPr>
            <w:r w:rsidRPr="009079DB">
              <w:rPr>
                <w:lang w:val="en-GB" w:eastAsia="en-GB"/>
              </w:rPr>
              <w:t>2007</w:t>
            </w:r>
          </w:p>
        </w:tc>
      </w:tr>
      <w:tr w:rsidR="00AF114C" w:rsidRPr="009079DB" w14:paraId="6BB91E09" w14:textId="77777777" w:rsidTr="009079DB">
        <w:tblPrEx>
          <w:tblCellMar>
            <w:top w:w="0" w:type="dxa"/>
            <w:bottom w:w="0" w:type="dxa"/>
          </w:tblCellMar>
        </w:tblPrEx>
        <w:tc>
          <w:tcPr>
            <w:tcW w:w="2988" w:type="dxa"/>
            <w:shd w:val="clear" w:color="auto" w:fill="auto"/>
            <w:vAlign w:val="bottom"/>
          </w:tcPr>
          <w:p w14:paraId="3FD68B1B" w14:textId="77777777" w:rsidR="00AF114C" w:rsidRPr="009079DB" w:rsidRDefault="00AF114C" w:rsidP="0013007A">
            <w:pPr>
              <w:pStyle w:val="TableRowHead"/>
              <w:widowControl w:val="0"/>
              <w:rPr>
                <w:lang w:val="en-GB" w:eastAsia="en-GB"/>
              </w:rPr>
            </w:pPr>
            <w:r w:rsidRPr="009079DB">
              <w:rPr>
                <w:lang w:val="en-GB" w:eastAsia="en-GB"/>
              </w:rPr>
              <w:t>amount</w:t>
            </w:r>
          </w:p>
        </w:tc>
        <w:tc>
          <w:tcPr>
            <w:tcW w:w="1485" w:type="dxa"/>
            <w:shd w:val="clear" w:color="auto" w:fill="auto"/>
            <w:vAlign w:val="bottom"/>
          </w:tcPr>
          <w:p w14:paraId="24A36EC1"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(€2,419,000)</w:t>
            </w:r>
          </w:p>
        </w:tc>
        <w:tc>
          <w:tcPr>
            <w:tcW w:w="1485" w:type="dxa"/>
            <w:shd w:val="clear" w:color="auto" w:fill="auto"/>
            <w:vAlign w:val="bottom"/>
          </w:tcPr>
          <w:p w14:paraId="2CDCB882"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(€300,000)</w:t>
            </w:r>
          </w:p>
        </w:tc>
        <w:tc>
          <w:tcPr>
            <w:tcW w:w="1485" w:type="dxa"/>
            <w:shd w:val="clear" w:color="auto" w:fill="auto"/>
            <w:vAlign w:val="bottom"/>
          </w:tcPr>
          <w:p w14:paraId="2A9F1743"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€245,000</w:t>
            </w:r>
          </w:p>
        </w:tc>
        <w:tc>
          <w:tcPr>
            <w:tcW w:w="1485" w:type="dxa"/>
            <w:shd w:val="clear" w:color="auto" w:fill="auto"/>
            <w:vAlign w:val="bottom"/>
          </w:tcPr>
          <w:p w14:paraId="344C3C7C"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(712,000)</w:t>
            </w:r>
          </w:p>
        </w:tc>
      </w:tr>
      <w:tr w:rsidR="00AF114C" w:rsidRPr="009079DB" w14:paraId="191D1452" w14:textId="77777777" w:rsidTr="009079DB">
        <w:tblPrEx>
          <w:tblCellMar>
            <w:top w:w="0" w:type="dxa"/>
            <w:bottom w:w="0" w:type="dxa"/>
          </w:tblCellMar>
        </w:tblPrEx>
        <w:tc>
          <w:tcPr>
            <w:tcW w:w="2988" w:type="dxa"/>
            <w:shd w:val="clear" w:color="auto" w:fill="auto"/>
            <w:vAlign w:val="bottom"/>
          </w:tcPr>
          <w:p w14:paraId="37C239EE" w14:textId="77777777" w:rsidR="00AF114C" w:rsidRPr="009079DB" w:rsidRDefault="00AF114C" w:rsidP="0013007A">
            <w:pPr>
              <w:pStyle w:val="TableRowHead"/>
              <w:widowControl w:val="0"/>
              <w:rPr>
                <w:lang w:val="en-GB" w:eastAsia="en-GB"/>
              </w:rPr>
            </w:pPr>
            <w:r w:rsidRPr="009079DB">
              <w:rPr>
                <w:lang w:val="en-GB" w:eastAsia="en-GB"/>
              </w:rPr>
              <w:t>percentage of the present value of the scheme liabilities</w:t>
            </w:r>
          </w:p>
        </w:tc>
        <w:tc>
          <w:tcPr>
            <w:tcW w:w="1485" w:type="dxa"/>
            <w:shd w:val="clear" w:color="auto" w:fill="auto"/>
            <w:vAlign w:val="bottom"/>
          </w:tcPr>
          <w:p w14:paraId="31352046"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(14%)</w:t>
            </w:r>
          </w:p>
        </w:tc>
        <w:tc>
          <w:tcPr>
            <w:tcW w:w="1485" w:type="dxa"/>
            <w:shd w:val="clear" w:color="auto" w:fill="auto"/>
            <w:vAlign w:val="bottom"/>
          </w:tcPr>
          <w:p w14:paraId="5E23FBD6"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(2%)</w:t>
            </w:r>
          </w:p>
        </w:tc>
        <w:tc>
          <w:tcPr>
            <w:tcW w:w="1485" w:type="dxa"/>
            <w:shd w:val="clear" w:color="auto" w:fill="auto"/>
            <w:vAlign w:val="bottom"/>
          </w:tcPr>
          <w:p w14:paraId="25813BDA"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1.5%</w:t>
            </w:r>
          </w:p>
        </w:tc>
        <w:tc>
          <w:tcPr>
            <w:tcW w:w="1485" w:type="dxa"/>
            <w:shd w:val="clear" w:color="auto" w:fill="auto"/>
            <w:vAlign w:val="bottom"/>
          </w:tcPr>
          <w:p w14:paraId="69E1DE61" w14:textId="77777777" w:rsidR="00AF114C" w:rsidRPr="009079DB" w:rsidRDefault="00AF114C" w:rsidP="0013007A">
            <w:pPr>
              <w:keepNext/>
              <w:widowControl w:val="0"/>
              <w:spacing w:after="0" w:line="240" w:lineRule="auto"/>
              <w:jc w:val="right"/>
              <w:rPr>
                <w:rFonts w:cs="Arial"/>
                <w:lang w:val="en-GB" w:eastAsia="en-GB"/>
              </w:rPr>
            </w:pPr>
            <w:r w:rsidRPr="009079DB">
              <w:rPr>
                <w:rFonts w:cs="Arial"/>
                <w:lang w:val="en-GB" w:eastAsia="en-GB"/>
              </w:rPr>
              <w:t>(5%)</w:t>
            </w:r>
          </w:p>
        </w:tc>
      </w:tr>
    </w:tbl>
    <w:p w14:paraId="0BA1428B" w14:textId="77777777" w:rsidR="009079DB" w:rsidRDefault="009079DB" w:rsidP="009079DB">
      <w:pPr>
        <w:pStyle w:val="Heading4"/>
        <w:rPr>
          <w:lang w:val="en-GB" w:eastAsia="en-GB"/>
        </w:rPr>
      </w:pPr>
      <w:r w:rsidRPr="00826690">
        <w:rPr>
          <w:lang w:val="en-GB" w:eastAsia="en-GB"/>
        </w:rPr>
        <w:t>Pension Levy Contributions</w:t>
      </w:r>
    </w:p>
    <w:p w14:paraId="44827D2D" w14:textId="77777777" w:rsidR="009079DB" w:rsidRDefault="009079DB" w:rsidP="009079DB">
      <w:pPr>
        <w:rPr>
          <w:lang w:val="en-GB" w:eastAsia="en-GB"/>
        </w:rPr>
      </w:pPr>
      <w:r>
        <w:rPr>
          <w:lang w:val="en-GB" w:eastAsia="en-GB"/>
        </w:rPr>
        <w:t>€</w:t>
      </w:r>
      <w:r w:rsidRPr="00826690">
        <w:rPr>
          <w:lang w:val="en-GB" w:eastAsia="en-GB"/>
        </w:rPr>
        <w:t>133</w:t>
      </w:r>
      <w:r>
        <w:rPr>
          <w:lang w:val="en-GB" w:eastAsia="en-GB"/>
        </w:rPr>
        <w:t>,</w:t>
      </w:r>
      <w:r w:rsidRPr="00826690">
        <w:rPr>
          <w:lang w:val="en-GB" w:eastAsia="en-GB"/>
        </w:rPr>
        <w:t>969.18 was deducted from staff by way of pension levy and retained by the Department of Justice Equality and Law Reform.</w:t>
      </w:r>
    </w:p>
    <w:p w14:paraId="5D090767" w14:textId="77777777" w:rsidR="00AF114C" w:rsidRDefault="009079DB" w:rsidP="00AF114C">
      <w:pPr>
        <w:pStyle w:val="TableTitle"/>
        <w:jc w:val="left"/>
        <w:rPr>
          <w:lang w:val="en-GB" w:eastAsia="en-GB"/>
        </w:rPr>
      </w:pPr>
      <w:r w:rsidRPr="009079DB">
        <w:rPr>
          <w:lang w:val="en-GB" w:eastAsia="en-GB"/>
        </w:rPr>
        <w:lastRenderedPageBreak/>
        <w:t xml:space="preserve">11. </w:t>
      </w:r>
      <w:r w:rsidR="0058102A">
        <w:rPr>
          <w:lang w:val="en-GB" w:eastAsia="en-GB"/>
        </w:rPr>
        <w:t>Creditors a</w:t>
      </w:r>
      <w:r w:rsidR="00AF114C" w:rsidRPr="009079DB">
        <w:rPr>
          <w:lang w:val="en-GB" w:eastAsia="en-GB"/>
        </w:rPr>
        <w:t>nd Accruals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AF114C" w:rsidRPr="00AF114C" w14:paraId="184E6A84" w14:textId="77777777" w:rsidTr="00AF114C">
        <w:tblPrEx>
          <w:tblCellMar>
            <w:top w:w="0" w:type="dxa"/>
            <w:bottom w:w="0" w:type="dxa"/>
          </w:tblCellMar>
        </w:tblPrEx>
        <w:trPr>
          <w:tblHeader/>
        </w:trPr>
        <w:tc>
          <w:tcPr>
            <w:tcW w:w="4788" w:type="dxa"/>
            <w:shd w:val="clear" w:color="auto" w:fill="auto"/>
          </w:tcPr>
          <w:p w14:paraId="3E6DF560" w14:textId="77777777" w:rsidR="00AF114C" w:rsidRPr="00AF114C" w:rsidRDefault="00AF114C" w:rsidP="00AF114C">
            <w:pPr>
              <w:pStyle w:val="TableHead"/>
              <w:jc w:val="right"/>
            </w:pPr>
          </w:p>
        </w:tc>
        <w:tc>
          <w:tcPr>
            <w:tcW w:w="2034" w:type="dxa"/>
            <w:shd w:val="clear" w:color="auto" w:fill="auto"/>
          </w:tcPr>
          <w:p w14:paraId="1B6B407D" w14:textId="77777777" w:rsidR="00AF114C" w:rsidRPr="00B22912" w:rsidRDefault="00AF114C" w:rsidP="00AF114C">
            <w:pPr>
              <w:pStyle w:val="TableHead"/>
              <w:spacing w:line="240" w:lineRule="auto"/>
              <w:jc w:val="right"/>
            </w:pPr>
            <w:r w:rsidRPr="00B22912">
              <w:t>2010</w:t>
            </w:r>
          </w:p>
        </w:tc>
        <w:tc>
          <w:tcPr>
            <w:tcW w:w="2034" w:type="dxa"/>
            <w:shd w:val="clear" w:color="auto" w:fill="auto"/>
          </w:tcPr>
          <w:p w14:paraId="7C95C25D" w14:textId="77777777" w:rsidR="00AF114C" w:rsidRPr="00B22912" w:rsidRDefault="00AF114C" w:rsidP="00AF114C">
            <w:pPr>
              <w:pStyle w:val="TableHead"/>
              <w:spacing w:line="240" w:lineRule="auto"/>
              <w:jc w:val="right"/>
            </w:pPr>
            <w:r w:rsidRPr="00B22912">
              <w:t>2009</w:t>
            </w:r>
          </w:p>
        </w:tc>
      </w:tr>
      <w:tr w:rsidR="00AF114C" w:rsidRPr="00AF114C" w14:paraId="301C253D" w14:textId="77777777" w:rsidTr="00AF114C">
        <w:tblPrEx>
          <w:tblCellMar>
            <w:top w:w="0" w:type="dxa"/>
            <w:bottom w:w="0" w:type="dxa"/>
          </w:tblCellMar>
        </w:tblPrEx>
        <w:tc>
          <w:tcPr>
            <w:tcW w:w="4788" w:type="dxa"/>
            <w:shd w:val="clear" w:color="auto" w:fill="auto"/>
          </w:tcPr>
          <w:p w14:paraId="1358FFD4" w14:textId="77777777" w:rsidR="00AF114C" w:rsidRPr="00AF114C" w:rsidRDefault="00AF114C" w:rsidP="00AF114C">
            <w:pPr>
              <w:pStyle w:val="TableRowHead"/>
            </w:pPr>
          </w:p>
        </w:tc>
        <w:tc>
          <w:tcPr>
            <w:tcW w:w="2034" w:type="dxa"/>
            <w:shd w:val="clear" w:color="auto" w:fill="auto"/>
            <w:vAlign w:val="bottom"/>
          </w:tcPr>
          <w:p w14:paraId="585B327E" w14:textId="77777777" w:rsidR="00AF114C" w:rsidRPr="00B22912" w:rsidRDefault="00AF114C" w:rsidP="00AF114C">
            <w:pPr>
              <w:spacing w:after="0" w:line="240" w:lineRule="auto"/>
              <w:jc w:val="right"/>
              <w:rPr>
                <w:rFonts w:cs="Arial"/>
                <w:b/>
                <w:bCs/>
                <w:lang w:val="en-GB" w:eastAsia="en-GB"/>
              </w:rPr>
            </w:pPr>
            <w:r w:rsidRPr="00B22912">
              <w:rPr>
                <w:rFonts w:cs="Arial"/>
                <w:b/>
                <w:bCs/>
                <w:lang w:val="en-GB" w:eastAsia="en-GB"/>
              </w:rPr>
              <w:t xml:space="preserve">          €</w:t>
            </w:r>
          </w:p>
        </w:tc>
        <w:tc>
          <w:tcPr>
            <w:tcW w:w="2034" w:type="dxa"/>
            <w:shd w:val="clear" w:color="auto" w:fill="auto"/>
            <w:vAlign w:val="bottom"/>
          </w:tcPr>
          <w:p w14:paraId="3DACFABE" w14:textId="77777777" w:rsidR="00AF114C" w:rsidRPr="00B22912" w:rsidRDefault="00AF114C" w:rsidP="00AF114C">
            <w:pPr>
              <w:spacing w:after="0" w:line="240" w:lineRule="auto"/>
              <w:jc w:val="right"/>
              <w:rPr>
                <w:rFonts w:cs="Arial"/>
                <w:b/>
                <w:bCs/>
                <w:lang w:val="en-GB" w:eastAsia="en-GB"/>
              </w:rPr>
            </w:pPr>
            <w:r w:rsidRPr="00B22912">
              <w:rPr>
                <w:rFonts w:cs="Arial"/>
                <w:b/>
                <w:bCs/>
                <w:lang w:val="en-GB" w:eastAsia="en-GB"/>
              </w:rPr>
              <w:t xml:space="preserve">          €</w:t>
            </w:r>
          </w:p>
        </w:tc>
      </w:tr>
      <w:tr w:rsidR="00AF114C" w:rsidRPr="00AF114C" w14:paraId="1D6786F9" w14:textId="77777777" w:rsidTr="00AF114C">
        <w:tblPrEx>
          <w:tblCellMar>
            <w:top w:w="0" w:type="dxa"/>
            <w:bottom w:w="0" w:type="dxa"/>
          </w:tblCellMar>
        </w:tblPrEx>
        <w:tc>
          <w:tcPr>
            <w:tcW w:w="4788" w:type="dxa"/>
            <w:shd w:val="clear" w:color="auto" w:fill="auto"/>
            <w:vAlign w:val="bottom"/>
          </w:tcPr>
          <w:p w14:paraId="42CD634F" w14:textId="77777777" w:rsidR="00AF114C" w:rsidRPr="0058102A" w:rsidRDefault="00AF114C" w:rsidP="00AF114C">
            <w:pPr>
              <w:pStyle w:val="TableRowHead"/>
              <w:rPr>
                <w:lang w:val="en-GB" w:eastAsia="en-GB"/>
              </w:rPr>
            </w:pPr>
            <w:r w:rsidRPr="0058102A">
              <w:rPr>
                <w:lang w:val="en-GB" w:eastAsia="en-GB"/>
              </w:rPr>
              <w:t>Payroll / Sundry Creditors</w:t>
            </w:r>
          </w:p>
        </w:tc>
        <w:tc>
          <w:tcPr>
            <w:tcW w:w="2034" w:type="dxa"/>
            <w:shd w:val="clear" w:color="auto" w:fill="auto"/>
            <w:vAlign w:val="bottom"/>
          </w:tcPr>
          <w:p w14:paraId="5C67B8D8" w14:textId="77777777" w:rsidR="00AF114C" w:rsidRPr="0058102A" w:rsidRDefault="00AF114C" w:rsidP="00AF114C">
            <w:pPr>
              <w:spacing w:after="0" w:line="240" w:lineRule="auto"/>
              <w:jc w:val="right"/>
              <w:rPr>
                <w:rFonts w:cs="Arial"/>
                <w:lang w:val="en-GB" w:eastAsia="en-GB"/>
              </w:rPr>
            </w:pPr>
            <w:r w:rsidRPr="0058102A">
              <w:rPr>
                <w:rFonts w:cs="Arial"/>
                <w:lang w:val="en-GB" w:eastAsia="en-GB"/>
              </w:rPr>
              <w:t>0</w:t>
            </w:r>
          </w:p>
        </w:tc>
        <w:tc>
          <w:tcPr>
            <w:tcW w:w="2034" w:type="dxa"/>
            <w:shd w:val="clear" w:color="auto" w:fill="auto"/>
            <w:vAlign w:val="bottom"/>
          </w:tcPr>
          <w:p w14:paraId="122B2CEF" w14:textId="77777777" w:rsidR="00AF114C" w:rsidRPr="0058102A" w:rsidRDefault="00AF114C" w:rsidP="00AF114C">
            <w:pPr>
              <w:spacing w:after="0" w:line="240" w:lineRule="auto"/>
              <w:jc w:val="right"/>
              <w:rPr>
                <w:rFonts w:cs="Arial"/>
                <w:lang w:val="en-GB" w:eastAsia="en-GB"/>
              </w:rPr>
            </w:pPr>
            <w:r w:rsidRPr="0058102A">
              <w:rPr>
                <w:rFonts w:cs="Arial"/>
                <w:lang w:val="en-GB" w:eastAsia="en-GB"/>
              </w:rPr>
              <w:t>72,283</w:t>
            </w:r>
          </w:p>
        </w:tc>
      </w:tr>
      <w:tr w:rsidR="00AF114C" w:rsidRPr="00AF114C" w14:paraId="7C7DE866" w14:textId="77777777" w:rsidTr="00AF114C">
        <w:tblPrEx>
          <w:tblCellMar>
            <w:top w:w="0" w:type="dxa"/>
            <w:bottom w:w="0" w:type="dxa"/>
          </w:tblCellMar>
        </w:tblPrEx>
        <w:tc>
          <w:tcPr>
            <w:tcW w:w="4788" w:type="dxa"/>
            <w:shd w:val="clear" w:color="auto" w:fill="auto"/>
            <w:vAlign w:val="bottom"/>
          </w:tcPr>
          <w:p w14:paraId="27B1B023" w14:textId="77777777" w:rsidR="00AF114C" w:rsidRPr="0058102A" w:rsidRDefault="00AF114C" w:rsidP="00AF114C">
            <w:pPr>
              <w:pStyle w:val="TableRowHead"/>
              <w:rPr>
                <w:lang w:val="en-GB" w:eastAsia="en-GB"/>
              </w:rPr>
            </w:pPr>
            <w:r w:rsidRPr="0058102A">
              <w:rPr>
                <w:lang w:val="en-GB" w:eastAsia="en-GB"/>
              </w:rPr>
              <w:t>Accruals</w:t>
            </w:r>
          </w:p>
        </w:tc>
        <w:tc>
          <w:tcPr>
            <w:tcW w:w="2034" w:type="dxa"/>
            <w:shd w:val="clear" w:color="auto" w:fill="auto"/>
            <w:vAlign w:val="bottom"/>
          </w:tcPr>
          <w:p w14:paraId="66BEF299" w14:textId="77777777" w:rsidR="00AF114C" w:rsidRPr="0058102A" w:rsidRDefault="00AF114C" w:rsidP="00AF114C">
            <w:pPr>
              <w:spacing w:after="0" w:line="240" w:lineRule="auto"/>
              <w:jc w:val="right"/>
              <w:rPr>
                <w:rFonts w:cs="Arial"/>
                <w:lang w:val="en-GB" w:eastAsia="en-GB"/>
              </w:rPr>
            </w:pPr>
            <w:r w:rsidRPr="0058102A">
              <w:rPr>
                <w:rFonts w:cs="Arial"/>
                <w:lang w:val="en-GB" w:eastAsia="en-GB"/>
              </w:rPr>
              <w:t>47,280</w:t>
            </w:r>
          </w:p>
        </w:tc>
        <w:tc>
          <w:tcPr>
            <w:tcW w:w="2034" w:type="dxa"/>
            <w:shd w:val="clear" w:color="auto" w:fill="auto"/>
            <w:vAlign w:val="bottom"/>
          </w:tcPr>
          <w:p w14:paraId="466DC726" w14:textId="77777777" w:rsidR="00AF114C" w:rsidRPr="0058102A" w:rsidRDefault="00AF114C" w:rsidP="00AF114C">
            <w:pPr>
              <w:spacing w:after="0" w:line="240" w:lineRule="auto"/>
              <w:jc w:val="right"/>
              <w:rPr>
                <w:rFonts w:cs="Arial"/>
                <w:lang w:val="en-GB" w:eastAsia="en-GB"/>
              </w:rPr>
            </w:pPr>
            <w:r w:rsidRPr="0058102A">
              <w:rPr>
                <w:rFonts w:cs="Arial"/>
                <w:lang w:val="en-GB" w:eastAsia="en-GB"/>
              </w:rPr>
              <w:t>118,197</w:t>
            </w:r>
          </w:p>
        </w:tc>
      </w:tr>
      <w:tr w:rsidR="00AF114C" w:rsidRPr="00AF114C" w14:paraId="14BABAE6" w14:textId="77777777" w:rsidTr="00AF114C">
        <w:tblPrEx>
          <w:tblCellMar>
            <w:top w:w="0" w:type="dxa"/>
            <w:bottom w:w="0" w:type="dxa"/>
          </w:tblCellMar>
        </w:tblPrEx>
        <w:tc>
          <w:tcPr>
            <w:tcW w:w="4788" w:type="dxa"/>
            <w:shd w:val="clear" w:color="auto" w:fill="auto"/>
            <w:vAlign w:val="bottom"/>
          </w:tcPr>
          <w:p w14:paraId="05498AF8" w14:textId="77777777" w:rsidR="00AF114C" w:rsidRPr="0058102A" w:rsidRDefault="00AF114C" w:rsidP="00AF114C">
            <w:pPr>
              <w:pStyle w:val="TableRowHead"/>
              <w:rPr>
                <w:lang w:val="en-GB" w:eastAsia="en-GB"/>
              </w:rPr>
            </w:pPr>
            <w:r w:rsidRPr="0058102A">
              <w:rPr>
                <w:lang w:val="en-GB" w:eastAsia="en-GB"/>
              </w:rPr>
              <w:t>Total Creditors</w:t>
            </w:r>
          </w:p>
        </w:tc>
        <w:tc>
          <w:tcPr>
            <w:tcW w:w="2034" w:type="dxa"/>
            <w:shd w:val="clear" w:color="auto" w:fill="auto"/>
            <w:vAlign w:val="bottom"/>
          </w:tcPr>
          <w:p w14:paraId="7164ED96" w14:textId="77777777" w:rsidR="00AF114C" w:rsidRPr="0058102A" w:rsidRDefault="00AF114C" w:rsidP="00AF114C">
            <w:pPr>
              <w:spacing w:after="0" w:line="240" w:lineRule="auto"/>
              <w:jc w:val="right"/>
              <w:rPr>
                <w:rFonts w:cs="Arial"/>
                <w:b/>
                <w:lang w:val="en-GB" w:eastAsia="en-GB"/>
              </w:rPr>
            </w:pPr>
            <w:r w:rsidRPr="0058102A">
              <w:rPr>
                <w:rFonts w:cs="Arial"/>
                <w:b/>
                <w:lang w:val="en-GB" w:eastAsia="en-GB"/>
              </w:rPr>
              <w:t>47,280</w:t>
            </w:r>
          </w:p>
        </w:tc>
        <w:tc>
          <w:tcPr>
            <w:tcW w:w="2034" w:type="dxa"/>
            <w:shd w:val="clear" w:color="auto" w:fill="auto"/>
            <w:vAlign w:val="bottom"/>
          </w:tcPr>
          <w:p w14:paraId="47FB74C0" w14:textId="77777777" w:rsidR="00AF114C" w:rsidRPr="0058102A" w:rsidRDefault="00AF114C" w:rsidP="00AF114C">
            <w:pPr>
              <w:spacing w:after="0" w:line="240" w:lineRule="auto"/>
              <w:jc w:val="right"/>
              <w:rPr>
                <w:rFonts w:cs="Arial"/>
                <w:b/>
                <w:lang w:val="en-GB" w:eastAsia="en-GB"/>
              </w:rPr>
            </w:pPr>
            <w:r w:rsidRPr="0058102A">
              <w:rPr>
                <w:rFonts w:cs="Arial"/>
                <w:b/>
                <w:lang w:val="en-GB" w:eastAsia="en-GB"/>
              </w:rPr>
              <w:t>190,480</w:t>
            </w:r>
          </w:p>
        </w:tc>
      </w:tr>
    </w:tbl>
    <w:p w14:paraId="5AA0D887" w14:textId="77777777" w:rsidR="0058102A" w:rsidRPr="0058102A" w:rsidRDefault="0058102A" w:rsidP="0058102A">
      <w:pPr>
        <w:pStyle w:val="TableTitle"/>
        <w:jc w:val="left"/>
      </w:pPr>
      <w:r w:rsidRPr="0058102A">
        <w:t xml:space="preserve">12. Debtors </w:t>
      </w:r>
      <w:proofErr w:type="gramStart"/>
      <w:r w:rsidRPr="0058102A">
        <w:t>And</w:t>
      </w:r>
      <w:proofErr w:type="gramEnd"/>
      <w:r w:rsidRPr="0058102A">
        <w:t xml:space="preserve"> Prepayments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58102A" w:rsidRPr="0058102A" w14:paraId="2F319ABA" w14:textId="77777777" w:rsidTr="006F18C4">
        <w:tblPrEx>
          <w:tblCellMar>
            <w:top w:w="0" w:type="dxa"/>
            <w:bottom w:w="0" w:type="dxa"/>
          </w:tblCellMar>
        </w:tblPrEx>
        <w:trPr>
          <w:tblHeader/>
        </w:trPr>
        <w:tc>
          <w:tcPr>
            <w:tcW w:w="4788" w:type="dxa"/>
            <w:shd w:val="clear" w:color="auto" w:fill="auto"/>
          </w:tcPr>
          <w:p w14:paraId="679F9E1D" w14:textId="77777777" w:rsidR="0058102A" w:rsidRPr="0058102A" w:rsidRDefault="0058102A" w:rsidP="0058102A">
            <w:pPr>
              <w:pStyle w:val="TableHead"/>
              <w:jc w:val="right"/>
            </w:pPr>
          </w:p>
        </w:tc>
        <w:tc>
          <w:tcPr>
            <w:tcW w:w="2034" w:type="dxa"/>
            <w:shd w:val="clear" w:color="auto" w:fill="auto"/>
            <w:vAlign w:val="bottom"/>
          </w:tcPr>
          <w:p w14:paraId="7181AE07" w14:textId="77777777" w:rsidR="0058102A" w:rsidRPr="009079DB" w:rsidRDefault="0058102A" w:rsidP="006F18C4">
            <w:pPr>
              <w:spacing w:after="0" w:line="240" w:lineRule="auto"/>
              <w:jc w:val="right"/>
              <w:rPr>
                <w:rFonts w:cs="Arial"/>
                <w:b/>
                <w:bCs/>
                <w:lang w:val="en-GB" w:eastAsia="en-GB"/>
              </w:rPr>
            </w:pPr>
            <w:r w:rsidRPr="009079DB">
              <w:rPr>
                <w:rFonts w:cs="Arial"/>
                <w:b/>
                <w:bCs/>
                <w:lang w:val="en-GB" w:eastAsia="en-GB"/>
              </w:rPr>
              <w:t>2010</w:t>
            </w:r>
          </w:p>
        </w:tc>
        <w:tc>
          <w:tcPr>
            <w:tcW w:w="2034" w:type="dxa"/>
            <w:shd w:val="clear" w:color="auto" w:fill="auto"/>
            <w:vAlign w:val="bottom"/>
          </w:tcPr>
          <w:p w14:paraId="16FE272D" w14:textId="77777777" w:rsidR="0058102A" w:rsidRPr="009079DB" w:rsidRDefault="0058102A" w:rsidP="006F18C4">
            <w:pPr>
              <w:spacing w:after="0" w:line="240" w:lineRule="auto"/>
              <w:jc w:val="right"/>
              <w:rPr>
                <w:rFonts w:cs="Arial"/>
                <w:b/>
                <w:bCs/>
                <w:lang w:val="en-GB" w:eastAsia="en-GB"/>
              </w:rPr>
            </w:pPr>
            <w:r w:rsidRPr="009079DB">
              <w:rPr>
                <w:rFonts w:cs="Arial"/>
                <w:b/>
                <w:bCs/>
                <w:lang w:val="en-GB" w:eastAsia="en-GB"/>
              </w:rPr>
              <w:t>2009</w:t>
            </w:r>
          </w:p>
        </w:tc>
      </w:tr>
      <w:tr w:rsidR="0058102A" w:rsidRPr="0058102A" w14:paraId="3036ADA1" w14:textId="77777777" w:rsidTr="006F18C4">
        <w:tblPrEx>
          <w:tblCellMar>
            <w:top w:w="0" w:type="dxa"/>
            <w:bottom w:w="0" w:type="dxa"/>
          </w:tblCellMar>
        </w:tblPrEx>
        <w:trPr>
          <w:tblHeader/>
        </w:trPr>
        <w:tc>
          <w:tcPr>
            <w:tcW w:w="4788" w:type="dxa"/>
            <w:shd w:val="clear" w:color="auto" w:fill="auto"/>
          </w:tcPr>
          <w:p w14:paraId="1D099FF3" w14:textId="77777777" w:rsidR="0058102A" w:rsidRPr="0058102A" w:rsidRDefault="0058102A" w:rsidP="0058102A">
            <w:pPr>
              <w:pStyle w:val="TableHead"/>
              <w:jc w:val="right"/>
            </w:pPr>
          </w:p>
        </w:tc>
        <w:tc>
          <w:tcPr>
            <w:tcW w:w="2034" w:type="dxa"/>
            <w:shd w:val="clear" w:color="auto" w:fill="auto"/>
            <w:vAlign w:val="bottom"/>
          </w:tcPr>
          <w:p w14:paraId="1549E09B" w14:textId="77777777" w:rsidR="0058102A" w:rsidRPr="00B22912" w:rsidRDefault="0058102A" w:rsidP="006F18C4">
            <w:pPr>
              <w:spacing w:after="0" w:line="240" w:lineRule="auto"/>
              <w:jc w:val="right"/>
              <w:rPr>
                <w:rFonts w:cs="Arial"/>
                <w:b/>
                <w:bCs/>
                <w:lang w:val="en-GB" w:eastAsia="en-GB"/>
              </w:rPr>
            </w:pPr>
            <w:r w:rsidRPr="00B22912">
              <w:rPr>
                <w:rFonts w:cs="Arial"/>
                <w:b/>
                <w:bCs/>
                <w:lang w:val="en-GB" w:eastAsia="en-GB"/>
              </w:rPr>
              <w:t xml:space="preserve">          €</w:t>
            </w:r>
          </w:p>
        </w:tc>
        <w:tc>
          <w:tcPr>
            <w:tcW w:w="2034" w:type="dxa"/>
            <w:shd w:val="clear" w:color="auto" w:fill="auto"/>
            <w:vAlign w:val="bottom"/>
          </w:tcPr>
          <w:p w14:paraId="4E3A5E0B" w14:textId="77777777" w:rsidR="0058102A" w:rsidRPr="00B22912" w:rsidRDefault="0058102A" w:rsidP="006F18C4">
            <w:pPr>
              <w:spacing w:after="0" w:line="240" w:lineRule="auto"/>
              <w:jc w:val="right"/>
              <w:rPr>
                <w:rFonts w:cs="Arial"/>
                <w:b/>
                <w:bCs/>
                <w:lang w:val="en-GB" w:eastAsia="en-GB"/>
              </w:rPr>
            </w:pPr>
            <w:r w:rsidRPr="00B22912">
              <w:rPr>
                <w:rFonts w:cs="Arial"/>
                <w:b/>
                <w:bCs/>
                <w:lang w:val="en-GB" w:eastAsia="en-GB"/>
              </w:rPr>
              <w:t xml:space="preserve">          €</w:t>
            </w:r>
          </w:p>
        </w:tc>
      </w:tr>
      <w:tr w:rsidR="0058102A" w:rsidRPr="0058102A" w14:paraId="60C24AC8" w14:textId="77777777" w:rsidTr="006F18C4">
        <w:tblPrEx>
          <w:tblCellMar>
            <w:top w:w="0" w:type="dxa"/>
            <w:bottom w:w="0" w:type="dxa"/>
          </w:tblCellMar>
        </w:tblPrEx>
        <w:tc>
          <w:tcPr>
            <w:tcW w:w="4788" w:type="dxa"/>
            <w:shd w:val="clear" w:color="auto" w:fill="auto"/>
            <w:vAlign w:val="bottom"/>
          </w:tcPr>
          <w:p w14:paraId="3CAFC6F7" w14:textId="77777777" w:rsidR="0058102A" w:rsidRPr="0013007A" w:rsidRDefault="0058102A" w:rsidP="0058102A">
            <w:pPr>
              <w:pStyle w:val="TableRowHead"/>
              <w:rPr>
                <w:lang w:val="en-GB" w:eastAsia="en-GB"/>
              </w:rPr>
            </w:pPr>
            <w:r w:rsidRPr="0013007A">
              <w:rPr>
                <w:lang w:val="en-GB" w:eastAsia="en-GB"/>
              </w:rPr>
              <w:t xml:space="preserve">DOHC / </w:t>
            </w:r>
            <w:proofErr w:type="gramStart"/>
            <w:r w:rsidRPr="0013007A">
              <w:rPr>
                <w:lang w:val="en-GB" w:eastAsia="en-GB"/>
              </w:rPr>
              <w:t>FAS  Rental</w:t>
            </w:r>
            <w:proofErr w:type="gramEnd"/>
            <w:r w:rsidRPr="0013007A">
              <w:rPr>
                <w:lang w:val="en-GB" w:eastAsia="en-GB"/>
              </w:rPr>
              <w:t xml:space="preserve"> &amp; Services</w:t>
            </w:r>
          </w:p>
        </w:tc>
        <w:tc>
          <w:tcPr>
            <w:tcW w:w="2034" w:type="dxa"/>
            <w:shd w:val="clear" w:color="auto" w:fill="auto"/>
            <w:vAlign w:val="bottom"/>
          </w:tcPr>
          <w:p w14:paraId="3E70C487"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0</w:t>
            </w:r>
          </w:p>
        </w:tc>
        <w:tc>
          <w:tcPr>
            <w:tcW w:w="2034" w:type="dxa"/>
            <w:shd w:val="clear" w:color="auto" w:fill="auto"/>
            <w:vAlign w:val="bottom"/>
          </w:tcPr>
          <w:p w14:paraId="07303DDF"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41,921</w:t>
            </w:r>
          </w:p>
        </w:tc>
      </w:tr>
      <w:tr w:rsidR="0058102A" w:rsidRPr="0058102A" w14:paraId="5378FAFC" w14:textId="77777777" w:rsidTr="006F18C4">
        <w:tblPrEx>
          <w:tblCellMar>
            <w:top w:w="0" w:type="dxa"/>
            <w:bottom w:w="0" w:type="dxa"/>
          </w:tblCellMar>
        </w:tblPrEx>
        <w:tc>
          <w:tcPr>
            <w:tcW w:w="4788" w:type="dxa"/>
            <w:shd w:val="clear" w:color="auto" w:fill="auto"/>
            <w:vAlign w:val="bottom"/>
          </w:tcPr>
          <w:p w14:paraId="18BBD265" w14:textId="77777777" w:rsidR="0058102A" w:rsidRPr="0013007A" w:rsidRDefault="0058102A" w:rsidP="0058102A">
            <w:pPr>
              <w:pStyle w:val="TableRowHead"/>
              <w:rPr>
                <w:lang w:val="en-GB" w:eastAsia="en-GB"/>
              </w:rPr>
            </w:pPr>
            <w:r w:rsidRPr="0013007A">
              <w:rPr>
                <w:lang w:val="en-GB" w:eastAsia="en-GB"/>
              </w:rPr>
              <w:t xml:space="preserve">Sundry Debtors NDA </w:t>
            </w:r>
          </w:p>
        </w:tc>
        <w:tc>
          <w:tcPr>
            <w:tcW w:w="2034" w:type="dxa"/>
            <w:shd w:val="clear" w:color="auto" w:fill="auto"/>
            <w:vAlign w:val="bottom"/>
          </w:tcPr>
          <w:p w14:paraId="78832A34"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52,692</w:t>
            </w:r>
          </w:p>
        </w:tc>
        <w:tc>
          <w:tcPr>
            <w:tcW w:w="2034" w:type="dxa"/>
            <w:shd w:val="clear" w:color="auto" w:fill="auto"/>
            <w:vAlign w:val="bottom"/>
          </w:tcPr>
          <w:p w14:paraId="5AF711F6"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3,885</w:t>
            </w:r>
          </w:p>
        </w:tc>
      </w:tr>
      <w:tr w:rsidR="0058102A" w:rsidRPr="0058102A" w14:paraId="61F7B124" w14:textId="77777777" w:rsidTr="006F18C4">
        <w:tblPrEx>
          <w:tblCellMar>
            <w:top w:w="0" w:type="dxa"/>
            <w:bottom w:w="0" w:type="dxa"/>
          </w:tblCellMar>
        </w:tblPrEx>
        <w:tc>
          <w:tcPr>
            <w:tcW w:w="4788" w:type="dxa"/>
            <w:shd w:val="clear" w:color="auto" w:fill="auto"/>
            <w:vAlign w:val="bottom"/>
          </w:tcPr>
          <w:p w14:paraId="63416F9C" w14:textId="77777777" w:rsidR="0058102A" w:rsidRPr="0013007A" w:rsidRDefault="0058102A" w:rsidP="0058102A">
            <w:pPr>
              <w:pStyle w:val="TableRowHead"/>
              <w:rPr>
                <w:lang w:val="en-GB" w:eastAsia="en-GB"/>
              </w:rPr>
            </w:pPr>
            <w:r w:rsidRPr="0013007A">
              <w:rPr>
                <w:lang w:val="en-GB" w:eastAsia="en-GB"/>
              </w:rPr>
              <w:t xml:space="preserve">Prepayments   </w:t>
            </w:r>
          </w:p>
        </w:tc>
        <w:tc>
          <w:tcPr>
            <w:tcW w:w="2034" w:type="dxa"/>
            <w:shd w:val="clear" w:color="auto" w:fill="auto"/>
            <w:vAlign w:val="bottom"/>
          </w:tcPr>
          <w:p w14:paraId="60639A3F"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40,307</w:t>
            </w:r>
          </w:p>
        </w:tc>
        <w:tc>
          <w:tcPr>
            <w:tcW w:w="2034" w:type="dxa"/>
            <w:shd w:val="clear" w:color="auto" w:fill="auto"/>
            <w:vAlign w:val="bottom"/>
          </w:tcPr>
          <w:p w14:paraId="68215646" w14:textId="77777777" w:rsidR="0058102A" w:rsidRPr="009079DB" w:rsidRDefault="0058102A" w:rsidP="006F18C4">
            <w:pPr>
              <w:spacing w:after="0" w:line="240" w:lineRule="auto"/>
              <w:jc w:val="right"/>
              <w:rPr>
                <w:rFonts w:cs="Arial"/>
                <w:lang w:val="en-GB" w:eastAsia="en-GB"/>
              </w:rPr>
            </w:pPr>
            <w:r w:rsidRPr="009079DB">
              <w:rPr>
                <w:rFonts w:cs="Arial"/>
                <w:lang w:val="en-GB" w:eastAsia="en-GB"/>
              </w:rPr>
              <w:t>44,618</w:t>
            </w:r>
          </w:p>
        </w:tc>
      </w:tr>
      <w:tr w:rsidR="0058102A" w:rsidRPr="0058102A" w14:paraId="1D5FC42C" w14:textId="77777777" w:rsidTr="006F18C4">
        <w:tblPrEx>
          <w:tblCellMar>
            <w:top w:w="0" w:type="dxa"/>
            <w:bottom w:w="0" w:type="dxa"/>
          </w:tblCellMar>
        </w:tblPrEx>
        <w:tc>
          <w:tcPr>
            <w:tcW w:w="4788" w:type="dxa"/>
            <w:shd w:val="clear" w:color="auto" w:fill="auto"/>
            <w:vAlign w:val="bottom"/>
          </w:tcPr>
          <w:p w14:paraId="765399A0" w14:textId="77777777" w:rsidR="0058102A" w:rsidRPr="0013007A" w:rsidRDefault="0058102A" w:rsidP="0058102A">
            <w:pPr>
              <w:pStyle w:val="TableRowHead"/>
              <w:rPr>
                <w:lang w:val="en-GB" w:eastAsia="en-GB"/>
              </w:rPr>
            </w:pPr>
            <w:r w:rsidRPr="0013007A">
              <w:rPr>
                <w:lang w:val="en-GB" w:eastAsia="en-GB"/>
              </w:rPr>
              <w:t>Total Debtors</w:t>
            </w:r>
          </w:p>
        </w:tc>
        <w:tc>
          <w:tcPr>
            <w:tcW w:w="2034" w:type="dxa"/>
            <w:shd w:val="clear" w:color="auto" w:fill="auto"/>
            <w:vAlign w:val="bottom"/>
          </w:tcPr>
          <w:p w14:paraId="00399061" w14:textId="77777777" w:rsidR="0058102A" w:rsidRPr="0058102A" w:rsidRDefault="0058102A" w:rsidP="006F18C4">
            <w:pPr>
              <w:spacing w:after="0" w:line="240" w:lineRule="auto"/>
              <w:jc w:val="right"/>
              <w:rPr>
                <w:rFonts w:cs="Arial"/>
                <w:b/>
                <w:lang w:val="en-GB" w:eastAsia="en-GB"/>
              </w:rPr>
            </w:pPr>
            <w:r w:rsidRPr="0058102A">
              <w:rPr>
                <w:rFonts w:cs="Arial"/>
                <w:b/>
                <w:lang w:val="en-GB" w:eastAsia="en-GB"/>
              </w:rPr>
              <w:t>92,999</w:t>
            </w:r>
          </w:p>
        </w:tc>
        <w:tc>
          <w:tcPr>
            <w:tcW w:w="2034" w:type="dxa"/>
            <w:shd w:val="clear" w:color="auto" w:fill="auto"/>
            <w:vAlign w:val="bottom"/>
          </w:tcPr>
          <w:p w14:paraId="3B649974" w14:textId="77777777" w:rsidR="0058102A" w:rsidRPr="0058102A" w:rsidRDefault="0058102A" w:rsidP="006F18C4">
            <w:pPr>
              <w:spacing w:after="0" w:line="240" w:lineRule="auto"/>
              <w:jc w:val="right"/>
              <w:rPr>
                <w:rFonts w:cs="Arial"/>
                <w:b/>
                <w:lang w:val="en-GB" w:eastAsia="en-GB"/>
              </w:rPr>
            </w:pPr>
            <w:r w:rsidRPr="0058102A">
              <w:rPr>
                <w:rFonts w:cs="Arial"/>
                <w:b/>
                <w:lang w:val="en-GB" w:eastAsia="en-GB"/>
              </w:rPr>
              <w:t>90,424</w:t>
            </w:r>
          </w:p>
        </w:tc>
      </w:tr>
    </w:tbl>
    <w:p w14:paraId="7DF5835A" w14:textId="77777777" w:rsidR="0058102A" w:rsidRDefault="0058102A" w:rsidP="009079DB">
      <w:pPr>
        <w:spacing w:after="0" w:line="240" w:lineRule="auto"/>
      </w:pPr>
    </w:p>
    <w:p w14:paraId="4EBD1CD0" w14:textId="77777777" w:rsidR="0058102A" w:rsidRPr="009079DB" w:rsidRDefault="0058102A" w:rsidP="0058102A">
      <w:pPr>
        <w:pStyle w:val="Heading3"/>
        <w:rPr>
          <w:lang w:val="en-GB" w:eastAsia="en-GB"/>
        </w:rPr>
      </w:pPr>
      <w:r w:rsidRPr="009079DB">
        <w:rPr>
          <w:lang w:val="en-GB" w:eastAsia="en-GB"/>
        </w:rPr>
        <w:t>13</w:t>
      </w:r>
      <w:r>
        <w:rPr>
          <w:lang w:val="en-GB" w:eastAsia="en-GB"/>
        </w:rPr>
        <w:t>.</w:t>
      </w:r>
      <w:r w:rsidRPr="009079DB">
        <w:rPr>
          <w:lang w:val="en-GB" w:eastAsia="en-GB"/>
        </w:rPr>
        <w:t xml:space="preserve"> Contingent Liabilities</w:t>
      </w:r>
    </w:p>
    <w:p w14:paraId="480740FD" w14:textId="77777777" w:rsidR="0058102A" w:rsidRPr="0058102A" w:rsidRDefault="0058102A" w:rsidP="0058102A">
      <w:pPr>
        <w:rPr>
          <w:rFonts w:cs="Arial"/>
          <w:lang w:val="en-GB" w:eastAsia="en-GB"/>
        </w:rPr>
      </w:pPr>
      <w:r w:rsidRPr="009079DB">
        <w:rPr>
          <w:rFonts w:cs="Arial"/>
          <w:lang w:val="en-GB" w:eastAsia="en-GB"/>
        </w:rPr>
        <w:t xml:space="preserve"> </w:t>
      </w:r>
      <w:r w:rsidRPr="009079DB">
        <w:rPr>
          <w:lang w:val="en-GB" w:eastAsia="en-GB"/>
        </w:rPr>
        <w:t xml:space="preserve">There are no contingent liabilities </w:t>
      </w:r>
      <w:proofErr w:type="gramStart"/>
      <w:r w:rsidRPr="009079DB">
        <w:rPr>
          <w:lang w:val="en-GB" w:eastAsia="en-GB"/>
        </w:rPr>
        <w:t>at</w:t>
      </w:r>
      <w:proofErr w:type="gramEnd"/>
      <w:r w:rsidRPr="009079DB">
        <w:rPr>
          <w:lang w:val="en-GB" w:eastAsia="en-GB"/>
        </w:rPr>
        <w:t xml:space="preserve"> 31 December 2010.</w:t>
      </w:r>
    </w:p>
    <w:p w14:paraId="5954F330" w14:textId="77777777" w:rsidR="0058102A" w:rsidRPr="0058102A" w:rsidRDefault="0058102A" w:rsidP="0058102A">
      <w:pPr>
        <w:pStyle w:val="Heading3"/>
        <w:rPr>
          <w:lang w:val="en-GB" w:eastAsia="en-GB"/>
        </w:rPr>
      </w:pPr>
      <w:r w:rsidRPr="009079DB">
        <w:rPr>
          <w:lang w:val="en-GB" w:eastAsia="en-GB"/>
        </w:rPr>
        <w:t xml:space="preserve"> 14. Capital Commitments</w:t>
      </w:r>
    </w:p>
    <w:p w14:paraId="2B026B01" w14:textId="77777777" w:rsidR="0058102A" w:rsidRPr="009079DB" w:rsidRDefault="0058102A" w:rsidP="0058102A">
      <w:pPr>
        <w:rPr>
          <w:lang w:val="en-GB" w:eastAsia="en-GB"/>
        </w:rPr>
      </w:pPr>
      <w:r w:rsidRPr="009079DB">
        <w:rPr>
          <w:lang w:val="en-GB" w:eastAsia="en-GB"/>
        </w:rPr>
        <w:t xml:space="preserve">The Authority had no outstanding capital commitments as </w:t>
      </w:r>
      <w:proofErr w:type="gramStart"/>
      <w:r w:rsidRPr="009079DB">
        <w:rPr>
          <w:lang w:val="en-GB" w:eastAsia="en-GB"/>
        </w:rPr>
        <w:t>at</w:t>
      </w:r>
      <w:proofErr w:type="gramEnd"/>
      <w:r w:rsidRPr="009079DB">
        <w:rPr>
          <w:lang w:val="en-GB" w:eastAsia="en-GB"/>
        </w:rPr>
        <w:t xml:space="preserve"> 31 December 2010.</w:t>
      </w:r>
    </w:p>
    <w:p w14:paraId="16CFD4CA" w14:textId="77777777" w:rsidR="0058102A" w:rsidRPr="009079DB" w:rsidRDefault="0058102A" w:rsidP="0058102A">
      <w:pPr>
        <w:pStyle w:val="Heading3"/>
        <w:rPr>
          <w:lang w:val="en-GB" w:eastAsia="en-GB"/>
        </w:rPr>
      </w:pPr>
      <w:r w:rsidRPr="009079DB">
        <w:rPr>
          <w:lang w:val="en-GB" w:eastAsia="en-GB"/>
        </w:rPr>
        <w:t>15. Premises</w:t>
      </w:r>
    </w:p>
    <w:p w14:paraId="3E23118A" w14:textId="77777777" w:rsidR="0058102A" w:rsidRPr="009079DB" w:rsidRDefault="0058102A" w:rsidP="0058102A">
      <w:pPr>
        <w:rPr>
          <w:lang w:val="en-GB" w:eastAsia="en-GB"/>
        </w:rPr>
      </w:pPr>
      <w:r w:rsidRPr="009079DB">
        <w:rPr>
          <w:lang w:val="en-GB" w:eastAsia="en-GB"/>
        </w:rPr>
        <w:t xml:space="preserve">The Authority operates from a premises at </w:t>
      </w:r>
      <w:smartTag w:uri="urn:schemas-microsoft-com:office:smarttags" w:element="address">
        <w:smartTag w:uri="urn:schemas-microsoft-com:office:smarttags" w:element="Street">
          <w:r w:rsidRPr="009079DB">
            <w:rPr>
              <w:lang w:val="en-GB" w:eastAsia="en-GB"/>
            </w:rPr>
            <w:t>25 Clyde Road</w:t>
          </w:r>
        </w:smartTag>
      </w:smartTag>
      <w:r w:rsidRPr="009079DB">
        <w:rPr>
          <w:lang w:val="en-GB" w:eastAsia="en-GB"/>
        </w:rPr>
        <w:t xml:space="preserve">, Ballsbridge, </w:t>
      </w:r>
      <w:smartTag w:uri="urn:schemas-microsoft-com:office:smarttags" w:element="City">
        <w:smartTag w:uri="urn:schemas-microsoft-com:office:smarttags" w:element="place">
          <w:r w:rsidRPr="009079DB">
            <w:rPr>
              <w:lang w:val="en-GB" w:eastAsia="en-GB"/>
            </w:rPr>
            <w:t>Dublin</w:t>
          </w:r>
        </w:smartTag>
      </w:smartTag>
      <w:r w:rsidRPr="009079DB">
        <w:rPr>
          <w:lang w:val="en-GB" w:eastAsia="en-GB"/>
        </w:rPr>
        <w:t xml:space="preserve"> 4 which it occupies and owns.</w:t>
      </w:r>
    </w:p>
    <w:p w14:paraId="6264B1E6" w14:textId="77777777" w:rsidR="0058102A" w:rsidRPr="009079DB" w:rsidRDefault="0058102A" w:rsidP="0058102A">
      <w:pPr>
        <w:pStyle w:val="Heading3"/>
        <w:rPr>
          <w:lang w:val="en-GB" w:eastAsia="en-GB"/>
        </w:rPr>
      </w:pPr>
      <w:r w:rsidRPr="009079DB">
        <w:rPr>
          <w:lang w:val="en-GB" w:eastAsia="en-GB"/>
        </w:rPr>
        <w:t xml:space="preserve">16. Approval </w:t>
      </w:r>
      <w:proofErr w:type="gramStart"/>
      <w:r w:rsidRPr="009079DB">
        <w:rPr>
          <w:lang w:val="en-GB" w:eastAsia="en-GB"/>
        </w:rPr>
        <w:t>Of</w:t>
      </w:r>
      <w:proofErr w:type="gramEnd"/>
      <w:r w:rsidRPr="009079DB">
        <w:rPr>
          <w:lang w:val="en-GB" w:eastAsia="en-GB"/>
        </w:rPr>
        <w:t xml:space="preserve"> Financial Statements</w:t>
      </w:r>
    </w:p>
    <w:p w14:paraId="4C09AB6E" w14:textId="77777777" w:rsidR="0058102A" w:rsidRPr="009079DB" w:rsidRDefault="0058102A" w:rsidP="0058102A">
      <w:pPr>
        <w:rPr>
          <w:lang w:val="en-GB" w:eastAsia="en-GB"/>
        </w:rPr>
      </w:pPr>
      <w:r w:rsidRPr="009079DB">
        <w:rPr>
          <w:lang w:val="en-GB" w:eastAsia="en-GB"/>
        </w:rPr>
        <w:t>The Financial Statements wer</w:t>
      </w:r>
      <w:r w:rsidR="00141421">
        <w:rPr>
          <w:lang w:val="en-GB" w:eastAsia="en-GB"/>
        </w:rPr>
        <w:t xml:space="preserve">e approved by the Authority on </w:t>
      </w:r>
      <w:r w:rsidRPr="009079DB">
        <w:rPr>
          <w:lang w:val="en-GB" w:eastAsia="en-GB"/>
        </w:rPr>
        <w:t>16 June 2011</w:t>
      </w:r>
    </w:p>
    <w:p w14:paraId="2A0283DD" w14:textId="77777777" w:rsidR="00A8356B" w:rsidRPr="002C6872" w:rsidRDefault="00A8356B" w:rsidP="00073756">
      <w:pPr>
        <w:pStyle w:val="Heading1"/>
      </w:pPr>
      <w:r w:rsidRPr="002C6872">
        <w:br w:type="page"/>
      </w:r>
      <w:bookmarkStart w:id="383" w:name="_Toc299360705"/>
      <w:bookmarkStart w:id="384" w:name="_Toc299362487"/>
      <w:bookmarkStart w:id="385" w:name="_Toc299362575"/>
      <w:bookmarkStart w:id="386" w:name="_Toc300742184"/>
      <w:bookmarkStart w:id="387" w:name="_Toc300742936"/>
      <w:bookmarkStart w:id="388" w:name="_Toc300744288"/>
      <w:bookmarkStart w:id="389" w:name="_Toc304371211"/>
      <w:bookmarkStart w:id="390" w:name="_Toc304381930"/>
      <w:r w:rsidR="0013007A">
        <w:lastRenderedPageBreak/>
        <w:t>Appendices</w:t>
      </w:r>
      <w:r w:rsidR="0013007A">
        <w:br w:type="page"/>
      </w:r>
      <w:bookmarkStart w:id="391" w:name="_Toc299360706"/>
      <w:bookmarkStart w:id="392" w:name="_Toc299362488"/>
      <w:bookmarkStart w:id="393" w:name="_Toc299362576"/>
      <w:bookmarkStart w:id="394" w:name="_Toc300742185"/>
      <w:bookmarkStart w:id="395" w:name="_Toc300742937"/>
      <w:bookmarkStart w:id="396" w:name="_Toc300744289"/>
      <w:bookmarkStart w:id="397" w:name="_Toc304371212"/>
      <w:bookmarkStart w:id="398" w:name="_Toc304381931"/>
      <w:r w:rsidR="008C1AAD" w:rsidRPr="002C6872">
        <w:lastRenderedPageBreak/>
        <w:t xml:space="preserve">Appendix </w:t>
      </w:r>
      <w:r w:rsidR="00A15917">
        <w:t>1</w:t>
      </w:r>
      <w:bookmarkStart w:id="399" w:name="_Toc299362577"/>
      <w:bookmarkEnd w:id="383"/>
      <w:bookmarkEnd w:id="384"/>
      <w:bookmarkEnd w:id="385"/>
      <w:bookmarkEnd w:id="391"/>
      <w:bookmarkEnd w:id="392"/>
      <w:bookmarkEnd w:id="393"/>
      <w:r w:rsidR="00073756">
        <w:t xml:space="preserve">: Authority and other Committees </w:t>
      </w:r>
      <w:r w:rsidR="00154FB8" w:rsidRPr="002C6872">
        <w:t>in 20</w:t>
      </w:r>
      <w:r w:rsidRPr="002C6872">
        <w:t>10</w:t>
      </w:r>
      <w:bookmarkEnd w:id="386"/>
      <w:bookmarkEnd w:id="387"/>
      <w:bookmarkEnd w:id="388"/>
      <w:bookmarkEnd w:id="389"/>
      <w:bookmarkEnd w:id="390"/>
      <w:bookmarkEnd w:id="394"/>
      <w:bookmarkEnd w:id="395"/>
      <w:bookmarkEnd w:id="396"/>
      <w:bookmarkEnd w:id="397"/>
      <w:bookmarkEnd w:id="398"/>
      <w:bookmarkEnd w:id="399"/>
    </w:p>
    <w:p w14:paraId="3D897427" w14:textId="77777777" w:rsidR="00A8356B" w:rsidRPr="002C6872" w:rsidRDefault="00A8356B" w:rsidP="00A8356B">
      <w:pPr>
        <w:pStyle w:val="Heading3"/>
      </w:pPr>
      <w:r w:rsidRPr="002C6872">
        <w:t>Audit Committee</w:t>
      </w:r>
    </w:p>
    <w:p w14:paraId="5D39BEDA"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Donal Lawlor (Chair)</w:t>
      </w:r>
      <w:r w:rsidRPr="002C6872">
        <w:rPr>
          <w:rFonts w:ascii="Helv" w:hAnsi="Helv" w:cs="Helv"/>
          <w:color w:val="000000"/>
          <w:lang w:eastAsia="en-GB"/>
        </w:rPr>
        <w:tab/>
      </w:r>
    </w:p>
    <w:p w14:paraId="0B5BA45D"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 xml:space="preserve">Robert </w:t>
      </w:r>
      <w:proofErr w:type="spellStart"/>
      <w:r w:rsidRPr="002C6872">
        <w:rPr>
          <w:rFonts w:ascii="Helv" w:hAnsi="Helv" w:cs="Helv"/>
          <w:color w:val="000000"/>
          <w:lang w:eastAsia="en-GB"/>
        </w:rPr>
        <w:t>Cashell</w:t>
      </w:r>
      <w:proofErr w:type="spellEnd"/>
    </w:p>
    <w:p w14:paraId="55BD3E3A"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 xml:space="preserve">Frank </w:t>
      </w:r>
      <w:proofErr w:type="spellStart"/>
      <w:r w:rsidRPr="002C6872">
        <w:rPr>
          <w:rFonts w:ascii="Helv" w:hAnsi="Helv" w:cs="Helv"/>
          <w:color w:val="000000"/>
          <w:lang w:eastAsia="en-GB"/>
        </w:rPr>
        <w:t>Cunneen</w:t>
      </w:r>
      <w:proofErr w:type="spellEnd"/>
    </w:p>
    <w:p w14:paraId="58092AFC"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Brian Duffy</w:t>
      </w:r>
    </w:p>
    <w:p w14:paraId="72C2DF4F"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Li</w:t>
      </w:r>
      <w:r w:rsidR="00F46B8F" w:rsidRPr="002C6872">
        <w:rPr>
          <w:rFonts w:ascii="Helv" w:hAnsi="Helv" w:cs="Helv"/>
          <w:color w:val="000000"/>
          <w:lang w:eastAsia="en-GB"/>
        </w:rPr>
        <w:t>nda</w:t>
      </w:r>
      <w:r w:rsidRPr="002C6872">
        <w:rPr>
          <w:rFonts w:ascii="Helv" w:hAnsi="Helv" w:cs="Helv"/>
          <w:color w:val="000000"/>
          <w:lang w:eastAsia="en-GB"/>
        </w:rPr>
        <w:t xml:space="preserve"> </w:t>
      </w:r>
      <w:proofErr w:type="spellStart"/>
      <w:r w:rsidRPr="002C6872">
        <w:rPr>
          <w:rFonts w:ascii="Helv" w:hAnsi="Helv" w:cs="Helv"/>
          <w:color w:val="000000"/>
          <w:lang w:eastAsia="en-GB"/>
        </w:rPr>
        <w:t>Grealy</w:t>
      </w:r>
      <w:proofErr w:type="spellEnd"/>
      <w:r w:rsidRPr="002C6872">
        <w:rPr>
          <w:rFonts w:ascii="Helv" w:hAnsi="Helv" w:cs="Helv"/>
          <w:color w:val="000000"/>
          <w:lang w:eastAsia="en-GB"/>
        </w:rPr>
        <w:t xml:space="preserve"> (resigned, September 2010)</w:t>
      </w:r>
    </w:p>
    <w:p w14:paraId="38FDCAC4" w14:textId="77777777" w:rsidR="00A8356B" w:rsidRPr="002C6872" w:rsidRDefault="00A8356B" w:rsidP="005A2A10">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Des Kenny</w:t>
      </w:r>
    </w:p>
    <w:p w14:paraId="7B589EC9" w14:textId="77777777" w:rsidR="00A8356B" w:rsidRPr="002C6872" w:rsidRDefault="00A8356B" w:rsidP="00A8356B">
      <w:pPr>
        <w:pStyle w:val="Heading3"/>
      </w:pPr>
      <w:r w:rsidRPr="002C6872">
        <w:t>Finance Committee</w:t>
      </w:r>
    </w:p>
    <w:p w14:paraId="11D08034"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 xml:space="preserve">Frank </w:t>
      </w:r>
      <w:proofErr w:type="spellStart"/>
      <w:r w:rsidRPr="002C6872">
        <w:rPr>
          <w:rFonts w:cs="Arial"/>
          <w:color w:val="000000"/>
          <w:lang w:eastAsia="en-GB"/>
        </w:rPr>
        <w:t>Cunneen</w:t>
      </w:r>
      <w:proofErr w:type="spellEnd"/>
      <w:r w:rsidRPr="002C6872">
        <w:rPr>
          <w:rFonts w:cs="Arial"/>
          <w:color w:val="000000"/>
          <w:lang w:eastAsia="en-GB"/>
        </w:rPr>
        <w:t xml:space="preserve"> (Chair)</w:t>
      </w:r>
    </w:p>
    <w:p w14:paraId="06D3160C"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Caroline Burrell</w:t>
      </w:r>
    </w:p>
    <w:p w14:paraId="6B0184F3"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David Joyce</w:t>
      </w:r>
    </w:p>
    <w:p w14:paraId="34566021"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Des Kenny</w:t>
      </w:r>
    </w:p>
    <w:p w14:paraId="70B2A395"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David Scott</w:t>
      </w:r>
    </w:p>
    <w:p w14:paraId="103A83EB" w14:textId="77777777" w:rsidR="00A8356B" w:rsidRPr="002C6872" w:rsidRDefault="00A8356B" w:rsidP="00A8356B">
      <w:pPr>
        <w:pStyle w:val="Heading3"/>
      </w:pPr>
      <w:r w:rsidRPr="002C6872">
        <w:t>National Disability Strategy Sub-committee</w:t>
      </w:r>
    </w:p>
    <w:p w14:paraId="2FE37A5B" w14:textId="77777777" w:rsidR="00A8356B" w:rsidRPr="002C6872" w:rsidRDefault="00A8356B" w:rsidP="00A8356B">
      <w:pPr>
        <w:autoSpaceDE w:val="0"/>
        <w:autoSpaceDN w:val="0"/>
        <w:adjustRightInd w:val="0"/>
        <w:spacing w:after="0" w:line="240" w:lineRule="auto"/>
        <w:rPr>
          <w:rFonts w:cs="Arial"/>
          <w:color w:val="000000"/>
          <w:lang w:eastAsia="en-GB"/>
        </w:rPr>
      </w:pPr>
      <w:r w:rsidRPr="002C6872">
        <w:rPr>
          <w:rFonts w:cs="Arial"/>
          <w:color w:val="000000"/>
          <w:lang w:eastAsia="en-GB"/>
        </w:rPr>
        <w:t>Shane Hogan (Chair)</w:t>
      </w:r>
    </w:p>
    <w:p w14:paraId="44D9C070"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 xml:space="preserve">Tara Cunningham </w:t>
      </w:r>
    </w:p>
    <w:p w14:paraId="70B8582F"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Colm Desmond</w:t>
      </w:r>
      <w:r w:rsidR="00154FB8" w:rsidRPr="002C6872">
        <w:rPr>
          <w:rFonts w:ascii="Helv" w:hAnsi="Helv" w:cs="Helv"/>
          <w:color w:val="000000"/>
          <w:lang w:eastAsia="en-GB"/>
        </w:rPr>
        <w:t xml:space="preserve"> (resigned, December 2010)</w:t>
      </w:r>
    </w:p>
    <w:p w14:paraId="6B1BF88F"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 xml:space="preserve">David Joyce </w:t>
      </w:r>
    </w:p>
    <w:p w14:paraId="2B1B7EF6" w14:textId="77777777" w:rsidR="00A8356B" w:rsidRPr="002C6872" w:rsidRDefault="00A8356B"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Mary Lavelle</w:t>
      </w:r>
    </w:p>
    <w:p w14:paraId="58E26454" w14:textId="77777777" w:rsidR="00A8356B" w:rsidRPr="002C6872" w:rsidRDefault="0000354E" w:rsidP="00A8356B">
      <w:pPr>
        <w:autoSpaceDE w:val="0"/>
        <w:autoSpaceDN w:val="0"/>
        <w:adjustRightInd w:val="0"/>
        <w:spacing w:after="0" w:line="240" w:lineRule="auto"/>
        <w:rPr>
          <w:rFonts w:ascii="Helv" w:hAnsi="Helv" w:cs="Helv"/>
          <w:color w:val="000000"/>
          <w:lang w:eastAsia="en-GB"/>
        </w:rPr>
      </w:pPr>
      <w:r w:rsidRPr="002C6872">
        <w:rPr>
          <w:rFonts w:ascii="Helv" w:hAnsi="Helv" w:cs="Helv"/>
          <w:color w:val="000000"/>
          <w:lang w:eastAsia="en-GB"/>
        </w:rPr>
        <w:t>Joanne Mc</w:t>
      </w:r>
      <w:r w:rsidR="00A8356B" w:rsidRPr="002C6872">
        <w:rPr>
          <w:rFonts w:ascii="Helv" w:hAnsi="Helv" w:cs="Helv"/>
          <w:color w:val="000000"/>
          <w:lang w:eastAsia="en-GB"/>
        </w:rPr>
        <w:t xml:space="preserve">Carthy </w:t>
      </w:r>
    </w:p>
    <w:p w14:paraId="002FD6DE" w14:textId="77777777" w:rsidR="00154FB8" w:rsidRPr="002C6872" w:rsidRDefault="00154FB8" w:rsidP="00154FB8">
      <w:pPr>
        <w:pStyle w:val="Heading2"/>
      </w:pPr>
      <w:bookmarkStart w:id="400" w:name="_Toc299362578"/>
      <w:bookmarkStart w:id="401" w:name="_Toc300742186"/>
      <w:bookmarkStart w:id="402" w:name="_Toc300742938"/>
      <w:bookmarkStart w:id="403" w:name="_Toc300744290"/>
      <w:r w:rsidRPr="002C6872">
        <w:t>Other Committees</w:t>
      </w:r>
      <w:bookmarkEnd w:id="400"/>
      <w:bookmarkEnd w:id="401"/>
      <w:bookmarkEnd w:id="402"/>
      <w:bookmarkEnd w:id="403"/>
    </w:p>
    <w:p w14:paraId="4652A8C9" w14:textId="77777777" w:rsidR="0000354E" w:rsidRPr="002C6872" w:rsidRDefault="00A8356B" w:rsidP="0000354E">
      <w:pPr>
        <w:pStyle w:val="Heading3"/>
      </w:pPr>
      <w:r w:rsidRPr="002C6872">
        <w:t xml:space="preserve">Excellence through Accessibility </w:t>
      </w:r>
      <w:r w:rsidR="00154FB8" w:rsidRPr="002C6872">
        <w:t xml:space="preserve">Awards </w:t>
      </w:r>
      <w:r w:rsidRPr="002C6872">
        <w:t xml:space="preserve">Approvals Board </w:t>
      </w:r>
    </w:p>
    <w:p w14:paraId="6C221251" w14:textId="77777777" w:rsidR="0000354E" w:rsidRPr="002C6872" w:rsidRDefault="0000354E" w:rsidP="0000354E">
      <w:pPr>
        <w:spacing w:after="0"/>
      </w:pPr>
      <w:r w:rsidRPr="002C6872">
        <w:t>James McClean (Chair</w:t>
      </w:r>
      <w:r w:rsidR="00A8356B" w:rsidRPr="002C6872">
        <w:t>)</w:t>
      </w:r>
    </w:p>
    <w:p w14:paraId="722599D8" w14:textId="77777777" w:rsidR="0000354E" w:rsidRPr="002C6872" w:rsidRDefault="00A8356B" w:rsidP="0000354E">
      <w:pPr>
        <w:spacing w:after="0"/>
      </w:pPr>
      <w:r w:rsidRPr="002C6872">
        <w:t>Alexis Donnelly</w:t>
      </w:r>
    </w:p>
    <w:p w14:paraId="278BED61" w14:textId="77777777" w:rsidR="0000354E" w:rsidRPr="002C6872" w:rsidRDefault="0000354E" w:rsidP="0000354E">
      <w:pPr>
        <w:spacing w:after="0"/>
      </w:pPr>
      <w:r w:rsidRPr="002C6872">
        <w:t>Chrissie Keane</w:t>
      </w:r>
      <w:r w:rsidR="00A8356B" w:rsidRPr="002C6872">
        <w:t xml:space="preserve"> </w:t>
      </w:r>
    </w:p>
    <w:p w14:paraId="3E1E6A18" w14:textId="77777777" w:rsidR="0000354E" w:rsidRPr="002C6872" w:rsidRDefault="005A2A10" w:rsidP="0000354E">
      <w:pPr>
        <w:spacing w:after="0"/>
      </w:pPr>
      <w:r w:rsidRPr="002C6872">
        <w:t>Mícheál</w:t>
      </w:r>
      <w:r w:rsidR="00A8356B" w:rsidRPr="002C6872">
        <w:t xml:space="preserve"> McDonnell </w:t>
      </w:r>
    </w:p>
    <w:p w14:paraId="2FD8FBFA" w14:textId="77777777" w:rsidR="0000354E" w:rsidRPr="002C6872" w:rsidRDefault="00A8356B" w:rsidP="0000354E">
      <w:pPr>
        <w:spacing w:after="0"/>
      </w:pPr>
      <w:r w:rsidRPr="002C6872">
        <w:t>Barry McMullen</w:t>
      </w:r>
      <w:r w:rsidR="0000354E" w:rsidRPr="002C6872">
        <w:t xml:space="preserve"> </w:t>
      </w:r>
    </w:p>
    <w:p w14:paraId="324776D2" w14:textId="77777777" w:rsidR="0000354E" w:rsidRPr="002C6872" w:rsidRDefault="0000354E" w:rsidP="0000354E">
      <w:pPr>
        <w:spacing w:after="0"/>
      </w:pPr>
      <w:r w:rsidRPr="002C6872">
        <w:t xml:space="preserve">Lorna Mulvihill </w:t>
      </w:r>
    </w:p>
    <w:p w14:paraId="7AA61753" w14:textId="77777777" w:rsidR="0000354E" w:rsidRPr="002C6872" w:rsidRDefault="0000354E" w:rsidP="0000354E">
      <w:pPr>
        <w:spacing w:after="0"/>
      </w:pPr>
      <w:proofErr w:type="spellStart"/>
      <w:r w:rsidRPr="002C6872">
        <w:t>Fionnuala</w:t>
      </w:r>
      <w:proofErr w:type="spellEnd"/>
      <w:r w:rsidRPr="002C6872">
        <w:t xml:space="preserve"> Rogerson </w:t>
      </w:r>
    </w:p>
    <w:p w14:paraId="50D9BE77" w14:textId="77777777" w:rsidR="0000354E" w:rsidRPr="002C6872" w:rsidRDefault="0000354E" w:rsidP="0000354E">
      <w:pPr>
        <w:spacing w:after="0"/>
      </w:pPr>
      <w:r w:rsidRPr="002C6872">
        <w:t xml:space="preserve">Angela Rolfe </w:t>
      </w:r>
    </w:p>
    <w:p w14:paraId="4C6CCA0D" w14:textId="77777777" w:rsidR="0000354E" w:rsidRPr="002C6872" w:rsidRDefault="0000354E" w:rsidP="0000354E">
      <w:pPr>
        <w:spacing w:after="0"/>
      </w:pPr>
      <w:r w:rsidRPr="002C6872">
        <w:t xml:space="preserve">Beverly Webster </w:t>
      </w:r>
    </w:p>
    <w:p w14:paraId="04902101" w14:textId="77777777" w:rsidR="00FB743D" w:rsidRDefault="0000354E" w:rsidP="0000354E">
      <w:pPr>
        <w:spacing w:after="0"/>
      </w:pPr>
      <w:r w:rsidRPr="002C6872">
        <w:t>John Wickham</w:t>
      </w:r>
    </w:p>
    <w:p w14:paraId="284ED365" w14:textId="77777777" w:rsidR="00A2204D" w:rsidRPr="002C6872" w:rsidRDefault="00CD7190" w:rsidP="00073756">
      <w:pPr>
        <w:pStyle w:val="Heading1"/>
      </w:pPr>
      <w:r w:rsidRPr="002C6872">
        <w:br w:type="page"/>
      </w:r>
      <w:bookmarkStart w:id="404" w:name="_Toc299360707"/>
      <w:bookmarkStart w:id="405" w:name="_Toc299362489"/>
      <w:bookmarkStart w:id="406" w:name="_Toc299362579"/>
      <w:bookmarkStart w:id="407" w:name="_Toc300742187"/>
      <w:bookmarkStart w:id="408" w:name="_Toc300742939"/>
      <w:bookmarkStart w:id="409" w:name="_Toc300744291"/>
      <w:bookmarkStart w:id="410" w:name="_Toc304371213"/>
      <w:bookmarkStart w:id="411" w:name="_Toc304381932"/>
      <w:r w:rsidR="008C1AAD" w:rsidRPr="002C6872">
        <w:lastRenderedPageBreak/>
        <w:t xml:space="preserve">Appendix </w:t>
      </w:r>
      <w:r w:rsidR="00A15917">
        <w:t>2</w:t>
      </w:r>
      <w:bookmarkStart w:id="412" w:name="_Toc299362580"/>
      <w:bookmarkEnd w:id="404"/>
      <w:bookmarkEnd w:id="405"/>
      <w:bookmarkEnd w:id="406"/>
      <w:r w:rsidR="00073756">
        <w:t xml:space="preserve">: </w:t>
      </w:r>
      <w:r w:rsidR="00F46B8F" w:rsidRPr="002C6872">
        <w:t>R</w:t>
      </w:r>
      <w:r w:rsidR="00A2204D" w:rsidRPr="002C6872">
        <w:t>epresentation on external bodies in 2010</w:t>
      </w:r>
      <w:bookmarkEnd w:id="407"/>
      <w:bookmarkEnd w:id="408"/>
      <w:bookmarkEnd w:id="409"/>
      <w:bookmarkEnd w:id="410"/>
      <w:bookmarkEnd w:id="411"/>
      <w:bookmarkEnd w:id="412"/>
    </w:p>
    <w:p w14:paraId="73108DB9" w14:textId="77777777" w:rsidR="00871C18" w:rsidRPr="002C6872" w:rsidRDefault="00871C18" w:rsidP="00871C18">
      <w:pPr>
        <w:pStyle w:val="Heading3"/>
      </w:pPr>
      <w:r w:rsidRPr="002C6872">
        <w:t>Bus Éireann</w:t>
      </w:r>
    </w:p>
    <w:p w14:paraId="5D19EFB6" w14:textId="77777777" w:rsidR="00871C18" w:rsidRPr="002C6872" w:rsidRDefault="00871C18" w:rsidP="00871C18">
      <w:pPr>
        <w:pStyle w:val="ListBullet"/>
      </w:pPr>
      <w:r w:rsidRPr="002C6872">
        <w:t>Disability User Group</w:t>
      </w:r>
    </w:p>
    <w:p w14:paraId="470DFC8C" w14:textId="77777777" w:rsidR="00A2204D" w:rsidRPr="002C6872" w:rsidRDefault="00A2204D" w:rsidP="00DC1572">
      <w:pPr>
        <w:pStyle w:val="Heading3"/>
      </w:pPr>
      <w:r w:rsidRPr="002C6872">
        <w:t>Commission</w:t>
      </w:r>
      <w:r w:rsidR="00462E28" w:rsidRPr="002C6872">
        <w:t xml:space="preserve"> for Communications Regulation </w:t>
      </w:r>
    </w:p>
    <w:p w14:paraId="7E9E621E" w14:textId="77777777" w:rsidR="00A2204D" w:rsidRPr="002C6872" w:rsidRDefault="00A2204D" w:rsidP="00B14C76">
      <w:pPr>
        <w:pStyle w:val="ListBullet"/>
      </w:pPr>
      <w:r w:rsidRPr="002C6872">
        <w:t>Consumer Panel</w:t>
      </w:r>
    </w:p>
    <w:p w14:paraId="1D27223F" w14:textId="77777777" w:rsidR="00A2204D" w:rsidRPr="002C6872" w:rsidRDefault="00A2204D" w:rsidP="00B14C76">
      <w:pPr>
        <w:pStyle w:val="ListBullet"/>
      </w:pPr>
      <w:r w:rsidRPr="002C6872">
        <w:t>Industry Forum on Services for People with Disabilities</w:t>
      </w:r>
    </w:p>
    <w:p w14:paraId="01597C6B" w14:textId="77777777" w:rsidR="00A2204D" w:rsidRPr="002C6872" w:rsidRDefault="00A2204D" w:rsidP="00A2204D">
      <w:pPr>
        <w:pStyle w:val="Heading3"/>
      </w:pPr>
      <w:r w:rsidRPr="002C6872">
        <w:t>Commission for Taxi Regulation</w:t>
      </w:r>
    </w:p>
    <w:p w14:paraId="6106CAD1" w14:textId="77777777" w:rsidR="00A2204D" w:rsidRPr="002C6872" w:rsidRDefault="00A2204D" w:rsidP="00B14C76">
      <w:pPr>
        <w:pStyle w:val="ListBullet"/>
      </w:pPr>
      <w:r w:rsidRPr="002C6872">
        <w:t>Taxi Advisory Council</w:t>
      </w:r>
    </w:p>
    <w:p w14:paraId="5C9FABBC" w14:textId="77777777" w:rsidR="00E00AD0" w:rsidRPr="002C6872" w:rsidRDefault="00CB441D" w:rsidP="00E00AD0">
      <w:pPr>
        <w:pStyle w:val="Heading3"/>
      </w:pPr>
      <w:r w:rsidRPr="002C6872">
        <w:t xml:space="preserve">Department of </w:t>
      </w:r>
      <w:r w:rsidR="00E00AD0" w:rsidRPr="002C6872">
        <w:t>Communications, Energy and Natural Resources</w:t>
      </w:r>
    </w:p>
    <w:p w14:paraId="748C419B" w14:textId="77777777" w:rsidR="00E00AD0" w:rsidRPr="002C6872" w:rsidRDefault="00E00AD0" w:rsidP="00E00AD0">
      <w:pPr>
        <w:pStyle w:val="ListBullet"/>
      </w:pPr>
      <w:r w:rsidRPr="002C6872">
        <w:t>Sectoral Plan and Part 5 Monitoring Committee</w:t>
      </w:r>
    </w:p>
    <w:p w14:paraId="43BDD03E" w14:textId="77777777" w:rsidR="00A2204D" w:rsidRPr="002C6872" w:rsidRDefault="00A2204D" w:rsidP="00A2204D">
      <w:pPr>
        <w:pStyle w:val="Heading3"/>
      </w:pPr>
      <w:r w:rsidRPr="002C6872">
        <w:t xml:space="preserve">Department of the Environment, </w:t>
      </w:r>
      <w:proofErr w:type="gramStart"/>
      <w:r w:rsidRPr="002C6872">
        <w:t>Heritage</w:t>
      </w:r>
      <w:proofErr w:type="gramEnd"/>
      <w:r w:rsidRPr="002C6872">
        <w:t xml:space="preserve"> and Local Government</w:t>
      </w:r>
    </w:p>
    <w:p w14:paraId="63EABAF4" w14:textId="77777777" w:rsidR="00A2204D" w:rsidRPr="002C6872" w:rsidRDefault="00A2204D" w:rsidP="00B14C76">
      <w:pPr>
        <w:pStyle w:val="ListBullet"/>
      </w:pPr>
      <w:r w:rsidRPr="002C6872">
        <w:t>Disability Act Sectoral Plan Advisory Committee</w:t>
      </w:r>
    </w:p>
    <w:p w14:paraId="3F131A14" w14:textId="77777777" w:rsidR="00A2204D" w:rsidRPr="002C6872" w:rsidRDefault="00A2204D" w:rsidP="00B14C76">
      <w:pPr>
        <w:pStyle w:val="ListBullet"/>
      </w:pPr>
      <w:r w:rsidRPr="002C6872">
        <w:t xml:space="preserve">National Advisory Group </w:t>
      </w:r>
      <w:r w:rsidR="00DC1572" w:rsidRPr="002C6872">
        <w:t>d</w:t>
      </w:r>
      <w:r w:rsidRPr="002C6872">
        <w:t>eveloping a Housing Strategy for People with Disabilities</w:t>
      </w:r>
      <w:r w:rsidR="00DC1572" w:rsidRPr="002C6872">
        <w:t xml:space="preserve">, and its </w:t>
      </w:r>
      <w:r w:rsidRPr="002C6872">
        <w:t>Mental Health Protocol sub-group</w:t>
      </w:r>
    </w:p>
    <w:p w14:paraId="5ADC3945" w14:textId="77777777" w:rsidR="00FC0771" w:rsidRPr="002C6872" w:rsidRDefault="00FC0771" w:rsidP="00FC0771">
      <w:pPr>
        <w:pStyle w:val="Heading3"/>
      </w:pPr>
      <w:r w:rsidRPr="002C6872">
        <w:t>Department of Health and Children</w:t>
      </w:r>
    </w:p>
    <w:p w14:paraId="4D8DFB42" w14:textId="77777777" w:rsidR="00FC0771" w:rsidRPr="002C6872" w:rsidRDefault="00FC0771" w:rsidP="00B14C76">
      <w:pPr>
        <w:pStyle w:val="ListBullet"/>
      </w:pPr>
      <w:r w:rsidRPr="002C6872">
        <w:t>National Disability Advisory Committee</w:t>
      </w:r>
    </w:p>
    <w:p w14:paraId="5AED0218" w14:textId="77777777" w:rsidR="00FC0771" w:rsidRPr="002C6872" w:rsidRDefault="00FC0771" w:rsidP="00B14C76">
      <w:pPr>
        <w:pStyle w:val="ListBullet"/>
      </w:pPr>
      <w:r w:rsidRPr="002C6872">
        <w:t>National Physical and Sensory Disability Database Committee</w:t>
      </w:r>
    </w:p>
    <w:p w14:paraId="51763ADE" w14:textId="77777777" w:rsidR="00FC0771" w:rsidRPr="002C6872" w:rsidRDefault="00FC0771" w:rsidP="00B14C76">
      <w:pPr>
        <w:pStyle w:val="ListBullet"/>
      </w:pPr>
      <w:r w:rsidRPr="002C6872">
        <w:t>Policy Reference Group - Value for Money and Policy Review</w:t>
      </w:r>
    </w:p>
    <w:p w14:paraId="3FBD42EC" w14:textId="77777777" w:rsidR="00FC0771" w:rsidRPr="002C6872" w:rsidRDefault="00FC0771" w:rsidP="00B14C76">
      <w:pPr>
        <w:pStyle w:val="ListBullet"/>
      </w:pPr>
      <w:r w:rsidRPr="002C6872">
        <w:t>Vision for Change - Independent Monitoring Group</w:t>
      </w:r>
    </w:p>
    <w:p w14:paraId="5ABD1D44" w14:textId="77777777" w:rsidR="00A2204D" w:rsidRPr="002C6872" w:rsidRDefault="00A2204D" w:rsidP="00FC0771">
      <w:pPr>
        <w:pStyle w:val="Heading3"/>
      </w:pPr>
      <w:r w:rsidRPr="002C6872">
        <w:t>Department of Justice and Law Reform</w:t>
      </w:r>
    </w:p>
    <w:p w14:paraId="2418A920" w14:textId="77777777" w:rsidR="00A2204D" w:rsidRPr="002C6872" w:rsidRDefault="00462E28" w:rsidP="00B14C76">
      <w:pPr>
        <w:pStyle w:val="ListBullet"/>
      </w:pPr>
      <w:r w:rsidRPr="002C6872">
        <w:t>Disability Act 2005:</w:t>
      </w:r>
      <w:r w:rsidR="00A2204D" w:rsidRPr="002C6872">
        <w:t xml:space="preserve"> Part 5 Monitoring Committee</w:t>
      </w:r>
    </w:p>
    <w:p w14:paraId="611CE7EC" w14:textId="77777777" w:rsidR="00A2204D" w:rsidRPr="002C6872" w:rsidRDefault="00871C18" w:rsidP="00B14C76">
      <w:pPr>
        <w:pStyle w:val="ListBullet"/>
      </w:pPr>
      <w:r w:rsidRPr="002C6872">
        <w:t xml:space="preserve">COSC </w:t>
      </w:r>
      <w:r w:rsidR="00A2204D" w:rsidRPr="002C6872">
        <w:t>National Steering Committee</w:t>
      </w:r>
    </w:p>
    <w:p w14:paraId="2CFA2486" w14:textId="77777777" w:rsidR="0000354E" w:rsidRPr="002C6872" w:rsidRDefault="0000354E" w:rsidP="00B14C76">
      <w:pPr>
        <w:pStyle w:val="ListBullet"/>
      </w:pPr>
      <w:r w:rsidRPr="002C6872">
        <w:t>Public Sector Equality Learning Network</w:t>
      </w:r>
    </w:p>
    <w:p w14:paraId="1357EFB7" w14:textId="77777777" w:rsidR="00A2204D" w:rsidRPr="002C6872" w:rsidRDefault="00A2204D" w:rsidP="00A2204D">
      <w:pPr>
        <w:pStyle w:val="Heading3"/>
      </w:pPr>
      <w:r w:rsidRPr="002C6872">
        <w:t>Department of Social Protection</w:t>
      </w:r>
    </w:p>
    <w:p w14:paraId="2F93FA73" w14:textId="77777777" w:rsidR="00A2204D" w:rsidRPr="002C6872" w:rsidRDefault="00A2204D" w:rsidP="00B14C76">
      <w:pPr>
        <w:pStyle w:val="ListBullet"/>
      </w:pPr>
      <w:r w:rsidRPr="002C6872">
        <w:t>Disability Consultative Forum</w:t>
      </w:r>
    </w:p>
    <w:p w14:paraId="5AFBE5BE" w14:textId="77777777" w:rsidR="00592ED5" w:rsidRPr="002C6872" w:rsidRDefault="00592ED5" w:rsidP="00B14C76">
      <w:pPr>
        <w:pStyle w:val="ListBullet"/>
      </w:pPr>
      <w:r w:rsidRPr="002C6872">
        <w:rPr>
          <w:lang w:eastAsia="en-IE"/>
        </w:rPr>
        <w:t>Implementation Team, Disability Activation Project</w:t>
      </w:r>
    </w:p>
    <w:p w14:paraId="0CA98D4F" w14:textId="77777777" w:rsidR="00A2204D" w:rsidRPr="002C6872" w:rsidRDefault="00462E28" w:rsidP="00B14C76">
      <w:pPr>
        <w:pStyle w:val="ListBullet"/>
      </w:pPr>
      <w:r w:rsidRPr="002C6872">
        <w:t>National Advisory Committee on</w:t>
      </w:r>
      <w:r w:rsidR="00A2204D" w:rsidRPr="002C6872">
        <w:t xml:space="preserve"> the European Year for Combating Poverty and Social Exclusion 2010</w:t>
      </w:r>
    </w:p>
    <w:p w14:paraId="5F9EB6A9" w14:textId="77777777" w:rsidR="00871C18" w:rsidRPr="002C6872" w:rsidRDefault="00871C18" w:rsidP="00871C18">
      <w:pPr>
        <w:pStyle w:val="Heading3"/>
      </w:pPr>
      <w:r w:rsidRPr="002C6872">
        <w:t>Department of the Taoiseach</w:t>
      </w:r>
    </w:p>
    <w:p w14:paraId="66D25C9D" w14:textId="77777777" w:rsidR="00871C18" w:rsidRPr="002C6872" w:rsidRDefault="00871C18" w:rsidP="00871C18">
      <w:pPr>
        <w:pStyle w:val="ListBullet"/>
      </w:pPr>
      <w:r w:rsidRPr="002C6872">
        <w:t>Data Strategy Liaison Group</w:t>
      </w:r>
    </w:p>
    <w:p w14:paraId="2F37F077" w14:textId="77777777" w:rsidR="00871C18" w:rsidRPr="002C6872" w:rsidRDefault="00871C18" w:rsidP="00871C18">
      <w:pPr>
        <w:pStyle w:val="ListBullet"/>
      </w:pPr>
      <w:r w:rsidRPr="002C6872">
        <w:t>National Disability Strategy Stakeholder Monitoring Group</w:t>
      </w:r>
    </w:p>
    <w:p w14:paraId="1010E19F" w14:textId="77777777" w:rsidR="00A2204D" w:rsidRPr="002C6872" w:rsidRDefault="00A2204D" w:rsidP="00A2204D">
      <w:pPr>
        <w:pStyle w:val="Heading3"/>
      </w:pPr>
      <w:r w:rsidRPr="002C6872">
        <w:lastRenderedPageBreak/>
        <w:t>Department of Transport</w:t>
      </w:r>
    </w:p>
    <w:p w14:paraId="72AC42D0" w14:textId="77777777" w:rsidR="00A2204D" w:rsidRPr="002C6872" w:rsidRDefault="00A2204D" w:rsidP="00B14C76">
      <w:pPr>
        <w:pStyle w:val="ListBullet"/>
      </w:pPr>
      <w:r w:rsidRPr="002C6872">
        <w:t>Maritime Passenger Transport Forum</w:t>
      </w:r>
    </w:p>
    <w:p w14:paraId="558C0C4A" w14:textId="77777777" w:rsidR="00A2204D" w:rsidRPr="002C6872" w:rsidRDefault="00A2204D" w:rsidP="00B14C76">
      <w:pPr>
        <w:pStyle w:val="ListBullet"/>
      </w:pPr>
      <w:r w:rsidRPr="002C6872">
        <w:t xml:space="preserve">Public Transport Advisory Committee </w:t>
      </w:r>
    </w:p>
    <w:p w14:paraId="78C04DEB" w14:textId="77777777" w:rsidR="00A2204D" w:rsidRPr="002C6872" w:rsidRDefault="00A2204D" w:rsidP="00A2204D">
      <w:pPr>
        <w:pStyle w:val="Heading3"/>
      </w:pPr>
      <w:r w:rsidRPr="002C6872">
        <w:t>European Commission</w:t>
      </w:r>
    </w:p>
    <w:p w14:paraId="047A24D0" w14:textId="77777777" w:rsidR="00A2204D" w:rsidRPr="002C6872" w:rsidRDefault="00A2204D" w:rsidP="00C32F4C">
      <w:pPr>
        <w:pStyle w:val="ListBullet"/>
      </w:pPr>
      <w:r w:rsidRPr="002C6872">
        <w:t xml:space="preserve">High Level Group on Disability </w:t>
      </w:r>
      <w:r w:rsidR="00DC1572" w:rsidRPr="002C6872">
        <w:t>(observer)</w:t>
      </w:r>
    </w:p>
    <w:p w14:paraId="5CE2FD87" w14:textId="77777777" w:rsidR="00F61DDB" w:rsidRPr="002C6872" w:rsidRDefault="00CB441D" w:rsidP="00C32F4C">
      <w:pPr>
        <w:pStyle w:val="ListBullet"/>
      </w:pPr>
      <w:r w:rsidRPr="002C6872">
        <w:t xml:space="preserve">Experts Group on </w:t>
      </w:r>
      <w:proofErr w:type="spellStart"/>
      <w:r w:rsidRPr="002C6872">
        <w:t>e</w:t>
      </w:r>
      <w:r w:rsidR="00F61DDB" w:rsidRPr="002C6872">
        <w:t>Accessibility</w:t>
      </w:r>
      <w:proofErr w:type="spellEnd"/>
    </w:p>
    <w:p w14:paraId="0B250634" w14:textId="77777777" w:rsidR="000E4337" w:rsidRPr="002C6872" w:rsidRDefault="000E4337" w:rsidP="000E4337">
      <w:pPr>
        <w:pStyle w:val="Heading3"/>
      </w:pPr>
      <w:r w:rsidRPr="002C6872">
        <w:t>European Committee for Sta</w:t>
      </w:r>
      <w:r w:rsidR="00F46B8F" w:rsidRPr="002C6872">
        <w:t>ndard</w:t>
      </w:r>
      <w:r w:rsidRPr="002C6872">
        <w:t>isation</w:t>
      </w:r>
    </w:p>
    <w:p w14:paraId="266BAA6C" w14:textId="77777777" w:rsidR="000E4337" w:rsidRPr="002C6872" w:rsidRDefault="000E4337" w:rsidP="000E4337">
      <w:pPr>
        <w:pStyle w:val="ListBullet"/>
      </w:pPr>
      <w:r w:rsidRPr="002C6872">
        <w:t>CEN/BT/WG Accessibility for All group to promote CEN Guide 6</w:t>
      </w:r>
    </w:p>
    <w:p w14:paraId="0B75A730" w14:textId="77777777" w:rsidR="000E4337" w:rsidRPr="002C6872" w:rsidRDefault="000E4337" w:rsidP="000E4337">
      <w:pPr>
        <w:pStyle w:val="ListBullet"/>
      </w:pPr>
      <w:r w:rsidRPr="002C6872">
        <w:t>CEN/TC 122/WG1 Anthropometry</w:t>
      </w:r>
    </w:p>
    <w:p w14:paraId="3B9B8786" w14:textId="77777777" w:rsidR="00F61DDB" w:rsidRPr="002C6872" w:rsidRDefault="00F61DDB" w:rsidP="000E4337">
      <w:pPr>
        <w:pStyle w:val="ListBullet"/>
      </w:pPr>
      <w:r w:rsidRPr="002C6872">
        <w:t>CEN Ma</w:t>
      </w:r>
      <w:r w:rsidR="00F46B8F" w:rsidRPr="002C6872">
        <w:t>nda</w:t>
      </w:r>
      <w:r w:rsidRPr="002C6872">
        <w:t>te 376 - European ICT Accessibility Toolkit Project team</w:t>
      </w:r>
    </w:p>
    <w:p w14:paraId="58AAE42A" w14:textId="77777777" w:rsidR="007B05B0" w:rsidRPr="002C6872" w:rsidRDefault="007B05B0" w:rsidP="007B05B0">
      <w:pPr>
        <w:pStyle w:val="Heading3"/>
      </w:pPr>
      <w:r w:rsidRPr="002C6872">
        <w:t>FÁS</w:t>
      </w:r>
    </w:p>
    <w:p w14:paraId="2EFFF9D9" w14:textId="77777777" w:rsidR="007B05B0" w:rsidRPr="002C6872" w:rsidRDefault="007B05B0" w:rsidP="007B05B0">
      <w:pPr>
        <w:pStyle w:val="ListBullet"/>
      </w:pPr>
      <w:r w:rsidRPr="002C6872">
        <w:t>National Advisory Committee on Disability</w:t>
      </w:r>
    </w:p>
    <w:p w14:paraId="2D20C476" w14:textId="77777777" w:rsidR="007B05B0" w:rsidRPr="002C6872" w:rsidRDefault="007B05B0" w:rsidP="007B05B0">
      <w:pPr>
        <w:pStyle w:val="Heading3"/>
      </w:pPr>
      <w:r w:rsidRPr="002C6872">
        <w:t>Health Research Board</w:t>
      </w:r>
    </w:p>
    <w:p w14:paraId="5D1DB968" w14:textId="77777777" w:rsidR="007B05B0" w:rsidRPr="002C6872" w:rsidRDefault="007B05B0" w:rsidP="007B05B0">
      <w:pPr>
        <w:pStyle w:val="ListBullet"/>
      </w:pPr>
      <w:r w:rsidRPr="002C6872">
        <w:t>Health Services Research Committee</w:t>
      </w:r>
    </w:p>
    <w:p w14:paraId="585EC31D" w14:textId="77777777" w:rsidR="00DC1572" w:rsidRPr="002C6872" w:rsidRDefault="00DC1572" w:rsidP="00592ED5">
      <w:pPr>
        <w:pStyle w:val="Heading3"/>
      </w:pPr>
      <w:r w:rsidRPr="002C6872">
        <w:t>Health Service Executive</w:t>
      </w:r>
    </w:p>
    <w:p w14:paraId="467024CC" w14:textId="77777777" w:rsidR="00DC1572" w:rsidRPr="002C6872" w:rsidRDefault="00DC1572" w:rsidP="00B14C76">
      <w:pPr>
        <w:pStyle w:val="ListBullet"/>
      </w:pPr>
      <w:r w:rsidRPr="002C6872">
        <w:t>Working Group on Congregated Settings</w:t>
      </w:r>
    </w:p>
    <w:p w14:paraId="57408A36" w14:textId="77777777" w:rsidR="00F61DDB" w:rsidRPr="002C6872" w:rsidRDefault="00F61DDB" w:rsidP="00F61DDB">
      <w:pPr>
        <w:pStyle w:val="Heading3"/>
      </w:pPr>
      <w:r w:rsidRPr="002C6872">
        <w:t>International Sta</w:t>
      </w:r>
      <w:r w:rsidR="00F46B8F" w:rsidRPr="002C6872">
        <w:t>nda</w:t>
      </w:r>
      <w:r w:rsidRPr="002C6872">
        <w:t>rds Organisation</w:t>
      </w:r>
    </w:p>
    <w:p w14:paraId="62032D3B" w14:textId="77777777" w:rsidR="00F61DDB" w:rsidRPr="002C6872" w:rsidRDefault="00F61DDB" w:rsidP="00F61DDB">
      <w:pPr>
        <w:pStyle w:val="ListBullet"/>
      </w:pPr>
      <w:r w:rsidRPr="002C6872">
        <w:t>Technical Committee ISO TC 159 Advisory Group for Accessible Design</w:t>
      </w:r>
    </w:p>
    <w:p w14:paraId="2EEB14B0" w14:textId="77777777" w:rsidR="00F61DDB" w:rsidRPr="002C6872" w:rsidRDefault="00F61DDB" w:rsidP="00F61DDB">
      <w:pPr>
        <w:pStyle w:val="ListBullet"/>
      </w:pPr>
      <w:r w:rsidRPr="002C6872">
        <w:t>Technical Committee 173 Assistive Products for Persons with Disabilities, Sub-Committee 1, wheelchairs</w:t>
      </w:r>
    </w:p>
    <w:p w14:paraId="0B857F21" w14:textId="77777777" w:rsidR="00F61DDB" w:rsidRPr="002C6872" w:rsidRDefault="00F61DDB" w:rsidP="00F61DDB">
      <w:pPr>
        <w:pStyle w:val="ListBullet"/>
      </w:pPr>
      <w:r w:rsidRPr="002C6872">
        <w:t>Technical Committee ISO TC 159 W2 Ergonomics for people with special needs</w:t>
      </w:r>
    </w:p>
    <w:p w14:paraId="1B6ACAA4" w14:textId="77777777" w:rsidR="007B05B0" w:rsidRPr="002C6872" w:rsidRDefault="007B05B0" w:rsidP="007B05B0">
      <w:pPr>
        <w:pStyle w:val="Heading3"/>
      </w:pPr>
      <w:r w:rsidRPr="002C6872">
        <w:t>Irish Congress of Trade Unions</w:t>
      </w:r>
    </w:p>
    <w:p w14:paraId="6AECAB26" w14:textId="77777777" w:rsidR="007B05B0" w:rsidRPr="002C6872" w:rsidRDefault="007B05B0" w:rsidP="007B05B0">
      <w:pPr>
        <w:pStyle w:val="ListBullet"/>
      </w:pPr>
      <w:r w:rsidRPr="002C6872">
        <w:t>Worker Director Group</w:t>
      </w:r>
    </w:p>
    <w:p w14:paraId="146ECC24" w14:textId="77777777" w:rsidR="00871C18" w:rsidRPr="002C6872" w:rsidRDefault="00871C18" w:rsidP="00871C18">
      <w:pPr>
        <w:pStyle w:val="Heading3"/>
      </w:pPr>
      <w:r w:rsidRPr="002C6872">
        <w:t xml:space="preserve">Irish eGovernment Awards </w:t>
      </w:r>
    </w:p>
    <w:p w14:paraId="799A33F4" w14:textId="77777777" w:rsidR="00871C18" w:rsidRPr="002C6872" w:rsidRDefault="00871C18" w:rsidP="00871C18">
      <w:pPr>
        <w:pStyle w:val="ListBullet"/>
        <w:rPr>
          <w:lang w:eastAsia="en-IE"/>
        </w:rPr>
      </w:pPr>
      <w:r w:rsidRPr="002C6872">
        <w:rPr>
          <w:lang w:eastAsia="en-IE"/>
        </w:rPr>
        <w:t>Judging Panel</w:t>
      </w:r>
    </w:p>
    <w:p w14:paraId="2BC7FE4B" w14:textId="77777777" w:rsidR="00A2204D" w:rsidRPr="002C6872" w:rsidRDefault="00A2204D" w:rsidP="00592ED5">
      <w:pPr>
        <w:pStyle w:val="Heading3"/>
      </w:pPr>
      <w:r w:rsidRPr="002C6872">
        <w:t xml:space="preserve">Local Government Management Services Board </w:t>
      </w:r>
    </w:p>
    <w:p w14:paraId="32735764" w14:textId="77777777" w:rsidR="00592ED5" w:rsidRPr="002C6872" w:rsidRDefault="00A2204D" w:rsidP="00B14C76">
      <w:pPr>
        <w:pStyle w:val="ListBullet"/>
      </w:pPr>
      <w:r w:rsidRPr="002C6872">
        <w:t>Disability Act Steering Group</w:t>
      </w:r>
      <w:r w:rsidR="00DC1572" w:rsidRPr="002C6872">
        <w:t xml:space="preserve">, and its subgroups on </w:t>
      </w:r>
      <w:r w:rsidRPr="002C6872">
        <w:t>Training and Communications</w:t>
      </w:r>
      <w:r w:rsidR="00DC1572" w:rsidRPr="002C6872">
        <w:t>; Access; and Disability Access Certificates</w:t>
      </w:r>
    </w:p>
    <w:p w14:paraId="0DEC707F" w14:textId="77777777" w:rsidR="00FC0771" w:rsidRPr="002C6872" w:rsidRDefault="00FC0771" w:rsidP="00FC0771">
      <w:pPr>
        <w:pStyle w:val="Heading3"/>
      </w:pPr>
      <w:r w:rsidRPr="002C6872">
        <w:t xml:space="preserve">National Council for Special Education </w:t>
      </w:r>
    </w:p>
    <w:p w14:paraId="42A47175" w14:textId="77777777" w:rsidR="00FC0771" w:rsidRPr="002C6872" w:rsidRDefault="00FC0771" w:rsidP="00B14C76">
      <w:pPr>
        <w:pStyle w:val="ListBullet"/>
      </w:pPr>
      <w:r w:rsidRPr="002C6872">
        <w:t xml:space="preserve">Board </w:t>
      </w:r>
    </w:p>
    <w:p w14:paraId="39A16D9F" w14:textId="77777777" w:rsidR="00955DDB" w:rsidRPr="002C6872" w:rsidRDefault="00FC0771" w:rsidP="00B14C76">
      <w:pPr>
        <w:pStyle w:val="ListBullet"/>
      </w:pPr>
      <w:r w:rsidRPr="002C6872">
        <w:t xml:space="preserve">Advisory </w:t>
      </w:r>
      <w:r w:rsidR="000E4337" w:rsidRPr="002C6872">
        <w:t>Committee</w:t>
      </w:r>
      <w:r w:rsidRPr="002C6872">
        <w:t xml:space="preserve"> on Research in Special Education.</w:t>
      </w:r>
    </w:p>
    <w:p w14:paraId="00F7379F" w14:textId="77777777" w:rsidR="0000354E" w:rsidRPr="002C6872" w:rsidRDefault="0000354E" w:rsidP="0000354E">
      <w:pPr>
        <w:pStyle w:val="Heading3"/>
      </w:pPr>
      <w:r w:rsidRPr="002C6872">
        <w:lastRenderedPageBreak/>
        <w:t>National Sta</w:t>
      </w:r>
      <w:r w:rsidR="00F46B8F" w:rsidRPr="002C6872">
        <w:t>nda</w:t>
      </w:r>
      <w:r w:rsidRPr="002C6872">
        <w:t xml:space="preserve">rds </w:t>
      </w:r>
      <w:r w:rsidR="00CE0E7F" w:rsidRPr="002C6872">
        <w:t>Authority</w:t>
      </w:r>
      <w:r w:rsidRPr="002C6872">
        <w:t xml:space="preserve"> of </w:t>
      </w:r>
      <w:smartTag w:uri="urn:schemas-microsoft-com:office:smarttags" w:element="country-region">
        <w:smartTag w:uri="urn:schemas-microsoft-com:office:smarttags" w:element="place">
          <w:r w:rsidRPr="002C6872">
            <w:t>Ireland</w:t>
          </w:r>
        </w:smartTag>
      </w:smartTag>
      <w:r w:rsidRPr="002C6872">
        <w:t xml:space="preserve"> </w:t>
      </w:r>
    </w:p>
    <w:p w14:paraId="271D6D7C" w14:textId="77777777" w:rsidR="000E4337" w:rsidRPr="002C6872" w:rsidRDefault="000E4337" w:rsidP="0000354E">
      <w:pPr>
        <w:pStyle w:val="ListBullet"/>
      </w:pPr>
      <w:r w:rsidRPr="002C6872">
        <w:t>Accessibility for All Sta</w:t>
      </w:r>
      <w:r w:rsidR="00F46B8F" w:rsidRPr="002C6872">
        <w:t>nda</w:t>
      </w:r>
      <w:r w:rsidRPr="002C6872">
        <w:t>rds Consultative Committee</w:t>
      </w:r>
    </w:p>
    <w:p w14:paraId="2EFDF3A8" w14:textId="77777777" w:rsidR="0000354E" w:rsidRPr="002C6872" w:rsidRDefault="0000354E" w:rsidP="0000354E">
      <w:pPr>
        <w:pStyle w:val="ListBullet"/>
      </w:pPr>
      <w:r w:rsidRPr="002C6872">
        <w:t>Access for All Fire Experts sub-group.</w:t>
      </w:r>
    </w:p>
    <w:p w14:paraId="5F794F8E" w14:textId="77777777" w:rsidR="00F61DDB" w:rsidRPr="002C6872" w:rsidRDefault="00F61DDB" w:rsidP="0000354E">
      <w:pPr>
        <w:pStyle w:val="ListBullet"/>
      </w:pPr>
      <w:r w:rsidRPr="002C6872">
        <w:t>Wheelchairs and Mobility committee</w:t>
      </w:r>
    </w:p>
    <w:p w14:paraId="4BEDE2C6" w14:textId="77777777" w:rsidR="00E00AD0" w:rsidRPr="002C6872" w:rsidRDefault="00E00AD0" w:rsidP="0000354E">
      <w:pPr>
        <w:pStyle w:val="ListBullet"/>
      </w:pPr>
      <w:r w:rsidRPr="002C6872">
        <w:t xml:space="preserve">Built Environment Working </w:t>
      </w:r>
      <w:r w:rsidR="006350A3" w:rsidRPr="002C6872">
        <w:t>Group Tactile Working Surface Indicators sub-committee</w:t>
      </w:r>
    </w:p>
    <w:p w14:paraId="0021A28C" w14:textId="77777777" w:rsidR="00FB743D" w:rsidRDefault="0025498F" w:rsidP="0025498F">
      <w:pPr>
        <w:pStyle w:val="Heading3"/>
      </w:pPr>
      <w:r w:rsidRPr="002C6872">
        <w:t xml:space="preserve">Rehabilitation International/RI </w:t>
      </w:r>
      <w:smartTag w:uri="urn:schemas-microsoft-com:office:smarttags" w:element="place">
        <w:r w:rsidRPr="002C6872">
          <w:t>Europe</w:t>
        </w:r>
      </w:smartTag>
    </w:p>
    <w:p w14:paraId="25657575" w14:textId="77777777" w:rsidR="00FB743D" w:rsidRDefault="00A2204D" w:rsidP="00073756">
      <w:pPr>
        <w:pStyle w:val="Heading1"/>
      </w:pPr>
      <w:r w:rsidRPr="002C6872">
        <w:br w:type="page"/>
      </w:r>
      <w:bookmarkStart w:id="413" w:name="_Toc299360708"/>
      <w:bookmarkStart w:id="414" w:name="_Toc299362490"/>
      <w:bookmarkStart w:id="415" w:name="_Toc299362581"/>
      <w:bookmarkStart w:id="416" w:name="_Toc300742188"/>
      <w:bookmarkStart w:id="417" w:name="_Toc300742940"/>
      <w:bookmarkStart w:id="418" w:name="_Toc300744292"/>
      <w:bookmarkStart w:id="419" w:name="_Toc304371214"/>
      <w:bookmarkStart w:id="420" w:name="_Toc304381933"/>
      <w:r w:rsidR="008C1AAD" w:rsidRPr="002C6872">
        <w:lastRenderedPageBreak/>
        <w:t xml:space="preserve">Appendix </w:t>
      </w:r>
      <w:r w:rsidR="00A15917">
        <w:t>3</w:t>
      </w:r>
      <w:bookmarkStart w:id="421" w:name="_Toc299362582"/>
      <w:bookmarkEnd w:id="413"/>
      <w:bookmarkEnd w:id="414"/>
      <w:bookmarkEnd w:id="415"/>
      <w:r w:rsidR="00073756">
        <w:t xml:space="preserve">: </w:t>
      </w:r>
      <w:r w:rsidR="00FD179A" w:rsidRPr="002C6872">
        <w:t>P</w:t>
      </w:r>
      <w:r w:rsidR="00A129FE" w:rsidRPr="002C6872">
        <w:t xml:space="preserve">ublications </w:t>
      </w:r>
      <w:r w:rsidRPr="002C6872">
        <w:t>in 2010</w:t>
      </w:r>
      <w:bookmarkEnd w:id="416"/>
      <w:bookmarkEnd w:id="417"/>
      <w:bookmarkEnd w:id="418"/>
      <w:bookmarkEnd w:id="419"/>
      <w:bookmarkEnd w:id="420"/>
      <w:bookmarkEnd w:id="421"/>
    </w:p>
    <w:p w14:paraId="4057BD82" w14:textId="77777777" w:rsidR="00A2204D" w:rsidRDefault="00A2204D" w:rsidP="004B5942">
      <w:pPr>
        <w:spacing w:after="240" w:line="240" w:lineRule="auto"/>
      </w:pPr>
      <w:r w:rsidRPr="002C6872">
        <w:t>Annual Report 20</w:t>
      </w:r>
      <w:r w:rsidR="00A129FE" w:rsidRPr="002C6872">
        <w:t>09</w:t>
      </w:r>
    </w:p>
    <w:p w14:paraId="010DE857" w14:textId="77777777" w:rsidR="004B5942" w:rsidRDefault="004B5942" w:rsidP="004B5942">
      <w:pPr>
        <w:spacing w:after="240" w:line="240" w:lineRule="auto"/>
        <w:rPr>
          <w:lang w:val="en-GB"/>
        </w:rPr>
      </w:pPr>
      <w:r w:rsidRPr="004B5942">
        <w:rPr>
          <w:lang w:val="en-GB"/>
        </w:rPr>
        <w:t>A Review of International Outcome Measures in Disability Service Provision</w:t>
      </w:r>
      <w:r>
        <w:rPr>
          <w:lang w:val="en-GB"/>
        </w:rPr>
        <w:t xml:space="preserve">. </w:t>
      </w:r>
      <w:r w:rsidRPr="004B5942">
        <w:rPr>
          <w:lang w:val="en-GB"/>
        </w:rPr>
        <w:t>A Contemporary Developments in Disability Services Paper</w:t>
      </w:r>
    </w:p>
    <w:p w14:paraId="0D97095B" w14:textId="77777777" w:rsidR="004B5942" w:rsidRDefault="004B5942" w:rsidP="004B5942">
      <w:pPr>
        <w:spacing w:after="240" w:line="240" w:lineRule="auto"/>
        <w:rPr>
          <w:lang w:val="en-GB"/>
        </w:rPr>
      </w:pPr>
      <w:r w:rsidRPr="004B5942">
        <w:rPr>
          <w:lang w:val="en-GB"/>
        </w:rPr>
        <w:t>Developing Services</w:t>
      </w:r>
      <w:r>
        <w:rPr>
          <w:lang w:val="en-GB"/>
        </w:rPr>
        <w:t xml:space="preserve"> for People with Disabilities: </w:t>
      </w:r>
      <w:r w:rsidRPr="004B5942">
        <w:rPr>
          <w:lang w:val="en-GB"/>
        </w:rPr>
        <w:t xml:space="preserve">A synthesis paper summarising the key learning of experiences in selected jurisdictions as </w:t>
      </w:r>
      <w:proofErr w:type="gramStart"/>
      <w:r w:rsidRPr="004B5942">
        <w:rPr>
          <w:lang w:val="en-GB"/>
        </w:rPr>
        <w:t>at</w:t>
      </w:r>
      <w:proofErr w:type="gramEnd"/>
      <w:r w:rsidRPr="004B5942">
        <w:rPr>
          <w:lang w:val="en-GB"/>
        </w:rPr>
        <w:t xml:space="preserve"> October 2010</w:t>
      </w:r>
      <w:r>
        <w:rPr>
          <w:lang w:val="en-GB"/>
        </w:rPr>
        <w:t xml:space="preserve">. </w:t>
      </w:r>
      <w:r w:rsidRPr="004B5942">
        <w:rPr>
          <w:lang w:val="en-GB"/>
        </w:rPr>
        <w:t>A Contemporary Developments in Disability Services Paper</w:t>
      </w:r>
    </w:p>
    <w:p w14:paraId="764EA0ED" w14:textId="77777777" w:rsidR="004B5942" w:rsidRDefault="004B5942" w:rsidP="004B5942">
      <w:pPr>
        <w:spacing w:after="240" w:line="240" w:lineRule="auto"/>
      </w:pPr>
      <w:r>
        <w:t>Guidelines for Accessible Maritime Passenger Transport</w:t>
      </w:r>
    </w:p>
    <w:p w14:paraId="4180AAA2" w14:textId="77777777" w:rsidR="004B5942" w:rsidRPr="004B5942" w:rsidRDefault="004B5942" w:rsidP="004B5942">
      <w:pPr>
        <w:spacing w:after="240" w:line="240" w:lineRule="auto"/>
        <w:rPr>
          <w:lang w:val="en-GB"/>
        </w:rPr>
      </w:pPr>
      <w:r w:rsidRPr="004B5942">
        <w:rPr>
          <w:lang w:val="en-GB"/>
        </w:rPr>
        <w:t xml:space="preserve">Health and Personal Social Services for People with Disabilities in </w:t>
      </w:r>
      <w:smartTag w:uri="urn:schemas-microsoft-com:office:smarttags" w:element="country-region">
        <w:smartTag w:uri="urn:schemas-microsoft-com:office:smarttags" w:element="place">
          <w:r w:rsidRPr="004B5942">
            <w:rPr>
              <w:lang w:val="en-GB"/>
            </w:rPr>
            <w:t>Scotland</w:t>
          </w:r>
        </w:smartTag>
      </w:smartTag>
      <w:r>
        <w:rPr>
          <w:lang w:val="en-GB"/>
        </w:rPr>
        <w:t xml:space="preserve">. </w:t>
      </w:r>
      <w:r w:rsidRPr="004B5942">
        <w:rPr>
          <w:lang w:val="en-GB"/>
        </w:rPr>
        <w:t>A Contemporary Developments in Disability Services Paper</w:t>
      </w:r>
    </w:p>
    <w:p w14:paraId="001ED4C2" w14:textId="77777777" w:rsidR="002C6872" w:rsidRPr="002C6872" w:rsidRDefault="004B5942" w:rsidP="004B5942">
      <w:pPr>
        <w:spacing w:after="240" w:line="240" w:lineRule="auto"/>
      </w:pPr>
      <w:r w:rsidRPr="004B5942">
        <w:rPr>
          <w:lang w:val="en-GB"/>
        </w:rPr>
        <w:t xml:space="preserve">Health and Personal Social Services for People with Disabilities in </w:t>
      </w:r>
      <w:smartTag w:uri="urn:schemas-microsoft-com:office:smarttags" w:element="place">
        <w:smartTag w:uri="urn:schemas-microsoft-com:office:smarttags" w:element="City">
          <w:r w:rsidRPr="004B5942">
            <w:rPr>
              <w:lang w:val="en-GB"/>
            </w:rPr>
            <w:t>Victoria</w:t>
          </w:r>
        </w:smartTag>
        <w:r w:rsidRPr="004B5942">
          <w:rPr>
            <w:lang w:val="en-GB"/>
          </w:rPr>
          <w:t xml:space="preserve">, </w:t>
        </w:r>
        <w:smartTag w:uri="urn:schemas-microsoft-com:office:smarttags" w:element="country-region">
          <w:r w:rsidRPr="004B5942">
            <w:rPr>
              <w:lang w:val="en-GB"/>
            </w:rPr>
            <w:t>Australia</w:t>
          </w:r>
        </w:smartTag>
      </w:smartTag>
      <w:r>
        <w:rPr>
          <w:lang w:val="en-GB"/>
        </w:rPr>
        <w:t xml:space="preserve">. </w:t>
      </w:r>
      <w:r w:rsidRPr="004B5942">
        <w:rPr>
          <w:lang w:val="en-GB"/>
        </w:rPr>
        <w:t>A Contemporary Developments in Disability Services Paper</w:t>
      </w:r>
      <w:r>
        <w:t xml:space="preserve"> </w:t>
      </w:r>
      <w:r w:rsidR="002C6872">
        <w:t>Progressing the Disability Agenda: Strategic Plan 2010-2012</w:t>
      </w:r>
    </w:p>
    <w:p w14:paraId="39D4CA07" w14:textId="77777777" w:rsidR="00A2204D" w:rsidRPr="002C6872" w:rsidRDefault="002C6872" w:rsidP="004B5942">
      <w:pPr>
        <w:spacing w:after="240" w:line="240" w:lineRule="auto"/>
        <w:rPr>
          <w:b/>
          <w:bCs/>
          <w:lang w:val="en-US"/>
        </w:rPr>
      </w:pPr>
      <w:bookmarkStart w:id="422" w:name="_Toc266106981"/>
      <w:bookmarkStart w:id="423" w:name="_Toc266890283"/>
      <w:bookmarkStart w:id="424" w:name="_Toc267042577"/>
      <w:r w:rsidRPr="002C6872">
        <w:rPr>
          <w:bCs/>
          <w:lang w:val="en-US"/>
        </w:rPr>
        <w:t>Ind</w:t>
      </w:r>
      <w:r>
        <w:rPr>
          <w:bCs/>
          <w:lang w:val="en-US"/>
        </w:rPr>
        <w:t xml:space="preserve">ependent and Community Living: </w:t>
      </w:r>
      <w:r w:rsidRPr="002C6872">
        <w:rPr>
          <w:bCs/>
          <w:lang w:val="en-US"/>
        </w:rPr>
        <w:t>the views of people with disabilities</w:t>
      </w:r>
      <w:r>
        <w:rPr>
          <w:bCs/>
          <w:lang w:val="en-US"/>
        </w:rPr>
        <w:t>,</w:t>
      </w:r>
      <w:r w:rsidRPr="002C6872">
        <w:rPr>
          <w:bCs/>
          <w:lang w:val="en-US"/>
        </w:rPr>
        <w:t xml:space="preserve"> </w:t>
      </w:r>
      <w:proofErr w:type="gramStart"/>
      <w:r w:rsidRPr="002C6872">
        <w:rPr>
          <w:bCs/>
          <w:lang w:val="en-US"/>
        </w:rPr>
        <w:t>families</w:t>
      </w:r>
      <w:proofErr w:type="gramEnd"/>
      <w:r w:rsidRPr="002C6872">
        <w:rPr>
          <w:bCs/>
          <w:lang w:val="en-US"/>
        </w:rPr>
        <w:t xml:space="preserve"> and frontline staff</w:t>
      </w:r>
      <w:r>
        <w:rPr>
          <w:bCs/>
          <w:lang w:val="en-US"/>
        </w:rPr>
        <w:t xml:space="preserve">. </w:t>
      </w:r>
      <w:r w:rsidRPr="002C6872">
        <w:t>Focus Group Consultation Report</w:t>
      </w:r>
      <w:bookmarkEnd w:id="423"/>
      <w:bookmarkEnd w:id="424"/>
    </w:p>
    <w:p w14:paraId="33574730" w14:textId="77777777" w:rsidR="002C6872" w:rsidRPr="002C6872" w:rsidRDefault="002C6872" w:rsidP="004B5942">
      <w:pPr>
        <w:spacing w:after="240" w:line="240" w:lineRule="auto"/>
        <w:rPr>
          <w:b/>
          <w:bCs/>
        </w:rPr>
      </w:pPr>
      <w:bookmarkStart w:id="425" w:name="_Toc267486345"/>
      <w:bookmarkEnd w:id="422"/>
      <w:r w:rsidRPr="002C6872">
        <w:t>Individualised</w:t>
      </w:r>
      <w:r w:rsidRPr="00A137F5">
        <w:rPr>
          <w:lang w:val="en-US"/>
        </w:rPr>
        <w:t xml:space="preserve"> Supports and Mainstream Services</w:t>
      </w:r>
      <w:r>
        <w:rPr>
          <w:lang w:val="en-US"/>
        </w:rPr>
        <w:t>:</w:t>
      </w:r>
      <w:r>
        <w:t xml:space="preserve"> </w:t>
      </w:r>
      <w:r w:rsidRPr="00A137F5">
        <w:t>Attitudes of people with disabilities and other stakeholders to policy pro</w:t>
      </w:r>
      <w:r>
        <w:t>posals by the Department of Heal</w:t>
      </w:r>
      <w:r w:rsidRPr="00A137F5">
        <w:t>th and Children</w:t>
      </w:r>
      <w:bookmarkEnd w:id="425"/>
    </w:p>
    <w:p w14:paraId="3652B9BB" w14:textId="77777777" w:rsidR="004B5942" w:rsidRDefault="004B5942" w:rsidP="004B5942">
      <w:pPr>
        <w:spacing w:after="240" w:line="240" w:lineRule="auto"/>
        <w:rPr>
          <w:lang w:val="en-GB"/>
        </w:rPr>
      </w:pPr>
      <w:r w:rsidRPr="004B5942">
        <w:rPr>
          <w:lang w:val="en-GB"/>
        </w:rPr>
        <w:t>Literature Review on Provision of Appropriate and Accessible Support</w:t>
      </w:r>
      <w:r>
        <w:rPr>
          <w:lang w:val="en-GB"/>
        </w:rPr>
        <w:t xml:space="preserve"> </w:t>
      </w:r>
      <w:r w:rsidRPr="004B5942">
        <w:rPr>
          <w:lang w:val="en-GB"/>
        </w:rPr>
        <w:t>to People with an Intellectual Disability who are Experiencing Crisis</w:t>
      </w:r>
      <w:r>
        <w:rPr>
          <w:lang w:val="en-GB"/>
        </w:rPr>
        <w:t xml:space="preserve"> </w:t>
      </w:r>
      <w:r w:rsidRPr="004B5942">
        <w:rPr>
          <w:lang w:val="en-GB"/>
        </w:rPr>
        <w:t>Pregnancy</w:t>
      </w:r>
    </w:p>
    <w:p w14:paraId="1EAC04BE" w14:textId="77777777" w:rsidR="004B5942" w:rsidRDefault="004B5942" w:rsidP="004B5942">
      <w:pPr>
        <w:spacing w:after="240" w:line="240" w:lineRule="auto"/>
        <w:rPr>
          <w:lang w:val="en-GB"/>
        </w:rPr>
      </w:pPr>
      <w:r w:rsidRPr="002C6872">
        <w:t>Models of Residential Provision for People with Disabilities</w:t>
      </w:r>
      <w:r>
        <w:rPr>
          <w:bCs/>
        </w:rPr>
        <w:t>.</w:t>
      </w:r>
      <w:r w:rsidRPr="002C6872">
        <w:rPr>
          <w:bCs/>
        </w:rPr>
        <w:t xml:space="preserve"> </w:t>
      </w:r>
      <w:r w:rsidRPr="002C6872">
        <w:rPr>
          <w:lang w:val="en-GB"/>
        </w:rPr>
        <w:t>A Contemporary Developments in Disability Services Paper</w:t>
      </w:r>
    </w:p>
    <w:p w14:paraId="483E9D47" w14:textId="77777777" w:rsidR="004B5942" w:rsidRDefault="004B5942" w:rsidP="004B5942">
      <w:pPr>
        <w:spacing w:after="240" w:line="240" w:lineRule="auto"/>
      </w:pPr>
      <w:r w:rsidRPr="002C6872">
        <w:t xml:space="preserve">The Strengths and Weaknesses of </w:t>
      </w:r>
      <w:proofErr w:type="gramStart"/>
      <w:r w:rsidRPr="002C6872">
        <w:t>Publicly-funded</w:t>
      </w:r>
      <w:proofErr w:type="gramEnd"/>
      <w:r w:rsidRPr="002C6872">
        <w:t xml:space="preserve"> Irish Health Services Provided to Women with Disabilities in Relation to Pregnancy, Childbirth and Early Motherhood</w:t>
      </w:r>
    </w:p>
    <w:p w14:paraId="252485BC" w14:textId="77777777" w:rsidR="00AF522B" w:rsidRPr="002C6872" w:rsidRDefault="00AF522B" w:rsidP="004B5942">
      <w:pPr>
        <w:spacing w:after="240" w:line="240" w:lineRule="auto"/>
      </w:pPr>
      <w:r w:rsidRPr="002C6872">
        <w:t>Women with Disabilities: Barriers and Facilitators to Accessing Services during Pregnancy, Childbirth and Early Motherhood</w:t>
      </w:r>
    </w:p>
    <w:p w14:paraId="052B4814" w14:textId="77777777" w:rsidR="004B5942" w:rsidRPr="004B5942" w:rsidRDefault="00AF522B" w:rsidP="004B5942">
      <w:pPr>
        <w:spacing w:after="240" w:line="240" w:lineRule="auto"/>
      </w:pPr>
      <w:r w:rsidRPr="002C6872">
        <w:t xml:space="preserve">Women with Disabilities: Policies governing Procedure and Practice in Service Provision in </w:t>
      </w:r>
      <w:smartTag w:uri="urn:schemas-microsoft-com:office:smarttags" w:element="country-region">
        <w:smartTag w:uri="urn:schemas-microsoft-com:office:smarttags" w:element="place">
          <w:r w:rsidRPr="002C6872">
            <w:t>Ireland</w:t>
          </w:r>
        </w:smartTag>
      </w:smartTag>
      <w:r w:rsidRPr="002C6872">
        <w:t xml:space="preserve"> during Pregnancy, Childbirth and Early Motherhood</w:t>
      </w:r>
    </w:p>
    <w:p w14:paraId="6878E561" w14:textId="77777777" w:rsidR="00A2204D" w:rsidRPr="002C6872" w:rsidRDefault="00A129FE" w:rsidP="00073756">
      <w:pPr>
        <w:pStyle w:val="Heading1"/>
      </w:pPr>
      <w:r w:rsidRPr="002C6872">
        <w:br w:type="page"/>
      </w:r>
      <w:bookmarkStart w:id="426" w:name="_Toc299360709"/>
      <w:bookmarkStart w:id="427" w:name="_Toc299362491"/>
      <w:bookmarkStart w:id="428" w:name="_Toc299362583"/>
      <w:bookmarkStart w:id="429" w:name="_Toc300742189"/>
      <w:bookmarkStart w:id="430" w:name="_Toc300742941"/>
      <w:bookmarkStart w:id="431" w:name="_Toc300744293"/>
      <w:bookmarkStart w:id="432" w:name="_Toc304371215"/>
      <w:bookmarkStart w:id="433" w:name="_Toc304381934"/>
      <w:r w:rsidR="008C1AAD" w:rsidRPr="002C6872">
        <w:lastRenderedPageBreak/>
        <w:t xml:space="preserve">Appendix </w:t>
      </w:r>
      <w:r w:rsidR="00A15917">
        <w:t>4</w:t>
      </w:r>
      <w:bookmarkStart w:id="434" w:name="_Toc299362584"/>
      <w:bookmarkEnd w:id="426"/>
      <w:bookmarkEnd w:id="427"/>
      <w:bookmarkEnd w:id="428"/>
      <w:r w:rsidR="00073756">
        <w:t xml:space="preserve">: </w:t>
      </w:r>
      <w:r w:rsidR="00A2204D" w:rsidRPr="002C6872">
        <w:t xml:space="preserve">Policy advice papers </w:t>
      </w:r>
      <w:r w:rsidRPr="002C6872">
        <w:t>in 2010</w:t>
      </w:r>
      <w:bookmarkEnd w:id="429"/>
      <w:bookmarkEnd w:id="430"/>
      <w:bookmarkEnd w:id="431"/>
      <w:bookmarkEnd w:id="432"/>
      <w:bookmarkEnd w:id="433"/>
      <w:bookmarkEnd w:id="434"/>
    </w:p>
    <w:p w14:paraId="0104AA56" w14:textId="77777777" w:rsidR="00A2204D" w:rsidRPr="002C6872" w:rsidRDefault="00A2204D" w:rsidP="0010202F">
      <w:pPr>
        <w:pStyle w:val="Heading3"/>
      </w:pPr>
      <w:r w:rsidRPr="002C6872">
        <w:t>Bord Plean</w:t>
      </w:r>
      <w:r w:rsidR="009309B8" w:rsidRPr="002C6872">
        <w:t>á</w:t>
      </w:r>
      <w:r w:rsidRPr="002C6872">
        <w:t>la</w:t>
      </w:r>
    </w:p>
    <w:p w14:paraId="2B074E87" w14:textId="77777777" w:rsidR="00A2204D" w:rsidRPr="002C6872" w:rsidRDefault="00A2204D" w:rsidP="0010202F">
      <w:pPr>
        <w:spacing w:after="240" w:line="240" w:lineRule="auto"/>
      </w:pPr>
      <w:r w:rsidRPr="002C6872">
        <w:t>Statement of Strategy</w:t>
      </w:r>
      <w:r w:rsidR="00B92FA1" w:rsidRPr="002C6872">
        <w:t xml:space="preserve"> 2011-2013</w:t>
      </w:r>
    </w:p>
    <w:p w14:paraId="525C6E1B" w14:textId="77777777" w:rsidR="00A2204D" w:rsidRPr="002C6872" w:rsidRDefault="00A2204D" w:rsidP="0010202F">
      <w:pPr>
        <w:pStyle w:val="Heading3"/>
      </w:pPr>
      <w:r w:rsidRPr="002C6872">
        <w:t>Central Statistics Office</w:t>
      </w:r>
    </w:p>
    <w:p w14:paraId="3EF8D7B7" w14:textId="77777777" w:rsidR="00A2204D" w:rsidRPr="002C6872" w:rsidRDefault="00A2204D" w:rsidP="0010202F">
      <w:pPr>
        <w:spacing w:after="240" w:line="240" w:lineRule="auto"/>
      </w:pPr>
      <w:r w:rsidRPr="002C6872">
        <w:t>Statement of Strategy 2011-2013</w:t>
      </w:r>
    </w:p>
    <w:p w14:paraId="6B7857CD" w14:textId="77777777" w:rsidR="00A2204D" w:rsidRPr="002C6872" w:rsidRDefault="00A2204D" w:rsidP="0010202F">
      <w:pPr>
        <w:pStyle w:val="Heading3"/>
      </w:pPr>
      <w:r w:rsidRPr="002C6872">
        <w:t>C</w:t>
      </w:r>
      <w:r w:rsidR="00A129FE" w:rsidRPr="002C6872">
        <w:t>ommission for Energy Regulation</w:t>
      </w:r>
    </w:p>
    <w:p w14:paraId="02CD48E4" w14:textId="77777777" w:rsidR="00A2204D" w:rsidRPr="002C6872" w:rsidRDefault="00A2204D" w:rsidP="0010202F">
      <w:pPr>
        <w:spacing w:after="240" w:line="240" w:lineRule="auto"/>
      </w:pPr>
      <w:r w:rsidRPr="002C6872">
        <w:t>Guidance Review</w:t>
      </w:r>
    </w:p>
    <w:p w14:paraId="1871F838" w14:textId="77777777" w:rsidR="00A2204D" w:rsidRPr="002C6872" w:rsidRDefault="00A129FE" w:rsidP="0010202F">
      <w:pPr>
        <w:pStyle w:val="Heading3"/>
      </w:pPr>
      <w:r w:rsidRPr="002C6872">
        <w:t>Commission for Communications Regulation</w:t>
      </w:r>
    </w:p>
    <w:p w14:paraId="674C4852" w14:textId="77777777" w:rsidR="00A2204D" w:rsidRPr="002C6872" w:rsidRDefault="00A2204D" w:rsidP="0010202F">
      <w:pPr>
        <w:spacing w:after="120" w:line="240" w:lineRule="auto"/>
        <w:rPr>
          <w:bCs/>
          <w:iCs/>
        </w:rPr>
      </w:pPr>
      <w:r w:rsidRPr="002C6872">
        <w:rPr>
          <w:bCs/>
          <w:iCs/>
        </w:rPr>
        <w:t>The Provision of Telephony Services under Universal Service Obligations-</w:t>
      </w:r>
      <w:proofErr w:type="spellStart"/>
      <w:r w:rsidRPr="002C6872">
        <w:rPr>
          <w:bCs/>
          <w:iCs/>
        </w:rPr>
        <w:t>ComReg</w:t>
      </w:r>
      <w:proofErr w:type="spellEnd"/>
      <w:r w:rsidRPr="002C6872">
        <w:rPr>
          <w:bCs/>
          <w:iCs/>
        </w:rPr>
        <w:t xml:space="preserve"> 10/35</w:t>
      </w:r>
    </w:p>
    <w:p w14:paraId="747F69AC" w14:textId="77777777" w:rsidR="00A2204D" w:rsidRPr="002C6872" w:rsidRDefault="00A2204D" w:rsidP="0010202F">
      <w:pPr>
        <w:spacing w:after="240" w:line="240" w:lineRule="auto"/>
        <w:rPr>
          <w:bCs/>
          <w:iCs/>
        </w:rPr>
      </w:pPr>
      <w:r w:rsidRPr="002C6872">
        <w:rPr>
          <w:bCs/>
          <w:iCs/>
        </w:rPr>
        <w:t xml:space="preserve">Scope of Premium Rate Services regulation - </w:t>
      </w:r>
      <w:proofErr w:type="spellStart"/>
      <w:r w:rsidRPr="002C6872">
        <w:rPr>
          <w:bCs/>
          <w:iCs/>
        </w:rPr>
        <w:t>ComReg</w:t>
      </w:r>
      <w:proofErr w:type="spellEnd"/>
      <w:r w:rsidRPr="002C6872">
        <w:rPr>
          <w:bCs/>
          <w:iCs/>
        </w:rPr>
        <w:t xml:space="preserve"> 10/27</w:t>
      </w:r>
      <w:r w:rsidRPr="002C6872">
        <w:rPr>
          <w:bCs/>
          <w:iCs/>
        </w:rPr>
        <w:br/>
        <w:t xml:space="preserve">Strategy Statement </w:t>
      </w:r>
      <w:r w:rsidR="00CB441D" w:rsidRPr="002C6872">
        <w:rPr>
          <w:bCs/>
          <w:iCs/>
        </w:rPr>
        <w:t xml:space="preserve">- </w:t>
      </w:r>
      <w:proofErr w:type="spellStart"/>
      <w:r w:rsidRPr="002C6872">
        <w:rPr>
          <w:bCs/>
          <w:iCs/>
        </w:rPr>
        <w:t>ComReg</w:t>
      </w:r>
      <w:proofErr w:type="spellEnd"/>
      <w:r w:rsidRPr="002C6872">
        <w:rPr>
          <w:bCs/>
          <w:iCs/>
        </w:rPr>
        <w:t xml:space="preserve"> 10/31</w:t>
      </w:r>
    </w:p>
    <w:p w14:paraId="5705DD4D" w14:textId="77777777" w:rsidR="00A2204D" w:rsidRPr="002C6872" w:rsidRDefault="00A2204D" w:rsidP="0010202F">
      <w:pPr>
        <w:pStyle w:val="Heading3"/>
      </w:pPr>
      <w:r w:rsidRPr="002C6872">
        <w:t>Department of Agriculture, Fisheries and Food</w:t>
      </w:r>
    </w:p>
    <w:p w14:paraId="1707A985" w14:textId="77777777" w:rsidR="00A2204D" w:rsidRPr="002C6872" w:rsidRDefault="00A2204D" w:rsidP="0010202F">
      <w:pPr>
        <w:spacing w:after="240" w:line="240" w:lineRule="auto"/>
      </w:pPr>
      <w:r w:rsidRPr="002C6872">
        <w:t>Statement of Strategy 2011-2013</w:t>
      </w:r>
    </w:p>
    <w:p w14:paraId="1BFEFEED" w14:textId="77777777" w:rsidR="00A2204D" w:rsidRPr="002C6872" w:rsidRDefault="00A2204D" w:rsidP="0010202F">
      <w:pPr>
        <w:pStyle w:val="Heading3"/>
      </w:pPr>
      <w:r w:rsidRPr="002C6872">
        <w:t>Department of Communications, Energy and Natural Resources</w:t>
      </w:r>
    </w:p>
    <w:p w14:paraId="20869900" w14:textId="77777777" w:rsidR="00A2204D" w:rsidRPr="002C6872" w:rsidRDefault="00A2204D" w:rsidP="0010202F">
      <w:pPr>
        <w:spacing w:after="120" w:line="240" w:lineRule="auto"/>
      </w:pPr>
      <w:r w:rsidRPr="002C6872">
        <w:t>Statement of Strategy 2011-2013</w:t>
      </w:r>
    </w:p>
    <w:p w14:paraId="66A852BD" w14:textId="77777777" w:rsidR="00A2204D" w:rsidRPr="002C6872" w:rsidRDefault="00A2204D" w:rsidP="0010202F">
      <w:pPr>
        <w:spacing w:after="240" w:line="240" w:lineRule="auto"/>
      </w:pPr>
      <w:r w:rsidRPr="002C6872">
        <w:t>New RTÉ Services Proposals Consultation</w:t>
      </w:r>
    </w:p>
    <w:p w14:paraId="627B1046" w14:textId="77777777" w:rsidR="00A2204D" w:rsidRPr="002C6872" w:rsidRDefault="00A2204D" w:rsidP="0010202F">
      <w:pPr>
        <w:pStyle w:val="Heading3"/>
      </w:pPr>
      <w:r w:rsidRPr="002C6872">
        <w:t>Department of Community, Equality and Gaeltacht Affairs</w:t>
      </w:r>
    </w:p>
    <w:p w14:paraId="262C31B0" w14:textId="77777777" w:rsidR="00A2204D" w:rsidRPr="002C6872" w:rsidRDefault="00A2204D" w:rsidP="0010202F">
      <w:pPr>
        <w:spacing w:after="120" w:line="240" w:lineRule="auto"/>
      </w:pPr>
      <w:r w:rsidRPr="002C6872">
        <w:t>Review of the operation of the Disability Act 2005</w:t>
      </w:r>
    </w:p>
    <w:p w14:paraId="087AE1C4" w14:textId="77777777" w:rsidR="00A2204D" w:rsidRPr="002C6872" w:rsidRDefault="00A2204D" w:rsidP="0010202F">
      <w:pPr>
        <w:spacing w:after="120" w:line="240" w:lineRule="auto"/>
      </w:pPr>
      <w:r w:rsidRPr="002C6872">
        <w:t>Statement of Strategy 2011-2013</w:t>
      </w:r>
    </w:p>
    <w:p w14:paraId="6D33D1D9" w14:textId="77777777" w:rsidR="00A2204D" w:rsidRPr="002C6872" w:rsidRDefault="0010202F" w:rsidP="0010202F">
      <w:pPr>
        <w:spacing w:after="120" w:line="240" w:lineRule="auto"/>
      </w:pPr>
      <w:r w:rsidRPr="002C6872">
        <w:t xml:space="preserve">Advice </w:t>
      </w:r>
      <w:r w:rsidR="00A2204D" w:rsidRPr="002C6872">
        <w:t>on Discussion paper on European Disability Strategy 2010-2020</w:t>
      </w:r>
    </w:p>
    <w:p w14:paraId="78067421" w14:textId="77777777" w:rsidR="00A2204D" w:rsidRPr="002C6872" w:rsidRDefault="0010202F" w:rsidP="0010202F">
      <w:pPr>
        <w:spacing w:after="240" w:line="240" w:lineRule="auto"/>
      </w:pPr>
      <w:r w:rsidRPr="002C6872">
        <w:t xml:space="preserve">Advice </w:t>
      </w:r>
      <w:r w:rsidR="00A2204D" w:rsidRPr="002C6872">
        <w:t>on Sta</w:t>
      </w:r>
      <w:r w:rsidR="00FD179A" w:rsidRPr="002C6872">
        <w:t>ndard</w:t>
      </w:r>
      <w:r w:rsidR="00A2204D" w:rsidRPr="002C6872">
        <w:t>isation Ma</w:t>
      </w:r>
      <w:r w:rsidR="00FD179A" w:rsidRPr="002C6872">
        <w:t>nda</w:t>
      </w:r>
      <w:r w:rsidR="00A2204D" w:rsidRPr="002C6872">
        <w:t>te to CEN, CENELEC, and ETSI to include 'Design for All' in relevant sta</w:t>
      </w:r>
      <w:r w:rsidR="00FD179A" w:rsidRPr="002C6872">
        <w:t>nda</w:t>
      </w:r>
      <w:r w:rsidR="00A2204D" w:rsidRPr="002C6872">
        <w:t>rdisation initiatives</w:t>
      </w:r>
    </w:p>
    <w:p w14:paraId="2AA21166" w14:textId="77777777" w:rsidR="00A2204D" w:rsidRPr="002C6872" w:rsidRDefault="00A2204D" w:rsidP="0010202F">
      <w:pPr>
        <w:pStyle w:val="Heading3"/>
      </w:pPr>
      <w:r w:rsidRPr="002C6872">
        <w:t>Department of Defence</w:t>
      </w:r>
    </w:p>
    <w:p w14:paraId="26822FD4" w14:textId="77777777" w:rsidR="00A2204D" w:rsidRPr="002C6872" w:rsidRDefault="00A2204D" w:rsidP="0010202F">
      <w:pPr>
        <w:spacing w:after="240" w:line="240" w:lineRule="auto"/>
      </w:pPr>
      <w:r w:rsidRPr="002C6872">
        <w:t>Statement of Strategy 2011-2013</w:t>
      </w:r>
    </w:p>
    <w:p w14:paraId="6B718D36" w14:textId="77777777" w:rsidR="00A2204D" w:rsidRPr="002C6872" w:rsidRDefault="00A2204D" w:rsidP="0010202F">
      <w:pPr>
        <w:pStyle w:val="Heading3"/>
      </w:pPr>
      <w:r w:rsidRPr="002C6872">
        <w:t>Department of Education and Skills</w:t>
      </w:r>
    </w:p>
    <w:p w14:paraId="7E434F78" w14:textId="77777777" w:rsidR="00AF522B" w:rsidRPr="002C6872" w:rsidRDefault="00A2204D" w:rsidP="0010202F">
      <w:pPr>
        <w:spacing w:after="120" w:line="240" w:lineRule="auto"/>
      </w:pPr>
      <w:r w:rsidRPr="002C6872">
        <w:t>Statement of Strategy 2011-2013</w:t>
      </w:r>
    </w:p>
    <w:p w14:paraId="774C9C5C" w14:textId="77777777" w:rsidR="00AF522B" w:rsidRPr="002C6872" w:rsidRDefault="00AF522B" w:rsidP="0010202F">
      <w:pPr>
        <w:spacing w:after="240" w:line="240" w:lineRule="auto"/>
      </w:pPr>
      <w:r w:rsidRPr="002C6872">
        <w:rPr>
          <w:bCs/>
          <w:iCs/>
        </w:rPr>
        <w:t xml:space="preserve">NCSE - Review of the Role of </w:t>
      </w:r>
      <w:smartTag w:uri="urn:schemas-microsoft-com:office:smarttags" w:element="place">
        <w:smartTag w:uri="urn:schemas-microsoft-com:office:smarttags" w:element="PlaceName">
          <w:r w:rsidRPr="002C6872">
            <w:rPr>
              <w:bCs/>
              <w:iCs/>
            </w:rPr>
            <w:t>Special</w:t>
          </w:r>
        </w:smartTag>
        <w:r w:rsidRPr="002C6872">
          <w:rPr>
            <w:bCs/>
            <w:iCs/>
          </w:rPr>
          <w:t xml:space="preserve"> </w:t>
        </w:r>
        <w:smartTag w:uri="urn:schemas-microsoft-com:office:smarttags" w:element="PlaceName">
          <w:r w:rsidRPr="002C6872">
            <w:rPr>
              <w:bCs/>
              <w:iCs/>
            </w:rPr>
            <w:t>Education</w:t>
          </w:r>
        </w:smartTag>
        <w:r w:rsidRPr="002C6872">
          <w:rPr>
            <w:bCs/>
            <w:iCs/>
          </w:rPr>
          <w:t xml:space="preserve"> </w:t>
        </w:r>
        <w:smartTag w:uri="urn:schemas-microsoft-com:office:smarttags" w:element="PlaceType">
          <w:r w:rsidRPr="002C6872">
            <w:rPr>
              <w:bCs/>
              <w:iCs/>
            </w:rPr>
            <w:t>Schools</w:t>
          </w:r>
        </w:smartTag>
      </w:smartTag>
      <w:r w:rsidRPr="002C6872">
        <w:rPr>
          <w:bCs/>
          <w:iCs/>
        </w:rPr>
        <w:t xml:space="preserve"> and Classes</w:t>
      </w:r>
    </w:p>
    <w:p w14:paraId="511779AB" w14:textId="77777777" w:rsidR="00A2204D" w:rsidRPr="002C6872" w:rsidRDefault="00A2204D" w:rsidP="0010202F">
      <w:pPr>
        <w:pStyle w:val="Heading3"/>
      </w:pPr>
      <w:r w:rsidRPr="002C6872">
        <w:t xml:space="preserve">Department of the Environment, </w:t>
      </w:r>
      <w:proofErr w:type="gramStart"/>
      <w:r w:rsidRPr="002C6872">
        <w:t>Heritage</w:t>
      </w:r>
      <w:proofErr w:type="gramEnd"/>
      <w:r w:rsidRPr="002C6872">
        <w:t xml:space="preserve"> and Local Government</w:t>
      </w:r>
    </w:p>
    <w:p w14:paraId="0CA385E4" w14:textId="77777777" w:rsidR="00A2204D" w:rsidRPr="002C6872" w:rsidRDefault="00A2204D" w:rsidP="0010202F">
      <w:pPr>
        <w:spacing w:after="120" w:line="240" w:lineRule="auto"/>
      </w:pPr>
      <w:r w:rsidRPr="002C6872">
        <w:t>Statement of Strategy 2011-2013</w:t>
      </w:r>
    </w:p>
    <w:p w14:paraId="78543D76" w14:textId="77777777" w:rsidR="00A2204D" w:rsidRPr="002C6872" w:rsidRDefault="00A2204D" w:rsidP="0010202F">
      <w:pPr>
        <w:spacing w:after="120" w:line="240" w:lineRule="auto"/>
      </w:pPr>
      <w:r w:rsidRPr="002C6872">
        <w:t>Submission to the Local Government Efficiency Review Group</w:t>
      </w:r>
    </w:p>
    <w:p w14:paraId="52C6DC90" w14:textId="77777777" w:rsidR="00A2204D" w:rsidRPr="002C6872" w:rsidRDefault="00A2204D" w:rsidP="0010202F">
      <w:pPr>
        <w:spacing w:after="120" w:line="240" w:lineRule="auto"/>
      </w:pPr>
      <w:r w:rsidRPr="002C6872">
        <w:t>Submission on draft Planning Guidelines on Spatial Planning and National Roads</w:t>
      </w:r>
    </w:p>
    <w:p w14:paraId="32087487" w14:textId="77777777" w:rsidR="00A2204D" w:rsidRPr="002C6872" w:rsidRDefault="00A2204D" w:rsidP="0010202F">
      <w:pPr>
        <w:spacing w:after="240" w:line="240" w:lineRule="auto"/>
      </w:pPr>
      <w:r w:rsidRPr="002C6872">
        <w:t>Response to Questionnaire to Inform Review of the Retail Planning Guidelines</w:t>
      </w:r>
    </w:p>
    <w:p w14:paraId="096B2E52" w14:textId="77777777" w:rsidR="00A2204D" w:rsidRPr="002C6872" w:rsidRDefault="00A2204D" w:rsidP="0010202F">
      <w:pPr>
        <w:pStyle w:val="Heading3"/>
      </w:pPr>
      <w:r w:rsidRPr="002C6872">
        <w:lastRenderedPageBreak/>
        <w:t xml:space="preserve">Department of Enterprise, </w:t>
      </w:r>
      <w:proofErr w:type="gramStart"/>
      <w:r w:rsidRPr="002C6872">
        <w:t>Trade</w:t>
      </w:r>
      <w:proofErr w:type="gramEnd"/>
      <w:r w:rsidRPr="002C6872">
        <w:t xml:space="preserve"> and Innovation</w:t>
      </w:r>
    </w:p>
    <w:p w14:paraId="6FDCBA01" w14:textId="77777777" w:rsidR="00A2204D" w:rsidRPr="002C6872" w:rsidRDefault="00A2204D" w:rsidP="0010202F">
      <w:pPr>
        <w:spacing w:after="240" w:line="240" w:lineRule="auto"/>
      </w:pPr>
      <w:r w:rsidRPr="002C6872">
        <w:t>Statement of Strategy 2011-2013</w:t>
      </w:r>
    </w:p>
    <w:p w14:paraId="01D8BDBD" w14:textId="77777777" w:rsidR="00A2204D" w:rsidRPr="002C6872" w:rsidRDefault="00A2204D" w:rsidP="0010202F">
      <w:pPr>
        <w:pStyle w:val="Heading3"/>
      </w:pPr>
      <w:r w:rsidRPr="002C6872">
        <w:t>Department of Finance</w:t>
      </w:r>
    </w:p>
    <w:p w14:paraId="72F3BB6C" w14:textId="77777777" w:rsidR="00A2204D" w:rsidRPr="002C6872" w:rsidRDefault="00A2204D" w:rsidP="0010202F">
      <w:pPr>
        <w:spacing w:after="240" w:line="240" w:lineRule="auto"/>
      </w:pPr>
      <w:r w:rsidRPr="002C6872">
        <w:t>Statement of Strategy 2011-2013</w:t>
      </w:r>
    </w:p>
    <w:p w14:paraId="0B6A0E2F" w14:textId="77777777" w:rsidR="00A2204D" w:rsidRPr="002C6872" w:rsidRDefault="00A2204D" w:rsidP="0010202F">
      <w:pPr>
        <w:pStyle w:val="Heading3"/>
      </w:pPr>
      <w:r w:rsidRPr="002C6872">
        <w:t>Department of Foreign Affairs</w:t>
      </w:r>
    </w:p>
    <w:p w14:paraId="7EAED37F" w14:textId="77777777" w:rsidR="00A2204D" w:rsidRPr="002C6872" w:rsidRDefault="00A2204D" w:rsidP="0010202F">
      <w:pPr>
        <w:spacing w:after="240" w:line="240" w:lineRule="auto"/>
      </w:pPr>
      <w:r w:rsidRPr="002C6872">
        <w:t>Statement of Strategy 2011-2013</w:t>
      </w:r>
    </w:p>
    <w:p w14:paraId="13F4B8B5" w14:textId="77777777" w:rsidR="00A2204D" w:rsidRPr="002C6872" w:rsidRDefault="00A2204D" w:rsidP="0010202F">
      <w:pPr>
        <w:pStyle w:val="Heading3"/>
      </w:pPr>
      <w:r w:rsidRPr="002C6872">
        <w:t>Department of Health and Children</w:t>
      </w:r>
    </w:p>
    <w:p w14:paraId="2E5EBE1D" w14:textId="77777777" w:rsidR="00A2204D" w:rsidRPr="002C6872" w:rsidRDefault="00A2204D" w:rsidP="0010202F">
      <w:pPr>
        <w:spacing w:after="120" w:line="240" w:lineRule="auto"/>
      </w:pPr>
      <w:r w:rsidRPr="002C6872">
        <w:t>Statement of Strategy 2011-2013</w:t>
      </w:r>
    </w:p>
    <w:p w14:paraId="03B02785" w14:textId="77777777" w:rsidR="00AF522B" w:rsidRPr="002C6872" w:rsidRDefault="00AF522B" w:rsidP="0010202F">
      <w:pPr>
        <w:spacing w:after="120" w:line="240" w:lineRule="auto"/>
        <w:rPr>
          <w:bCs/>
          <w:iCs/>
        </w:rPr>
      </w:pPr>
      <w:r w:rsidRPr="002C6872">
        <w:rPr>
          <w:bCs/>
          <w:iCs/>
        </w:rPr>
        <w:t>Policy Advice Paper to the Value for Money and Policy Review of Disability Services</w:t>
      </w:r>
    </w:p>
    <w:p w14:paraId="17E8C9A6" w14:textId="77777777" w:rsidR="00AF522B" w:rsidRPr="002C6872" w:rsidRDefault="00AF522B" w:rsidP="0010202F">
      <w:pPr>
        <w:spacing w:after="120" w:line="240" w:lineRule="auto"/>
        <w:rPr>
          <w:bCs/>
          <w:iCs/>
        </w:rPr>
      </w:pPr>
      <w:r w:rsidRPr="002C6872">
        <w:rPr>
          <w:bCs/>
          <w:iCs/>
        </w:rPr>
        <w:t>Literature Review, Preschool and Disability</w:t>
      </w:r>
    </w:p>
    <w:p w14:paraId="588C9ED9" w14:textId="77777777" w:rsidR="00AF522B" w:rsidRPr="002C6872" w:rsidRDefault="0010202F" w:rsidP="0010202F">
      <w:pPr>
        <w:spacing w:after="240" w:line="240" w:lineRule="auto"/>
        <w:rPr>
          <w:bCs/>
          <w:iCs/>
        </w:rPr>
      </w:pPr>
      <w:r w:rsidRPr="002C6872">
        <w:rPr>
          <w:bCs/>
          <w:iCs/>
        </w:rPr>
        <w:t>S</w:t>
      </w:r>
      <w:r w:rsidR="00A129FE" w:rsidRPr="002C6872">
        <w:rPr>
          <w:bCs/>
          <w:iCs/>
        </w:rPr>
        <w:t>ubmission on H</w:t>
      </w:r>
      <w:r w:rsidR="00680825" w:rsidRPr="002C6872">
        <w:rPr>
          <w:bCs/>
          <w:iCs/>
        </w:rPr>
        <w:t>ealth Information and Quality Authority’s</w:t>
      </w:r>
      <w:r w:rsidR="00A129FE" w:rsidRPr="002C6872">
        <w:rPr>
          <w:bCs/>
          <w:iCs/>
        </w:rPr>
        <w:t xml:space="preserve"> draft </w:t>
      </w:r>
      <w:r w:rsidR="00680825" w:rsidRPr="002C6872">
        <w:rPr>
          <w:bCs/>
          <w:iCs/>
        </w:rPr>
        <w:t>Better Safer</w:t>
      </w:r>
      <w:r w:rsidR="00AF522B" w:rsidRPr="002C6872">
        <w:rPr>
          <w:bCs/>
          <w:iCs/>
        </w:rPr>
        <w:t xml:space="preserve"> Healthcare Sta</w:t>
      </w:r>
      <w:r w:rsidR="00FD179A" w:rsidRPr="002C6872">
        <w:rPr>
          <w:bCs/>
          <w:iCs/>
        </w:rPr>
        <w:t>nda</w:t>
      </w:r>
      <w:r w:rsidR="00AF522B" w:rsidRPr="002C6872">
        <w:rPr>
          <w:bCs/>
          <w:iCs/>
        </w:rPr>
        <w:t>rds</w:t>
      </w:r>
    </w:p>
    <w:p w14:paraId="25B6D7DB" w14:textId="77777777" w:rsidR="00A2204D" w:rsidRPr="002C6872" w:rsidRDefault="00A2204D" w:rsidP="0010202F">
      <w:pPr>
        <w:pStyle w:val="Heading3"/>
      </w:pPr>
      <w:r w:rsidRPr="002C6872">
        <w:t>Department of Justice and Law Reform</w:t>
      </w:r>
    </w:p>
    <w:p w14:paraId="7283AB0C" w14:textId="77777777" w:rsidR="00A2204D" w:rsidRPr="002C6872" w:rsidRDefault="00A2204D" w:rsidP="0010202F">
      <w:pPr>
        <w:spacing w:after="240" w:line="240" w:lineRule="auto"/>
      </w:pPr>
      <w:r w:rsidRPr="002C6872">
        <w:t>Statement of Strategy 2011-2013</w:t>
      </w:r>
    </w:p>
    <w:p w14:paraId="4045D7EE" w14:textId="77777777" w:rsidR="00A2204D" w:rsidRPr="002C6872" w:rsidRDefault="00A2204D" w:rsidP="0010202F">
      <w:pPr>
        <w:spacing w:after="240" w:line="240" w:lineRule="auto"/>
      </w:pPr>
      <w:r w:rsidRPr="002C6872">
        <w:t>Advice on capacity and sexual relations to Legal Issues Sub-Committee of the</w:t>
      </w:r>
      <w:r w:rsidR="009309B8" w:rsidRPr="002C6872">
        <w:t xml:space="preserve"> </w:t>
      </w:r>
      <w:r w:rsidRPr="002C6872">
        <w:t>National Steering Committee on the Prevention of Domestic, Sexual and Gender-based Violence</w:t>
      </w:r>
      <w:r w:rsidR="0010202F" w:rsidRPr="002C6872">
        <w:t xml:space="preserve"> (COSC)</w:t>
      </w:r>
    </w:p>
    <w:p w14:paraId="5279A6F1" w14:textId="77777777" w:rsidR="00A2204D" w:rsidRPr="002C6872" w:rsidRDefault="00A2204D" w:rsidP="0010202F">
      <w:pPr>
        <w:pStyle w:val="Heading3"/>
      </w:pPr>
      <w:r w:rsidRPr="002C6872">
        <w:t>Department of Social Protection</w:t>
      </w:r>
    </w:p>
    <w:p w14:paraId="20065175" w14:textId="77777777" w:rsidR="00A2204D" w:rsidRPr="002C6872" w:rsidRDefault="00A2204D" w:rsidP="0010202F">
      <w:pPr>
        <w:spacing w:after="240" w:line="240" w:lineRule="auto"/>
      </w:pPr>
      <w:r w:rsidRPr="002C6872">
        <w:t>Statement of Strategy 2011-2013</w:t>
      </w:r>
    </w:p>
    <w:p w14:paraId="2D6FAA2E" w14:textId="77777777" w:rsidR="00A2204D" w:rsidRPr="002C6872" w:rsidRDefault="00A2204D" w:rsidP="0010202F">
      <w:pPr>
        <w:pStyle w:val="Heading3"/>
      </w:pPr>
      <w:r w:rsidRPr="002C6872">
        <w:t xml:space="preserve">Department of Tourism, </w:t>
      </w:r>
      <w:proofErr w:type="gramStart"/>
      <w:r w:rsidRPr="002C6872">
        <w:t>Sport</w:t>
      </w:r>
      <w:proofErr w:type="gramEnd"/>
      <w:r w:rsidRPr="002C6872">
        <w:t xml:space="preserve"> and Culture</w:t>
      </w:r>
    </w:p>
    <w:p w14:paraId="2FE074CA" w14:textId="77777777" w:rsidR="00A2204D" w:rsidRPr="002C6872" w:rsidRDefault="00A2204D" w:rsidP="0010202F">
      <w:pPr>
        <w:spacing w:after="240" w:line="240" w:lineRule="auto"/>
      </w:pPr>
      <w:r w:rsidRPr="002C6872">
        <w:t>Statement of Strategy 2011-2013</w:t>
      </w:r>
    </w:p>
    <w:p w14:paraId="50ED2733" w14:textId="77777777" w:rsidR="00A2204D" w:rsidRPr="002C6872" w:rsidRDefault="00A2204D" w:rsidP="0010202F">
      <w:pPr>
        <w:pStyle w:val="Heading3"/>
      </w:pPr>
      <w:r w:rsidRPr="002C6872">
        <w:t>Department of Transport</w:t>
      </w:r>
    </w:p>
    <w:p w14:paraId="3505A3BF" w14:textId="77777777" w:rsidR="00A2204D" w:rsidRPr="002C6872" w:rsidRDefault="00A2204D" w:rsidP="0010202F">
      <w:pPr>
        <w:spacing w:after="240" w:line="240" w:lineRule="auto"/>
      </w:pPr>
      <w:r w:rsidRPr="002C6872">
        <w:t>Statement of Strategy 2011-2013</w:t>
      </w:r>
    </w:p>
    <w:p w14:paraId="3467B685" w14:textId="77777777" w:rsidR="00A2204D" w:rsidRPr="002C6872" w:rsidRDefault="00A2204D" w:rsidP="0010202F">
      <w:pPr>
        <w:pStyle w:val="Heading3"/>
      </w:pPr>
      <w:r w:rsidRPr="002C6872">
        <w:t>Department of the Taoiseach</w:t>
      </w:r>
    </w:p>
    <w:p w14:paraId="09D1E7E2" w14:textId="77777777" w:rsidR="00A2204D" w:rsidRPr="002C6872" w:rsidRDefault="00A2204D" w:rsidP="0010202F">
      <w:pPr>
        <w:spacing w:after="240" w:line="240" w:lineRule="auto"/>
      </w:pPr>
      <w:r w:rsidRPr="002C6872">
        <w:t>Statement of Strategy 2011-2013</w:t>
      </w:r>
    </w:p>
    <w:p w14:paraId="54B97B3A" w14:textId="77777777" w:rsidR="00A2204D" w:rsidRPr="002C6872" w:rsidRDefault="00A2204D" w:rsidP="0010202F">
      <w:pPr>
        <w:pStyle w:val="Heading3"/>
      </w:pPr>
      <w:r w:rsidRPr="002C6872">
        <w:t>Donegal County Council</w:t>
      </w:r>
    </w:p>
    <w:p w14:paraId="6AB94DC3" w14:textId="77777777" w:rsidR="00A2204D" w:rsidRPr="002C6872" w:rsidRDefault="0010202F" w:rsidP="0010202F">
      <w:pPr>
        <w:spacing w:after="240" w:line="240" w:lineRule="auto"/>
      </w:pPr>
      <w:r w:rsidRPr="002C6872">
        <w:t>Submission to</w:t>
      </w:r>
      <w:r w:rsidR="00A2204D" w:rsidRPr="002C6872">
        <w:t xml:space="preserve"> Review of the County Donegal Development Plan 2006-2012 (as varied) and preparation of a new County Development Plan</w:t>
      </w:r>
    </w:p>
    <w:p w14:paraId="61E92F0B" w14:textId="77777777" w:rsidR="00A2204D" w:rsidRPr="002C6872" w:rsidRDefault="00A2204D" w:rsidP="0010202F">
      <w:pPr>
        <w:pStyle w:val="Heading3"/>
      </w:pPr>
      <w:smartTag w:uri="urn:schemas-microsoft-com:office:smarttags" w:element="City">
        <w:smartTag w:uri="urn:schemas-microsoft-com:office:smarttags" w:element="place">
          <w:r w:rsidRPr="002C6872">
            <w:t>Dublin</w:t>
          </w:r>
        </w:smartTag>
      </w:smartTag>
      <w:r w:rsidRPr="002C6872">
        <w:t xml:space="preserve"> City Council</w:t>
      </w:r>
    </w:p>
    <w:p w14:paraId="49BEA6D7" w14:textId="77777777" w:rsidR="00A2204D" w:rsidRPr="002C6872" w:rsidRDefault="00A2204D" w:rsidP="0010202F">
      <w:pPr>
        <w:spacing w:after="240" w:line="240" w:lineRule="auto"/>
      </w:pPr>
      <w:r w:rsidRPr="002C6872">
        <w:t xml:space="preserve">Submission on Consultation on </w:t>
      </w:r>
      <w:smartTag w:uri="urn:schemas-microsoft-com:office:smarttags" w:element="place">
        <w:smartTag w:uri="urn:schemas-microsoft-com:office:smarttags" w:element="PlaceName">
          <w:r w:rsidRPr="002C6872">
            <w:t>Dublin</w:t>
          </w:r>
        </w:smartTag>
        <w:r w:rsidRPr="002C6872">
          <w:t xml:space="preserve"> </w:t>
        </w:r>
        <w:smartTag w:uri="urn:schemas-microsoft-com:office:smarttags" w:element="PlaceType">
          <w:r w:rsidRPr="002C6872">
            <w:t>City</w:t>
          </w:r>
        </w:smartTag>
      </w:smartTag>
      <w:r w:rsidRPr="002C6872">
        <w:t xml:space="preserve"> Draft Development Plan 2011-2017</w:t>
      </w:r>
    </w:p>
    <w:p w14:paraId="32136AE3" w14:textId="77777777" w:rsidR="00680825" w:rsidRPr="002C6872" w:rsidRDefault="00680825" w:rsidP="00680825">
      <w:pPr>
        <w:pStyle w:val="Heading3"/>
      </w:pPr>
      <w:r w:rsidRPr="002C6872">
        <w:t>Dublin Lord Mayor's Commission on Employment</w:t>
      </w:r>
    </w:p>
    <w:p w14:paraId="2DF845B5" w14:textId="77777777" w:rsidR="00680825" w:rsidRPr="002C6872" w:rsidRDefault="00680825" w:rsidP="00680825">
      <w:pPr>
        <w:spacing w:after="240" w:line="240" w:lineRule="auto"/>
      </w:pPr>
      <w:r w:rsidRPr="002C6872">
        <w:t>Employment of people with disabilities</w:t>
      </w:r>
    </w:p>
    <w:p w14:paraId="2896EFEC" w14:textId="77777777" w:rsidR="00A2204D" w:rsidRPr="002C6872" w:rsidRDefault="00A2204D" w:rsidP="0010202F">
      <w:pPr>
        <w:pStyle w:val="Heading3"/>
      </w:pPr>
      <w:r w:rsidRPr="002C6872">
        <w:t>FÁS</w:t>
      </w:r>
    </w:p>
    <w:p w14:paraId="417EE8EE" w14:textId="77777777" w:rsidR="00A2204D" w:rsidRPr="002C6872" w:rsidRDefault="00A2204D" w:rsidP="0010202F">
      <w:pPr>
        <w:spacing w:after="240" w:line="240" w:lineRule="auto"/>
      </w:pPr>
      <w:r w:rsidRPr="002C6872">
        <w:t>Corporate Plan</w:t>
      </w:r>
    </w:p>
    <w:p w14:paraId="3CBAD524" w14:textId="77777777" w:rsidR="00A2204D" w:rsidRPr="002C6872" w:rsidRDefault="00A2204D" w:rsidP="0010202F">
      <w:pPr>
        <w:pStyle w:val="Heading3"/>
      </w:pPr>
      <w:r w:rsidRPr="002C6872">
        <w:lastRenderedPageBreak/>
        <w:t>Office of the Attorney General</w:t>
      </w:r>
    </w:p>
    <w:p w14:paraId="668FA862" w14:textId="77777777" w:rsidR="00A2204D" w:rsidRPr="002C6872" w:rsidRDefault="00A2204D" w:rsidP="0010202F">
      <w:pPr>
        <w:spacing w:after="240" w:line="240" w:lineRule="auto"/>
      </w:pPr>
      <w:r w:rsidRPr="002C6872">
        <w:t>Statement of Strategy 2011-2013</w:t>
      </w:r>
    </w:p>
    <w:p w14:paraId="303B9D6E" w14:textId="77777777" w:rsidR="00A2204D" w:rsidRPr="002C6872" w:rsidRDefault="00A2204D" w:rsidP="0010202F">
      <w:pPr>
        <w:pStyle w:val="Heading3"/>
      </w:pPr>
      <w:r w:rsidRPr="002C6872">
        <w:t>Office of Public Works</w:t>
      </w:r>
    </w:p>
    <w:p w14:paraId="7A135907" w14:textId="77777777" w:rsidR="00A2204D" w:rsidRPr="002C6872" w:rsidRDefault="00A2204D" w:rsidP="0010202F">
      <w:pPr>
        <w:spacing w:after="240" w:line="240" w:lineRule="auto"/>
      </w:pPr>
      <w:r w:rsidRPr="002C6872">
        <w:t>Statement of Strategy 2011-2013</w:t>
      </w:r>
    </w:p>
    <w:p w14:paraId="534B5A1A" w14:textId="77777777" w:rsidR="00A2204D" w:rsidRPr="002C6872" w:rsidRDefault="00A2204D" w:rsidP="0010202F">
      <w:pPr>
        <w:pStyle w:val="Heading3"/>
      </w:pPr>
      <w:r w:rsidRPr="002C6872">
        <w:t>Office of the Revenue Commissioners</w:t>
      </w:r>
    </w:p>
    <w:p w14:paraId="0CCC7B54" w14:textId="77777777" w:rsidR="00A2204D" w:rsidRPr="002C6872" w:rsidRDefault="00A2204D" w:rsidP="0010202F">
      <w:pPr>
        <w:spacing w:after="240" w:line="240" w:lineRule="auto"/>
      </w:pPr>
      <w:r w:rsidRPr="002C6872">
        <w:t>Statement of Strategy 2011-2013</w:t>
      </w:r>
    </w:p>
    <w:p w14:paraId="1BA3FDDD" w14:textId="77777777" w:rsidR="00A2204D" w:rsidRPr="002C6872" w:rsidRDefault="00A2204D" w:rsidP="0010202F">
      <w:pPr>
        <w:pStyle w:val="Heading3"/>
      </w:pPr>
      <w:r w:rsidRPr="002C6872">
        <w:t>Public Appointments Service</w:t>
      </w:r>
    </w:p>
    <w:p w14:paraId="7D4ED189" w14:textId="77777777" w:rsidR="00A2204D" w:rsidRPr="002C6872" w:rsidRDefault="00A2204D" w:rsidP="0010202F">
      <w:pPr>
        <w:spacing w:after="240" w:line="240" w:lineRule="auto"/>
      </w:pPr>
      <w:r w:rsidRPr="002C6872">
        <w:t>Statement of Strategy 2011-2013</w:t>
      </w:r>
    </w:p>
    <w:p w14:paraId="53C97532" w14:textId="77777777" w:rsidR="00A2204D" w:rsidRPr="002C6872" w:rsidRDefault="00A2204D" w:rsidP="0010202F">
      <w:pPr>
        <w:pStyle w:val="Heading3"/>
      </w:pPr>
      <w:r w:rsidRPr="002C6872">
        <w:t>RTÉ</w:t>
      </w:r>
    </w:p>
    <w:p w14:paraId="72A1E5E3" w14:textId="77777777" w:rsidR="00A2204D" w:rsidRPr="002C6872" w:rsidRDefault="00A2204D" w:rsidP="0010202F">
      <w:pPr>
        <w:spacing w:after="240" w:line="240" w:lineRule="auto"/>
      </w:pPr>
      <w:r w:rsidRPr="002C6872">
        <w:t>Public Service Statement</w:t>
      </w:r>
    </w:p>
    <w:p w14:paraId="47FD36CA" w14:textId="77777777" w:rsidR="00A2204D" w:rsidRPr="002C6872" w:rsidRDefault="00A2204D" w:rsidP="0010202F">
      <w:pPr>
        <w:pStyle w:val="Heading3"/>
      </w:pPr>
      <w:r w:rsidRPr="002C6872">
        <w:t>Valuation Office</w:t>
      </w:r>
    </w:p>
    <w:p w14:paraId="582BD100" w14:textId="77777777" w:rsidR="00B3690F" w:rsidRDefault="00A2204D" w:rsidP="0010202F">
      <w:pPr>
        <w:spacing w:after="240" w:line="240" w:lineRule="auto"/>
      </w:pPr>
      <w:r w:rsidRPr="002C6872">
        <w:t>Statement of Strategy 2011-2013</w:t>
      </w:r>
    </w:p>
    <w:p w14:paraId="23FDE33D" w14:textId="77777777" w:rsidR="00EE061F" w:rsidRDefault="00EE061F" w:rsidP="0010202F">
      <w:pPr>
        <w:spacing w:after="240" w:line="240" w:lineRule="auto"/>
        <w:sectPr w:rsidR="00EE061F" w:rsidSect="008F150C">
          <w:footerReference w:type="even" r:id="rId8"/>
          <w:footerReference w:type="default" r:id="rId9"/>
          <w:pgSz w:w="12240" w:h="15840"/>
          <w:pgMar w:top="1440" w:right="1797" w:bottom="1440" w:left="1797" w:header="709" w:footer="709" w:gutter="0"/>
          <w:pgNumType w:start="1"/>
          <w:cols w:space="708"/>
          <w:titlePg/>
          <w:docGrid w:linePitch="360"/>
        </w:sectPr>
      </w:pPr>
    </w:p>
    <w:p w14:paraId="5E0366C3" w14:textId="77777777" w:rsidR="00EE061F" w:rsidRPr="002918E9" w:rsidRDefault="00EE061F" w:rsidP="00EE061F">
      <w:pPr>
        <w:pStyle w:val="Title"/>
        <w:rPr>
          <w:rFonts w:cs="Times New Roman"/>
          <w:bCs w:val="0"/>
          <w:szCs w:val="24"/>
        </w:rPr>
      </w:pPr>
    </w:p>
    <w:p w14:paraId="438A2B3E" w14:textId="77777777" w:rsidR="00FB7134" w:rsidRDefault="00EE061F" w:rsidP="00EE061F">
      <w:pPr>
        <w:pStyle w:val="Title"/>
        <w:spacing w:before="0" w:after="0" w:line="240" w:lineRule="auto"/>
        <w:rPr>
          <w:rFonts w:cs="Times New Roman"/>
          <w:bCs w:val="0"/>
          <w:szCs w:val="24"/>
          <w:lang w:val="ga-IE"/>
        </w:rPr>
      </w:pPr>
      <w:bookmarkStart w:id="435" w:name="_Toc296854897"/>
      <w:bookmarkStart w:id="436" w:name="_Toc299360710"/>
      <w:bookmarkStart w:id="437" w:name="_Toc299361988"/>
      <w:bookmarkStart w:id="438" w:name="_Toc299362492"/>
      <w:bookmarkStart w:id="439" w:name="_Toc299362585"/>
      <w:bookmarkStart w:id="440" w:name="_Toc300741746"/>
      <w:bookmarkStart w:id="441" w:name="_Toc300742190"/>
      <w:bookmarkStart w:id="442" w:name="_Toc300742942"/>
      <w:bookmarkStart w:id="443" w:name="_Toc300744294"/>
      <w:bookmarkStart w:id="444" w:name="_Toc304371216"/>
      <w:bookmarkStart w:id="445" w:name="_Toc304381935"/>
      <w:r w:rsidRPr="00A15917">
        <w:rPr>
          <w:rFonts w:cs="Times New Roman"/>
          <w:bCs w:val="0"/>
          <w:szCs w:val="24"/>
          <w:lang w:val="ga-IE"/>
        </w:rPr>
        <w:t>Tuarascáil Bhliantúil 2010</w:t>
      </w:r>
      <w:bookmarkEnd w:id="435"/>
      <w:bookmarkEnd w:id="436"/>
      <w:bookmarkEnd w:id="437"/>
      <w:bookmarkEnd w:id="438"/>
      <w:bookmarkEnd w:id="439"/>
      <w:bookmarkEnd w:id="440"/>
      <w:bookmarkEnd w:id="441"/>
      <w:bookmarkEnd w:id="442"/>
      <w:bookmarkEnd w:id="443"/>
      <w:bookmarkEnd w:id="444"/>
      <w:bookmarkEnd w:id="445"/>
    </w:p>
    <w:p w14:paraId="26A9D2A6" w14:textId="77777777" w:rsidR="00EE061F" w:rsidRPr="00A15917" w:rsidRDefault="00FB7134" w:rsidP="00EE061F">
      <w:pPr>
        <w:pStyle w:val="Title"/>
        <w:spacing w:before="0" w:after="0" w:line="240" w:lineRule="auto"/>
        <w:rPr>
          <w:rFonts w:cs="Times New Roman"/>
          <w:bCs w:val="0"/>
          <w:szCs w:val="24"/>
          <w:lang w:val="ga-IE"/>
        </w:rPr>
      </w:pPr>
      <w:r>
        <w:rPr>
          <w:rFonts w:cs="Times New Roman"/>
          <w:bCs w:val="0"/>
          <w:szCs w:val="24"/>
          <w:lang w:val="ga-IE"/>
        </w:rPr>
        <w:br w:type="page"/>
      </w:r>
    </w:p>
    <w:p w14:paraId="5C02FE13" w14:textId="77777777" w:rsidR="00B3690F" w:rsidRDefault="00872C46" w:rsidP="00B3690F">
      <w:pPr>
        <w:pStyle w:val="Title"/>
        <w:spacing w:before="0" w:after="0" w:line="240" w:lineRule="auto"/>
        <w:rPr>
          <w:rFonts w:cs="Times New Roman"/>
          <w:bCs w:val="0"/>
          <w:szCs w:val="24"/>
          <w:lang w:val="ga-IE"/>
        </w:rPr>
      </w:pPr>
      <w:bookmarkStart w:id="446" w:name="_Toc300744295"/>
      <w:bookmarkStart w:id="447" w:name="_Toc304371217"/>
      <w:bookmarkStart w:id="448" w:name="_Toc304381936"/>
      <w:r>
        <w:rPr>
          <w:rFonts w:cs="Times New Roman"/>
          <w:bCs w:val="0"/>
          <w:szCs w:val="24"/>
          <w:lang w:val="ga-IE"/>
        </w:rPr>
        <w:lastRenderedPageBreak/>
        <w:br w:type="page"/>
      </w:r>
      <w:r w:rsidR="00B3690F" w:rsidRPr="00A15917">
        <w:rPr>
          <w:rFonts w:cs="Times New Roman"/>
          <w:bCs w:val="0"/>
          <w:szCs w:val="24"/>
          <w:lang w:val="ga-IE"/>
        </w:rPr>
        <w:lastRenderedPageBreak/>
        <w:t>Tuarascáil Bhliantúil 2010</w:t>
      </w:r>
      <w:bookmarkEnd w:id="446"/>
      <w:bookmarkEnd w:id="447"/>
      <w:bookmarkEnd w:id="448"/>
    </w:p>
    <w:p w14:paraId="79D9FB96" w14:textId="77777777" w:rsidR="00EE061F" w:rsidRDefault="00EE061F" w:rsidP="00EE061F">
      <w:pPr>
        <w:pStyle w:val="Heading1"/>
        <w:rPr>
          <w:rFonts w:cs="Times New Roman"/>
          <w:bCs w:val="0"/>
          <w:szCs w:val="24"/>
          <w:lang w:val="ga-IE"/>
        </w:rPr>
      </w:pPr>
    </w:p>
    <w:p w14:paraId="3A959DC8" w14:textId="77777777" w:rsidR="00B3690F" w:rsidRDefault="00B3690F" w:rsidP="00B3690F">
      <w:pPr>
        <w:rPr>
          <w:lang w:val="ga-IE"/>
        </w:rPr>
      </w:pPr>
    </w:p>
    <w:p w14:paraId="18D2D7E7" w14:textId="77777777" w:rsidR="00B3690F" w:rsidRDefault="00B3690F" w:rsidP="00B3690F">
      <w:pPr>
        <w:rPr>
          <w:lang w:val="ga-IE"/>
        </w:rPr>
      </w:pPr>
    </w:p>
    <w:p w14:paraId="6BB16F04" w14:textId="77777777" w:rsidR="00B3690F" w:rsidRDefault="00B3690F" w:rsidP="00B3690F">
      <w:pPr>
        <w:rPr>
          <w:lang w:val="ga-IE"/>
        </w:rPr>
      </w:pPr>
    </w:p>
    <w:p w14:paraId="10FCCBD7" w14:textId="77777777" w:rsidR="00B3690F" w:rsidRDefault="00B3690F" w:rsidP="00B3690F">
      <w:pPr>
        <w:rPr>
          <w:lang w:val="ga-IE"/>
        </w:rPr>
      </w:pPr>
    </w:p>
    <w:p w14:paraId="4D24B36C" w14:textId="77777777" w:rsidR="00B3690F" w:rsidRDefault="00B3690F" w:rsidP="00B3690F">
      <w:pPr>
        <w:rPr>
          <w:lang w:val="ga-IE"/>
        </w:rPr>
      </w:pPr>
    </w:p>
    <w:p w14:paraId="1404188B" w14:textId="77777777" w:rsidR="00B3690F" w:rsidRDefault="00B3690F" w:rsidP="00B3690F">
      <w:pPr>
        <w:rPr>
          <w:lang w:val="ga-IE"/>
        </w:rPr>
      </w:pPr>
    </w:p>
    <w:p w14:paraId="7C2E4BF5" w14:textId="77777777" w:rsidR="00B3690F" w:rsidRDefault="00B3690F" w:rsidP="00B3690F">
      <w:pPr>
        <w:rPr>
          <w:lang w:val="ga-IE"/>
        </w:rPr>
      </w:pPr>
    </w:p>
    <w:p w14:paraId="1724F071" w14:textId="77777777" w:rsidR="00B3690F" w:rsidRDefault="00B3690F" w:rsidP="00B3690F">
      <w:pPr>
        <w:rPr>
          <w:lang w:val="ga-IE"/>
        </w:rPr>
      </w:pPr>
    </w:p>
    <w:p w14:paraId="7F28CB08" w14:textId="77777777" w:rsidR="00B3690F" w:rsidRDefault="00B3690F" w:rsidP="00B3690F">
      <w:pPr>
        <w:rPr>
          <w:lang w:val="ga-IE"/>
        </w:rPr>
      </w:pPr>
    </w:p>
    <w:p w14:paraId="5B01E3A5" w14:textId="77777777" w:rsidR="00B3690F" w:rsidRDefault="00B3690F" w:rsidP="00B3690F">
      <w:pPr>
        <w:rPr>
          <w:lang w:val="ga-IE"/>
        </w:rPr>
      </w:pPr>
    </w:p>
    <w:p w14:paraId="728726F3" w14:textId="77777777" w:rsidR="00B3690F" w:rsidRDefault="00B3690F" w:rsidP="00B3690F">
      <w:pPr>
        <w:rPr>
          <w:lang w:val="ga-IE"/>
        </w:rPr>
      </w:pPr>
    </w:p>
    <w:p w14:paraId="45EE3BB4" w14:textId="77777777" w:rsidR="00B3690F" w:rsidRDefault="00B3690F" w:rsidP="00B3690F">
      <w:pPr>
        <w:rPr>
          <w:lang w:val="ga-IE"/>
        </w:rPr>
      </w:pPr>
    </w:p>
    <w:p w14:paraId="5F7532F1" w14:textId="77777777" w:rsidR="00B3690F" w:rsidRDefault="00B3690F" w:rsidP="00B3690F">
      <w:pPr>
        <w:rPr>
          <w:lang w:val="ga-IE"/>
        </w:rPr>
      </w:pPr>
    </w:p>
    <w:p w14:paraId="2E303D7D" w14:textId="77777777" w:rsidR="00B3690F" w:rsidRDefault="00B3690F" w:rsidP="00B3690F">
      <w:pPr>
        <w:rPr>
          <w:lang w:val="ga-IE"/>
        </w:rPr>
      </w:pPr>
    </w:p>
    <w:p w14:paraId="0BB3BA82" w14:textId="77777777" w:rsidR="00B3690F" w:rsidRDefault="00B3690F" w:rsidP="00B3690F">
      <w:pPr>
        <w:rPr>
          <w:lang w:val="ga-IE"/>
        </w:rPr>
      </w:pPr>
    </w:p>
    <w:p w14:paraId="0906B564" w14:textId="77777777" w:rsidR="00B3690F" w:rsidRDefault="00B3690F" w:rsidP="00B3690F">
      <w:pPr>
        <w:rPr>
          <w:lang w:val="ga-IE"/>
        </w:rPr>
      </w:pPr>
    </w:p>
    <w:p w14:paraId="61697E97" w14:textId="77777777" w:rsidR="00B3690F" w:rsidRDefault="00B3690F" w:rsidP="00B3690F">
      <w:pPr>
        <w:rPr>
          <w:lang w:val="ga-IE"/>
        </w:rPr>
      </w:pPr>
    </w:p>
    <w:p w14:paraId="272A48B7" w14:textId="77777777" w:rsidR="00B3690F" w:rsidRDefault="00B3690F" w:rsidP="00B3690F">
      <w:pPr>
        <w:rPr>
          <w:lang w:val="ga-IE"/>
        </w:rPr>
      </w:pPr>
    </w:p>
    <w:p w14:paraId="1C345080" w14:textId="77777777" w:rsidR="00EE061F" w:rsidRPr="00B3690F" w:rsidRDefault="00B3690F" w:rsidP="00B3690F">
      <w:pPr>
        <w:rPr>
          <w:b/>
          <w:lang w:val="ga-IE"/>
        </w:rPr>
      </w:pPr>
      <w:r w:rsidRPr="00B3690F">
        <w:rPr>
          <w:b/>
          <w:lang w:val="ga-IE"/>
        </w:rPr>
        <w:t xml:space="preserve">PRN </w:t>
      </w:r>
      <w:r w:rsidRPr="00B3690F">
        <w:rPr>
          <w:b/>
          <w:lang w:val="en-GB"/>
        </w:rPr>
        <w:t>A11/1318</w:t>
      </w:r>
    </w:p>
    <w:p w14:paraId="1E0104EF" w14:textId="77777777" w:rsidR="00572BA4" w:rsidRPr="00572BA4" w:rsidRDefault="008D25AB" w:rsidP="00572BA4">
      <w:pPr>
        <w:pStyle w:val="Heading1"/>
        <w:rPr>
          <w:noProof/>
        </w:rPr>
      </w:pPr>
      <w:bookmarkStart w:id="449" w:name="_Toc296854898"/>
      <w:r>
        <w:rPr>
          <w:rFonts w:cs="Times New Roman"/>
          <w:noProof/>
          <w:szCs w:val="24"/>
        </w:rPr>
        <w:br w:type="page"/>
      </w:r>
      <w:bookmarkStart w:id="450" w:name="_Toc299360711"/>
      <w:bookmarkStart w:id="451" w:name="_Toc299361989"/>
      <w:bookmarkStart w:id="452" w:name="_Toc299362493"/>
      <w:bookmarkStart w:id="453" w:name="_Toc299362586"/>
      <w:bookmarkStart w:id="454" w:name="_Toc300741747"/>
      <w:bookmarkStart w:id="455" w:name="_Toc300742191"/>
      <w:bookmarkStart w:id="456" w:name="_Toc300742943"/>
      <w:bookmarkStart w:id="457" w:name="_Toc300744296"/>
      <w:bookmarkStart w:id="458" w:name="_Toc304371218"/>
      <w:bookmarkStart w:id="459" w:name="_Toc304381937"/>
      <w:r w:rsidR="00872C46">
        <w:rPr>
          <w:rFonts w:cs="Times New Roman"/>
          <w:noProof/>
          <w:szCs w:val="24"/>
        </w:rPr>
        <w:lastRenderedPageBreak/>
        <w:br w:type="page"/>
      </w:r>
      <w:r w:rsidR="00EE061F" w:rsidRPr="00A15917">
        <w:rPr>
          <w:rFonts w:cs="Times New Roman"/>
          <w:noProof/>
          <w:szCs w:val="24"/>
        </w:rPr>
        <w:lastRenderedPageBreak/>
        <w:t>Clár</w:t>
      </w:r>
      <w:bookmarkEnd w:id="449"/>
      <w:r w:rsidR="00EE061F" w:rsidRPr="00A15917">
        <w:rPr>
          <w:rFonts w:cs="Times New Roman"/>
          <w:noProof/>
          <w:szCs w:val="24"/>
        </w:rPr>
        <w:t xml:space="preserve"> na nÁbhar</w:t>
      </w:r>
      <w:bookmarkEnd w:id="450"/>
      <w:bookmarkEnd w:id="451"/>
      <w:bookmarkEnd w:id="452"/>
      <w:bookmarkEnd w:id="453"/>
      <w:bookmarkEnd w:id="454"/>
      <w:bookmarkEnd w:id="455"/>
      <w:bookmarkEnd w:id="456"/>
      <w:bookmarkEnd w:id="457"/>
      <w:bookmarkEnd w:id="458"/>
      <w:bookmarkEnd w:id="459"/>
      <w:r w:rsidR="00EE061F" w:rsidRPr="00A15917">
        <w:rPr>
          <w:rFonts w:cs="Times New Roman"/>
          <w:szCs w:val="24"/>
        </w:rPr>
        <w:br/>
      </w:r>
      <w:r w:rsidR="00EE061F" w:rsidRPr="00A15917">
        <w:fldChar w:fldCharType="begin"/>
      </w:r>
      <w:r w:rsidR="00EE061F" w:rsidRPr="00A15917">
        <w:instrText xml:space="preserve"> TOC \o "1-1" \h \z \u </w:instrText>
      </w:r>
      <w:r w:rsidR="00EE061F" w:rsidRPr="00A15917">
        <w:fldChar w:fldCharType="separate"/>
      </w:r>
    </w:p>
    <w:p w14:paraId="282714C6" w14:textId="77777777" w:rsidR="00572BA4" w:rsidRDefault="00572BA4">
      <w:pPr>
        <w:pStyle w:val="TOC1"/>
        <w:rPr>
          <w:rFonts w:ascii="Times New Roman" w:hAnsi="Times New Roman"/>
          <w:lang w:val="en-GB" w:eastAsia="en-GB"/>
        </w:rPr>
      </w:pPr>
      <w:hyperlink w:anchor="_Toc304381938" w:history="1">
        <w:r w:rsidRPr="00014D25">
          <w:rPr>
            <w:rStyle w:val="Hyperlink"/>
          </w:rPr>
          <w:t>Ráiteas an Chathaoirligh</w:t>
        </w:r>
        <w:r>
          <w:rPr>
            <w:webHidden/>
          </w:rPr>
          <w:tab/>
        </w:r>
        <w:r>
          <w:rPr>
            <w:webHidden/>
          </w:rPr>
          <w:fldChar w:fldCharType="begin"/>
        </w:r>
        <w:r>
          <w:rPr>
            <w:webHidden/>
          </w:rPr>
          <w:instrText xml:space="preserve"> PAGEREF _Toc304381938 \h </w:instrText>
        </w:r>
        <w:r>
          <w:rPr>
            <w:webHidden/>
          </w:rPr>
          <w:fldChar w:fldCharType="separate"/>
        </w:r>
        <w:r w:rsidR="00C7626C">
          <w:rPr>
            <w:webHidden/>
          </w:rPr>
          <w:t>6</w:t>
        </w:r>
        <w:r>
          <w:rPr>
            <w:webHidden/>
          </w:rPr>
          <w:fldChar w:fldCharType="end"/>
        </w:r>
      </w:hyperlink>
    </w:p>
    <w:p w14:paraId="7E54C27F" w14:textId="77777777" w:rsidR="00572BA4" w:rsidRDefault="00572BA4">
      <w:pPr>
        <w:pStyle w:val="TOC1"/>
        <w:rPr>
          <w:rFonts w:ascii="Times New Roman" w:hAnsi="Times New Roman"/>
          <w:lang w:val="en-GB" w:eastAsia="en-GB"/>
        </w:rPr>
      </w:pPr>
      <w:hyperlink w:anchor="_Toc304381939" w:history="1">
        <w:r w:rsidRPr="00014D25">
          <w:rPr>
            <w:rStyle w:val="Hyperlink"/>
          </w:rPr>
          <w:t>Ráiteas ón Stiúrthóír</w:t>
        </w:r>
        <w:r>
          <w:rPr>
            <w:webHidden/>
          </w:rPr>
          <w:tab/>
        </w:r>
        <w:r>
          <w:rPr>
            <w:webHidden/>
          </w:rPr>
          <w:fldChar w:fldCharType="begin"/>
        </w:r>
        <w:r>
          <w:rPr>
            <w:webHidden/>
          </w:rPr>
          <w:instrText xml:space="preserve"> PAGEREF _Toc304381939 \h </w:instrText>
        </w:r>
        <w:r>
          <w:rPr>
            <w:webHidden/>
          </w:rPr>
          <w:fldChar w:fldCharType="separate"/>
        </w:r>
        <w:r w:rsidR="00C7626C">
          <w:rPr>
            <w:webHidden/>
          </w:rPr>
          <w:t>9</w:t>
        </w:r>
        <w:r>
          <w:rPr>
            <w:webHidden/>
          </w:rPr>
          <w:fldChar w:fldCharType="end"/>
        </w:r>
      </w:hyperlink>
    </w:p>
    <w:p w14:paraId="14B688C9" w14:textId="77777777" w:rsidR="00572BA4" w:rsidRDefault="00572BA4">
      <w:pPr>
        <w:pStyle w:val="TOC1"/>
        <w:rPr>
          <w:rFonts w:ascii="Times New Roman" w:hAnsi="Times New Roman"/>
          <w:lang w:val="en-GB" w:eastAsia="en-GB"/>
        </w:rPr>
      </w:pPr>
      <w:hyperlink w:anchor="_Toc304381940" w:history="1">
        <w:r w:rsidRPr="00014D25">
          <w:rPr>
            <w:rStyle w:val="Hyperlink"/>
          </w:rPr>
          <w:t>Forbhreathnú ar 2010</w:t>
        </w:r>
        <w:r>
          <w:rPr>
            <w:webHidden/>
          </w:rPr>
          <w:tab/>
        </w:r>
        <w:r>
          <w:rPr>
            <w:webHidden/>
          </w:rPr>
          <w:fldChar w:fldCharType="begin"/>
        </w:r>
        <w:r>
          <w:rPr>
            <w:webHidden/>
          </w:rPr>
          <w:instrText xml:space="preserve"> PAGEREF _Toc304381940 \h </w:instrText>
        </w:r>
        <w:r>
          <w:rPr>
            <w:webHidden/>
          </w:rPr>
          <w:fldChar w:fldCharType="separate"/>
        </w:r>
        <w:r w:rsidR="00C7626C">
          <w:rPr>
            <w:webHidden/>
          </w:rPr>
          <w:t>12</w:t>
        </w:r>
        <w:r>
          <w:rPr>
            <w:webHidden/>
          </w:rPr>
          <w:fldChar w:fldCharType="end"/>
        </w:r>
      </w:hyperlink>
    </w:p>
    <w:p w14:paraId="39AA4A3B" w14:textId="77777777" w:rsidR="00572BA4" w:rsidRDefault="00572BA4">
      <w:pPr>
        <w:pStyle w:val="TOC1"/>
        <w:rPr>
          <w:rFonts w:ascii="Times New Roman" w:hAnsi="Times New Roman"/>
          <w:lang w:val="en-GB" w:eastAsia="en-GB"/>
        </w:rPr>
      </w:pPr>
      <w:hyperlink w:anchor="_Toc304381941" w:history="1">
        <w:r w:rsidRPr="00014D25">
          <w:rPr>
            <w:rStyle w:val="Hyperlink"/>
          </w:rPr>
          <w:t>Tosaíocht Straitéiseach a hAon: Tacaíocht agus comhairle atá fianaise-bhunaithe a thabhairt do Ranna Rialtais agus do Chomhlachtaí Poiblí trí na nithe a leanas:</w:t>
        </w:r>
        <w:r>
          <w:rPr>
            <w:webHidden/>
          </w:rPr>
          <w:tab/>
        </w:r>
        <w:r>
          <w:rPr>
            <w:webHidden/>
          </w:rPr>
          <w:fldChar w:fldCharType="begin"/>
        </w:r>
        <w:r>
          <w:rPr>
            <w:webHidden/>
          </w:rPr>
          <w:instrText xml:space="preserve"> PAGEREF _Toc304381941 \h </w:instrText>
        </w:r>
        <w:r>
          <w:rPr>
            <w:webHidden/>
          </w:rPr>
          <w:fldChar w:fldCharType="separate"/>
        </w:r>
        <w:r w:rsidR="00C7626C">
          <w:rPr>
            <w:webHidden/>
          </w:rPr>
          <w:t>14</w:t>
        </w:r>
        <w:r>
          <w:rPr>
            <w:webHidden/>
          </w:rPr>
          <w:fldChar w:fldCharType="end"/>
        </w:r>
      </w:hyperlink>
    </w:p>
    <w:p w14:paraId="54EE90A6" w14:textId="77777777" w:rsidR="00572BA4" w:rsidRDefault="00572BA4">
      <w:pPr>
        <w:pStyle w:val="TOC1"/>
        <w:rPr>
          <w:rFonts w:ascii="Times New Roman" w:hAnsi="Times New Roman"/>
          <w:lang w:val="en-GB" w:eastAsia="en-GB"/>
        </w:rPr>
      </w:pPr>
      <w:hyperlink w:anchor="_Toc304381942" w:history="1">
        <w:r w:rsidRPr="00014D25">
          <w:rPr>
            <w:rStyle w:val="Hyperlink"/>
          </w:rPr>
          <w:t>Tosaíocht Straitéiseach a Dó: Comhairle polasaí fianaisebhunaithe a sholáthar chun neamhspleáchas agus cáilíocht saol laethúil do dhaoine faoi mhíchumas a chur chun cinn ar feadh a saoil</w:t>
        </w:r>
        <w:r>
          <w:rPr>
            <w:webHidden/>
          </w:rPr>
          <w:tab/>
        </w:r>
        <w:r>
          <w:rPr>
            <w:webHidden/>
          </w:rPr>
          <w:fldChar w:fldCharType="begin"/>
        </w:r>
        <w:r>
          <w:rPr>
            <w:webHidden/>
          </w:rPr>
          <w:instrText xml:space="preserve"> PAGEREF _Toc304381942 \h </w:instrText>
        </w:r>
        <w:r>
          <w:rPr>
            <w:webHidden/>
          </w:rPr>
          <w:fldChar w:fldCharType="separate"/>
        </w:r>
        <w:r w:rsidR="00C7626C">
          <w:rPr>
            <w:webHidden/>
          </w:rPr>
          <w:t>24</w:t>
        </w:r>
        <w:r>
          <w:rPr>
            <w:webHidden/>
          </w:rPr>
          <w:fldChar w:fldCharType="end"/>
        </w:r>
      </w:hyperlink>
    </w:p>
    <w:p w14:paraId="5F301AA0" w14:textId="77777777" w:rsidR="00572BA4" w:rsidRDefault="00572BA4">
      <w:pPr>
        <w:pStyle w:val="TOC1"/>
        <w:rPr>
          <w:rFonts w:ascii="Times New Roman" w:hAnsi="Times New Roman"/>
          <w:lang w:val="en-GB" w:eastAsia="en-GB"/>
        </w:rPr>
      </w:pPr>
      <w:hyperlink w:anchor="_Toc304381943" w:history="1">
        <w:r w:rsidRPr="00014D25">
          <w:rPr>
            <w:rStyle w:val="Hyperlink"/>
          </w:rPr>
          <w:t>Tosaíocht Straitéiseach a Trí: Uilechuimsitheacht a chur chun cinn trí inrochtaineacht agus dearadh uilíoch</w:t>
        </w:r>
        <w:r>
          <w:rPr>
            <w:webHidden/>
          </w:rPr>
          <w:tab/>
        </w:r>
        <w:r>
          <w:rPr>
            <w:webHidden/>
          </w:rPr>
          <w:fldChar w:fldCharType="begin"/>
        </w:r>
        <w:r>
          <w:rPr>
            <w:webHidden/>
          </w:rPr>
          <w:instrText xml:space="preserve"> PAGEREF _Toc304381943 \h </w:instrText>
        </w:r>
        <w:r>
          <w:rPr>
            <w:webHidden/>
          </w:rPr>
          <w:fldChar w:fldCharType="separate"/>
        </w:r>
        <w:r w:rsidR="00C7626C">
          <w:rPr>
            <w:webHidden/>
          </w:rPr>
          <w:t>29</w:t>
        </w:r>
        <w:r>
          <w:rPr>
            <w:webHidden/>
          </w:rPr>
          <w:fldChar w:fldCharType="end"/>
        </w:r>
      </w:hyperlink>
    </w:p>
    <w:p w14:paraId="537A62A9" w14:textId="77777777" w:rsidR="00572BA4" w:rsidRDefault="00572BA4">
      <w:pPr>
        <w:pStyle w:val="TOC1"/>
        <w:rPr>
          <w:rFonts w:ascii="Times New Roman" w:hAnsi="Times New Roman"/>
          <w:lang w:val="en-GB" w:eastAsia="en-GB"/>
        </w:rPr>
      </w:pPr>
      <w:hyperlink w:anchor="_Toc304381944" w:history="1">
        <w:r w:rsidRPr="00014D25">
          <w:rPr>
            <w:rStyle w:val="Hyperlink"/>
          </w:rPr>
          <w:t>Tosaíocht Straitéiseach a Ceathair: Cur le cumas an Údaráis Náisiúnta Míchumais a bheith ábalta na spriocanna straitéiseacha atá acu a sheachadadh</w:t>
        </w:r>
        <w:r>
          <w:rPr>
            <w:webHidden/>
          </w:rPr>
          <w:tab/>
        </w:r>
        <w:r>
          <w:rPr>
            <w:webHidden/>
          </w:rPr>
          <w:fldChar w:fldCharType="begin"/>
        </w:r>
        <w:r>
          <w:rPr>
            <w:webHidden/>
          </w:rPr>
          <w:instrText xml:space="preserve"> PAGEREF _Toc304381944 \h </w:instrText>
        </w:r>
        <w:r>
          <w:rPr>
            <w:webHidden/>
          </w:rPr>
          <w:fldChar w:fldCharType="separate"/>
        </w:r>
        <w:r w:rsidR="00C7626C">
          <w:rPr>
            <w:webHidden/>
          </w:rPr>
          <w:t>33</w:t>
        </w:r>
        <w:r>
          <w:rPr>
            <w:webHidden/>
          </w:rPr>
          <w:fldChar w:fldCharType="end"/>
        </w:r>
      </w:hyperlink>
    </w:p>
    <w:p w14:paraId="1927D4E0" w14:textId="77777777" w:rsidR="00572BA4" w:rsidRDefault="00572BA4">
      <w:pPr>
        <w:pStyle w:val="TOC1"/>
        <w:rPr>
          <w:rFonts w:ascii="Times New Roman" w:hAnsi="Times New Roman"/>
          <w:lang w:val="en-GB" w:eastAsia="en-GB"/>
        </w:rPr>
      </w:pPr>
      <w:hyperlink w:anchor="_Toc304381945" w:history="1">
        <w:r w:rsidRPr="00014D25">
          <w:rPr>
            <w:rStyle w:val="Hyperlink"/>
            <w:rFonts w:eastAsia="Bodoni MT"/>
          </w:rPr>
          <w:t>Ráitis Air</w:t>
        </w:r>
        <w:r w:rsidRPr="00014D25">
          <w:rPr>
            <w:rStyle w:val="Hyperlink"/>
            <w:rFonts w:eastAsia="Bodoni MT"/>
          </w:rPr>
          <w:t>g</w:t>
        </w:r>
        <w:r w:rsidRPr="00014D25">
          <w:rPr>
            <w:rStyle w:val="Hyperlink"/>
            <w:rFonts w:eastAsia="Bodoni MT"/>
          </w:rPr>
          <w:t>ead</w:t>
        </w:r>
        <w:r w:rsidRPr="00014D25">
          <w:rPr>
            <w:rStyle w:val="Hyperlink"/>
            <w:rFonts w:eastAsia="Bodoni MT"/>
          </w:rPr>
          <w:t>a</w:t>
        </w:r>
        <w:r w:rsidRPr="00014D25">
          <w:rPr>
            <w:rStyle w:val="Hyperlink"/>
            <w:rFonts w:eastAsia="Bodoni MT"/>
          </w:rPr>
          <w:t>is</w:t>
        </w:r>
        <w:r w:rsidRPr="00014D25">
          <w:rPr>
            <w:rStyle w:val="Hyperlink"/>
            <w:rFonts w:eastAsia="Bodoni MT"/>
          </w:rPr>
          <w:t xml:space="preserve"> </w:t>
        </w:r>
        <w:r w:rsidRPr="00014D25">
          <w:rPr>
            <w:rStyle w:val="Hyperlink"/>
            <w:rFonts w:eastAsia="Bodoni MT"/>
          </w:rPr>
          <w:t>2010</w:t>
        </w:r>
        <w:r>
          <w:rPr>
            <w:webHidden/>
          </w:rPr>
          <w:tab/>
        </w:r>
        <w:r>
          <w:rPr>
            <w:webHidden/>
          </w:rPr>
          <w:fldChar w:fldCharType="begin"/>
        </w:r>
        <w:r>
          <w:rPr>
            <w:webHidden/>
          </w:rPr>
          <w:instrText xml:space="preserve"> PAGEREF _Toc304381945 \h </w:instrText>
        </w:r>
        <w:r>
          <w:rPr>
            <w:webHidden/>
          </w:rPr>
          <w:fldChar w:fldCharType="separate"/>
        </w:r>
        <w:r w:rsidR="00C7626C">
          <w:rPr>
            <w:webHidden/>
          </w:rPr>
          <w:t>37</w:t>
        </w:r>
        <w:r>
          <w:rPr>
            <w:webHidden/>
          </w:rPr>
          <w:fldChar w:fldCharType="end"/>
        </w:r>
      </w:hyperlink>
    </w:p>
    <w:p w14:paraId="281E42EF" w14:textId="77777777" w:rsidR="00572BA4" w:rsidRDefault="00572BA4">
      <w:pPr>
        <w:pStyle w:val="TOC1"/>
        <w:rPr>
          <w:rFonts w:ascii="Times New Roman" w:hAnsi="Times New Roman"/>
          <w:lang w:val="en-GB" w:eastAsia="en-GB"/>
        </w:rPr>
      </w:pPr>
      <w:hyperlink w:anchor="_Toc304381950" w:history="1">
        <w:r w:rsidRPr="00014D25">
          <w:rPr>
            <w:rStyle w:val="Hyperlink"/>
          </w:rPr>
          <w:t>Ausíní</w:t>
        </w:r>
        <w:r>
          <w:rPr>
            <w:webHidden/>
          </w:rPr>
          <w:tab/>
        </w:r>
        <w:r>
          <w:rPr>
            <w:webHidden/>
          </w:rPr>
          <w:fldChar w:fldCharType="begin"/>
        </w:r>
        <w:r>
          <w:rPr>
            <w:webHidden/>
          </w:rPr>
          <w:instrText xml:space="preserve"> PAGEREF _Toc304381950 \h </w:instrText>
        </w:r>
        <w:r>
          <w:rPr>
            <w:webHidden/>
          </w:rPr>
          <w:fldChar w:fldCharType="separate"/>
        </w:r>
        <w:r w:rsidR="00C7626C">
          <w:rPr>
            <w:webHidden/>
          </w:rPr>
          <w:t>64</w:t>
        </w:r>
        <w:r>
          <w:rPr>
            <w:webHidden/>
          </w:rPr>
          <w:fldChar w:fldCharType="end"/>
        </w:r>
      </w:hyperlink>
    </w:p>
    <w:p w14:paraId="2BFA8F16" w14:textId="77777777" w:rsidR="00572BA4" w:rsidRDefault="00572BA4">
      <w:pPr>
        <w:pStyle w:val="TOC1"/>
        <w:rPr>
          <w:rFonts w:ascii="Times New Roman" w:hAnsi="Times New Roman"/>
          <w:lang w:val="en-GB" w:eastAsia="en-GB"/>
        </w:rPr>
      </w:pPr>
      <w:hyperlink w:anchor="_Toc304381951" w:history="1">
        <w:r w:rsidRPr="00014D25">
          <w:rPr>
            <w:rStyle w:val="Hyperlink"/>
          </w:rPr>
          <w:t>Aguisín 1: An tÚdarás &amp; Coistí Eile in 2010</w:t>
        </w:r>
        <w:r>
          <w:rPr>
            <w:webHidden/>
          </w:rPr>
          <w:tab/>
        </w:r>
        <w:r>
          <w:rPr>
            <w:webHidden/>
          </w:rPr>
          <w:fldChar w:fldCharType="begin"/>
        </w:r>
        <w:r>
          <w:rPr>
            <w:webHidden/>
          </w:rPr>
          <w:instrText xml:space="preserve"> PAGEREF _Toc304381951 \h </w:instrText>
        </w:r>
        <w:r>
          <w:rPr>
            <w:webHidden/>
          </w:rPr>
          <w:fldChar w:fldCharType="separate"/>
        </w:r>
        <w:r w:rsidR="00C7626C">
          <w:rPr>
            <w:webHidden/>
          </w:rPr>
          <w:t>65</w:t>
        </w:r>
        <w:r>
          <w:rPr>
            <w:webHidden/>
          </w:rPr>
          <w:fldChar w:fldCharType="end"/>
        </w:r>
      </w:hyperlink>
    </w:p>
    <w:p w14:paraId="465004AD" w14:textId="77777777" w:rsidR="00572BA4" w:rsidRDefault="00572BA4">
      <w:pPr>
        <w:pStyle w:val="TOC1"/>
        <w:rPr>
          <w:rFonts w:ascii="Times New Roman" w:hAnsi="Times New Roman"/>
          <w:lang w:val="en-GB" w:eastAsia="en-GB"/>
        </w:rPr>
      </w:pPr>
      <w:hyperlink w:anchor="_Toc304381952" w:history="1">
        <w:r w:rsidRPr="00014D25">
          <w:rPr>
            <w:rStyle w:val="Hyperlink"/>
          </w:rPr>
          <w:t>Aguisín 2: Ionadaithe ar chomhlachtaí seachtracha in 2010</w:t>
        </w:r>
        <w:r>
          <w:rPr>
            <w:webHidden/>
          </w:rPr>
          <w:tab/>
        </w:r>
        <w:r>
          <w:rPr>
            <w:webHidden/>
          </w:rPr>
          <w:fldChar w:fldCharType="begin"/>
        </w:r>
        <w:r>
          <w:rPr>
            <w:webHidden/>
          </w:rPr>
          <w:instrText xml:space="preserve"> PAGEREF _Toc304381952 \h </w:instrText>
        </w:r>
        <w:r>
          <w:rPr>
            <w:webHidden/>
          </w:rPr>
          <w:fldChar w:fldCharType="separate"/>
        </w:r>
        <w:r w:rsidR="00C7626C">
          <w:rPr>
            <w:webHidden/>
          </w:rPr>
          <w:t>66</w:t>
        </w:r>
        <w:r>
          <w:rPr>
            <w:webHidden/>
          </w:rPr>
          <w:fldChar w:fldCharType="end"/>
        </w:r>
      </w:hyperlink>
    </w:p>
    <w:p w14:paraId="06D037D8" w14:textId="77777777" w:rsidR="00572BA4" w:rsidRDefault="00572BA4">
      <w:pPr>
        <w:pStyle w:val="TOC1"/>
        <w:rPr>
          <w:rFonts w:ascii="Times New Roman" w:hAnsi="Times New Roman"/>
          <w:lang w:val="en-GB" w:eastAsia="en-GB"/>
        </w:rPr>
      </w:pPr>
      <w:hyperlink w:anchor="_Toc304381953" w:history="1">
        <w:r w:rsidRPr="00014D25">
          <w:rPr>
            <w:rStyle w:val="Hyperlink"/>
          </w:rPr>
          <w:t>Aguisín 3: Foilseacháin 2010</w:t>
        </w:r>
        <w:r>
          <w:rPr>
            <w:webHidden/>
          </w:rPr>
          <w:tab/>
        </w:r>
        <w:r>
          <w:rPr>
            <w:webHidden/>
          </w:rPr>
          <w:fldChar w:fldCharType="begin"/>
        </w:r>
        <w:r>
          <w:rPr>
            <w:webHidden/>
          </w:rPr>
          <w:instrText xml:space="preserve"> PAGEREF _Toc304381953 \h </w:instrText>
        </w:r>
        <w:r>
          <w:rPr>
            <w:webHidden/>
          </w:rPr>
          <w:fldChar w:fldCharType="separate"/>
        </w:r>
        <w:r w:rsidR="00C7626C">
          <w:rPr>
            <w:webHidden/>
          </w:rPr>
          <w:t>69</w:t>
        </w:r>
        <w:r>
          <w:rPr>
            <w:webHidden/>
          </w:rPr>
          <w:fldChar w:fldCharType="end"/>
        </w:r>
      </w:hyperlink>
    </w:p>
    <w:p w14:paraId="7CFB0885" w14:textId="77777777" w:rsidR="00572BA4" w:rsidRDefault="00572BA4">
      <w:pPr>
        <w:pStyle w:val="TOC1"/>
        <w:rPr>
          <w:rFonts w:ascii="Times New Roman" w:hAnsi="Times New Roman"/>
          <w:lang w:val="en-GB" w:eastAsia="en-GB"/>
        </w:rPr>
      </w:pPr>
      <w:hyperlink w:anchor="_Toc304381954" w:history="1">
        <w:r w:rsidRPr="00014D25">
          <w:rPr>
            <w:rStyle w:val="Hyperlink"/>
          </w:rPr>
          <w:t>Aguisín 4: Páipéir chomhairleach polasaí in 2010</w:t>
        </w:r>
        <w:r>
          <w:rPr>
            <w:webHidden/>
          </w:rPr>
          <w:tab/>
        </w:r>
        <w:r>
          <w:rPr>
            <w:webHidden/>
          </w:rPr>
          <w:fldChar w:fldCharType="begin"/>
        </w:r>
        <w:r>
          <w:rPr>
            <w:webHidden/>
          </w:rPr>
          <w:instrText xml:space="preserve"> PAGEREF _Toc304381954 \h </w:instrText>
        </w:r>
        <w:r>
          <w:rPr>
            <w:webHidden/>
          </w:rPr>
          <w:fldChar w:fldCharType="separate"/>
        </w:r>
        <w:r w:rsidR="00C7626C">
          <w:rPr>
            <w:webHidden/>
          </w:rPr>
          <w:t>71</w:t>
        </w:r>
        <w:r>
          <w:rPr>
            <w:webHidden/>
          </w:rPr>
          <w:fldChar w:fldCharType="end"/>
        </w:r>
      </w:hyperlink>
    </w:p>
    <w:p w14:paraId="4582D937" w14:textId="77777777" w:rsidR="00EE061F" w:rsidRPr="00A15917" w:rsidRDefault="00EE061F" w:rsidP="00EE061F">
      <w:pPr>
        <w:pStyle w:val="ListNumber"/>
        <w:numPr>
          <w:ilvl w:val="0"/>
          <w:numId w:val="0"/>
        </w:numPr>
        <w:rPr>
          <w:lang w:val="ga-IE"/>
        </w:rPr>
      </w:pPr>
      <w:r w:rsidRPr="00A15917">
        <w:rPr>
          <w:lang w:val="ga-IE"/>
        </w:rPr>
        <w:fldChar w:fldCharType="end"/>
      </w:r>
    </w:p>
    <w:p w14:paraId="47D3F968" w14:textId="77777777" w:rsidR="00EE061F" w:rsidRPr="00A15917" w:rsidRDefault="00EE061F" w:rsidP="00B3690F">
      <w:pPr>
        <w:pStyle w:val="Heading1"/>
        <w:rPr>
          <w:lang w:val="ga-IE"/>
        </w:rPr>
      </w:pPr>
      <w:r w:rsidRPr="00A15917">
        <w:rPr>
          <w:lang w:val="ga-IE"/>
        </w:rPr>
        <w:br w:type="page"/>
      </w:r>
      <w:bookmarkStart w:id="460" w:name="_Toc299361990"/>
      <w:bookmarkStart w:id="461" w:name="_Toc299362494"/>
      <w:bookmarkStart w:id="462" w:name="_Toc299362587"/>
      <w:bookmarkStart w:id="463" w:name="_Toc300741748"/>
      <w:bookmarkStart w:id="464" w:name="_Toc300742192"/>
      <w:bookmarkStart w:id="465" w:name="_Toc300742944"/>
      <w:bookmarkStart w:id="466" w:name="_Toc300744297"/>
      <w:bookmarkStart w:id="467" w:name="_Toc304371219"/>
      <w:bookmarkStart w:id="468" w:name="_Toc304381938"/>
      <w:r w:rsidRPr="00A15917">
        <w:rPr>
          <w:lang w:val="ga-IE"/>
        </w:rPr>
        <w:lastRenderedPageBreak/>
        <w:t>Ráiteas an Chathaoirligh</w:t>
      </w:r>
      <w:bookmarkEnd w:id="460"/>
      <w:bookmarkEnd w:id="461"/>
      <w:bookmarkEnd w:id="462"/>
      <w:bookmarkEnd w:id="463"/>
      <w:bookmarkEnd w:id="464"/>
      <w:bookmarkEnd w:id="465"/>
      <w:bookmarkEnd w:id="466"/>
      <w:bookmarkEnd w:id="467"/>
      <w:bookmarkEnd w:id="468"/>
    </w:p>
    <w:p w14:paraId="2A13F03C" w14:textId="77777777" w:rsidR="00EE061F" w:rsidRPr="00A15917" w:rsidRDefault="00EE061F" w:rsidP="00A15917">
      <w:pPr>
        <w:rPr>
          <w:lang w:val="ga-IE"/>
        </w:rPr>
      </w:pPr>
      <w:r w:rsidRPr="00A15917">
        <w:rPr>
          <w:lang w:val="ga-IE"/>
        </w:rPr>
        <w:t xml:space="preserve">Is mór agam Tuarascáil Bhliantúil an Údaráis Náisiúnta Míchumais (NDA) 2010 a thíolacadh chuig an Aire Dlí agus Cirt, Comhionannais agus Cosanta. Is é an tÚdarás Náisiúnta Míchumais comhlacht comhairle náisiúnta agus neamhspleách an Aire faoi chúrsaí míchumais agus dearadh uilíoch agus leagtar amach sa tuarascáil seo ar a baineadh amach in 2010. </w:t>
      </w:r>
    </w:p>
    <w:p w14:paraId="59F40563" w14:textId="77777777" w:rsidR="00EE061F" w:rsidRPr="00A15917" w:rsidRDefault="00EE061F" w:rsidP="00A15917">
      <w:pPr>
        <w:rPr>
          <w:lang w:val="ga-IE"/>
        </w:rPr>
      </w:pPr>
      <w:r w:rsidRPr="00A15917">
        <w:rPr>
          <w:lang w:val="ga-IE"/>
        </w:rPr>
        <w:t>Chuir na deacrachtaí eacnamaíocha atá ann faoi láthair isteach ar shaol daoine faoi mhíchumas. Thug an t-Údarás Naisiúnta Míchumais tacaíocht le dul chun cinn leanúnach a bhaint amach faoin Stráitéis Náisiúnta Míchumais. Seo a leanas obair an Údaráis Náisiúnta Míchumais in 2010:</w:t>
      </w:r>
    </w:p>
    <w:p w14:paraId="017F8DC5" w14:textId="77777777" w:rsidR="00EE061F" w:rsidRPr="00A15917" w:rsidRDefault="00EE061F" w:rsidP="00A15917">
      <w:pPr>
        <w:pStyle w:val="ListBullet"/>
        <w:rPr>
          <w:lang w:val="ga-IE"/>
        </w:rPr>
      </w:pPr>
      <w:r w:rsidRPr="00A15917">
        <w:rPr>
          <w:lang w:val="ga-IE"/>
        </w:rPr>
        <w:t>páipéar comhairleach polasaí cuimsitheach maidir le hathbhreithniú ar fheidhmiú an Achta Míchumais 2005</w:t>
      </w:r>
    </w:p>
    <w:p w14:paraId="156E7A23" w14:textId="77777777" w:rsidR="00EE061F" w:rsidRPr="00A15917" w:rsidRDefault="00EE061F" w:rsidP="00A15917">
      <w:pPr>
        <w:pStyle w:val="ListBullet"/>
        <w:rPr>
          <w:lang w:val="ga-IE"/>
        </w:rPr>
      </w:pPr>
      <w:r w:rsidRPr="00A15917">
        <w:rPr>
          <w:lang w:val="ga-IE"/>
        </w:rPr>
        <w:t>foilsiú na d</w:t>
      </w:r>
      <w:r w:rsidRPr="00A15917">
        <w:rPr>
          <w:b/>
          <w:lang w:val="ga-IE"/>
        </w:rPr>
        <w:t>Treoirlínte d’Iompar Paisinéirí Muirí Inrochtaine</w:t>
      </w:r>
    </w:p>
    <w:p w14:paraId="4A5053B4" w14:textId="77777777" w:rsidR="00EE061F" w:rsidRPr="00A15917" w:rsidRDefault="00EE061F" w:rsidP="00A15917">
      <w:pPr>
        <w:pStyle w:val="ListBullet"/>
        <w:rPr>
          <w:lang w:val="ga-IE"/>
        </w:rPr>
      </w:pPr>
      <w:r w:rsidRPr="00A15917">
        <w:rPr>
          <w:lang w:val="ga-IE"/>
        </w:rPr>
        <w:t>tugadh chun críche staidéar comparáideach suntasach ar sheirbhísí míchumais i sé ndlínse a bhí mar eolas cúlra do pháipéar comhairleach polasaí an Údaráis Náisiúnta Míchumais chuig Athbhreithniú Polasaí agus Luach ar Airgead na Roinne Sláinte agus Leanaí faoi Sheirbhísí Míchumais arna maoiniú ag Feidhmeannacht na Seirbhíse Sláinte</w:t>
      </w:r>
    </w:p>
    <w:p w14:paraId="06A7EE35" w14:textId="77777777" w:rsidR="00EE061F" w:rsidRPr="00A15917" w:rsidRDefault="00EE061F" w:rsidP="00A15917">
      <w:pPr>
        <w:pStyle w:val="ListBullet"/>
        <w:rPr>
          <w:lang w:val="ga-IE"/>
        </w:rPr>
      </w:pPr>
      <w:r w:rsidRPr="00A15917">
        <w:rPr>
          <w:lang w:val="ga-IE"/>
        </w:rPr>
        <w:t>rannpháirtíocht i nGrúpa Oibre an HSE ar Ionaid Chónaithe (institiúidí cónaitheacha)</w:t>
      </w:r>
    </w:p>
    <w:p w14:paraId="736A1FE6" w14:textId="77777777" w:rsidR="00EE061F" w:rsidRPr="00A15917" w:rsidRDefault="00EE061F" w:rsidP="00A15917">
      <w:pPr>
        <w:pStyle w:val="ListBullet"/>
        <w:rPr>
          <w:lang w:val="ga-IE"/>
        </w:rPr>
      </w:pPr>
      <w:r w:rsidRPr="00A15917">
        <w:rPr>
          <w:lang w:val="ga-IE"/>
        </w:rPr>
        <w:t>tacaíocht agus cúnamh do na comhlachtaí san earnáil phoiblí ó thaobh a n-oibleagáidí inrochtaine faoin Acht um Míchumas agus i dtaobh an cheanglais 3% den fhoireann faoi mhíchumas a fhostú</w:t>
      </w:r>
    </w:p>
    <w:p w14:paraId="4956A0AF" w14:textId="77777777" w:rsidR="00EE061F" w:rsidRPr="00A15917" w:rsidRDefault="00EE061F" w:rsidP="00A15917">
      <w:pPr>
        <w:pStyle w:val="ListBullet"/>
        <w:rPr>
          <w:lang w:val="ga-IE"/>
        </w:rPr>
      </w:pPr>
      <w:r w:rsidRPr="00A15917">
        <w:rPr>
          <w:lang w:val="ga-IE"/>
        </w:rPr>
        <w:t>feasacht maidir le dearadh uilíoch a chur chun cinn le príomhgheallsealbhóirí ó thionscal, ó ghnó agus ó oideachas; agus an dara Dúshlán Dearaidh 24 Uair an Chloig in Éirinn a reáchtáil; mar aon le príomhchomhdháil Eorpach</w:t>
      </w:r>
    </w:p>
    <w:p w14:paraId="1B5F233B" w14:textId="77777777" w:rsidR="00EE061F" w:rsidRPr="00A15917" w:rsidRDefault="00EE061F" w:rsidP="00A15917">
      <w:pPr>
        <w:pStyle w:val="ListBullet"/>
        <w:rPr>
          <w:lang w:val="ga-IE"/>
        </w:rPr>
      </w:pPr>
      <w:r w:rsidRPr="00A15917">
        <w:rPr>
          <w:lang w:val="ga-IE"/>
        </w:rPr>
        <w:t xml:space="preserve">príomhtháscairí torthaí a tháirgeadh chun tionchar praiticiúil na Straitéise Náisiúnta Míchumais a thomhas ar shaol na ndaoine faoi mhíchumas agus </w:t>
      </w:r>
    </w:p>
    <w:p w14:paraId="2BD7571E" w14:textId="77777777" w:rsidR="00EE061F" w:rsidRPr="00A15917" w:rsidRDefault="00EE061F" w:rsidP="00A15917">
      <w:pPr>
        <w:pStyle w:val="ListBullet"/>
        <w:rPr>
          <w:lang w:val="ga-IE"/>
        </w:rPr>
      </w:pPr>
      <w:r w:rsidRPr="00A15917">
        <w:rPr>
          <w:lang w:val="ga-IE"/>
        </w:rPr>
        <w:t>uirlis ríomhfhoghlama a fhorbairt chun Oiliúint Comhionannais Míchumais a sholáthar don fhoireann san earnáil phoiblí</w:t>
      </w:r>
    </w:p>
    <w:p w14:paraId="7F35D4B7" w14:textId="77777777" w:rsidR="00EE061F" w:rsidRPr="00A15917" w:rsidRDefault="00EE061F" w:rsidP="00A15917">
      <w:pPr>
        <w:rPr>
          <w:lang w:val="ga-IE"/>
        </w:rPr>
      </w:pPr>
      <w:r w:rsidRPr="00A15917">
        <w:rPr>
          <w:lang w:val="ga-IE"/>
        </w:rPr>
        <w:t>I mbliana freisin rinneadh ceiliúradh ar bhunú an Údaráis Náisiúnta Míchumais 10 mbliana ó shin an 12 Meitheamh 2000</w:t>
      </w:r>
      <w:r w:rsidR="006F18C4">
        <w:rPr>
          <w:lang w:val="ga-IE"/>
        </w:rPr>
        <w:t xml:space="preserve">. </w:t>
      </w:r>
      <w:r w:rsidRPr="00A15917">
        <w:rPr>
          <w:lang w:val="ga-IE"/>
        </w:rPr>
        <w:t xml:space="preserve">Foilseoidh an tÚdarás Náisiúnta Míchumais cáipéis eile ina léireofar bunú an Údaráis Náisiúnta Míchumais agus tabharfar le fios ann an méid oibre atá déanta agus an méid atá bainte amach ag an Údarás féin le linn an chéad deich mbliana ar an bhfód. </w:t>
      </w:r>
    </w:p>
    <w:p w14:paraId="4F2E60DF" w14:textId="77777777" w:rsidR="00EE061F" w:rsidRPr="00A15917" w:rsidRDefault="00EE061F" w:rsidP="00A15917">
      <w:pPr>
        <w:rPr>
          <w:lang w:val="ga-IE"/>
        </w:rPr>
      </w:pPr>
      <w:r w:rsidRPr="00A15917">
        <w:rPr>
          <w:lang w:val="ga-IE"/>
        </w:rPr>
        <w:t xml:space="preserve">I mí an Mhárta 2010, sheol an tÚdarás Náisiúnta Míchumais an ceathrú Plean Straitéise dá gcuid a chlúdaigh an tréimhse trí bliana ó 2010 – 2012. </w:t>
      </w:r>
      <w:r w:rsidRPr="00A15917">
        <w:rPr>
          <w:rStyle w:val="FootnoteReference"/>
          <w:noProof/>
          <w:lang w:val="ga-IE"/>
        </w:rPr>
        <w:footnoteReference w:id="6"/>
      </w:r>
      <w:r w:rsidRPr="00A15917">
        <w:rPr>
          <w:lang w:val="ga-IE"/>
        </w:rPr>
        <w:t>. Léirítear sa Phlean Straitéise tosaíochtaí na ngeallsealbhóirí sin a n-oibríonn an tÚdarás Náisiúnta Míchumais leo. Díríonn na tosaíochtaí sin ar na nithe a leanas:</w:t>
      </w:r>
    </w:p>
    <w:p w14:paraId="41473689" w14:textId="77777777" w:rsidR="00EE061F" w:rsidRPr="00A15917" w:rsidRDefault="00EE061F" w:rsidP="00A15917">
      <w:pPr>
        <w:pStyle w:val="ListBullet"/>
        <w:rPr>
          <w:lang w:val="ga-IE"/>
        </w:rPr>
      </w:pPr>
      <w:r w:rsidRPr="00A15917">
        <w:rPr>
          <w:lang w:val="ga-IE"/>
        </w:rPr>
        <w:t>tacú le feidhmiú na Straitéise Náisiúnta Míchumais</w:t>
      </w:r>
    </w:p>
    <w:p w14:paraId="6403F258" w14:textId="77777777" w:rsidR="00EE061F" w:rsidRPr="00A15917" w:rsidRDefault="00EE061F" w:rsidP="00A15917">
      <w:pPr>
        <w:pStyle w:val="ListBullet"/>
        <w:rPr>
          <w:lang w:val="ga-IE"/>
        </w:rPr>
      </w:pPr>
      <w:r w:rsidRPr="00A15917">
        <w:rPr>
          <w:lang w:val="ga-IE"/>
        </w:rPr>
        <w:lastRenderedPageBreak/>
        <w:t>comhairle chun neamhspleáchas agus cáilíocht saol laethúil na ndaoine faoi mhíchumas a chur chun cinn</w:t>
      </w:r>
    </w:p>
    <w:p w14:paraId="06750C3D" w14:textId="77777777" w:rsidR="00EE061F" w:rsidRPr="00A15917" w:rsidRDefault="00EE061F" w:rsidP="00A15917">
      <w:pPr>
        <w:pStyle w:val="ListBullet"/>
        <w:rPr>
          <w:lang w:val="ga-IE"/>
        </w:rPr>
      </w:pPr>
      <w:r w:rsidRPr="00A15917">
        <w:rPr>
          <w:lang w:val="ga-IE"/>
        </w:rPr>
        <w:t>timpeallacht inrochtaine agus Dearadh Uilíoch a chur chun cinn</w:t>
      </w:r>
    </w:p>
    <w:p w14:paraId="536333B6" w14:textId="77777777" w:rsidR="00EE061F" w:rsidRPr="00A15917" w:rsidRDefault="00EE061F" w:rsidP="00A15917">
      <w:pPr>
        <w:pStyle w:val="ListBullet"/>
        <w:rPr>
          <w:lang w:val="ga-IE"/>
        </w:rPr>
      </w:pPr>
      <w:r w:rsidRPr="00A15917">
        <w:rPr>
          <w:lang w:val="ga-IE"/>
        </w:rPr>
        <w:t>cur le cumas an Údaráis Náisiúnta Míchumais a bheith ábalta na spriocanna straitéiseacha atá acu a sheachadadh</w:t>
      </w:r>
    </w:p>
    <w:p w14:paraId="1FC3A5C2" w14:textId="77777777" w:rsidR="00EE061F" w:rsidRPr="00A15917" w:rsidRDefault="00EE061F" w:rsidP="00A15917">
      <w:pPr>
        <w:rPr>
          <w:lang w:val="ga-IE"/>
        </w:rPr>
      </w:pPr>
      <w:r w:rsidRPr="00A15917">
        <w:rPr>
          <w:lang w:val="ga-IE"/>
        </w:rPr>
        <w:t>Ar aon dul le gach uile comhlacht sa tseirbhís phoiblí ba bhliain dhúshlánach a bhí sa bhliain 2010 dúinne. Tháinig laghdú tuilleadh ar an líon foirne. Chuige sin, díríodh den chuid is mó i rith na bliana ar sholúbacht acmhainní a chinntiú agus ar scileanna a alonnú mar is cuí, feadh na heagraíochta chun dualgas an Údaráis Náisiúnta Míchumais a sheachadadh chomh héifeachtach agus chomh héifeachtúil agus is féidir. Cuireadh béim freisin ar éifeachtúlachtaí eile agus luach ar airgead ó thaobh na n-oibríochtaí go léir a chinntiú.</w:t>
      </w:r>
    </w:p>
    <w:p w14:paraId="2FBAD8BF" w14:textId="77777777" w:rsidR="00EE061F" w:rsidRPr="00A15917" w:rsidRDefault="00EE061F" w:rsidP="00A15917">
      <w:pPr>
        <w:rPr>
          <w:lang w:val="ga-IE"/>
        </w:rPr>
      </w:pPr>
      <w:r w:rsidRPr="00A15917">
        <w:rPr>
          <w:lang w:val="ga-IE"/>
        </w:rPr>
        <w:t xml:space="preserve">Ba mhaith liom mo bhuíochas a ghlacadh le hoifigigh san Iar-Roinn Dlí agus Cirt, Comhionannais agus Athchóirithe Dlí agus san Iar-Roinn Gnóthaí Pobail, Comhionannais agus Gaeltachta dá gcuid tacaíochta le linn na bliana, go háirithe leis an bhfoireann san Aonad Comhionannais Míchumais (an Rannán Polasaí Míchumais ina dhiaidh sin), mar aon leis an bhfoireann san aonad Seirbhísí Airgeadais Roinnte agus sna seirbhísí IT roinnte. Ba mhaith liom mo bhuíochas a ghlacadh leis na grúpaí sin a thug comhairle agus léargas ar thionscadail aonair. </w:t>
      </w:r>
    </w:p>
    <w:p w14:paraId="2E19E5FD" w14:textId="77777777" w:rsidR="00EE061F" w:rsidRPr="00A15917" w:rsidRDefault="00EE061F" w:rsidP="00A15917">
      <w:pPr>
        <w:rPr>
          <w:lang w:val="ga-IE"/>
        </w:rPr>
      </w:pPr>
      <w:r w:rsidRPr="00A15917">
        <w:rPr>
          <w:lang w:val="ga-IE"/>
        </w:rPr>
        <w:t xml:space="preserve">Sa Tuarascáil Bhliantúil 2009, ghlac mé buíochas le comhaltaí an Údaráis roimhe seo. Ba mhaith liom an deis seo a ghlacadh mo bhuíochas a chur in iúl as obair an Údaráis reatha as an obair atá déanta le linn na céad bliana i mbun oifige agus mo bhuíochas a chur in iúl do chomhaltaí na gcoistí Airgeadais agus Iniúchta. </w:t>
      </w:r>
    </w:p>
    <w:p w14:paraId="3298E324" w14:textId="77777777" w:rsidR="006052A9" w:rsidRDefault="00EE061F" w:rsidP="00A15917">
      <w:pPr>
        <w:rPr>
          <w:lang w:val="ga-IE"/>
        </w:rPr>
      </w:pPr>
      <w:r w:rsidRPr="00A15917">
        <w:rPr>
          <w:lang w:val="ga-IE"/>
        </w:rPr>
        <w:t xml:space="preserve">Ba mhaith liom aitheantas a thabhairt do thiomantas, do dhíograis agus do shaineolas fhoireann an Údaráis Náisiúnta Míchumais le deich mbliana anuas ó bunaíodh é. Níl aon amhras orm ach go leanfaidh siad leis an obair lán le tiomantas chun eolas agus comhairle a thabhairt don Rialtas a bheidh mar threoir do pholasaí agus do chleachtas maidir le daoine faoi mhíchumas. </w:t>
      </w:r>
    </w:p>
    <w:p w14:paraId="2E4EB9D1" w14:textId="77777777" w:rsidR="00EE061F" w:rsidRPr="00A15917" w:rsidRDefault="00EE061F" w:rsidP="00A15917">
      <w:pPr>
        <w:rPr>
          <w:lang w:val="ga-IE"/>
        </w:rPr>
      </w:pPr>
      <w:r w:rsidRPr="00A15917">
        <w:rPr>
          <w:lang w:val="ga-IE"/>
        </w:rPr>
        <w:t>Peter McKevitt</w:t>
      </w:r>
      <w:r w:rsidRPr="00A15917">
        <w:rPr>
          <w:lang w:val="ga-IE"/>
        </w:rPr>
        <w:br/>
        <w:t>Cathaoirleach</w:t>
      </w:r>
      <w:r w:rsidRPr="00A15917">
        <w:rPr>
          <w:lang w:val="ga-IE"/>
        </w:rPr>
        <w:br/>
        <w:t>An tÚdarás Náisiúnta Míchumais</w:t>
      </w:r>
    </w:p>
    <w:p w14:paraId="1D3B4352" w14:textId="77777777" w:rsidR="00A80F15" w:rsidRPr="00A80F15" w:rsidRDefault="00EE061F" w:rsidP="00A80F15">
      <w:pPr>
        <w:pStyle w:val="Heading1"/>
        <w:rPr>
          <w:lang w:val="ga-IE"/>
        </w:rPr>
      </w:pPr>
      <w:r w:rsidRPr="00A15917">
        <w:rPr>
          <w:lang w:val="ga-IE"/>
        </w:rPr>
        <w:br w:type="page"/>
      </w:r>
      <w:bookmarkStart w:id="469" w:name="_Toc299361991"/>
      <w:bookmarkStart w:id="470" w:name="_Toc299362495"/>
      <w:bookmarkStart w:id="471" w:name="_Toc299362588"/>
      <w:bookmarkStart w:id="472" w:name="_Toc300741749"/>
      <w:bookmarkStart w:id="473" w:name="_Toc300742193"/>
      <w:bookmarkStart w:id="474" w:name="_Toc300742945"/>
      <w:bookmarkStart w:id="475" w:name="_Toc300744298"/>
      <w:bookmarkStart w:id="476" w:name="_Toc304371220"/>
      <w:bookmarkStart w:id="477" w:name="_Toc304381939"/>
      <w:r w:rsidR="00A80F15" w:rsidRPr="00A80F15">
        <w:rPr>
          <w:lang w:val="ga-IE"/>
        </w:rPr>
        <w:lastRenderedPageBreak/>
        <w:t>Ráiteas ón Stiúrthóír</w:t>
      </w:r>
      <w:bookmarkEnd w:id="477"/>
    </w:p>
    <w:p w14:paraId="059263B4" w14:textId="77777777" w:rsidR="00A80F15" w:rsidRPr="00A80F15" w:rsidRDefault="00A80F15" w:rsidP="00A80F15">
      <w:pPr>
        <w:rPr>
          <w:lang w:val="ga-IE"/>
        </w:rPr>
      </w:pPr>
      <w:r w:rsidRPr="00A80F15">
        <w:rPr>
          <w:lang w:val="ga-IE"/>
        </w:rPr>
        <w:t>Thug an tÚdarás Náisiúnta Míchumais clár iomlán oibre i gcrích i rith na bliana 2010 faoin gcéad bhliain den Phlean Straitéise trí bliana atáthar a thabhairt i bhfeidhm faoi láthair.  Is ar bhonn taca a chur faoi chur i bhfeidhm na Straitéise Náisiúnta Míchumais; ar mhaireachtáil go neamhspleách i measc an phobail; agus ar an teacht ar earraí, seirbhísí agus áiteanna a chur chun cinn, go háirithe trí phrionsabal dhearadh na huilechuimsitheachta, a bhí an phríomhbhéim inár gcuid oibre.</w:t>
      </w:r>
    </w:p>
    <w:p w14:paraId="5C07ABBC" w14:textId="77777777" w:rsidR="00A80F15" w:rsidRPr="00A80F15" w:rsidRDefault="00A80F15" w:rsidP="00A80F15">
      <w:pPr>
        <w:rPr>
          <w:lang w:val="ga-IE"/>
        </w:rPr>
      </w:pPr>
      <w:r w:rsidRPr="00A80F15">
        <w:rPr>
          <w:lang w:val="ga-IE"/>
        </w:rPr>
        <w:t xml:space="preserve">Cuid mhórthábhachta d'obair na bliana an chomhairle mar gheall ar chúrsaí beartais a chuir an tÚdarás ar fáil don Roinn Sláinte agus Leanaí i ndáil le hAthbhreithniú Beartais agus Luach an Airgid na Roinne sin ar na Seirbhísí do Dhaoine faoi Mhíchumas.  Bhí an chomhairle sin bunaithe ar chlár taighde agus ar bheartaíocht comhairliúchán a rinneadh le daoine atá faoi mhíchumas agus le daoine eile a oibríonn sa rang tosaigh.  Sonraíodh leis an mbeartaíocht sin polasaithe agus córais lena bhféadfaí caighdeán saoil níos fearr a thabhairt i gcrích do dhaoine atá faoi mhíchumas agus an toradh is fearr is féidir a ghnóthú ar an airgead atá ar fáil.   </w:t>
      </w:r>
    </w:p>
    <w:p w14:paraId="2D541FBE" w14:textId="77777777" w:rsidR="00A80F15" w:rsidRPr="00A80F15" w:rsidRDefault="00A80F15" w:rsidP="00A80F15">
      <w:pPr>
        <w:rPr>
          <w:lang w:val="ga-IE"/>
        </w:rPr>
      </w:pPr>
      <w:r w:rsidRPr="00A80F15">
        <w:rPr>
          <w:lang w:val="ga-IE"/>
        </w:rPr>
        <w:t>Ba í an bhliain 2010 an deichiú bliain ar an bhfód ag an Údarás Náisiúnta Míchumais.  I rith na ndeich mbliana sin, bhí an NDA ina hacmhainn thábhachtach maidir le comhairle agus treoir a chur ar an Aire, ar Ranna Rialtais agus ar ghníomhaireachtaí stáit i ndáil le seirbhísí a chur ar fáil ar bhealach uilechuimsitheach agus leis an uilechuimsitheacht agus an rannpháirtíocht do dhaoine faoi mhíchumas i saol na hÉireann a chur chun cinn.  Bhí an obair a rinne an tÚdarás maidir le cúrsaí iompair, foirgníocht, áisiúlacht ó thaobh teicneolaíocht an eolais, fostaíocht, seirbhísí sláinte agus seirbhísí sóisialta ina lón treorach maidir le ceapadh beartais agus dul chun cinn praiticiúil i ndáil leis na ceisteanna buntábhachtacha ar a mbraitheann caighdeán an tsaoil ó lá go lá ag daoine faoi mhíchumas.  Tá obair cheannródaíochta ar siúl againn i ndáil leis an dearadh don uilechuimsitheacht.</w:t>
      </w:r>
    </w:p>
    <w:p w14:paraId="0F528AB4" w14:textId="77777777" w:rsidR="00A80F15" w:rsidRPr="00A80F15" w:rsidRDefault="00A80F15" w:rsidP="00A80F15">
      <w:pPr>
        <w:rPr>
          <w:lang w:val="ga-IE"/>
        </w:rPr>
      </w:pPr>
      <w:r w:rsidRPr="00A80F15">
        <w:rPr>
          <w:lang w:val="ga-IE"/>
        </w:rPr>
        <w:t>Bíonn an chomhairle agus an treoir a chuireann an tÚdarás ar fáil bunaithe ar fhianaise ó obair thaighde agus ar chaidreamh le daoine atá faoi mhíchumas.  Baineann an tÚdarás Náisiúnta Míchumais lón eolais ó thaithí na ndaoine féin agus óna gcuireann an lear mór daoine a ghlacann páirt i seimineáir, i gceardlanna agus i gcomhdhálacha in iúl.</w:t>
      </w:r>
    </w:p>
    <w:p w14:paraId="6C9FC439" w14:textId="77777777" w:rsidR="00A80F15" w:rsidRPr="00A80F15" w:rsidRDefault="00A80F15" w:rsidP="00A80F15">
      <w:pPr>
        <w:rPr>
          <w:lang w:val="ga-IE"/>
        </w:rPr>
      </w:pPr>
      <w:r w:rsidRPr="00A80F15">
        <w:rPr>
          <w:lang w:val="ga-IE"/>
        </w:rPr>
        <w:t xml:space="preserve">Is é cur chuige an chomhair agus na páirtnéireachta an modh oibre a chleachtann an tÚdarás Náisiúnta Míchumais ionas go gcothaítear an chomhthuiscint faoi chúrsaí míchumais agus go ndéantar bearta praiticiúla chun cuimsiú dhaoine atá faoi mhíchumas a thabhairt chun cinn.  </w:t>
      </w:r>
    </w:p>
    <w:p w14:paraId="4837BEAF" w14:textId="77777777" w:rsidR="00A80F15" w:rsidRPr="00A80F15" w:rsidRDefault="00A80F15" w:rsidP="00A80F15">
      <w:pPr>
        <w:rPr>
          <w:lang w:val="ga-IE"/>
        </w:rPr>
      </w:pPr>
      <w:r w:rsidRPr="00A80F15">
        <w:rPr>
          <w:lang w:val="ga-IE"/>
        </w:rPr>
        <w:t xml:space="preserve">D'fhág an pháirtnéireacht thairbheach le Ranna Rialtais agus gníomhaireachtaí stáit faoi leith ar chumas an Údaráis Náisiúnta Míchumais comhairle agus treoir straitéise a chur ar fáil nuair a bhí sin de dhíth.  Sampla den toradh praiticiúil ar an obair sin i rith na bliana 2010 na </w:t>
      </w:r>
      <w:r w:rsidRPr="00A80F15">
        <w:rPr>
          <w:b/>
          <w:lang w:val="ga-IE"/>
        </w:rPr>
        <w:t>Treoirlínte maidir le hIompar Áisiúil do Phaisinéirí ar Muir</w:t>
      </w:r>
      <w:r w:rsidRPr="00A80F15">
        <w:rPr>
          <w:lang w:val="ga-IE"/>
        </w:rPr>
        <w:t xml:space="preserve"> a thabhairt chun cinn i gcomhar leis an Roinn Iompair, le lucht iompair ar muir agus le heagraíochtaí dhaoine faoi mhíchumas.  D'oibrigh an tÚdarás Náisiúnta Míchumais i gcomhar le Clár Toirchis Géarchéime FSS chomh maith ar obair thaighde faoi cheisteanna a bhaineann le toircheas i gcás mhná atá faoi mhíchumas intleachta.  </w:t>
      </w:r>
    </w:p>
    <w:p w14:paraId="1D9B22B5" w14:textId="77777777" w:rsidR="00A80F15" w:rsidRPr="00A80F15" w:rsidRDefault="00A80F15" w:rsidP="00A80F15">
      <w:pPr>
        <w:rPr>
          <w:lang w:val="ga-IE"/>
        </w:rPr>
      </w:pPr>
      <w:r w:rsidRPr="00A80F15">
        <w:rPr>
          <w:lang w:val="ga-IE"/>
        </w:rPr>
        <w:t xml:space="preserve">Trí bhallraíocht ar ghrúpaí oibre agus ar choistí éagsúla, oibríonn foireann an Údaráis Náisiúnta Míchumais chun cinntiú go mbíonn tuiscint ar chúrsaí míchumais ina cuid dílis den phlé agus </w:t>
      </w:r>
      <w:r w:rsidRPr="00A80F15">
        <w:rPr>
          <w:lang w:val="ga-IE"/>
        </w:rPr>
        <w:lastRenderedPageBreak/>
        <w:t>chun teacht ar réiteach praiticiúil ar aon deacrachtaí.  Bhí cion comhairle an Údaráis Náisiúnta Míchumais maidir le Grúpa Oibre FSS faoi Shuíomhanna Pobalda i rith na bliana 2010 bunaithe ar thaighde de chuid an Údaráis Náisiúnta Míchumais faoi chaighdeán an tsaoil i measc an phobail i gcomórtas leis an saol in institiúidí, agus an saol scaipthe ar fud an ghnáthphobail i gcomórtas leis an saol i suíomhanna cloigíní.</w:t>
      </w:r>
    </w:p>
    <w:p w14:paraId="638F3924" w14:textId="77777777" w:rsidR="00A80F15" w:rsidRPr="00A80F15" w:rsidRDefault="00A80F15" w:rsidP="00A80F15">
      <w:pPr>
        <w:rPr>
          <w:lang w:val="ga-IE"/>
        </w:rPr>
      </w:pPr>
      <w:r w:rsidRPr="00A80F15">
        <w:rPr>
          <w:lang w:val="ga-IE"/>
        </w:rPr>
        <w:t xml:space="preserve">Tharla chomh maith i rith na bliana 2010 athrú an Údaráis ó bheith faoi choimirce na Roinne Dlí agus Cirt, Comhionannais agus Athchóirithe Dlí gur tugadh faoi choimirce na Roinne Gnóthaí Pobail, Gaeltachta agus Tuaithe é. Rinneadh bainistíocht éifeachtach gan aon deacracht ar an aistriú a tharla, a bhuíochas sin d'fhoireann an Údaráis Náisiúnta Míchumais agus d'fhoireann an dá Roinn, agus táthar buíoch do gach duine a bhain leis an mbeart. </w:t>
      </w:r>
    </w:p>
    <w:p w14:paraId="08900D8C" w14:textId="77777777" w:rsidR="00A80F15" w:rsidRPr="00A80F15" w:rsidRDefault="00A80F15" w:rsidP="00A80F15">
      <w:pPr>
        <w:rPr>
          <w:lang w:val="ga-IE"/>
        </w:rPr>
      </w:pPr>
      <w:r w:rsidRPr="00A80F15">
        <w:rPr>
          <w:lang w:val="ga-IE"/>
        </w:rPr>
        <w:t>D'oibrigh an tÚdarás Náisiúnta Míchumais, lán aireach faoi na deacrachtaí a bhaineann le cúinsí eacnamaíochta na tíre agus an gá luach ar an airgead a chinntiú, chun breis éifeachtúlachta a bhaint amach i gcúrsaí feidhmiúcháin faoi mar a gealladh sa Phlean Gníomhaíochta faoi Chomhaontú na hEarnála Poiblí (Comhaontú Pháirc an Chrócaigh).  Táim buíoch go háirithe den Ghrúpa Éifeachtachta, déanta suas as daoine d'fhoireann an Údaráis Náisiúnta Míchumais féin, a chuidigh le réimsí a shonrú ina bhféadfadh an tÚdarás Náisiúnta Míchumais airgead a shábháil.</w:t>
      </w:r>
    </w:p>
    <w:p w14:paraId="196463D1" w14:textId="77777777" w:rsidR="00A80F15" w:rsidRPr="00A80F15" w:rsidRDefault="00A80F15" w:rsidP="00A80F15">
      <w:pPr>
        <w:rPr>
          <w:lang w:val="ga-IE"/>
        </w:rPr>
      </w:pPr>
      <w:r w:rsidRPr="00A80F15">
        <w:rPr>
          <w:lang w:val="ga-IE"/>
        </w:rPr>
        <w:t>Tá tábhacht leis an bpáirtnéireacht, le hobair i gcomhar agus le seirbhísí i bpáirt freisin ionas gur féidir an toradh is fearr is féidir a ghnóthú as acmhainní foirne agus airgid nuair is gann iad agus deacrachtaí eacnamaíochta le sárú.  Tá leas á bhaint as seirbhísí comhair na Roinne maidir leis an gcóras íocaíochta, an córas pá-rolla agus an córas TE.</w:t>
      </w:r>
    </w:p>
    <w:p w14:paraId="3B5605FE" w14:textId="77777777" w:rsidR="00A80F15" w:rsidRPr="00A80F15" w:rsidRDefault="00A80F15" w:rsidP="00A80F15">
      <w:pPr>
        <w:rPr>
          <w:lang w:val="ga-IE"/>
        </w:rPr>
      </w:pPr>
      <w:r w:rsidRPr="00A80F15">
        <w:rPr>
          <w:lang w:val="ga-IE"/>
        </w:rPr>
        <w:t xml:space="preserve">Cuireann an cosc ar earcaíocht san earnáil phoiblí deacrachtaí roimh an Údarás ach ainneoin ísliú suntasach ar leibhéal na foirne, bhí toradh maith ar obair na bliana 2010 ag an Údarás Náisiúnta Míchumais.  Thug an fhoireann clár iomlán oibre i gcrích agus léiríodh solúbthacht, díograis, agus ardleibhéil feidhmiúcháin agus tionscanta ina bhun agus é de chuspóir ag gach aon duine tionchar a imirt ar cheapadh an bheartais agus ar mhodhanna oibre ar mhaithe le feabhas a chur ar an saol ag daoine faoi mhíchumas.   </w:t>
      </w:r>
    </w:p>
    <w:p w14:paraId="6E30BC89" w14:textId="77777777" w:rsidR="00A80F15" w:rsidRPr="00A80F15" w:rsidRDefault="00A80F15" w:rsidP="00A80F15">
      <w:pPr>
        <w:rPr>
          <w:lang w:val="ga-IE"/>
        </w:rPr>
      </w:pPr>
      <w:r w:rsidRPr="00A80F15">
        <w:rPr>
          <w:lang w:val="ga-IE"/>
        </w:rPr>
        <w:t xml:space="preserve">Ba í an bhliain 2010 an chéad bhliain iomlán fónaimh chomh maith ag Bord an Údaráis Náisiúnta Míchumais mar atá faoi láthair.  Ba mhaith liom an chomhairle straitéiseach agus a gcuid stuaime i mbun stiúradh agus maoirsiú na hoibre a thréaslú le Cathaoirleach agus le comhaltaí an Údaráis.  Mar fhocal scoir, ba mhaith liom chomh maith buíochas ó chroí a chur in iúl d'fhoireann an Údaráis Náisiúnta Míchumais a ndearna gach duine acu a chion féin i ndéanamh chlár oibre na bliana 2010 go críochnúil.  </w:t>
      </w:r>
    </w:p>
    <w:p w14:paraId="5EBDB6C0" w14:textId="77777777" w:rsidR="00A80F15" w:rsidRPr="00A80F15" w:rsidRDefault="00A80F15" w:rsidP="00A80F15">
      <w:pPr>
        <w:rPr>
          <w:lang w:val="ga-IE"/>
        </w:rPr>
      </w:pPr>
      <w:r w:rsidRPr="00A80F15">
        <w:rPr>
          <w:lang w:val="ga-IE"/>
        </w:rPr>
        <w:t>Siobhan Barron</w:t>
      </w:r>
    </w:p>
    <w:p w14:paraId="2F18BBA4" w14:textId="77777777" w:rsidR="00A80F15" w:rsidRPr="00A80F15" w:rsidRDefault="00A80F15" w:rsidP="00A80F15">
      <w:pPr>
        <w:rPr>
          <w:lang w:val="ga-IE"/>
        </w:rPr>
      </w:pPr>
      <w:r w:rsidRPr="00A80F15">
        <w:rPr>
          <w:lang w:val="ga-IE"/>
        </w:rPr>
        <w:t>Stiúrthóir</w:t>
      </w:r>
    </w:p>
    <w:p w14:paraId="62E35EE3" w14:textId="77777777" w:rsidR="00EE061F" w:rsidRPr="00A15917" w:rsidRDefault="00A80F15" w:rsidP="00A15917">
      <w:pPr>
        <w:pStyle w:val="Heading1"/>
        <w:rPr>
          <w:lang w:val="ga-IE"/>
        </w:rPr>
      </w:pPr>
      <w:r>
        <w:rPr>
          <w:lang w:val="ga-IE"/>
        </w:rPr>
        <w:br w:type="page"/>
      </w:r>
      <w:bookmarkStart w:id="478" w:name="_Toc304381940"/>
      <w:r w:rsidR="00EE061F" w:rsidRPr="00A15917">
        <w:rPr>
          <w:lang w:val="ga-IE"/>
        </w:rPr>
        <w:lastRenderedPageBreak/>
        <w:t>Forbhreathnú ar 2010</w:t>
      </w:r>
      <w:bookmarkEnd w:id="469"/>
      <w:bookmarkEnd w:id="470"/>
      <w:bookmarkEnd w:id="471"/>
      <w:bookmarkEnd w:id="472"/>
      <w:bookmarkEnd w:id="473"/>
      <w:bookmarkEnd w:id="474"/>
      <w:bookmarkEnd w:id="475"/>
      <w:bookmarkEnd w:id="476"/>
      <w:bookmarkEnd w:id="478"/>
    </w:p>
    <w:p w14:paraId="47BC2246" w14:textId="77777777" w:rsidR="00EE061F" w:rsidRPr="00A15917" w:rsidRDefault="00EE061F" w:rsidP="00A15917">
      <w:pPr>
        <w:rPr>
          <w:lang w:val="ga-IE"/>
        </w:rPr>
      </w:pPr>
      <w:r w:rsidRPr="00A15917">
        <w:rPr>
          <w:lang w:val="ga-IE"/>
        </w:rPr>
        <w:t xml:space="preserve">D’oibrigh an tÚdarás Náisiúnta Míchumais le linn 2010 chun comhairle agus treoir a thabhairt chun a chinntiú go mbeidh daoine faoi mhíchumas san áireamh. Rinneadh é sin agus cúlú eacnamaíoch ar siúl, deacrachtaí ollmhóra ó thaobh chúrsaí airgeadas poiblí agus srian ar mhaoiniú chun an clár oibre míchumais a bhrú chun cinn. </w:t>
      </w:r>
    </w:p>
    <w:p w14:paraId="177BC248" w14:textId="77777777" w:rsidR="00EE061F" w:rsidRPr="00A15917" w:rsidRDefault="00EE061F" w:rsidP="00A15917">
      <w:pPr>
        <w:rPr>
          <w:lang w:val="ga-IE"/>
        </w:rPr>
      </w:pPr>
      <w:r w:rsidRPr="00A15917">
        <w:rPr>
          <w:lang w:val="ga-IE"/>
        </w:rPr>
        <w:t xml:space="preserve">Bhí an tÚdarás Náisiúnta Míchumais rannpháirteach go gníomhach ar fhoirne athbhreithnithe polasaí éagsúla, agus chuir siad anailís polasaí agus comhairle leanúnach ar fáil freisin. Tá nascálacha tábhachtacha idir fhorbairtí polasaí éagsúla idir sheirbhísí fostaíochta, tithíochta, míchumais, mar shampla, agus thug comhairle agus ionchur an Údaráis Náisiúnta Míchumais aghaidh ar mar is féidir na forbairtí polasaí éagsúla sin a fhorbairt chun sraith polasaithe náisiúnta éifeachtach, comhroinnte agus comhtháite a chur le chéile. </w:t>
      </w:r>
    </w:p>
    <w:p w14:paraId="01D8F863" w14:textId="77777777" w:rsidR="00EE061F" w:rsidRPr="00A15917" w:rsidRDefault="00EE061F" w:rsidP="00A15917">
      <w:pPr>
        <w:rPr>
          <w:lang w:val="ga-IE"/>
        </w:rPr>
      </w:pPr>
      <w:r w:rsidRPr="00A15917">
        <w:rPr>
          <w:lang w:val="ga-IE"/>
        </w:rPr>
        <w:t xml:space="preserve">Rinneadh obair ollmhór chun Athbhreithniú Polasaí agus Luach ar Airgead na Roinne Sláinte agus Leanaí ar Sheirbhísí Míchumais a threorú, i gcomhthéacs Airteagal 19 de Choinbhinsiún na Náisiún Aontaithe ar Chearta an Duine faoi Mhíchumas a chuireann uilechuimsitheacht, neamhspleáchas agus a bheith ag cónaí sa phobal chun cinn. Chun eolas cúlra a fháil ar an obair sin, rinne an tÚdarás Náisiúnta Míchumais taighde ar an gcóras de thacaíochtaí agus de sheirbhísí míchumais i sé ndlínse agus tarraingíodh an méid a foghlaimíodh le chéile. </w:t>
      </w:r>
    </w:p>
    <w:p w14:paraId="7BBD923A" w14:textId="77777777" w:rsidR="00EE061F" w:rsidRPr="00A15917" w:rsidRDefault="00EE061F" w:rsidP="00A15917">
      <w:pPr>
        <w:rPr>
          <w:lang w:val="ga-IE"/>
        </w:rPr>
      </w:pPr>
      <w:r w:rsidRPr="00A15917">
        <w:rPr>
          <w:lang w:val="ga-IE"/>
        </w:rPr>
        <w:t>Réimse taighde tábhachtach eile ná tabhairt chun críche an tríú foilseachán i sraith foilseachán ar thoircheas, ar leanbh a thabhairt ar an saol agus an luath-thréimhse máithreachais do mháithreacha faoi mhíchumas, agus díríodh ar thaithí na mban i gcóras sláinte na hÉireann.</w:t>
      </w:r>
    </w:p>
    <w:p w14:paraId="329FB7FB" w14:textId="77777777" w:rsidR="00EE061F" w:rsidRPr="00A15917" w:rsidRDefault="00EE061F" w:rsidP="00A15917">
      <w:pPr>
        <w:rPr>
          <w:lang w:val="ga-IE"/>
        </w:rPr>
      </w:pPr>
      <w:r w:rsidRPr="00A15917">
        <w:rPr>
          <w:lang w:val="ga-IE"/>
        </w:rPr>
        <w:t>Treisíodh obair reatha agus obair sa todhchaí an Údaráis Náisiúnta Míchumais ó thaobh cúrsaí taighde agus polasaí trí fhoilsiú an Suirbhé Náisiúnta Míchumais, Imleabhar 2 (An Phríomh-Oifig Staidrimh) i mí Eanáir 2010</w:t>
      </w:r>
      <w:r w:rsidR="006F18C4">
        <w:rPr>
          <w:lang w:val="ga-IE"/>
        </w:rPr>
        <w:t xml:space="preserve">. </w:t>
      </w:r>
      <w:r w:rsidRPr="00A15917">
        <w:rPr>
          <w:lang w:val="ga-IE"/>
        </w:rPr>
        <w:t>Áiríodh ann iliomad eolais ar gach uile gné de shaol daoine faoi mhíchumas.</w:t>
      </w:r>
    </w:p>
    <w:p w14:paraId="3461DACC" w14:textId="77777777" w:rsidR="00EE061F" w:rsidRPr="00A15917" w:rsidRDefault="00EE061F" w:rsidP="00A15917">
      <w:pPr>
        <w:rPr>
          <w:lang w:val="ga-IE"/>
        </w:rPr>
      </w:pPr>
      <w:r w:rsidRPr="00A15917">
        <w:rPr>
          <w:lang w:val="ga-IE"/>
        </w:rPr>
        <w:t>Reáchtáil Ionad Sárchleachtais ó thaobh Dearadh Uilíoch an Údaráis Náisiúnta Míchumais, ina ról mar rúnaí don bhliain 2010, Cruinniú Ginearálta Bliantúil do Líonra Inrochtaineachta Dearadh Uilíoch do Chách a bhí ar siúl ag an am céanna leis an dara Dúshlán Dearaidh 24 Uair an Chloig ar éirigh thar cionn leis.</w:t>
      </w:r>
    </w:p>
    <w:p w14:paraId="291389F2" w14:textId="77777777" w:rsidR="00EE061F" w:rsidRPr="00A15917" w:rsidRDefault="00EE061F" w:rsidP="00A15917">
      <w:pPr>
        <w:rPr>
          <w:lang w:val="ga-IE"/>
        </w:rPr>
      </w:pPr>
      <w:r w:rsidRPr="00A15917">
        <w:rPr>
          <w:lang w:val="ga-IE"/>
        </w:rPr>
        <w:t xml:space="preserve">Tá sé deich mbliana ó bunaíodh an tÚdarás Náisiúnta Míchumais i mbliana freisin. D’fhógair an Rialtas go hoifigiúil tráth ar seoladh an tÚdarás Náisiúnta Míchumais i mí an Mheithimh 2000 go raibh polasaí ar phríomhshruthú glactha acu; is é sin le rá go soláthródh an tseirbhís phoiblí seirbhísí chuig daoine faoi mhíchumas mar chuid lárnach dá ndualgas príomhshrutha. Bhí ról suntasach ag an Údarás Náisiúnta Míchumais chun tacú le príomhshruthú a chinntiú agus ag tabhairt comhairle maidir le polasaí le deich mbliana anuas. </w:t>
      </w:r>
    </w:p>
    <w:p w14:paraId="6D9FC77A" w14:textId="77777777" w:rsidR="00EE061F" w:rsidRPr="00A15917" w:rsidRDefault="00EE061F" w:rsidP="00A15917">
      <w:pPr>
        <w:rPr>
          <w:lang w:val="ga-IE"/>
        </w:rPr>
      </w:pPr>
      <w:r w:rsidRPr="00A15917">
        <w:rPr>
          <w:lang w:val="ga-IE"/>
        </w:rPr>
        <w:t>Baineadh amach na nithe móra polasaí seo a leanas le deich mbliana anuas:</w:t>
      </w:r>
    </w:p>
    <w:p w14:paraId="25B486DD" w14:textId="77777777" w:rsidR="00EE061F" w:rsidRPr="00A15917" w:rsidRDefault="00EE061F" w:rsidP="00A15917">
      <w:pPr>
        <w:pStyle w:val="ListBullet"/>
        <w:rPr>
          <w:lang w:val="ga-IE"/>
        </w:rPr>
      </w:pPr>
      <w:r w:rsidRPr="00A15917">
        <w:rPr>
          <w:lang w:val="ga-IE"/>
        </w:rPr>
        <w:t>seoladh an Straitéis Náisiúnta Míchumais i mí Mheán Fómhair 2004</w:t>
      </w:r>
    </w:p>
    <w:p w14:paraId="19A6835C" w14:textId="77777777" w:rsidR="00EE061F" w:rsidRPr="00A15917" w:rsidRDefault="00EE061F" w:rsidP="00A15917">
      <w:pPr>
        <w:pStyle w:val="ListBullet"/>
        <w:rPr>
          <w:lang w:val="ga-IE"/>
        </w:rPr>
      </w:pPr>
      <w:r w:rsidRPr="00A15917">
        <w:rPr>
          <w:lang w:val="ga-IE"/>
        </w:rPr>
        <w:t>glacadh leis an Acht um Míchumas 2005</w:t>
      </w:r>
    </w:p>
    <w:p w14:paraId="240A274E" w14:textId="77777777" w:rsidR="00EE061F" w:rsidRPr="00A15917" w:rsidRDefault="00EE061F" w:rsidP="00A15917">
      <w:pPr>
        <w:pStyle w:val="ListBullet"/>
        <w:rPr>
          <w:lang w:val="ga-IE"/>
        </w:rPr>
      </w:pPr>
      <w:r w:rsidRPr="00A15917">
        <w:rPr>
          <w:lang w:val="ga-IE"/>
        </w:rPr>
        <w:t>an clár infheistíochta ilbhliantúil 2006-2009 do sheirbhísí tacaíochta míchumais ar luach €900m</w:t>
      </w:r>
    </w:p>
    <w:p w14:paraId="3492AEBB" w14:textId="77777777" w:rsidR="00EE061F" w:rsidRPr="00A15917" w:rsidRDefault="00EE061F" w:rsidP="00A15917">
      <w:pPr>
        <w:pStyle w:val="ListBullet"/>
        <w:rPr>
          <w:lang w:val="ga-IE"/>
        </w:rPr>
      </w:pPr>
      <w:r w:rsidRPr="00A15917">
        <w:rPr>
          <w:lang w:val="ga-IE"/>
        </w:rPr>
        <w:lastRenderedPageBreak/>
        <w:t>bunú na hoifige achomhairc neamhspleáiche faoi Chuid 2 den Acht um Míchumas 2005</w:t>
      </w:r>
    </w:p>
    <w:p w14:paraId="7A461C23" w14:textId="77777777" w:rsidR="00EE061F" w:rsidRPr="00A15917" w:rsidRDefault="00EE061F" w:rsidP="00A15917">
      <w:pPr>
        <w:pStyle w:val="ListBullet"/>
        <w:rPr>
          <w:lang w:val="ga-IE"/>
        </w:rPr>
      </w:pPr>
      <w:r w:rsidRPr="00A15917">
        <w:rPr>
          <w:lang w:val="ga-IE"/>
        </w:rPr>
        <w:t>glacadh le Coinbhinsiún na Náisiún Aontaithe ar Chearta an Duine faoi Mhíchumas in 2006</w:t>
      </w:r>
    </w:p>
    <w:p w14:paraId="6EB2739B" w14:textId="77777777" w:rsidR="00EE061F" w:rsidRPr="00A15917" w:rsidRDefault="00EE061F" w:rsidP="00A15917">
      <w:pPr>
        <w:pStyle w:val="ListBullet"/>
        <w:rPr>
          <w:lang w:val="ga-IE"/>
        </w:rPr>
      </w:pPr>
      <w:r w:rsidRPr="00A15917">
        <w:rPr>
          <w:lang w:val="ga-IE"/>
        </w:rPr>
        <w:t>bunú an Ionaid Sárchleachais ó thaobh Dearadh Uilíoch san Údarás in 2007</w:t>
      </w:r>
    </w:p>
    <w:p w14:paraId="4F09FC1E" w14:textId="77777777" w:rsidR="00EE061F" w:rsidRPr="00A15917" w:rsidRDefault="00EE061F" w:rsidP="00A15917">
      <w:pPr>
        <w:pStyle w:val="ListBullet"/>
        <w:rPr>
          <w:lang w:val="ga-IE"/>
        </w:rPr>
      </w:pPr>
      <w:r w:rsidRPr="00A15917">
        <w:rPr>
          <w:lang w:val="ga-IE"/>
        </w:rPr>
        <w:t>bunú na hOifige Míchumais agus Meabhairshláinte sa bhliain 2008 sa Roinn Sláinte agus Leanaí</w:t>
      </w:r>
    </w:p>
    <w:p w14:paraId="4D19D9A6" w14:textId="77777777" w:rsidR="00EE061F" w:rsidRPr="00A15917" w:rsidRDefault="00EE061F" w:rsidP="00A15917">
      <w:pPr>
        <w:rPr>
          <w:lang w:val="ga-IE"/>
        </w:rPr>
      </w:pPr>
      <w:r w:rsidRPr="00A15917">
        <w:rPr>
          <w:lang w:val="ga-IE"/>
        </w:rPr>
        <w:t>Sa tréimhse sin, d’oibrigh an tÚdarás Náisiúnta Míchumais chun a dhualgas a chomhlíonadh. Forbraíodh caighdeáin agus cóid chleachtais. Comhlíonadh a oibleagáidí reáchtúla faoin Acht um Údarás Náisiúnta Míchumais 1999 agus faoin Acht um Míchumas 2005</w:t>
      </w:r>
      <w:r w:rsidR="006F18C4">
        <w:rPr>
          <w:lang w:val="ga-IE"/>
        </w:rPr>
        <w:t xml:space="preserve">. </w:t>
      </w:r>
      <w:r w:rsidRPr="00A15917">
        <w:rPr>
          <w:lang w:val="ga-IE"/>
        </w:rPr>
        <w:t>Treoraíodh agus tugadh comhairle do na Ranna Rialtais sin a bhfuil sé de dhualgas orthu Plean Earnálach reachtúil a bheith i bhfeidhm acu maidir le daoine faoi mhíchumas. D’oibrigh an tÚdarás Náisiúnta Míchumais i dtreo dhaoine faoi mhíchumas a chuimsiú go hiomlán sa tsochaí phríomhshrutha trí chomhairle agus treoir a sholáthair faoin gcreat oibre sa Straitéis Náisiúnta Míchumais agus tríd an ionchur sna forbairtí polasaí straitéiseacha éagsúla feadh na seirbhísí cúraim míchumais, iompair agus tithíochta, mar shampla</w:t>
      </w:r>
      <w:r w:rsidR="006F18C4">
        <w:rPr>
          <w:lang w:val="ga-IE"/>
        </w:rPr>
        <w:t xml:space="preserve">. </w:t>
      </w:r>
    </w:p>
    <w:p w14:paraId="73BF8B78" w14:textId="77777777" w:rsidR="00EE061F" w:rsidRPr="00A15917" w:rsidRDefault="00EE061F" w:rsidP="00A15917">
      <w:pPr>
        <w:pStyle w:val="Heading1"/>
        <w:rPr>
          <w:lang w:val="ga-IE"/>
        </w:rPr>
      </w:pPr>
      <w:r w:rsidRPr="00A15917">
        <w:rPr>
          <w:lang w:val="ga-IE"/>
        </w:rPr>
        <w:br w:type="page"/>
      </w:r>
      <w:bookmarkStart w:id="479" w:name="_Toc299361992"/>
      <w:bookmarkStart w:id="480" w:name="_Toc299362496"/>
      <w:bookmarkStart w:id="481" w:name="_Toc299362589"/>
      <w:bookmarkStart w:id="482" w:name="_Toc300741750"/>
      <w:bookmarkStart w:id="483" w:name="_Toc300742194"/>
      <w:bookmarkStart w:id="484" w:name="_Toc300742946"/>
      <w:bookmarkStart w:id="485" w:name="_Toc300744299"/>
      <w:bookmarkStart w:id="486" w:name="_Toc304371221"/>
      <w:bookmarkStart w:id="487" w:name="_Toc304381941"/>
      <w:r w:rsidR="00B3690F">
        <w:rPr>
          <w:lang w:val="ga-IE"/>
        </w:rPr>
        <w:lastRenderedPageBreak/>
        <w:t>Tosaíocht Straitéiseach a hAon</w:t>
      </w:r>
      <w:bookmarkEnd w:id="485"/>
      <w:bookmarkEnd w:id="486"/>
      <w:r w:rsidR="00572BA4">
        <w:rPr>
          <w:lang w:val="ga-IE"/>
        </w:rPr>
        <w:t xml:space="preserve">: </w:t>
      </w:r>
      <w:bookmarkStart w:id="488" w:name="_Toc300744300"/>
      <w:bookmarkStart w:id="489" w:name="_Toc304371222"/>
      <w:r w:rsidRPr="00A15917">
        <w:rPr>
          <w:lang w:val="ga-IE"/>
        </w:rPr>
        <w:t>Tacaíocht agus comhairle atá fianaise-bhunaithe a thabhairt do Ranna Rialtais agus do Chomhlachtaí Poiblí trí na nithe a leanas:</w:t>
      </w:r>
      <w:bookmarkEnd w:id="479"/>
      <w:bookmarkEnd w:id="480"/>
      <w:bookmarkEnd w:id="481"/>
      <w:bookmarkEnd w:id="482"/>
      <w:bookmarkEnd w:id="483"/>
      <w:bookmarkEnd w:id="484"/>
      <w:bookmarkEnd w:id="487"/>
      <w:bookmarkEnd w:id="488"/>
      <w:bookmarkEnd w:id="489"/>
    </w:p>
    <w:p w14:paraId="16567674" w14:textId="77777777" w:rsidR="00EE061F" w:rsidRPr="00A15917" w:rsidRDefault="00EE061F" w:rsidP="00A15917">
      <w:pPr>
        <w:pStyle w:val="ListBullet"/>
        <w:rPr>
          <w:b/>
          <w:lang w:val="ga-IE"/>
        </w:rPr>
      </w:pPr>
      <w:r w:rsidRPr="00A15917">
        <w:rPr>
          <w:b/>
          <w:lang w:val="ga-IE"/>
        </w:rPr>
        <w:t>tacú le feidhmiú éifeachtach na Straitéise Náisiúnta Míchumais</w:t>
      </w:r>
    </w:p>
    <w:p w14:paraId="0E0AFD5C" w14:textId="77777777" w:rsidR="00EE061F" w:rsidRPr="00A15917" w:rsidRDefault="00EE061F" w:rsidP="00A15917">
      <w:pPr>
        <w:pStyle w:val="ListBullet"/>
        <w:rPr>
          <w:b/>
          <w:lang w:val="ga-IE"/>
        </w:rPr>
      </w:pPr>
      <w:r w:rsidRPr="00A15917">
        <w:rPr>
          <w:b/>
          <w:lang w:val="ga-IE"/>
        </w:rPr>
        <w:t>monatóireacht a dhéanamh ar thionchar na Straitéise Náisiúnta Míchumais</w:t>
      </w:r>
    </w:p>
    <w:p w14:paraId="56A67542" w14:textId="77777777" w:rsidR="00EE061F" w:rsidRPr="00A15917" w:rsidRDefault="00EE061F" w:rsidP="00A15917">
      <w:pPr>
        <w:rPr>
          <w:lang w:val="ga-IE"/>
        </w:rPr>
      </w:pPr>
      <w:r w:rsidRPr="00A15917">
        <w:rPr>
          <w:lang w:val="ga-IE"/>
        </w:rPr>
        <w:t xml:space="preserve">Chuir an tÚdarás Náisiúnta Míchumais comhairle leanúnach ar fáil ar fheidhmiú na Straitéise Náisiúnta Míchumais don Aire, do gach ceann de na Ranna le Plean Earnálach agus do ghníomhaireachtaí iomchuí mar Fheidhmeannacht na Seirbhíse Sláinte, údaráis áitiúla, cuideachtaí iompair stáit agus do na rialtóirí cumarsáide agus fuinnimh. </w:t>
      </w:r>
    </w:p>
    <w:p w14:paraId="4AED3FB7" w14:textId="77777777" w:rsidR="00EE061F" w:rsidRPr="00A15917" w:rsidRDefault="00EE061F" w:rsidP="00A15917">
      <w:pPr>
        <w:rPr>
          <w:lang w:val="ga-IE"/>
        </w:rPr>
      </w:pPr>
      <w:r w:rsidRPr="00A15917">
        <w:rPr>
          <w:lang w:val="ga-IE"/>
        </w:rPr>
        <w:t>Chuir an tÚdarás Náisiúnta Míchumais páipéir chomhairleacha polasaí i láthair faoi dhó sa bhliain chuig an nGrúpa Monatóireachta Geallsealbhóirí de chuid na Straitéise Náisiúnta Míchumais. Leanadh ag brú chun cinn an Straitéis Náisiúnta Míchumais in 2010 mar chur chuige iomlán an Rialtais an clár oibre maidir le míchumas a bhrú ar aghaidh agus uilechuimsitheacht dhaoine faoi mhíchumas a chur chun cinn sa phríomhshruthú i sochaí na hÉireann. I dtreo dheireadh 2010 thosaigh an Roinn Gnóthaí Pobail, Comhionannais agus Gaeltachta ag obair ar chomhdhéanamh Phlean Feidhmiúcháin don Chúlú Eacnamaíochta de chuid na Straitéise Náisiúnta Míchumais agus bhí sin mar thiomantas den Chlár Athbhreithnithe Rialtais i nDeireadh Fómhair 2009.</w:t>
      </w:r>
    </w:p>
    <w:p w14:paraId="0AB2280D" w14:textId="77777777" w:rsidR="00EE061F" w:rsidRPr="00A15917" w:rsidRDefault="00EE061F" w:rsidP="00A15917">
      <w:pPr>
        <w:rPr>
          <w:lang w:val="ga-IE"/>
        </w:rPr>
      </w:pPr>
      <w:r w:rsidRPr="00A15917">
        <w:rPr>
          <w:lang w:val="ga-IE"/>
        </w:rPr>
        <w:t>Sholáthair an tÚdarás Náisiúnta Míchumais ionchur do na dréacht-</w:t>
      </w:r>
      <w:r w:rsidRPr="00A15917">
        <w:rPr>
          <w:b/>
          <w:lang w:val="ga-IE"/>
        </w:rPr>
        <w:t>Threoirlínte do Mheasúnú Tionchair Míchumais.</w:t>
      </w:r>
      <w:r w:rsidRPr="00A15917">
        <w:rPr>
          <w:lang w:val="ga-IE"/>
        </w:rPr>
        <w:t xml:space="preserve"> Tá an cháipéis sin leagtha amach chun treoir a thabhairt d’Airí agus do Ranna ar an riachtanas i Lámhleabhair an Rialtais a fheidhmiú chun an tionchar ar dhaoine faoi mhíchumas sna moltaí i Meabhráin suntasacha chuig an Rialtas a mheas. Chomhairligh an tÚdarás Náisiúnta Míchumais ar an bpróiseas píolótú freisin do na dréacht-Threoirlínte.</w:t>
      </w:r>
    </w:p>
    <w:p w14:paraId="6FB722A8" w14:textId="77777777" w:rsidR="00EE061F" w:rsidRPr="00A15917" w:rsidRDefault="00EE061F" w:rsidP="00A15917">
      <w:pPr>
        <w:rPr>
          <w:lang w:val="ga-IE"/>
        </w:rPr>
      </w:pPr>
      <w:r w:rsidRPr="00A15917">
        <w:rPr>
          <w:lang w:val="ga-IE"/>
        </w:rPr>
        <w:t>Chuir an tÚdarás Náisiúnta Míchumais páipéir chomhairleach polasaí chuig Ranna Rialtais agus chuig roinnt gníomhaireachtaí stáit, a raibh sé de dhualgas orthu Ráitis Straitéise nua a fhorbairt don tréimhse 2011-2013. Áiríodh sna páipéir chomhairleach polasaí sin moltaí ar leith ar nithe maidir le míchumas a bhí le cur san áireamh sna Ráitis Straitéise. Tugadh comhairle sna páipéir chomhairleach polasaí freisin ar chur leis na Ráitis Straitéise na bearta riachtanacha chun cloí leis an oibleagáid seirbhísí poiblí inrochtaine a sheachadadh agus fostú agus coimeád daoine faoi mhíchumas a chur cinn agus tacú leo.</w:t>
      </w:r>
    </w:p>
    <w:p w14:paraId="5FB9801D" w14:textId="77777777" w:rsidR="00EE061F" w:rsidRPr="00A15917" w:rsidRDefault="00EE061F" w:rsidP="00A15917">
      <w:pPr>
        <w:pStyle w:val="Heading2"/>
        <w:rPr>
          <w:i/>
          <w:lang w:val="ga-IE"/>
        </w:rPr>
      </w:pPr>
      <w:bookmarkStart w:id="490" w:name="_Toc299362590"/>
      <w:bookmarkStart w:id="491" w:name="_Toc300742195"/>
      <w:bookmarkStart w:id="492" w:name="_Toc300742947"/>
      <w:bookmarkStart w:id="493" w:name="_Toc300744301"/>
      <w:r w:rsidRPr="00A15917">
        <w:rPr>
          <w:lang w:val="ga-IE"/>
        </w:rPr>
        <w:t>Ranna Rialtais a Atheagrú</w:t>
      </w:r>
      <w:bookmarkEnd w:id="490"/>
      <w:bookmarkEnd w:id="491"/>
      <w:bookmarkEnd w:id="492"/>
      <w:bookmarkEnd w:id="493"/>
    </w:p>
    <w:p w14:paraId="6A74C6C1" w14:textId="77777777" w:rsidR="00EE061F" w:rsidRPr="00A15917" w:rsidRDefault="00EE061F" w:rsidP="00A15917">
      <w:pPr>
        <w:rPr>
          <w:lang w:val="ga-IE"/>
        </w:rPr>
      </w:pPr>
      <w:r w:rsidRPr="00A15917">
        <w:rPr>
          <w:lang w:val="ga-IE"/>
        </w:rPr>
        <w:t>Ón 1 Meitheamh 2010</w:t>
      </w:r>
      <w:r w:rsidRPr="00A15917">
        <w:rPr>
          <w:rStyle w:val="FootnoteReference"/>
          <w:lang w:val="ga-IE"/>
        </w:rPr>
        <w:footnoteReference w:id="7"/>
      </w:r>
      <w:r w:rsidRPr="00A15917">
        <w:rPr>
          <w:lang w:val="ga-IE"/>
        </w:rPr>
        <w:t xml:space="preserve"> aistríodh freagracht na n-airí as an Údarás Náisiúnta Míchumais ón iar-Roinn Dlí agus Cirt, Comhionannais agus Athchóirithe Dlí chuig an Roinn nua a cuireadh le chéile An Roinn Gnóthaí Pobail, Comhionannais agus Gaeltachta</w:t>
      </w:r>
      <w:r w:rsidR="006F18C4">
        <w:rPr>
          <w:lang w:val="ga-IE"/>
        </w:rPr>
        <w:t xml:space="preserve">. </w:t>
      </w:r>
      <w:r w:rsidRPr="00A15917">
        <w:rPr>
          <w:lang w:val="ga-IE"/>
        </w:rPr>
        <w:t xml:space="preserve">Ina dhiaidh sin tharmlig an tAire a chumhachtaí agus a fheidhmeanna san Acht um Míchumas 2005 agus san Acht um Údarás Náisiúnta Míchumais 1999 chuig an Aire Stáit ag an Roinn Gnóthaí Pobail, Comhionannais agus </w:t>
      </w:r>
      <w:r w:rsidRPr="00A15917">
        <w:rPr>
          <w:lang w:val="ga-IE"/>
        </w:rPr>
        <w:lastRenderedPageBreak/>
        <w:t>Gaeltachta</w:t>
      </w:r>
      <w:r w:rsidRPr="00A15917">
        <w:rPr>
          <w:rStyle w:val="FootnoteReference"/>
          <w:noProof/>
          <w:lang w:val="ga-IE"/>
        </w:rPr>
        <w:footnoteReference w:id="8"/>
      </w:r>
      <w:r w:rsidR="006F18C4">
        <w:rPr>
          <w:lang w:val="ga-IE"/>
        </w:rPr>
        <w:t xml:space="preserve">. </w:t>
      </w:r>
      <w:r w:rsidRPr="00A15917">
        <w:rPr>
          <w:lang w:val="ga-IE"/>
        </w:rPr>
        <w:t>D’fhógair an Taoiseach atheagrú na Ranna Rialtais</w:t>
      </w:r>
      <w:r w:rsidRPr="00A15917">
        <w:rPr>
          <w:rStyle w:val="FootnoteReference"/>
          <w:lang w:val="ga-IE"/>
        </w:rPr>
        <w:footnoteReference w:id="9"/>
      </w:r>
      <w:r w:rsidRPr="00A15917">
        <w:rPr>
          <w:lang w:val="ga-IE"/>
        </w:rPr>
        <w:t xml:space="preserve"> an 23 Márta 2010 agus d’fhág sin go raibh idirthréimhse i gceist do na Ranna bunaidh a leanas a raibh plean earnálach acu</w:t>
      </w:r>
    </w:p>
    <w:p w14:paraId="1CF9BB5F" w14:textId="77777777" w:rsidR="00EE061F" w:rsidRPr="00A15917" w:rsidRDefault="00EE061F" w:rsidP="00A15917">
      <w:pPr>
        <w:pStyle w:val="ListBullet"/>
        <w:rPr>
          <w:lang w:val="ga-IE"/>
        </w:rPr>
      </w:pPr>
      <w:r w:rsidRPr="00A15917">
        <w:rPr>
          <w:lang w:val="ga-IE"/>
        </w:rPr>
        <w:t>An Roinn Cumarsáide, Fuinnimh agus Acmhainní Nádúrtha</w:t>
      </w:r>
    </w:p>
    <w:p w14:paraId="3395FC83" w14:textId="77777777" w:rsidR="00EE061F" w:rsidRPr="00A15917" w:rsidRDefault="00EE061F" w:rsidP="00A15917">
      <w:pPr>
        <w:pStyle w:val="ListBullet"/>
        <w:rPr>
          <w:lang w:val="ga-IE"/>
        </w:rPr>
      </w:pPr>
      <w:r w:rsidRPr="00A15917">
        <w:rPr>
          <w:lang w:val="ga-IE"/>
        </w:rPr>
        <w:t>An Roinn Fiontar, Trádála agus Fostaíochta</w:t>
      </w:r>
    </w:p>
    <w:p w14:paraId="1C04EEA1" w14:textId="77777777" w:rsidR="00EE061F" w:rsidRPr="00A15917" w:rsidRDefault="00EE061F" w:rsidP="00A15917">
      <w:pPr>
        <w:pStyle w:val="ListBullet"/>
        <w:rPr>
          <w:lang w:val="ga-IE"/>
        </w:rPr>
      </w:pPr>
      <w:r w:rsidRPr="00A15917">
        <w:rPr>
          <w:lang w:val="ga-IE"/>
        </w:rPr>
        <w:t>An Roinn Comhshaoil, Oidhreachta agus Rialtais Áitiúil</w:t>
      </w:r>
    </w:p>
    <w:p w14:paraId="04436372" w14:textId="77777777" w:rsidR="00EE061F" w:rsidRPr="00A15917" w:rsidRDefault="00EE061F" w:rsidP="00A15917">
      <w:pPr>
        <w:pStyle w:val="ListBullet"/>
        <w:rPr>
          <w:lang w:val="ga-IE"/>
        </w:rPr>
      </w:pPr>
      <w:r w:rsidRPr="00A15917">
        <w:rPr>
          <w:lang w:val="ga-IE"/>
        </w:rPr>
        <w:t>An Roinn Sláinte agus Leanaí</w:t>
      </w:r>
    </w:p>
    <w:p w14:paraId="284AAE6F" w14:textId="77777777" w:rsidR="00EE061F" w:rsidRPr="00A15917" w:rsidRDefault="00EE061F" w:rsidP="00A15917">
      <w:pPr>
        <w:pStyle w:val="ListBullet"/>
        <w:rPr>
          <w:lang w:val="ga-IE"/>
        </w:rPr>
      </w:pPr>
      <w:r w:rsidRPr="00A15917">
        <w:rPr>
          <w:lang w:val="ga-IE"/>
        </w:rPr>
        <w:t>An Roinn Gnóthaí Sóisialacha agus Teaghlaigh</w:t>
      </w:r>
    </w:p>
    <w:p w14:paraId="54129DA2" w14:textId="77777777" w:rsidR="00EE061F" w:rsidRPr="00A15917" w:rsidRDefault="00EE061F" w:rsidP="00A15917">
      <w:pPr>
        <w:pStyle w:val="ListBullet"/>
        <w:rPr>
          <w:lang w:val="ga-IE"/>
        </w:rPr>
      </w:pPr>
      <w:r w:rsidRPr="00A15917">
        <w:rPr>
          <w:lang w:val="ga-IE"/>
        </w:rPr>
        <w:t>An Roinn Iompair</w:t>
      </w:r>
    </w:p>
    <w:p w14:paraId="69362A5D" w14:textId="77777777" w:rsidR="00EE061F" w:rsidRPr="00A15917" w:rsidRDefault="00EE061F" w:rsidP="00A15917">
      <w:pPr>
        <w:rPr>
          <w:lang w:val="ga-IE"/>
        </w:rPr>
      </w:pPr>
      <w:r w:rsidRPr="00A15917">
        <w:rPr>
          <w:lang w:val="ga-IE"/>
        </w:rPr>
        <w:t>Tharla an t-athrú ba mhó sa Roinn Fiontar, Trádála agus Fostaíochta toisc go raibh beagnach gach réimse clúdaithe i bplean earnálach na Roinne sin athlonnaithe idir an Roinn Coimirce Sóisialaí agus an Roinn Oideachais agus Scileanna, agus dá réir tugadh an Roinn Oideachais agus Scileanna isteach sa réimse pleanála earnálach don chéad uair. D’fhan na Ranna eile a raibh plean earnálach acu mar a bhí siad agus choimeád siad a ndualgais féin le linn 2010.</w:t>
      </w:r>
    </w:p>
    <w:p w14:paraId="5E041BCF" w14:textId="77777777" w:rsidR="00EE061F" w:rsidRPr="00A15917" w:rsidRDefault="00EE061F" w:rsidP="00A15917">
      <w:pPr>
        <w:pStyle w:val="Heading2"/>
        <w:rPr>
          <w:i/>
          <w:lang w:val="ga-IE"/>
        </w:rPr>
      </w:pPr>
      <w:bookmarkStart w:id="494" w:name="_Toc299362591"/>
      <w:bookmarkStart w:id="495" w:name="_Toc300742196"/>
      <w:bookmarkStart w:id="496" w:name="_Toc300742948"/>
      <w:bookmarkStart w:id="497" w:name="_Toc300744302"/>
      <w:r w:rsidRPr="00A15917">
        <w:rPr>
          <w:lang w:val="ga-IE"/>
        </w:rPr>
        <w:t>Oideachas</w:t>
      </w:r>
      <w:bookmarkEnd w:id="494"/>
      <w:bookmarkEnd w:id="495"/>
      <w:bookmarkEnd w:id="496"/>
      <w:bookmarkEnd w:id="497"/>
    </w:p>
    <w:p w14:paraId="5EABAEDC" w14:textId="77777777" w:rsidR="00EE061F" w:rsidRPr="00A15917" w:rsidRDefault="00EE061F" w:rsidP="00A15917">
      <w:pPr>
        <w:pStyle w:val="Heading3"/>
        <w:rPr>
          <w:lang w:val="ga-IE"/>
        </w:rPr>
      </w:pPr>
      <w:r w:rsidRPr="00A15917">
        <w:rPr>
          <w:lang w:val="ga-IE"/>
        </w:rPr>
        <w:t>An Chomhairle Náisiúnta um Oideachas Speisialta</w:t>
      </w:r>
    </w:p>
    <w:p w14:paraId="7B6025E1" w14:textId="77777777" w:rsidR="00EE061F" w:rsidRPr="00A15917" w:rsidRDefault="00EE061F" w:rsidP="00A15917">
      <w:pPr>
        <w:rPr>
          <w:lang w:val="ga-IE"/>
        </w:rPr>
      </w:pPr>
      <w:r w:rsidRPr="00A15917">
        <w:rPr>
          <w:lang w:val="ga-IE"/>
        </w:rPr>
        <w:t xml:space="preserve">Is ionann Stiúrthóir an Údaráis Náisiúnta Míchumais agus comhalta ar chomhairle na Comhairle Náisiúnta um Oideachas Speisialta, agus tá an tÚdarás Náisiúnta Míchumais mar chomhalta den Ghrúpa Comhairleach ar Thaighde in Oideachas Speisialta freisin. Thug an tÚdarás Náisiúnta Míchumais comhairle faoin </w:t>
      </w:r>
      <w:r w:rsidRPr="00A15917">
        <w:rPr>
          <w:b/>
          <w:lang w:val="ga-IE"/>
        </w:rPr>
        <w:t>Athbhreithniú ar Ról Scoileanna agus Ranganna Oideachais Speisialta.</w:t>
      </w:r>
      <w:r w:rsidRPr="00A15917">
        <w:rPr>
          <w:lang w:val="ga-IE"/>
        </w:rPr>
        <w:t xml:space="preserve"> Thug an tÚdarás Náisiúnta Míchumais faisnéis freisin don Chomhairle Náisiúnta um Oideachas Speisialta i ndáil leis an mbaint a bhí acu leis an gComhchoiste Oireachtais ar Oideachas agus ar Scileanna. </w:t>
      </w:r>
    </w:p>
    <w:p w14:paraId="329A2186" w14:textId="77777777" w:rsidR="00EE061F" w:rsidRPr="00A15917" w:rsidRDefault="00EE061F" w:rsidP="00A15917">
      <w:pPr>
        <w:pStyle w:val="Heading3"/>
        <w:rPr>
          <w:lang w:val="ga-IE"/>
        </w:rPr>
      </w:pPr>
      <w:r w:rsidRPr="00A15917">
        <w:rPr>
          <w:lang w:val="ga-IE"/>
        </w:rPr>
        <w:t>Cúram Leanaí agus Oideachas Luath-Óige</w:t>
      </w:r>
    </w:p>
    <w:p w14:paraId="5E04E406" w14:textId="77777777" w:rsidR="00EE061F" w:rsidRPr="00A15917" w:rsidRDefault="00EE061F" w:rsidP="00A15917">
      <w:pPr>
        <w:rPr>
          <w:lang w:val="ga-IE"/>
        </w:rPr>
      </w:pPr>
      <w:r w:rsidRPr="00A15917">
        <w:rPr>
          <w:lang w:val="ga-IE"/>
        </w:rPr>
        <w:t xml:space="preserve">Rinne an tÚdarás Náisiúnta Míchumais athbhreithniú litríochta maidir le leanaí faoi mhíchumais a chur san áireamh in oideachas agus i gcúram luath-óige. Bhí an tÚdarás Náisiúnta Míchumais i mbun oibre leis an Oifig Míchumais agus Meabhairshláinte agus le hOifig an Aire Leanaí agus Gnóthaí Óige freisin, i ndáil le hobair bhreise ar dhea-chleachtas idirnáisiúnta sa réimse seo chun eolas a bhailiú do pháipéar comhairleach polasaí don Údarás Náisiúnta Míchumais sa todhchaí. </w:t>
      </w:r>
    </w:p>
    <w:p w14:paraId="7CACABEB" w14:textId="77777777" w:rsidR="00EE061F" w:rsidRPr="00A15917" w:rsidRDefault="00EE061F" w:rsidP="00A15917">
      <w:pPr>
        <w:pStyle w:val="Heading2"/>
        <w:rPr>
          <w:i/>
          <w:lang w:val="ga-IE"/>
        </w:rPr>
      </w:pPr>
      <w:bookmarkStart w:id="498" w:name="_Toc299362592"/>
      <w:bookmarkStart w:id="499" w:name="_Toc300742197"/>
      <w:bookmarkStart w:id="500" w:name="_Toc300742949"/>
      <w:bookmarkStart w:id="501" w:name="_Toc300744303"/>
      <w:r w:rsidRPr="00A15917">
        <w:rPr>
          <w:lang w:val="ga-IE"/>
        </w:rPr>
        <w:t>Athbhreithniú ar fheidhmiú an Achta um Míchumas 2005</w:t>
      </w:r>
      <w:bookmarkEnd w:id="498"/>
      <w:bookmarkEnd w:id="499"/>
      <w:bookmarkEnd w:id="500"/>
      <w:bookmarkEnd w:id="501"/>
    </w:p>
    <w:p w14:paraId="074C4C3D" w14:textId="77777777" w:rsidR="00EE061F" w:rsidRPr="00A15917" w:rsidRDefault="00EE061F" w:rsidP="00A15917">
      <w:pPr>
        <w:rPr>
          <w:lang w:val="ga-IE"/>
        </w:rPr>
      </w:pPr>
      <w:r w:rsidRPr="00A15917">
        <w:rPr>
          <w:lang w:val="ga-IE"/>
        </w:rPr>
        <w:t xml:space="preserve">Áirítear san Acht um Míchumas 2005 foráil d’athbhreithniú ar fheidhmiú an Achta tar éis cúig bliana. Reáchtáil an tÚdarás Náisiúnta Míchumais imeacht eolais chun éascú le heagraíochtaí míchumais ionchur a thabhairt maidir leis an athbhreithniú. D’ullmhaigh an tÚdarás Náisiúnta Míchumais páipéar comhairleach polasaí mionsonraithe ina n-aithnítear saincheisteanna oibriúcháin a tháinig chun cinn faoi ailt éagsúla den Acht agus moladh bealaí praiticiúla ina </w:t>
      </w:r>
      <w:r w:rsidRPr="00A15917">
        <w:rPr>
          <w:lang w:val="ga-IE"/>
        </w:rPr>
        <w:lastRenderedPageBreak/>
        <w:t xml:space="preserve">bhféadfaí iad a réiteach. Mar thoradh ar athruithe ar chumraíocht agus ar fhreagrachtaí na Ranna, mhol sampla amháin leasuithe ar fhorálacha a dhéileáil leis na pleananna earnálacha. Chuir an tÚdarás Náisiúnta Míchumais roinnt leasuithe teicniúla chun cinn freisin chun feidhmiú níos fearr an Achta a chinntiú mar a bhí beartaithe ón tús nuair a beartaíodh é. </w:t>
      </w:r>
    </w:p>
    <w:p w14:paraId="15156900" w14:textId="77777777" w:rsidR="00EE061F" w:rsidRPr="00A15917" w:rsidRDefault="00EE061F" w:rsidP="00A15917">
      <w:pPr>
        <w:pStyle w:val="Heading2"/>
        <w:rPr>
          <w:i/>
          <w:lang w:val="ga-IE"/>
        </w:rPr>
      </w:pPr>
      <w:bookmarkStart w:id="502" w:name="_Toc299362593"/>
      <w:bookmarkStart w:id="503" w:name="_Toc300742198"/>
      <w:bookmarkStart w:id="504" w:name="_Toc300742950"/>
      <w:bookmarkStart w:id="505" w:name="_Toc300744304"/>
      <w:r w:rsidRPr="00A15917">
        <w:rPr>
          <w:lang w:val="ga-IE"/>
        </w:rPr>
        <w:t>Sláinte</w:t>
      </w:r>
      <w:bookmarkEnd w:id="502"/>
      <w:bookmarkEnd w:id="503"/>
      <w:bookmarkEnd w:id="504"/>
      <w:bookmarkEnd w:id="505"/>
    </w:p>
    <w:p w14:paraId="7169D840" w14:textId="77777777" w:rsidR="00EE061F" w:rsidRPr="00A15917" w:rsidRDefault="00EE061F" w:rsidP="00A15917">
      <w:pPr>
        <w:pStyle w:val="Heading3"/>
        <w:rPr>
          <w:lang w:val="ga-IE"/>
        </w:rPr>
      </w:pPr>
      <w:r w:rsidRPr="00A15917">
        <w:rPr>
          <w:lang w:val="ga-IE"/>
        </w:rPr>
        <w:t>Athbhreithniú Polasaí agus Luach ar Airgead na seirbhísí míchumais arna maoiniú ag Feidhmeannacht na Seirbhíse Sláinte</w:t>
      </w:r>
    </w:p>
    <w:p w14:paraId="0499F262" w14:textId="77777777" w:rsidR="00EE061F" w:rsidRPr="00A15917" w:rsidRDefault="00EE061F" w:rsidP="00A15917">
      <w:pPr>
        <w:rPr>
          <w:lang w:val="ga-IE"/>
        </w:rPr>
      </w:pPr>
      <w:r w:rsidRPr="00A15917">
        <w:rPr>
          <w:lang w:val="ga-IE"/>
        </w:rPr>
        <w:t>Rinne an tÚdarás Náisiúnta Míchumais páipéar comhairleach polasaí mionsonraithe d’ Athbhreithniú Polasaí agus Luach ar Airgead na Roinne Sláinte agus Leanaí ar Sheirbhísí Míchumais agus cuireadh i láthair torthaí an pháipéir chuig an nGrúpa Athbhreithnithe Polasaí agus Luach ar Airgead. Bhí an páipéar bunaithe go príomha ar staidéar comparáideach ar chórais na seirbhísí agus na dtacaíochtaí míchumais lena n-áirítear taighde arna choimisiúnú maidir le costais seirbhísí míchumais i sé ndlínse. Sasana, Albain, An Iorua, An Ísiltír, An Nua Shéalainn agus Victoria (An Astráil).</w:t>
      </w:r>
    </w:p>
    <w:p w14:paraId="20F45911" w14:textId="77777777" w:rsidR="00EE061F" w:rsidRPr="00A15917" w:rsidRDefault="00EE061F" w:rsidP="00A15917">
      <w:pPr>
        <w:rPr>
          <w:lang w:val="ga-IE"/>
        </w:rPr>
      </w:pPr>
      <w:r w:rsidRPr="00A15917">
        <w:rPr>
          <w:lang w:val="ga-IE"/>
        </w:rPr>
        <w:t>Comhairlíodh sa pháipéar sin gur chóir go mbeadh na luachanna a leanas mar bhuntaca faoi sholáthar seirbhísí míchumais agus go mba chóir iad a ionchorprú mar choinníollacha ó thaobh maoiniú a cheadú agus go mba chóir iad a neadú i gcaighdeáin seirbhísí éigeantacha:</w:t>
      </w:r>
    </w:p>
    <w:p w14:paraId="5909B53E" w14:textId="77777777" w:rsidR="00EE061F" w:rsidRPr="00A15917" w:rsidRDefault="00EE061F" w:rsidP="00A15917">
      <w:pPr>
        <w:pStyle w:val="ListBullet"/>
        <w:rPr>
          <w:lang w:val="ga-IE"/>
        </w:rPr>
      </w:pPr>
      <w:r w:rsidRPr="00A15917">
        <w:rPr>
          <w:lang w:val="ga-IE"/>
        </w:rPr>
        <w:t xml:space="preserve">dírithe ar an duine, uilechuimsitheacht, lánpháirtiú sa phobal, rannpháirtíocht, neamhspleáchas agus rogha </w:t>
      </w:r>
    </w:p>
    <w:p w14:paraId="647B0415" w14:textId="77777777" w:rsidR="00EE061F" w:rsidRPr="00A15917" w:rsidRDefault="00EE061F" w:rsidP="00A15917">
      <w:pPr>
        <w:pStyle w:val="ListBullet"/>
        <w:rPr>
          <w:lang w:val="ga-IE"/>
        </w:rPr>
      </w:pPr>
      <w:r w:rsidRPr="00A15917">
        <w:rPr>
          <w:lang w:val="ga-IE"/>
        </w:rPr>
        <w:t>ba chóir tacaíocht a thabhairt do dhaoine aonair maireachtáil mar is mian leo go príomha sa phobal</w:t>
      </w:r>
    </w:p>
    <w:p w14:paraId="5E587D6F" w14:textId="77777777" w:rsidR="00EE061F" w:rsidRPr="00A15917" w:rsidRDefault="00EE061F" w:rsidP="00A15917">
      <w:pPr>
        <w:rPr>
          <w:lang w:val="ga-IE"/>
        </w:rPr>
      </w:pPr>
      <w:r w:rsidRPr="00A15917">
        <w:rPr>
          <w:lang w:val="ga-IE"/>
        </w:rPr>
        <w:t xml:space="preserve">Bhí comhalta foirne sinsearach de chuid an Údaráis Náisiúnta Míchumais mar chomhalta den Ghrúpa Tagartha Polasaí freisin ar Athbhreithniú Polasaí agus Luach ar Airgead na Seirbhísí Míchumais arna maoiniú ag Feidhmeannacht na Seirbhíse Sláinte (bhí gach comhalta den Ghrúpa Tagartha Polasaí mar chomhaltaí ina gcáil phearsanta). </w:t>
      </w:r>
    </w:p>
    <w:p w14:paraId="03D0E312" w14:textId="77777777" w:rsidR="00EE061F" w:rsidRPr="00A15917" w:rsidRDefault="00EE061F" w:rsidP="00A15917">
      <w:pPr>
        <w:pStyle w:val="Heading3"/>
        <w:rPr>
          <w:lang w:val="ga-IE"/>
        </w:rPr>
      </w:pPr>
      <w:r w:rsidRPr="00A15917">
        <w:rPr>
          <w:lang w:val="ga-IE"/>
        </w:rPr>
        <w:t xml:space="preserve">Athbhreithniú Fheidhmeannacht na Seirbhíse Sláinte ar Ionaid Chónaithe </w:t>
      </w:r>
    </w:p>
    <w:p w14:paraId="7FA3D18C" w14:textId="77777777" w:rsidR="00EE061F" w:rsidRPr="00A15917" w:rsidRDefault="00EE061F" w:rsidP="00A15917">
      <w:pPr>
        <w:rPr>
          <w:lang w:val="ga-IE"/>
        </w:rPr>
      </w:pPr>
      <w:r w:rsidRPr="00A15917">
        <w:rPr>
          <w:lang w:val="ga-IE"/>
        </w:rPr>
        <w:t xml:space="preserve">Bhí comhalta foirne sinsearach de chuid an Údaráis Náisiúnta Míchumais mar chomhalta den Ghrúpa Oibre ar Ionaid Chónaithe de chuid Fheidhmeannacht na Seirbhíse Sláinte inar scrúdaíodh roghanna eile ar chónaí in institiúidí do thart ar 4,000 duine faoi mhíchumas intleachtúil, fisiciúil nó céadfach atá ina gcónaí in ionaid ina bhfuil deichniúr nó níos mó ina gcónaí ann. Rinne an tÚdarás Náisiúnta Míchumais obair shuntasach ar athbhreithniú litríochta agus ar anailís ar shuirbhé ar na hionaid sin don tuarascáil de chuid an Ghrúpa Oibre ar Ionaid Chónaithe. Chuir an Grúpa Oibre a dtuarascáil faoi bhráid Fheidhmeannacht na Seirbhíse Sláinte i lár na bliana 2010. </w:t>
      </w:r>
    </w:p>
    <w:p w14:paraId="4AAAE7E9" w14:textId="77777777" w:rsidR="00EE061F" w:rsidRPr="00A15917" w:rsidRDefault="00EE061F" w:rsidP="00A15917">
      <w:pPr>
        <w:pStyle w:val="Heading3"/>
        <w:rPr>
          <w:lang w:val="ga-IE"/>
        </w:rPr>
      </w:pPr>
      <w:r w:rsidRPr="00A15917">
        <w:rPr>
          <w:lang w:val="ga-IE"/>
        </w:rPr>
        <w:t>Fís d’Athrú</w:t>
      </w:r>
    </w:p>
    <w:p w14:paraId="198FBFD2" w14:textId="77777777" w:rsidR="00EE061F" w:rsidRPr="00A15917" w:rsidRDefault="00EE061F" w:rsidP="00A15917">
      <w:pPr>
        <w:rPr>
          <w:b/>
          <w:lang w:val="ga-IE"/>
        </w:rPr>
      </w:pPr>
      <w:r w:rsidRPr="00A15917">
        <w:rPr>
          <w:lang w:val="ga-IE"/>
        </w:rPr>
        <w:t>Tá Stiúrthóir an Údaráis Náisiúnta Míchumais mar chomhalta den Ghrúpa Monatóireachta Neamhspleách maidir le Fís d’Athrú</w:t>
      </w:r>
      <w:r w:rsidR="006F18C4">
        <w:rPr>
          <w:lang w:val="ga-IE"/>
        </w:rPr>
        <w:t xml:space="preserve">. </w:t>
      </w:r>
      <w:r w:rsidRPr="00A15917">
        <w:rPr>
          <w:lang w:val="ga-IE"/>
        </w:rPr>
        <w:t xml:space="preserve">Thug an tÚdarás Náisiúnta Míchumais páipéar comhairleach polasaí don Roinn Sláinte agus Leanaí agus don Ghrúpa Monatóireachta </w:t>
      </w:r>
      <w:r w:rsidRPr="00A15917">
        <w:rPr>
          <w:lang w:val="ga-IE"/>
        </w:rPr>
        <w:lastRenderedPageBreak/>
        <w:t xml:space="preserve">Neamhspleách maidir le Fís d’Athrú, faoi mar a bhféadfaí gnéithe den </w:t>
      </w:r>
      <w:r w:rsidRPr="00A15917">
        <w:rPr>
          <w:b/>
          <w:lang w:val="ga-IE"/>
        </w:rPr>
        <w:t>Fhís d’Athrú</w:t>
      </w:r>
      <w:r w:rsidRPr="00A15917">
        <w:rPr>
          <w:lang w:val="ga-IE"/>
        </w:rPr>
        <w:t xml:space="preserve"> a chur chun cinn tríd an Stráitéis Náisiúnta Míchumais.</w:t>
      </w:r>
    </w:p>
    <w:p w14:paraId="3ABE9D87" w14:textId="77777777" w:rsidR="00EE061F" w:rsidRPr="00A15917" w:rsidRDefault="00EE061F" w:rsidP="00A15917">
      <w:pPr>
        <w:pStyle w:val="Heading3"/>
        <w:rPr>
          <w:lang w:val="ga-IE"/>
        </w:rPr>
      </w:pPr>
      <w:r w:rsidRPr="00A15917">
        <w:rPr>
          <w:lang w:val="ga-IE"/>
        </w:rPr>
        <w:t>Dréacht-chaighdeáin ar Chúram Sláinte níos Fearr agus níos Sábháilte an Údaráis um Fhaisnéis agus Cáilíocht Sláinte</w:t>
      </w:r>
    </w:p>
    <w:p w14:paraId="3DAE0D66" w14:textId="77777777" w:rsidR="00EE061F" w:rsidRPr="00A15917" w:rsidRDefault="00EE061F" w:rsidP="00A15917">
      <w:pPr>
        <w:rPr>
          <w:lang w:val="ga-IE"/>
        </w:rPr>
      </w:pPr>
      <w:r w:rsidRPr="00A15917">
        <w:rPr>
          <w:lang w:val="ga-IE"/>
        </w:rPr>
        <w:t xml:space="preserve">Reáchtáil an tÚdarás Náisiúnta Míchumais cruinniú comhchéime leis an Údarás um Fhaisnéis agus Cáilíocht Sláinte agus le soláthróirí seirbhísí míchumais chun comhairle a thabhairt ar dhréacht-chaighdeáin ar Chúram Sláinte níos Fearr agus níos Sábháilte an Údaráis um Fhaisnéis agus Cáilíocht Sláinte. Soiléiríodh ag an ócáid sin go bhfuil sé i gceist na dréacht-Chaighdeáin sin a fheidhmiú maidir le hionaid chúraim mhíchumais mar aon le hionaid sláinte príomhshrutha agus cuireadh ar chumas na saincheisteanna sonracha a bhíonn i gceist do dhaoine faoi mhíchumas a bhreithniú. </w:t>
      </w:r>
    </w:p>
    <w:p w14:paraId="5944D539" w14:textId="77777777" w:rsidR="00EE061F" w:rsidRPr="00A15917" w:rsidRDefault="00EE061F" w:rsidP="00A15917">
      <w:pPr>
        <w:pStyle w:val="Heading2"/>
        <w:rPr>
          <w:i/>
          <w:lang w:val="ga-IE"/>
        </w:rPr>
      </w:pPr>
      <w:bookmarkStart w:id="506" w:name="_Toc299362594"/>
      <w:bookmarkStart w:id="507" w:name="_Toc300742199"/>
      <w:bookmarkStart w:id="508" w:name="_Toc300742951"/>
      <w:bookmarkStart w:id="509" w:name="_Toc300744305"/>
      <w:r w:rsidRPr="00A15917">
        <w:rPr>
          <w:lang w:val="ga-IE"/>
        </w:rPr>
        <w:t>Fostaíocht</w:t>
      </w:r>
      <w:bookmarkEnd w:id="506"/>
      <w:bookmarkEnd w:id="507"/>
      <w:bookmarkEnd w:id="508"/>
      <w:bookmarkEnd w:id="509"/>
    </w:p>
    <w:p w14:paraId="40B4DD60" w14:textId="77777777" w:rsidR="00EE061F" w:rsidRPr="00A15917" w:rsidRDefault="00EE061F" w:rsidP="00A15917">
      <w:pPr>
        <w:pStyle w:val="Heading3"/>
        <w:rPr>
          <w:lang w:val="ga-IE"/>
        </w:rPr>
      </w:pPr>
      <w:r w:rsidRPr="00A15917">
        <w:rPr>
          <w:lang w:val="ga-IE"/>
        </w:rPr>
        <w:t>Tacaíochtaí d’fhostaíocht maidir le daoine le riachtanais ardtacaíochta</w:t>
      </w:r>
    </w:p>
    <w:p w14:paraId="759D7467" w14:textId="77777777" w:rsidR="00EE061F" w:rsidRPr="00A15917" w:rsidRDefault="00EE061F" w:rsidP="00A15917">
      <w:pPr>
        <w:rPr>
          <w:lang w:val="ga-IE"/>
        </w:rPr>
      </w:pPr>
      <w:r w:rsidRPr="00A15917">
        <w:rPr>
          <w:lang w:val="ga-IE"/>
        </w:rPr>
        <w:t>D’ullmhaigh an tÚdarás Náisiúnta Míchumais páipéar comhairleach polasaí inar leagadh amach cur chuige comhaontaithe ón Roinn Sláinte agus Leanaí agus geallsealbhóirí san earnáil sláinte maidir le tacaíochtaí d’fhostaíocht maidir le daoine le riachtanais ardtacaíochta. Táthar ag plé an pháipéir sin i ngrúpa idir-rannach ar mhíchumas agus ar fhostaíocht.</w:t>
      </w:r>
    </w:p>
    <w:p w14:paraId="34878D07" w14:textId="77777777" w:rsidR="00EE061F" w:rsidRPr="00A15917" w:rsidRDefault="00EE061F" w:rsidP="00A15917">
      <w:pPr>
        <w:pStyle w:val="Heading3"/>
        <w:rPr>
          <w:lang w:val="ga-IE"/>
        </w:rPr>
      </w:pPr>
      <w:r w:rsidRPr="00A15917">
        <w:rPr>
          <w:lang w:val="ga-IE"/>
        </w:rPr>
        <w:t>Tionscadal Gníomhachtúcháin Míchumais</w:t>
      </w:r>
    </w:p>
    <w:p w14:paraId="4F3A17E3" w14:textId="77777777" w:rsidR="00EE061F" w:rsidRPr="00A15917" w:rsidRDefault="00EE061F" w:rsidP="00A15917">
      <w:pPr>
        <w:rPr>
          <w:lang w:val="ga-IE"/>
        </w:rPr>
      </w:pPr>
      <w:r w:rsidRPr="00A15917">
        <w:rPr>
          <w:lang w:val="ga-IE"/>
        </w:rPr>
        <w:t xml:space="preserve">Tá an tÚdarás Náisiúnta Míchumais mar chomhalta den ghrúpa comhairleach áitiúil do Thionscadal Gníomhachtúcháin Míchumais na Roinne Coimirce Sóisialaí. Faigheann an Tionscadal maoiniú ó Chiste Sóisialta na hEorpa agus oibrítear i gcomhar le geallsealbhóirí áitiúla lena n-áirítear FÁS, Feidhmeannacht na Seirbhíse Sláinte agus na Coistí Gairmoideachais. Áirítear le hobair an Tionscadail tacaíochtaí a phíolótú chun dul i ngleic le daoine faoi mhíchumas lena n-áirítear cláir oiliúna saincheaptha. Lorgaítear leis an Tionscadal freisin leanúint leis na comhpháirtíochtaí idirghníomhaireachtaí chun bealaí éifeachtacha a sheachadadh i dtreo uilechuimsitheacht agus fostaíocht. </w:t>
      </w:r>
    </w:p>
    <w:p w14:paraId="02B35136" w14:textId="77777777" w:rsidR="00EE061F" w:rsidRPr="00A15917" w:rsidRDefault="00EE061F" w:rsidP="00A15917">
      <w:pPr>
        <w:pStyle w:val="Heading2"/>
        <w:rPr>
          <w:i/>
          <w:lang w:val="ga-IE"/>
        </w:rPr>
      </w:pPr>
      <w:bookmarkStart w:id="510" w:name="_Toc299362595"/>
      <w:bookmarkStart w:id="511" w:name="_Toc300742200"/>
      <w:bookmarkStart w:id="512" w:name="_Toc300742952"/>
      <w:bookmarkStart w:id="513" w:name="_Toc300744306"/>
      <w:r w:rsidRPr="00A15917">
        <w:rPr>
          <w:lang w:val="ga-IE"/>
        </w:rPr>
        <w:t>Comhshaol, Oidhreacht agus Rialtas Áitiúil</w:t>
      </w:r>
      <w:bookmarkEnd w:id="510"/>
      <w:bookmarkEnd w:id="511"/>
      <w:bookmarkEnd w:id="512"/>
      <w:bookmarkEnd w:id="513"/>
    </w:p>
    <w:p w14:paraId="343F2DC1" w14:textId="77777777" w:rsidR="00EE061F" w:rsidRPr="00A15917" w:rsidRDefault="00EE061F" w:rsidP="00A15917">
      <w:pPr>
        <w:pStyle w:val="Heading3"/>
        <w:rPr>
          <w:lang w:val="ga-IE"/>
        </w:rPr>
      </w:pPr>
      <w:r w:rsidRPr="00A15917">
        <w:rPr>
          <w:lang w:val="ga-IE"/>
        </w:rPr>
        <w:t>Straitéis Tithíochta do Dhaoine faoi Mhíchumas</w:t>
      </w:r>
    </w:p>
    <w:p w14:paraId="76CB143D" w14:textId="77777777" w:rsidR="00EE061F" w:rsidRPr="00A15917" w:rsidRDefault="00EE061F" w:rsidP="00A15917">
      <w:pPr>
        <w:rPr>
          <w:lang w:val="ga-IE"/>
        </w:rPr>
      </w:pPr>
      <w:r w:rsidRPr="00A15917">
        <w:rPr>
          <w:lang w:val="ga-IE"/>
        </w:rPr>
        <w:t xml:space="preserve">Bhí an tÚdarás Náisiúnta Míchumais páirteach le Grúpa Comhairleach na Roinne Comhshaoil, Oidhreachta agus Rialtais Áitiúil maidir le straitéis náisiúnta tithíochta a fhorbairt do dhaoine faoi mhíchumas, mar aon le bheith páirteach leis an bhfoghrúpa ar mheabhairshláinte agus d’oibrigh siad freisin leis an bhfoghrúpa dréachtaithe don straitéis náisiúnta tithíochta. </w:t>
      </w:r>
    </w:p>
    <w:p w14:paraId="67D451CF" w14:textId="77777777" w:rsidR="00EE061F" w:rsidRPr="00A15917" w:rsidRDefault="00EE061F" w:rsidP="00A15917">
      <w:pPr>
        <w:pStyle w:val="Heading3"/>
        <w:rPr>
          <w:lang w:val="ga-IE"/>
        </w:rPr>
      </w:pPr>
      <w:r w:rsidRPr="00A15917">
        <w:rPr>
          <w:lang w:val="ga-IE"/>
        </w:rPr>
        <w:t>Pleanáil</w:t>
      </w:r>
    </w:p>
    <w:p w14:paraId="57535088" w14:textId="77777777" w:rsidR="00EE061F" w:rsidRPr="00A15917" w:rsidRDefault="00EE061F" w:rsidP="00A15917">
      <w:pPr>
        <w:rPr>
          <w:lang w:val="ga-IE"/>
        </w:rPr>
      </w:pPr>
      <w:r w:rsidRPr="00A15917">
        <w:rPr>
          <w:lang w:val="ga-IE"/>
        </w:rPr>
        <w:t xml:space="preserve">D’oibrigh an tÚdarás Náisiúnta Míchumais le Rannán Pleanála na Roinne Comhshaoil, Oidhreachta agus Rialtais Áitiúil agus le grúpa stiúrtha a raibh saineolas pleanála acu maidir le húdaráis áitiúla agus leis an mBord Pleanála, chun leabhrán sonrach a fhorbairt le treoir a thabhairt do lucht pleanála mar chuid den tsraith </w:t>
      </w:r>
      <w:r w:rsidRPr="00A15917">
        <w:rPr>
          <w:b/>
          <w:lang w:val="ga-IE"/>
        </w:rPr>
        <w:t xml:space="preserve">Building for Everyone </w:t>
      </w:r>
      <w:r w:rsidRPr="00A15917">
        <w:rPr>
          <w:lang w:val="ga-IE"/>
        </w:rPr>
        <w:t xml:space="preserve">de chuid an Údaráis Náisiúnta Míchumais. Thug an tÚdarás Náisiúnta Míchumais comhairle ar dhréacht-treoirlínte </w:t>
      </w:r>
      <w:r w:rsidRPr="00A15917">
        <w:rPr>
          <w:lang w:val="ga-IE"/>
        </w:rPr>
        <w:lastRenderedPageBreak/>
        <w:t>do phleananna ceantair áitiúla freisin, ar phleanáil spáis, ar bhóithre náisiúnta agus ar phleanáil miondíola. Mhol an tÚdarás Náisiúnta Míchumais téacs mionsamhlach ar dhearadh uilíoch agus inrochtaineacht ó thaobh cúrsaí pleanála d’údaráis áitiúla le cur san áireamh ina bPleananna Forbartha.</w:t>
      </w:r>
    </w:p>
    <w:p w14:paraId="3245658C" w14:textId="77777777" w:rsidR="00EE061F" w:rsidRPr="00A15917" w:rsidRDefault="00EE061F" w:rsidP="00A15917">
      <w:pPr>
        <w:pStyle w:val="Heading3"/>
        <w:rPr>
          <w:lang w:val="ga-IE"/>
        </w:rPr>
      </w:pPr>
      <w:r w:rsidRPr="00A15917">
        <w:rPr>
          <w:lang w:val="ga-IE"/>
        </w:rPr>
        <w:t>Comhairle d’údaráis áitiúla ar fheidhmiú an phlean earnálaigh</w:t>
      </w:r>
    </w:p>
    <w:p w14:paraId="2B55742B" w14:textId="77777777" w:rsidR="00EE061F" w:rsidRPr="00A15917" w:rsidRDefault="00EE061F" w:rsidP="00A15917">
      <w:pPr>
        <w:rPr>
          <w:lang w:val="ga-IE"/>
        </w:rPr>
      </w:pPr>
      <w:r w:rsidRPr="00A15917">
        <w:rPr>
          <w:lang w:val="ga-IE"/>
        </w:rPr>
        <w:t xml:space="preserve">Tá an tÚdarás Náisiúnta Míchumais mar chomhalta de Ghrúpa Stiúrtha an Bhoird Seirbhísí Bainistíochta Rialtais Áitiúil a thacaíonn le húdaráis áitiúla na tiomantais i bplean earnálach na Roinne Comhshaoil, Oidhreachta agus Rialtais Áitiúil a fheidhmiú. Tá ionadaíocht ag an Údarás Náisiúnta Míchumais freisin ar a fhoghrúpaí ar Rochtain, ar Oiliúint agus ar Chumarsáid agus ar Threoirlínte d’ullmhú Teastas Inrochtaineachta Míchumais. Le linn 2010, lean obair an Ghrúpa Stiúrtha ar threoir a fhorbairt d’údaráis áitiúla ar Spás Súgartha Uilechuimsitheach, agus ar threoir do phearsanra a bhíonn ag suiteáil trealamh ATM poiblí. </w:t>
      </w:r>
    </w:p>
    <w:p w14:paraId="085653F7" w14:textId="77777777" w:rsidR="00EE061F" w:rsidRPr="00A15917" w:rsidRDefault="00EE061F" w:rsidP="006F18C4">
      <w:pPr>
        <w:pStyle w:val="Heading2"/>
        <w:rPr>
          <w:i/>
          <w:lang w:val="ga-IE"/>
        </w:rPr>
      </w:pPr>
      <w:bookmarkStart w:id="514" w:name="_Toc299362596"/>
      <w:bookmarkStart w:id="515" w:name="_Toc300742201"/>
      <w:bookmarkStart w:id="516" w:name="_Toc300742953"/>
      <w:bookmarkStart w:id="517" w:name="_Toc300744307"/>
      <w:r w:rsidRPr="00A15917">
        <w:rPr>
          <w:lang w:val="ga-IE"/>
        </w:rPr>
        <w:t>An Roinn Iompair</w:t>
      </w:r>
      <w:bookmarkEnd w:id="514"/>
      <w:bookmarkEnd w:id="515"/>
      <w:bookmarkEnd w:id="516"/>
      <w:bookmarkEnd w:id="517"/>
      <w:r w:rsidRPr="00A15917">
        <w:rPr>
          <w:i/>
          <w:lang w:val="ga-IE"/>
        </w:rPr>
        <w:t xml:space="preserve"> </w:t>
      </w:r>
    </w:p>
    <w:p w14:paraId="72DFE300" w14:textId="77777777" w:rsidR="00EE061F" w:rsidRPr="00A15917" w:rsidRDefault="00EE061F" w:rsidP="006F18C4">
      <w:pPr>
        <w:pStyle w:val="Heading3"/>
        <w:rPr>
          <w:lang w:val="ga-IE"/>
        </w:rPr>
      </w:pPr>
      <w:r w:rsidRPr="00A15917">
        <w:rPr>
          <w:lang w:val="ga-IE"/>
        </w:rPr>
        <w:t>Iompar Paisinéirí Muirí Inrochtaine</w:t>
      </w:r>
    </w:p>
    <w:p w14:paraId="121460A7" w14:textId="77777777" w:rsidR="00EE061F" w:rsidRPr="00A15917" w:rsidRDefault="00EE061F" w:rsidP="006F18C4">
      <w:pPr>
        <w:rPr>
          <w:lang w:val="ga-IE"/>
        </w:rPr>
      </w:pPr>
      <w:r w:rsidRPr="00A15917">
        <w:rPr>
          <w:lang w:val="ga-IE"/>
        </w:rPr>
        <w:t xml:space="preserve">D’fhoilsigh an tAire Iompair na </w:t>
      </w:r>
      <w:r w:rsidRPr="00A15917">
        <w:rPr>
          <w:b/>
          <w:lang w:val="ga-IE"/>
        </w:rPr>
        <w:t>Treoirlínte d’Iompar Paisinéirí Muirí Inrochtaine</w:t>
      </w:r>
      <w:r w:rsidRPr="00A15917">
        <w:rPr>
          <w:lang w:val="ga-IE"/>
        </w:rPr>
        <w:t xml:space="preserve"> an 6 Márta 2010</w:t>
      </w:r>
      <w:r w:rsidR="006F18C4">
        <w:rPr>
          <w:lang w:val="ga-IE"/>
        </w:rPr>
        <w:t xml:space="preserve">. </w:t>
      </w:r>
      <w:r w:rsidRPr="00A15917">
        <w:rPr>
          <w:lang w:val="ga-IE"/>
        </w:rPr>
        <w:t xml:space="preserve">Tionscnamh i gcomhar a bhí i bhforbairt agus i bhfoilsiú na dtreoirlínte sin idir an tÚdarás Náisiúnta Míchumais agus Rannán Muirí na Roinne Iompair. Seo iad na chéad treoirlínte den sórt sin in Éirinn agus soláthraítear na leideanna is fearr ar ghnéithe de thuras mar fhaisnéis inrochtaine a sholáthar ó thaobh turas a phleanáil, feabhsúcháin ar shaoráidí in aice na farraige ag calafoirt, cuanta agus ag céanna, rochtain a fheabhsú ar bhord loinge, oiliúint maidir le feasacht míchumais don fhoireann, pleanáil éigeandála agus feabhas a chur ar chaidrimh custaiméirí do na paisinéirí go léir. Scaipfear na treoirlínte ar gach oibreoir bád agus calafoirt, ar na Ranna Rialtais agus ar na geallsealbhóirí iomchuí go léir. </w:t>
      </w:r>
    </w:p>
    <w:p w14:paraId="32CC9EA4" w14:textId="77777777" w:rsidR="00EE061F" w:rsidRPr="00A15917" w:rsidRDefault="00EE061F" w:rsidP="006F18C4">
      <w:pPr>
        <w:rPr>
          <w:lang w:val="ga-IE"/>
        </w:rPr>
      </w:pPr>
      <w:r w:rsidRPr="00A15917">
        <w:rPr>
          <w:lang w:val="ga-IE"/>
        </w:rPr>
        <w:t>Reáchtáil an tÚdarás Náisiúnta Míchumais, i gcomhar leis an Roinn Iompair, seimineár don tionscal paisinéirí muirí chun na Treoirlínte agus inrochtaineacht Calafoirt agus Longa a chur chun cinn. Pléadh athruithe sa todhchaí a bheidh mar thoradh ar fhorbairtí le déanaí san AE ag an seimineár freisin, mar dhréacht-Rialachán Pharlaimint na hEorpa agus Chomhairle na hAirí maidir le cearta paisinéirí agus iad ag taisteal ar an bhfarraige agus ar uiscebhealaí intíre, mar aon le reachtaíocht náisiúnta lena mbaineann.</w:t>
      </w:r>
    </w:p>
    <w:p w14:paraId="6EEEC75A" w14:textId="77777777" w:rsidR="00EE061F" w:rsidRPr="00A15917" w:rsidRDefault="00EE061F" w:rsidP="006F18C4">
      <w:pPr>
        <w:pStyle w:val="Heading3"/>
        <w:rPr>
          <w:lang w:val="ga-IE"/>
        </w:rPr>
      </w:pPr>
      <w:r w:rsidRPr="00A15917">
        <w:rPr>
          <w:lang w:val="ga-IE"/>
        </w:rPr>
        <w:t>Tacsaithe</w:t>
      </w:r>
    </w:p>
    <w:p w14:paraId="5962B65D" w14:textId="77777777" w:rsidR="00EE061F" w:rsidRPr="00A15917" w:rsidRDefault="00EE061F" w:rsidP="006F18C4">
      <w:pPr>
        <w:rPr>
          <w:lang w:val="ga-IE"/>
        </w:rPr>
      </w:pPr>
      <w:r w:rsidRPr="00A15917">
        <w:rPr>
          <w:lang w:val="ga-IE"/>
        </w:rPr>
        <w:t xml:space="preserve">Sholáthair an tÚdarás Náisiúnta Míchumais comhairle leanúnach tríd an gComhairle Comhairleach Tacsaithe agus trí theagmháil rialta leis an gCoimisiún um Rialáil Tacsaithe. Seo a leanas roinnt de na saincheisteanna a cuireadh comhairle ar fáil ina leith: </w:t>
      </w:r>
    </w:p>
    <w:p w14:paraId="3AFAF290" w14:textId="77777777" w:rsidR="00EE061F" w:rsidRPr="00A15917" w:rsidRDefault="00EE061F" w:rsidP="006F18C4">
      <w:pPr>
        <w:pStyle w:val="ListBullet"/>
        <w:rPr>
          <w:lang w:val="ga-IE"/>
        </w:rPr>
      </w:pPr>
      <w:r w:rsidRPr="00A15917">
        <w:rPr>
          <w:lang w:val="ga-IE"/>
        </w:rPr>
        <w:t xml:space="preserve">iniúchadh ar stadanna tacsaithe, an dearadh agus an suíomh atá acu </w:t>
      </w:r>
    </w:p>
    <w:p w14:paraId="483863EA" w14:textId="77777777" w:rsidR="00EE061F" w:rsidRPr="00A15917" w:rsidRDefault="00EE061F" w:rsidP="006F18C4">
      <w:pPr>
        <w:pStyle w:val="ListBullet"/>
        <w:rPr>
          <w:lang w:val="ga-IE"/>
        </w:rPr>
      </w:pPr>
      <w:r w:rsidRPr="00A15917">
        <w:rPr>
          <w:lang w:val="ga-IE"/>
        </w:rPr>
        <w:t>gníomhartha inrochtaineachta sonracha i bplean gnímh an Choimisiúin 2010-2012</w:t>
      </w:r>
    </w:p>
    <w:p w14:paraId="365DED89" w14:textId="77777777" w:rsidR="00EE061F" w:rsidRPr="00A15917" w:rsidRDefault="00EE061F" w:rsidP="006F18C4">
      <w:pPr>
        <w:pStyle w:val="ListBullet"/>
        <w:rPr>
          <w:lang w:val="ga-IE"/>
        </w:rPr>
      </w:pPr>
      <w:r w:rsidRPr="00A15917">
        <w:rPr>
          <w:lang w:val="ga-IE"/>
        </w:rPr>
        <w:t>bunú clár Feithiclí Beaga na Seirbhíse Poiblí inrochtaine a bheidh ar fáil do thomhaltóirí arna iarraidh agus</w:t>
      </w:r>
    </w:p>
    <w:p w14:paraId="4C6E7F54" w14:textId="77777777" w:rsidR="00EE061F" w:rsidRPr="00A15917" w:rsidRDefault="00EE061F" w:rsidP="006F18C4">
      <w:pPr>
        <w:pStyle w:val="ListBullet"/>
        <w:rPr>
          <w:lang w:val="ga-IE"/>
        </w:rPr>
      </w:pPr>
      <w:r w:rsidRPr="00A15917">
        <w:rPr>
          <w:lang w:val="ga-IE"/>
        </w:rPr>
        <w:t>feabhsúchán leanúnach ar chaighdeán na bhfeithiclí, oiliúint do thiománaithe agus soláthar faisnéise</w:t>
      </w:r>
    </w:p>
    <w:p w14:paraId="46179C32" w14:textId="77777777" w:rsidR="00EE061F" w:rsidRPr="00A15917" w:rsidRDefault="00EE061F" w:rsidP="006F18C4">
      <w:pPr>
        <w:rPr>
          <w:lang w:val="ga-IE"/>
        </w:rPr>
      </w:pPr>
      <w:r w:rsidRPr="00A15917">
        <w:rPr>
          <w:lang w:val="ga-IE"/>
        </w:rPr>
        <w:lastRenderedPageBreak/>
        <w:t xml:space="preserve">Chuir an tÚdarás Náisiúnta Míchumais imní in iúl maidir leis an dóigh go laghdófar an flít tacsaithe inrochtaine do chathaoireacha rothaí atá beag go maith mar atá sé, ó thaobh aois an fhlít agus táthar ag iarraidh bealaí praiticiúla a aithint chun infheistíocht sa soláthar a spreagadh. </w:t>
      </w:r>
    </w:p>
    <w:p w14:paraId="12D00C79" w14:textId="77777777" w:rsidR="00EE061F" w:rsidRPr="00A15917" w:rsidRDefault="00EE061F" w:rsidP="006F18C4">
      <w:pPr>
        <w:pStyle w:val="Heading3"/>
        <w:rPr>
          <w:lang w:val="ga-IE"/>
        </w:rPr>
      </w:pPr>
      <w:r w:rsidRPr="00A15917">
        <w:rPr>
          <w:lang w:val="ga-IE"/>
        </w:rPr>
        <w:t>Comhairle do chomhlachtaí iompair eile</w:t>
      </w:r>
    </w:p>
    <w:p w14:paraId="527B3D6C" w14:textId="77777777" w:rsidR="00EE061F" w:rsidRPr="00A15917" w:rsidRDefault="00EE061F" w:rsidP="006F18C4">
      <w:pPr>
        <w:rPr>
          <w:lang w:val="ga-IE"/>
        </w:rPr>
      </w:pPr>
      <w:r w:rsidRPr="00A15917">
        <w:rPr>
          <w:lang w:val="ga-IE"/>
        </w:rPr>
        <w:t xml:space="preserve">Lean an tÚdarás Náisiúnta Míchumais ag obair le príomhgheallsealbhóirí iompair eile agus: </w:t>
      </w:r>
    </w:p>
    <w:p w14:paraId="5CF02C4D" w14:textId="77777777" w:rsidR="00EE061F" w:rsidRPr="00A15917" w:rsidRDefault="00EE061F" w:rsidP="006F18C4">
      <w:pPr>
        <w:pStyle w:val="ListBullet"/>
        <w:rPr>
          <w:lang w:val="ga-IE"/>
        </w:rPr>
      </w:pPr>
      <w:r w:rsidRPr="00A15917">
        <w:rPr>
          <w:lang w:val="ga-IE"/>
        </w:rPr>
        <w:t>soláthraíodh comhairle d'Údarás Aerfoirt Bhaile Átha Cliath maidir leis an treoir do thomhaltóirí do dhaoine a mbíonn deacrachtaí gluaiseachta acu a úsáideann na haerfoirt; rochtain ag T2 agus stopanna iompair inrochtaine</w:t>
      </w:r>
    </w:p>
    <w:p w14:paraId="04E07E89" w14:textId="77777777" w:rsidR="00EE061F" w:rsidRPr="00A15917" w:rsidRDefault="00EE061F" w:rsidP="006F18C4">
      <w:pPr>
        <w:pStyle w:val="ListBullet"/>
        <w:rPr>
          <w:lang w:val="ga-IE"/>
        </w:rPr>
      </w:pPr>
      <w:r w:rsidRPr="00A15917">
        <w:rPr>
          <w:lang w:val="ga-IE"/>
        </w:rPr>
        <w:t>reáchtáladh cruinnithe leanúnacha le Bus Éireann agus le Bus Átha Cliath maidir le leathadh amach tionscnaimh inrochtaineachta chun feabhas a chur ar sholáthar iompair lena n-áirítear ceithre bhealach cóistí inrochtaine trialach agus chuathas i mbun idirchaidrimh leis an Roinn Iompair agus leis an Roinn Comhshaoil, Oidhreachta agus Rialtais Áitiúil ar sholáthar maoiniú in 2010 do stopanna do chóistí inrochtaine ar na bealaí sin.</w:t>
      </w:r>
    </w:p>
    <w:p w14:paraId="33630B36" w14:textId="77777777" w:rsidR="00EE061F" w:rsidRPr="00A15917" w:rsidRDefault="00EE061F" w:rsidP="006F18C4">
      <w:pPr>
        <w:pStyle w:val="ListBullet"/>
        <w:rPr>
          <w:lang w:val="ga-IE"/>
        </w:rPr>
      </w:pPr>
      <w:r w:rsidRPr="00A15917">
        <w:rPr>
          <w:lang w:val="ga-IE"/>
        </w:rPr>
        <w:t>rinneadh aighneacht chuig an mBord Pleanála a thug aghaidh ar shaincheisteanna inrochtaineachta maidir leis an idircheanglóir Luas agus DART atá beartaithe. Bhí an tÚdarás Náisiúnta Míchumais gníomhach i gcruinnithe déthaobhacha eile le hIarnród Éireann chun treoir a thabhairt ar réitigh maidir le hinrochtaineacht.</w:t>
      </w:r>
    </w:p>
    <w:p w14:paraId="79B1EE5B" w14:textId="77777777" w:rsidR="00EE061F" w:rsidRPr="00A15917" w:rsidRDefault="00EE061F" w:rsidP="006F18C4">
      <w:pPr>
        <w:pStyle w:val="Heading2"/>
        <w:rPr>
          <w:i/>
          <w:lang w:val="ga-IE"/>
        </w:rPr>
      </w:pPr>
      <w:bookmarkStart w:id="518" w:name="_Toc299362597"/>
      <w:bookmarkStart w:id="519" w:name="_Toc300742202"/>
      <w:bookmarkStart w:id="520" w:name="_Toc300742954"/>
      <w:bookmarkStart w:id="521" w:name="_Toc300744308"/>
      <w:r w:rsidRPr="00A15917">
        <w:rPr>
          <w:lang w:val="ga-IE"/>
        </w:rPr>
        <w:t>Cumarsáid agus Fuinneamh</w:t>
      </w:r>
      <w:bookmarkEnd w:id="518"/>
      <w:bookmarkEnd w:id="519"/>
      <w:bookmarkEnd w:id="520"/>
      <w:bookmarkEnd w:id="521"/>
    </w:p>
    <w:p w14:paraId="3A120DCC" w14:textId="77777777" w:rsidR="00EE061F" w:rsidRPr="00A15917" w:rsidRDefault="00EE061F" w:rsidP="006F18C4">
      <w:pPr>
        <w:pStyle w:val="Heading3"/>
        <w:rPr>
          <w:lang w:val="ga-IE"/>
        </w:rPr>
      </w:pPr>
      <w:r w:rsidRPr="00A15917">
        <w:rPr>
          <w:lang w:val="ga-IE"/>
        </w:rPr>
        <w:t xml:space="preserve">RTÉ </w:t>
      </w:r>
    </w:p>
    <w:p w14:paraId="61A824F2" w14:textId="77777777" w:rsidR="00EE061F" w:rsidRPr="00A15917" w:rsidRDefault="00EE061F" w:rsidP="006F18C4">
      <w:pPr>
        <w:rPr>
          <w:b/>
          <w:lang w:val="ga-IE"/>
        </w:rPr>
      </w:pPr>
      <w:r w:rsidRPr="00A15917">
        <w:rPr>
          <w:lang w:val="ga-IE"/>
        </w:rPr>
        <w:t>Rinne an tÚdarás Náisiúnta Míchumais aighneacht chuig an Roinn Cumarsáide, Fuinnimh agus Acmhainní Nádúrtha ar Bheartas Seirbhísí Nua RTÉ. Dhírigh sin ar an iliomad deiseanna do sheirbhísí craolacháin inrochtaine uilíoch atá bunaithe ar leathadh amach na Teilifíse Trastíre Digití. Clúdaíodh freisin beartais chun uilechuimsitheacht daoine faoi mhíchumas i gcláir a sheachadadh go héifeachtach, ó thaobh an t-ábhar féin a bheith páirteach agus na rannpháirtithe féin a bheith páirteach araon.</w:t>
      </w:r>
    </w:p>
    <w:p w14:paraId="0A9E4FF4" w14:textId="77777777" w:rsidR="00EE061F" w:rsidRPr="00A15917" w:rsidRDefault="00EE061F" w:rsidP="006F18C4">
      <w:pPr>
        <w:rPr>
          <w:lang w:val="ga-IE"/>
        </w:rPr>
      </w:pPr>
      <w:r w:rsidRPr="00A15917">
        <w:rPr>
          <w:lang w:val="ga-IE"/>
        </w:rPr>
        <w:t>Rinne an tÚdarás Náisiúnta Míchumais aighneacht chuig RTÉ freisin ó thaobh an Chomhairliúcháin ar an Ráiteas Seirbhíse Poiblí, agus tugadh aird ar na saincheisteanna seo a leanas:</w:t>
      </w:r>
    </w:p>
    <w:p w14:paraId="766DF6AA" w14:textId="77777777" w:rsidR="00EE061F" w:rsidRPr="00A15917" w:rsidRDefault="00EE061F" w:rsidP="006F18C4">
      <w:pPr>
        <w:pStyle w:val="ListBullet"/>
        <w:rPr>
          <w:lang w:val="ga-IE"/>
        </w:rPr>
      </w:pPr>
      <w:r w:rsidRPr="00A15917">
        <w:rPr>
          <w:lang w:val="ga-IE"/>
        </w:rPr>
        <w:t>soláthar seirbhísí agus cláir inrochtaine</w:t>
      </w:r>
    </w:p>
    <w:p w14:paraId="739CCC58" w14:textId="77777777" w:rsidR="00EE061F" w:rsidRPr="00A15917" w:rsidRDefault="00EE061F" w:rsidP="006F18C4">
      <w:pPr>
        <w:pStyle w:val="ListBullet"/>
        <w:rPr>
          <w:lang w:val="ga-IE"/>
        </w:rPr>
      </w:pPr>
      <w:r w:rsidRPr="00A15917">
        <w:rPr>
          <w:lang w:val="ga-IE"/>
        </w:rPr>
        <w:t>uilechuimsitheacht comhionannas/éagsúlacht laistigh de na cláir phríomhshrutha agus</w:t>
      </w:r>
    </w:p>
    <w:p w14:paraId="61583E15" w14:textId="77777777" w:rsidR="00EE061F" w:rsidRPr="00A15917" w:rsidRDefault="00EE061F" w:rsidP="006F18C4">
      <w:pPr>
        <w:pStyle w:val="ListBullet"/>
        <w:rPr>
          <w:lang w:val="ga-IE"/>
        </w:rPr>
      </w:pPr>
      <w:r w:rsidRPr="00A15917">
        <w:rPr>
          <w:lang w:val="ga-IE"/>
        </w:rPr>
        <w:t>Ionadaíocht chóir, chruinn agus chothromaithe ar dhaoine faoi mhíchumas a chinntiú, agus ar an tslí sin dul i ngleic le steiréitíopaí go háirithe i ndáil le daoine le deacrachtaí meabhairshláinte</w:t>
      </w:r>
    </w:p>
    <w:p w14:paraId="11529E0C" w14:textId="77777777" w:rsidR="00EE061F" w:rsidRPr="00A15917" w:rsidRDefault="00EE061F" w:rsidP="006F18C4">
      <w:pPr>
        <w:pStyle w:val="Heading3"/>
        <w:rPr>
          <w:lang w:val="ga-IE"/>
        </w:rPr>
      </w:pPr>
      <w:r w:rsidRPr="00A15917">
        <w:rPr>
          <w:lang w:val="ga-IE"/>
        </w:rPr>
        <w:t xml:space="preserve">An Coimisiún um Rialáil Cumarsáide </w:t>
      </w:r>
    </w:p>
    <w:p w14:paraId="2985F3D9" w14:textId="77777777" w:rsidR="00EE061F" w:rsidRPr="00A15917" w:rsidRDefault="00EE061F" w:rsidP="006F18C4">
      <w:pPr>
        <w:rPr>
          <w:lang w:val="ga-IE"/>
        </w:rPr>
      </w:pPr>
      <w:r w:rsidRPr="00A15917">
        <w:rPr>
          <w:lang w:val="ga-IE"/>
        </w:rPr>
        <w:t>Reáchtáil an tÚdarás trí chruinniú de chuid Fhóram Tionscail an Choimisiúin ar Sheirbhísí do Dhaoine faoi Mhíchumas, do sholáthróirí teileachumarsáide agus d’eagraíochtaí míchumais. Seo a leanas roinnt de na príomhréimsí a díríodh orthu:</w:t>
      </w:r>
    </w:p>
    <w:p w14:paraId="12E89C3C" w14:textId="77777777" w:rsidR="00EE061F" w:rsidRPr="00A15917" w:rsidRDefault="00EE061F" w:rsidP="006F18C4">
      <w:pPr>
        <w:pStyle w:val="ListBullet"/>
        <w:rPr>
          <w:lang w:val="ga-IE"/>
        </w:rPr>
      </w:pPr>
      <w:r w:rsidRPr="00A15917">
        <w:rPr>
          <w:lang w:val="ga-IE"/>
        </w:rPr>
        <w:lastRenderedPageBreak/>
        <w:t xml:space="preserve">Pacáiste Teileachumarsáide an AE le béim ar na himpleachtaí a bheidh ag na hathruithe sin ar sholáthróirí seirbhísí agus ar thomhaltóirí faoi mhíchumas </w:t>
      </w:r>
    </w:p>
    <w:p w14:paraId="00BE5975" w14:textId="77777777" w:rsidR="00EE061F" w:rsidRPr="00A15917" w:rsidRDefault="00EE061F" w:rsidP="006F18C4">
      <w:pPr>
        <w:pStyle w:val="ListBullet"/>
        <w:rPr>
          <w:lang w:val="ga-IE"/>
        </w:rPr>
      </w:pPr>
      <w:r w:rsidRPr="00A15917">
        <w:rPr>
          <w:lang w:val="ga-IE"/>
        </w:rPr>
        <w:t>feidhmiú córas láimhseála gearáin d’ardchaighdeáin de chuid an Choimisiúin don tionscal teileachumarsáide</w:t>
      </w:r>
    </w:p>
    <w:p w14:paraId="217A7EB3" w14:textId="77777777" w:rsidR="00EE061F" w:rsidRPr="00A15917" w:rsidRDefault="00EE061F" w:rsidP="006F18C4">
      <w:pPr>
        <w:pStyle w:val="ListBullet"/>
        <w:rPr>
          <w:lang w:val="ga-IE"/>
        </w:rPr>
      </w:pPr>
      <w:r w:rsidRPr="00A15917">
        <w:rPr>
          <w:lang w:val="ga-IE"/>
        </w:rPr>
        <w:t>iompar an tSuirbhé d’Úsáideoirí faoi Mhíchumas de chuid an Choimisiúin a bhí dírithe ar léargais lánbhrí a fháil ar riachtanais na n-úsáideoirí faoi mhíchumas rochtain a fháil ar sheirbhísí teileachumarsáide agus eolas a thabhairt maidir le hobair an Fhóraim don bhliain 2011, go háirithe sna réimsí cúnamh maidir le seirbhís do chustaiméirí, saoráidí reatha a úsáid agus idirbhearta a mhalartú</w:t>
      </w:r>
    </w:p>
    <w:p w14:paraId="735B5E69" w14:textId="77777777" w:rsidR="00EE061F" w:rsidRPr="00A15917" w:rsidRDefault="00EE061F" w:rsidP="006F18C4">
      <w:pPr>
        <w:rPr>
          <w:lang w:val="ga-IE"/>
        </w:rPr>
      </w:pPr>
      <w:r w:rsidRPr="00A15917">
        <w:rPr>
          <w:lang w:val="ga-IE"/>
        </w:rPr>
        <w:t>Sheol an tÚdarás Náisiúnta Míchumais roinnt páipéar comhairleach polasaí freisin chuig an gCoimisiún a bhain leis na hábhair seo a leanas: Plean Straitéiseach; Oibleagáidí Seirbhíse Uilíoch; Seirbhísí Ardráta. Bíonn ionchur leanúnach ag an Údarás Náisiúnta Míchumais freisin mar chomhalta de Phainéal Comhairleach Tomhaltóirí an Choimisiúin.</w:t>
      </w:r>
    </w:p>
    <w:p w14:paraId="1341CF21" w14:textId="77777777" w:rsidR="00EE061F" w:rsidRPr="00A15917" w:rsidRDefault="00EE061F" w:rsidP="006F18C4">
      <w:pPr>
        <w:pStyle w:val="Heading3"/>
        <w:rPr>
          <w:lang w:val="ga-IE"/>
        </w:rPr>
      </w:pPr>
      <w:r w:rsidRPr="00A15917">
        <w:rPr>
          <w:lang w:val="ga-IE"/>
        </w:rPr>
        <w:t>An Coimisiún um Rialáil Fuinnimh</w:t>
      </w:r>
    </w:p>
    <w:p w14:paraId="5EB3F349" w14:textId="77777777" w:rsidR="00EE061F" w:rsidRPr="00A15917" w:rsidRDefault="00EE061F" w:rsidP="006F18C4">
      <w:pPr>
        <w:rPr>
          <w:lang w:val="ga-IE"/>
        </w:rPr>
      </w:pPr>
      <w:r w:rsidRPr="00A15917">
        <w:rPr>
          <w:lang w:val="ga-IE"/>
        </w:rPr>
        <w:t>Sheol an tÚdarás Náisiúnta Míchumais páipéar comhairleach polasaí chuig an gCoimisiún i ndáil le páipéar comhairliúcháin an Choimisiúin ar a dTreoir maidir le Cóid Chleachtais Leictreachais agus Gáis do Sholáthróirí 2010 agus bhí cruinnithe leantacha acu leis an Rialtóir. Léirítear na moltaí a rinne an tÚdarás Náisiúnta Míchumais sna dréacht-threoirlínte lena n-áirítear profáil míchumais ar sheirbhísí caighdeánacha chun cur an méid agus is féidir le príomhshruthú; faisnéis a chur ar fáil i bhformáid chaighdeánach i bhformáid amháin eile ar a laghad de rogha an chustaiméara; agus saincheisteanna áirithe i ndáil le custaiméirí leochaileacha a mbíonn leictreachas de dhíth orthu d'áiseanna agus do threalamh, etc mar gheall ar an gcineál míchumais atá ag dul dóibh</w:t>
      </w:r>
      <w:r w:rsidR="006F18C4">
        <w:rPr>
          <w:lang w:val="ga-IE"/>
        </w:rPr>
        <w:t xml:space="preserve">. </w:t>
      </w:r>
      <w:r w:rsidRPr="00A15917">
        <w:rPr>
          <w:lang w:val="ga-IE"/>
        </w:rPr>
        <w:t>Sholáthair an tÚdarás Náisiúnta Míchumais comhairle freisin chuig an gCoimisiún ar phíolótú mhéadair chliste agus an tábhacht atá le dearadh uilíoch.</w:t>
      </w:r>
    </w:p>
    <w:p w14:paraId="3889309B" w14:textId="77777777" w:rsidR="00EE061F" w:rsidRPr="00A15917" w:rsidRDefault="00EE061F" w:rsidP="006F18C4">
      <w:pPr>
        <w:pStyle w:val="Heading2"/>
        <w:rPr>
          <w:i/>
          <w:lang w:val="ga-IE"/>
        </w:rPr>
      </w:pPr>
      <w:bookmarkStart w:id="522" w:name="_Toc299362598"/>
      <w:bookmarkStart w:id="523" w:name="_Toc300742203"/>
      <w:bookmarkStart w:id="524" w:name="_Toc300742955"/>
      <w:bookmarkStart w:id="525" w:name="_Toc300744309"/>
      <w:r w:rsidRPr="00A15917">
        <w:rPr>
          <w:lang w:val="ga-IE"/>
        </w:rPr>
        <w:t>An Straitéis Náisiúnta Míchumais</w:t>
      </w:r>
      <w:bookmarkEnd w:id="522"/>
      <w:bookmarkEnd w:id="523"/>
      <w:bookmarkEnd w:id="524"/>
      <w:bookmarkEnd w:id="525"/>
    </w:p>
    <w:p w14:paraId="021A722B" w14:textId="77777777" w:rsidR="00EE061F" w:rsidRPr="00A15917" w:rsidRDefault="00EE061F" w:rsidP="006F18C4">
      <w:pPr>
        <w:pStyle w:val="Heading3"/>
        <w:rPr>
          <w:lang w:val="ga-IE"/>
        </w:rPr>
      </w:pPr>
      <w:r w:rsidRPr="00A15917">
        <w:rPr>
          <w:lang w:val="ga-IE"/>
        </w:rPr>
        <w:t>Rannpháirtíocht i struchtúir mhonatóireachta</w:t>
      </w:r>
    </w:p>
    <w:p w14:paraId="4B9A9684" w14:textId="77777777" w:rsidR="00EE061F" w:rsidRPr="00A15917" w:rsidRDefault="00EE061F" w:rsidP="006F18C4">
      <w:pPr>
        <w:rPr>
          <w:lang w:val="ga-IE"/>
        </w:rPr>
      </w:pPr>
      <w:r w:rsidRPr="00A15917">
        <w:rPr>
          <w:lang w:val="ga-IE"/>
        </w:rPr>
        <w:t xml:space="preserve">Bhí an tÚdarás Náisiúnta Míchumais mar chomhalta de choiste monatóireachta don phlean earnálach i ngach Roinn Rialtais, mar aon le bheith mar chomhalta de Ghrúpa Monatóireachta Geallsealbhóirí na Straitéise Náisiúnta Míchumais. Sholáthair an tÚdarás Náisiúnta Míchumais páipéir chomhairleach polasaí faoi mhonatóireacht a dhéanamh ar ghnéithe straitéiseacha agus tras-Rannach na Straitéise Náisiúnta Míchumais roimh chruinnithe leathbhliantúla an Ghrúpa Monatóireachta, mar aon le páipéir chomhairleach polasaí ar na gnéithe meabhairshláinte sa Straitéis Náisiúnta Míchumais. </w:t>
      </w:r>
    </w:p>
    <w:p w14:paraId="048D16F5" w14:textId="77777777" w:rsidR="00EE061F" w:rsidRPr="00A15917" w:rsidRDefault="00EE061F" w:rsidP="006F18C4">
      <w:pPr>
        <w:pStyle w:val="Heading3"/>
        <w:rPr>
          <w:lang w:val="ga-IE"/>
        </w:rPr>
      </w:pPr>
      <w:r w:rsidRPr="00A15917">
        <w:rPr>
          <w:lang w:val="ga-IE"/>
        </w:rPr>
        <w:t>Táscairí na Straitéise Náisiúnta Míchumais</w:t>
      </w:r>
    </w:p>
    <w:p w14:paraId="33B666AF" w14:textId="77777777" w:rsidR="00EE061F" w:rsidRPr="00A15917" w:rsidRDefault="00EE061F" w:rsidP="006F18C4">
      <w:pPr>
        <w:rPr>
          <w:lang w:val="ga-IE"/>
        </w:rPr>
      </w:pPr>
      <w:r w:rsidRPr="00A15917">
        <w:rPr>
          <w:lang w:val="ga-IE"/>
        </w:rPr>
        <w:t xml:space="preserve">Sholáthair an tÚdarás Náisiúnta Míchumais páipéar comhairleach polasaí do Ghrúpa Monatóireachta Geallsealbhóirí na Straitéise Náisiúnta Míchumais ar 50 táscaire torthaí don Straitéis Náisiúnta Míchumais agus iad nasctha le gach aon cheann de na spriocanna ardleibhéil, mar aon le sonraí bunlíne faoi gach aon cheann de na táscairí. Áiríodh leis na sonraí sin, sonraí foilsithe (e.g. Daonáireamh 2006, Suirbhéireacht Ráithiúil Náisiúnta ar Theaghlaigh, Suirbhéireacht AE ar Ioncam agus ar Choinníollacha Maireachtála); trastábluithe arna dhéanamh </w:t>
      </w:r>
      <w:r w:rsidRPr="00A15917">
        <w:rPr>
          <w:lang w:val="ga-IE"/>
        </w:rPr>
        <w:lastRenderedPageBreak/>
        <w:t xml:space="preserve">ag an bPríomh-Oifig Staidrimh ar iarratas ón Údarás agus sonraí míchumas-sonraithe (e.g. na bunachair sonraí náisiúnta míchumais arna mbainistiú ag an mBord Taighde Sláinte). Ina theannta sin, choimisiúnaigh an tÚdarás suirbhé daonra-bhunaithe ar dhaoine faoi mhíchumas chun sonraí a bhailiú nach raibh ar fáil ó na foinsí a bhí ann. </w:t>
      </w:r>
    </w:p>
    <w:p w14:paraId="778E0B75" w14:textId="77777777" w:rsidR="00EE061F" w:rsidRPr="00A15917" w:rsidRDefault="00EE061F" w:rsidP="006F18C4">
      <w:pPr>
        <w:pStyle w:val="Heading3"/>
        <w:rPr>
          <w:lang w:val="ga-IE"/>
        </w:rPr>
      </w:pPr>
      <w:r w:rsidRPr="00A15917">
        <w:rPr>
          <w:lang w:val="ga-IE"/>
        </w:rPr>
        <w:t xml:space="preserve">Grúpa Geallsealbhóirí Míchumais  </w:t>
      </w:r>
    </w:p>
    <w:p w14:paraId="1F5A7713" w14:textId="77777777" w:rsidR="00EE061F" w:rsidRPr="00A15917" w:rsidRDefault="00EE061F" w:rsidP="006F18C4">
      <w:pPr>
        <w:rPr>
          <w:lang w:val="ga-IE"/>
        </w:rPr>
      </w:pPr>
      <w:r w:rsidRPr="00A15917">
        <w:rPr>
          <w:lang w:val="ga-IE"/>
        </w:rPr>
        <w:t>Lean an tÚdarás Náisiúnta Míchumais ag soláthar rúnaíocht don Ghrúpa Geallsealbhóirí Míchumais, ar ionann sin agus grúpa neamhspleách arna tharraingt ón earnáil dheonach agus ón earnáil phobail, agus ar chomhalta sin de Ghrúpa Monatóireachta Geallsealbhóirí na Straitéise Náisiúnta Míchumais mar aon le comhalta de na grúpaí monatóireachta ag leibhéal na Roinne. Áirítear sa Ghrúpa:</w:t>
      </w:r>
    </w:p>
    <w:p w14:paraId="6C96D935" w14:textId="77777777" w:rsidR="00EE061F" w:rsidRPr="00A15917" w:rsidRDefault="00EE061F" w:rsidP="006F18C4">
      <w:pPr>
        <w:pStyle w:val="ListBullet"/>
        <w:rPr>
          <w:lang w:val="ga-IE"/>
        </w:rPr>
      </w:pPr>
      <w:r w:rsidRPr="00A15917">
        <w:rPr>
          <w:lang w:val="ga-IE"/>
        </w:rPr>
        <w:t>Cónaidhm na hÉireann um Míchumas</w:t>
      </w:r>
    </w:p>
    <w:p w14:paraId="7217C721" w14:textId="77777777" w:rsidR="00EE061F" w:rsidRPr="00A15917" w:rsidRDefault="00EE061F" w:rsidP="006F18C4">
      <w:pPr>
        <w:pStyle w:val="ListBullet"/>
        <w:rPr>
          <w:lang w:val="ga-IE"/>
        </w:rPr>
      </w:pPr>
      <w:r w:rsidRPr="00A15917">
        <w:rPr>
          <w:lang w:val="ga-IE"/>
        </w:rPr>
        <w:t>Cuimsiú Éireann</w:t>
      </w:r>
    </w:p>
    <w:p w14:paraId="153F2704" w14:textId="77777777" w:rsidR="00EE061F" w:rsidRPr="00A15917" w:rsidRDefault="00EE061F" w:rsidP="006F18C4">
      <w:pPr>
        <w:pStyle w:val="ListBullet"/>
        <w:rPr>
          <w:lang w:val="ga-IE"/>
        </w:rPr>
      </w:pPr>
      <w:r w:rsidRPr="00A15917">
        <w:rPr>
          <w:lang w:val="ga-IE"/>
        </w:rPr>
        <w:t>Cónaidhm Meabhairshláinte na hÉireann</w:t>
      </w:r>
    </w:p>
    <w:p w14:paraId="32C878D4" w14:textId="77777777" w:rsidR="00EE061F" w:rsidRPr="00A15917" w:rsidRDefault="00EE061F" w:rsidP="006F18C4">
      <w:pPr>
        <w:pStyle w:val="ListBullet"/>
        <w:rPr>
          <w:lang w:val="ga-IE"/>
        </w:rPr>
      </w:pPr>
      <w:r w:rsidRPr="00A15917">
        <w:rPr>
          <w:lang w:val="ga-IE"/>
        </w:rPr>
        <w:t>Cónaidhm Náisiúnta na gComhlachtaí Deonacha</w:t>
      </w:r>
    </w:p>
    <w:p w14:paraId="4FD03595" w14:textId="77777777" w:rsidR="00EE061F" w:rsidRPr="00A15917" w:rsidRDefault="00EE061F" w:rsidP="006F18C4">
      <w:pPr>
        <w:pStyle w:val="ListBullet"/>
        <w:rPr>
          <w:lang w:val="ga-IE"/>
        </w:rPr>
      </w:pPr>
      <w:r w:rsidRPr="00A15917">
        <w:rPr>
          <w:lang w:val="ga-IE"/>
        </w:rPr>
        <w:t>Cumann Gnó Seachbhrabúsach</w:t>
      </w:r>
    </w:p>
    <w:p w14:paraId="01A4636F" w14:textId="77777777" w:rsidR="00EE061F" w:rsidRPr="00A15917" w:rsidRDefault="00EE061F" w:rsidP="006F18C4">
      <w:pPr>
        <w:pStyle w:val="ListBullet"/>
        <w:rPr>
          <w:lang w:val="ga-IE"/>
        </w:rPr>
      </w:pPr>
      <w:r w:rsidRPr="00A15917">
        <w:rPr>
          <w:lang w:val="ga-IE"/>
        </w:rPr>
        <w:t>People with Disabilities in Ireland Ltd</w:t>
      </w:r>
    </w:p>
    <w:p w14:paraId="1A8745AF" w14:textId="77777777" w:rsidR="00EE061F" w:rsidRPr="00A15917" w:rsidRDefault="00EE061F" w:rsidP="006F18C4">
      <w:pPr>
        <w:pStyle w:val="Heading2"/>
        <w:rPr>
          <w:i/>
          <w:lang w:val="ga-IE"/>
        </w:rPr>
      </w:pPr>
      <w:bookmarkStart w:id="526" w:name="_Toc299362599"/>
      <w:bookmarkStart w:id="527" w:name="_Toc300742204"/>
      <w:bookmarkStart w:id="528" w:name="_Toc300742956"/>
      <w:bookmarkStart w:id="529" w:name="_Toc300744310"/>
      <w:r w:rsidRPr="00A15917">
        <w:rPr>
          <w:lang w:val="ga-IE"/>
        </w:rPr>
        <w:t>Daoine faoi mhíchumas a fhostú sa tseirbhís phoiblí</w:t>
      </w:r>
      <w:bookmarkEnd w:id="526"/>
      <w:bookmarkEnd w:id="527"/>
      <w:bookmarkEnd w:id="528"/>
      <w:bookmarkEnd w:id="529"/>
    </w:p>
    <w:p w14:paraId="5289126E" w14:textId="77777777" w:rsidR="00EE061F" w:rsidRPr="00A15917" w:rsidRDefault="00EE061F" w:rsidP="006F18C4">
      <w:pPr>
        <w:rPr>
          <w:lang w:val="ga-IE"/>
        </w:rPr>
      </w:pPr>
      <w:r w:rsidRPr="00A15917">
        <w:rPr>
          <w:lang w:val="ga-IE"/>
        </w:rPr>
        <w:t xml:space="preserve">Éilítear ar chomhlachtaí poiblí fostú daoine faoi mhíchumas sa tseirbhís phoiblí a chur chun cinn agus tacú leo, agus tá sprioc i bhfeidhm go mbeadh an fórsa saothair comhdhéanta de 3% de dhaoine faoi mhíchumas. Tá feidhm reachtúil ag an Údarás Náisiúnta Míchumais monatóireacht a dhéanamh go bhfuiltear ag cloí leis na forálacha sin. </w:t>
      </w:r>
    </w:p>
    <w:p w14:paraId="6F94F2B7" w14:textId="77777777" w:rsidR="00EE061F" w:rsidRPr="00A15917" w:rsidRDefault="00EE061F" w:rsidP="006F18C4">
      <w:pPr>
        <w:rPr>
          <w:lang w:val="ga-IE"/>
        </w:rPr>
      </w:pPr>
      <w:r w:rsidRPr="00A15917">
        <w:rPr>
          <w:lang w:val="ga-IE"/>
        </w:rPr>
        <w:t>Léirigh Tuarascáil an Údaráis Náisiúnta Míchumais ar chomhlíonadh sa bhliain 2009 go bhfuil cion den fhoireann atá tuairiscithe mar fhoireann faoi mhíchumas, feadh na hearnála poiblí ina hiomláine, ardaithe go dtí 2.9% in 2009 ó 2.7% in 2008</w:t>
      </w:r>
      <w:r w:rsidR="006F18C4">
        <w:rPr>
          <w:lang w:val="ga-IE"/>
        </w:rPr>
        <w:t xml:space="preserve">. </w:t>
      </w:r>
      <w:r w:rsidRPr="00A15917">
        <w:rPr>
          <w:lang w:val="ga-IE"/>
        </w:rPr>
        <w:t>B’ionann an líon iomlán d’fhostaithe faoi mhíchumas sa tseirbhís phoiblí don bhliain 2009 agus 6,380, ardú beagnach 300 duine ar an bhfigiúr comhfhreagrach in 2008. Meastar go léiríonn roinnt den athrú atá taifeadta bealaí níos fearr ó thaobh bailiú sonraí agus rátaí nochtaithe, mar aon le haon fheabhsúchán a tharla i ndáiríre.</w:t>
      </w:r>
    </w:p>
    <w:p w14:paraId="40305C74" w14:textId="77777777" w:rsidR="00EE061F" w:rsidRPr="00A15917" w:rsidRDefault="00EE061F" w:rsidP="006F18C4">
      <w:pPr>
        <w:rPr>
          <w:lang w:val="ga-IE"/>
        </w:rPr>
      </w:pPr>
      <w:r w:rsidRPr="00A15917">
        <w:rPr>
          <w:lang w:val="ga-IE"/>
        </w:rPr>
        <w:t>Chomhlíon na Ranna Rialtais go léir an sprioc 3% don bhliain 2009 ar aon dul le 2008; 4.2% den fhoireann don bhliain 2009 i gcomparáid le 3.9% don bhliain 2008</w:t>
      </w:r>
      <w:r w:rsidR="006F18C4">
        <w:rPr>
          <w:lang w:val="ga-IE"/>
        </w:rPr>
        <w:t xml:space="preserve">. </w:t>
      </w:r>
      <w:r w:rsidRPr="00A15917">
        <w:rPr>
          <w:lang w:val="ga-IE"/>
        </w:rPr>
        <w:t xml:space="preserve">Chomhlíon 82% de chomhlachtaí rialtais áitiúil an sprioc 3% agus léiríonn sin go raibh míchumas ag dul do 37% de na daoine a bhí fostaithe feadh na hearnála sin. </w:t>
      </w:r>
    </w:p>
    <w:p w14:paraId="1A579F4A" w14:textId="77777777" w:rsidR="00EE061F" w:rsidRPr="00A15917" w:rsidRDefault="00EE061F" w:rsidP="006F18C4">
      <w:pPr>
        <w:rPr>
          <w:lang w:val="ga-IE"/>
        </w:rPr>
      </w:pPr>
      <w:r w:rsidRPr="00A15917">
        <w:rPr>
          <w:lang w:val="ga-IE"/>
        </w:rPr>
        <w:t>Bhí laghdú ar éigin ar líon na gcomhlachtaí poiblí a chomhlíon nó a sháraigh an sprioc 3% - 53.5% don bhliain 2009 i gcomparáid le 55% don bhliain 2008</w:t>
      </w:r>
      <w:r w:rsidR="006F18C4">
        <w:rPr>
          <w:lang w:val="ga-IE"/>
        </w:rPr>
        <w:t xml:space="preserve">. </w:t>
      </w:r>
      <w:r w:rsidRPr="00A15917">
        <w:rPr>
          <w:lang w:val="ga-IE"/>
        </w:rPr>
        <w:t xml:space="preserve">Is údar suntais é go raibh níos lú ná deichniúr foirne ag 22% de na comhlachtaí tuairiscithe áirithe sin. </w:t>
      </w:r>
    </w:p>
    <w:p w14:paraId="2E86A8DC" w14:textId="77777777" w:rsidR="00EE061F" w:rsidRPr="00A15917" w:rsidRDefault="00EE061F" w:rsidP="006F18C4">
      <w:pPr>
        <w:rPr>
          <w:lang w:val="ga-IE"/>
        </w:rPr>
      </w:pPr>
      <w:r w:rsidRPr="00A15917">
        <w:rPr>
          <w:lang w:val="ga-IE"/>
        </w:rPr>
        <w:t xml:space="preserve">Faoi alt 49 den Acht um Míchumas 2005, is féidir leis an Údarás Náisiúnta Míchumais gníomhartha sonracha a mholadh go foirmiúil, le ceadú an Aire iomchuí, do chomhlacht poiblí nár éirigh leo cloí lena n-oibleagáidí dlí sa réimse sin ar feadh dhá bhliain as a chéile, agus ní mór </w:t>
      </w:r>
      <w:r w:rsidRPr="00A15917">
        <w:rPr>
          <w:lang w:val="ga-IE"/>
        </w:rPr>
        <w:lastRenderedPageBreak/>
        <w:t>do na comhlachtaí poiblí na moltaí sin a chomhlíonadh. Tá na hoibleagáidí dlí sin faoi réir ráitis cháilitheacha mar ‘a mhéid is indéanta’ agus ‘mura bhfuil cúiseanna maithe lena mhalairt’. Le linn 2010, bhí an tÚdarás Náisiúnta Míchumais gníomhach le roinnt comhlachtaí poiblí chun a aithint an raibh aon fhachtóirí ann a thabharfadh míniú ar a bhfeidhmíocht i mblianta iomchuí i ndiaidh a chéile. Níor tuairiscíodh go foirmiúil go raibh aon chomhlacht poiblí nach raibh ag comhlíonadh, ach mar sin féin cuireadh comhairle agus treoir an Údaráis in iúl, ar bhonn neamhreachtúil, chuig comhlachtaí a measadh go raibh scóip shuntasach feabhais de dhíth.</w:t>
      </w:r>
    </w:p>
    <w:p w14:paraId="7F08C4A1" w14:textId="77777777" w:rsidR="00EE061F" w:rsidRPr="00A15917" w:rsidRDefault="00B3690F" w:rsidP="006F18C4">
      <w:pPr>
        <w:pStyle w:val="Heading1"/>
        <w:rPr>
          <w:lang w:val="ga-IE"/>
        </w:rPr>
      </w:pPr>
      <w:bookmarkStart w:id="530" w:name="_Toc299361993"/>
      <w:bookmarkStart w:id="531" w:name="_Toc299362497"/>
      <w:bookmarkStart w:id="532" w:name="_Toc299362600"/>
      <w:bookmarkStart w:id="533" w:name="_Toc300741751"/>
      <w:bookmarkStart w:id="534" w:name="_Toc300742205"/>
      <w:bookmarkStart w:id="535" w:name="_Toc300742957"/>
      <w:r>
        <w:rPr>
          <w:lang w:val="ga-IE"/>
        </w:rPr>
        <w:br w:type="page"/>
      </w:r>
      <w:bookmarkStart w:id="536" w:name="_Toc300744311"/>
      <w:bookmarkStart w:id="537" w:name="_Toc304371223"/>
      <w:bookmarkStart w:id="538" w:name="_Toc304381942"/>
      <w:r>
        <w:rPr>
          <w:lang w:val="ga-IE"/>
        </w:rPr>
        <w:lastRenderedPageBreak/>
        <w:t>Tosaíocht Straitéiseach a Dó</w:t>
      </w:r>
      <w:bookmarkEnd w:id="536"/>
      <w:bookmarkEnd w:id="537"/>
      <w:r w:rsidR="00572BA4">
        <w:rPr>
          <w:lang w:val="ga-IE"/>
        </w:rPr>
        <w:t xml:space="preserve">: </w:t>
      </w:r>
      <w:bookmarkStart w:id="539" w:name="_Toc300744312"/>
      <w:bookmarkStart w:id="540" w:name="_Toc304371224"/>
      <w:r w:rsidR="00EE061F" w:rsidRPr="00A15917">
        <w:rPr>
          <w:lang w:val="ga-IE"/>
        </w:rPr>
        <w:t>Comhairle polasaí fianaisebhunaithe a sholáthar chun neamhspleáchas agus cáilíocht saol laethúil do dhaoine faoi mhíchumas a chur chun cinn ar feadh a saoil</w:t>
      </w:r>
      <w:bookmarkEnd w:id="530"/>
      <w:bookmarkEnd w:id="531"/>
      <w:bookmarkEnd w:id="532"/>
      <w:bookmarkEnd w:id="533"/>
      <w:bookmarkEnd w:id="534"/>
      <w:bookmarkEnd w:id="535"/>
      <w:bookmarkEnd w:id="538"/>
      <w:bookmarkEnd w:id="539"/>
      <w:bookmarkEnd w:id="540"/>
    </w:p>
    <w:p w14:paraId="0E6C43FC" w14:textId="77777777" w:rsidR="00EE061F" w:rsidRPr="00A15917" w:rsidRDefault="00EE061F" w:rsidP="006F18C4">
      <w:pPr>
        <w:pStyle w:val="Heading2"/>
        <w:rPr>
          <w:i/>
          <w:lang w:val="ga-IE"/>
        </w:rPr>
      </w:pPr>
      <w:bookmarkStart w:id="541" w:name="_Toc299362601"/>
      <w:bookmarkStart w:id="542" w:name="_Toc300742206"/>
      <w:bookmarkStart w:id="543" w:name="_Toc300742958"/>
      <w:bookmarkStart w:id="544" w:name="_Toc300744313"/>
      <w:r w:rsidRPr="00A15917">
        <w:rPr>
          <w:lang w:val="ga-IE"/>
        </w:rPr>
        <w:t>Maireachtáil go Neamhspleách</w:t>
      </w:r>
      <w:bookmarkEnd w:id="541"/>
      <w:bookmarkEnd w:id="542"/>
      <w:bookmarkEnd w:id="543"/>
      <w:bookmarkEnd w:id="544"/>
    </w:p>
    <w:p w14:paraId="6A78D8CF" w14:textId="77777777" w:rsidR="00EE061F" w:rsidRPr="00A15917" w:rsidRDefault="00EE061F" w:rsidP="006F18C4">
      <w:pPr>
        <w:pStyle w:val="Heading3"/>
        <w:rPr>
          <w:lang w:val="ga-IE"/>
        </w:rPr>
      </w:pPr>
      <w:r w:rsidRPr="00A15917">
        <w:rPr>
          <w:lang w:val="ga-IE"/>
        </w:rPr>
        <w:t>Comhairliúcháin le Fócasghrúpaí</w:t>
      </w:r>
    </w:p>
    <w:p w14:paraId="39227B3B" w14:textId="77777777" w:rsidR="00EE061F" w:rsidRPr="00A15917" w:rsidRDefault="00EE061F" w:rsidP="006F18C4">
      <w:pPr>
        <w:rPr>
          <w:lang w:val="ga-IE"/>
        </w:rPr>
      </w:pPr>
      <w:r w:rsidRPr="00A15917">
        <w:rPr>
          <w:lang w:val="ga-IE"/>
        </w:rPr>
        <w:t>Chuaigh an tÚdarás Náisiúnta Míchumais i mbun próisis chomhairliúcháin via sraith 15 fócasghrúpaí i sé n-ionad réigiúnach ar leithligh chun éisteacht le tuairimí daoine agus na tuairimí sin a thaifeadadh i ndoiciméad ar cad a chuidíonn nó a chuireann isteach ar dhaoine faoi mhíchumas ó bheith neamhspleách agus a bheith rannpháirteach sa ghnáthshaol laethúil ina bpobal féin. Reáchtáladh seisiúin ar leithligh le daoine faoi lagú fisiciúil agus céadfach, le daoine faoi mhíchumas intleachtúil, le daoine sa teaghlach, le lucht tacaíochta agus le foireann túslíne. Fuarthas amach san aiseolas tábhachtach go raibh srian á chur ar dhaoine faoi mhíchumas intleachtúil ó ghnáthaimh a bhaineann lena seirbhísí agus a ndearcadh féin. Teastaíonn tuilleadh roghanna agus smacht ina saol ó dhaoine faoi mhíchumas fisiciúil agus céadfach.</w:t>
      </w:r>
    </w:p>
    <w:p w14:paraId="7ADE4DD6" w14:textId="77777777" w:rsidR="00EE061F" w:rsidRPr="00A15917" w:rsidRDefault="00EE061F" w:rsidP="006F18C4">
      <w:pPr>
        <w:rPr>
          <w:lang w:val="ga-IE"/>
        </w:rPr>
      </w:pPr>
      <w:r w:rsidRPr="00A15917">
        <w:rPr>
          <w:lang w:val="ga-IE"/>
        </w:rPr>
        <w:t xml:space="preserve">D’fhoilsigh an tÚdarás Náisiúnta Míchumais dhá thuarascáil ó na Fócasghrúpaí ar Mhaireachtáil go Neamhspleách, ceann amháin ar mhaireachtáil go neamhspleách go ginearálta agus ceann eile a thug aghaidh ar théamaí atá ag teacht chun cinn ó Athbhreithniú Polasaí agus Luach ar Airgead na Roinne Sláinte agus Leanaí. </w:t>
      </w:r>
    </w:p>
    <w:p w14:paraId="3D5D0EEB" w14:textId="77777777" w:rsidR="00EE061F" w:rsidRPr="00A15917" w:rsidRDefault="00EE061F" w:rsidP="006F18C4">
      <w:pPr>
        <w:pStyle w:val="Heading3"/>
        <w:rPr>
          <w:lang w:val="ga-IE"/>
        </w:rPr>
      </w:pPr>
      <w:r w:rsidRPr="00A15917">
        <w:rPr>
          <w:lang w:val="ga-IE"/>
        </w:rPr>
        <w:t>Maoiniú Aonair lena n-áirítear Íocaíochtaí Díreacha</w:t>
      </w:r>
    </w:p>
    <w:p w14:paraId="361210BC" w14:textId="77777777" w:rsidR="00EE061F" w:rsidRPr="00A15917" w:rsidRDefault="00EE061F" w:rsidP="006F18C4">
      <w:pPr>
        <w:rPr>
          <w:lang w:val="ga-IE"/>
        </w:rPr>
      </w:pPr>
      <w:r w:rsidRPr="00A15917">
        <w:rPr>
          <w:lang w:val="ga-IE"/>
        </w:rPr>
        <w:t xml:space="preserve">Rinne an tÚdarás Náisiúnta Míchumais roinnt cur i láthair bunaithe ar an obair atá déanta acu go dtí seo ar thaighde maidir le polasaí agus cleachtas íocaíochta chun go mbeadh an t-eolas sin mar bhuntaca do pháipéar comhairleach polasaí ar Mhaoiniú Aonair lena n-áirítear Íocaíochtaí Díreacha. Chun tacú leis an obair a dhéantar ar thionscnaimh a chuireann seirbhísí pearsanta agus maireachtáil go neamhspleách chun cinn, tá an tÚdarás Náisiúnta Míchumais ag iniúchadh roghanna faoi láthair chun buiséid phearsanta a thabhairt isteach do dhaoine faoi mhíchumas bunaithe ar riachtanais tacaíochta aonair. Mar chuid den obair sin, rinneadh ionadaíocht ar an Údarás Náisiúnta Míchumais ag an </w:t>
      </w:r>
      <w:r w:rsidRPr="006F18C4">
        <w:rPr>
          <w:b/>
          <w:lang w:val="ga-IE"/>
        </w:rPr>
        <w:t>Reinventing Quality Conference 2010</w:t>
      </w:r>
      <w:r w:rsidRPr="00A15917">
        <w:rPr>
          <w:lang w:val="ga-IE"/>
        </w:rPr>
        <w:t xml:space="preserve"> sna Stáit Aontaithe. Foilseofar tuarascáil ar an tionscadal sin in 2011.</w:t>
      </w:r>
    </w:p>
    <w:p w14:paraId="6E18BB16" w14:textId="77777777" w:rsidR="00EE061F" w:rsidRPr="00A15917" w:rsidRDefault="00EE061F" w:rsidP="006F18C4">
      <w:pPr>
        <w:pStyle w:val="Heading2"/>
        <w:rPr>
          <w:i/>
          <w:lang w:val="ga-IE"/>
        </w:rPr>
      </w:pPr>
      <w:bookmarkStart w:id="545" w:name="_Toc299362602"/>
      <w:bookmarkStart w:id="546" w:name="_Toc300742207"/>
      <w:bookmarkStart w:id="547" w:name="_Toc300742959"/>
      <w:bookmarkStart w:id="548" w:name="_Toc300744314"/>
      <w:r w:rsidRPr="00A15917">
        <w:rPr>
          <w:lang w:val="ga-IE"/>
        </w:rPr>
        <w:t>Taighde ar Sheirbhísí Sláinte</w:t>
      </w:r>
      <w:bookmarkEnd w:id="545"/>
      <w:bookmarkEnd w:id="546"/>
      <w:bookmarkEnd w:id="547"/>
      <w:bookmarkEnd w:id="548"/>
      <w:r w:rsidRPr="00A15917">
        <w:rPr>
          <w:i/>
          <w:lang w:val="ga-IE"/>
        </w:rPr>
        <w:t xml:space="preserve"> </w:t>
      </w:r>
    </w:p>
    <w:p w14:paraId="45CE1D13" w14:textId="77777777" w:rsidR="00EE061F" w:rsidRPr="00A15917" w:rsidRDefault="00EE061F" w:rsidP="006F18C4">
      <w:pPr>
        <w:rPr>
          <w:lang w:val="ga-IE"/>
        </w:rPr>
      </w:pPr>
      <w:r w:rsidRPr="00A15917">
        <w:rPr>
          <w:lang w:val="ga-IE"/>
        </w:rPr>
        <w:t>Mar a léiríodh sa chuid ar chúrsaí Sláinte, rinne an tÚdarás Náisiúnta Míchumais taighde deisce chun forbairtí ar sheirbhísí míchumais comhaimseartha i ndlínsí ar leith a aithint agus a thaifeadadh i ndoiciméad. Rinneadh an taighde sin freisin le haird ar an méid a baineadh amach ó thaobh maireachtáil neamhspleách atá leagtha amach in Airteagal 19 de Choinbhinsiún na Náisiún Aontaithe ar Chearta an Duine faoi Mhíchumas agus Athbhreithniú Fheidhmeannacht na Seirbhísí Sláinte ar Ionaid Chónaithe.</w:t>
      </w:r>
    </w:p>
    <w:p w14:paraId="0F3E32E7" w14:textId="77777777" w:rsidR="00EE061F" w:rsidRPr="00A15917" w:rsidRDefault="00EE061F" w:rsidP="006F18C4">
      <w:pPr>
        <w:rPr>
          <w:lang w:val="ga-IE"/>
        </w:rPr>
      </w:pPr>
      <w:r w:rsidRPr="00A15917">
        <w:rPr>
          <w:lang w:val="ga-IE"/>
        </w:rPr>
        <w:t xml:space="preserve">Tháirg an tÚdarás Náisiúnta Míchumais cáipéis freisin dar teideal </w:t>
      </w:r>
      <w:r w:rsidRPr="00A15917">
        <w:rPr>
          <w:b/>
          <w:lang w:val="ga-IE"/>
        </w:rPr>
        <w:t>Contemporary Developments in Disability Services Paper on Developing Services for People with Disabilities 2010</w:t>
      </w:r>
      <w:r w:rsidRPr="00A15917">
        <w:rPr>
          <w:lang w:val="ga-IE"/>
        </w:rPr>
        <w:t xml:space="preserve"> ina leagtar amach na forbairtí agus na treochtaí tábhachtacha feadh na sé ndlínse a luaitear roimhe seo. </w:t>
      </w:r>
      <w:r w:rsidRPr="00A15917">
        <w:rPr>
          <w:lang w:val="ga-IE"/>
        </w:rPr>
        <w:lastRenderedPageBreak/>
        <w:t>Athbhreithnítear agus pléitear na dúshláin atá tagtha chun cinn sa tuarascáil sintéise agus breithnítear mar a eagraítear seirbhísí míchumais speisialacha sna dlínsí sin. Ionchorpraítear ann freisin nithe a foghlaimíodh ó chuairteanna de chuid an Údaráis Náisiúnta Míchumais ar láithreacha seirbhísí míchumais sna Stáit Aontaithe agus scrúdaítear polasaí straitéiseach agus forbairtí cleachtais sna seirbhísí sláinte, cúram sóisialta agus míchumais. Áirítear orthu forbairt ar dhearbhú cáilíochta agus caighdeáin do sheirbhísí, athruithe ar sholáthar tacaíochtaí speisialacha mar sheirbhísí fostaíochta agus cóiríochta agus forbairt ar chórais mhonatóireachta a dhíríonn ar thorthaí pearsanta do dhaoine faoi mhíchumas. Tá sé beartaithe tuarascálacha ar leithligh a tháirgeadh ar na sé ndlínse sin.</w:t>
      </w:r>
    </w:p>
    <w:p w14:paraId="603388F4" w14:textId="77777777" w:rsidR="00EE061F" w:rsidRPr="00A15917" w:rsidRDefault="00EE061F" w:rsidP="006F18C4">
      <w:pPr>
        <w:rPr>
          <w:lang w:val="ga-IE"/>
        </w:rPr>
      </w:pPr>
      <w:r w:rsidRPr="00A15917">
        <w:rPr>
          <w:lang w:val="ga-IE"/>
        </w:rPr>
        <w:t xml:space="preserve">Tá tús curtha ag an Údarás Náisiúnta Míchumais le tionscadal taighde a scrúdaíonn úsáid Tacaíochtaí Pobail Nádúrtha do dhaoine faoi mhíchumas. Cuirfear tús leis an taighde sin le hathbhreithniú litríochta a léireoidh polasaí, taighde agus cleachtas sa réimse seo agus bainfear leas as chun a bheith mar threoir do thaighde amach anseo a bheidh dírithe ar thuairimí agus taithí daoine faoi mhíchumais a iniúchadh maidir le tacaíochtaí nádúrtha agus tionscnaimh reatha a aithint in Éirinn a éascaíonn le húsáid tacaíochtaí den sórt sin. </w:t>
      </w:r>
    </w:p>
    <w:p w14:paraId="3419EBF5" w14:textId="77777777" w:rsidR="00EE061F" w:rsidRPr="00A15917" w:rsidRDefault="00EE061F" w:rsidP="006F18C4">
      <w:pPr>
        <w:pStyle w:val="Heading2"/>
        <w:rPr>
          <w:i/>
          <w:lang w:val="ga-IE"/>
        </w:rPr>
      </w:pPr>
      <w:bookmarkStart w:id="549" w:name="_Toc299362603"/>
      <w:bookmarkStart w:id="550" w:name="_Toc300742208"/>
      <w:bookmarkStart w:id="551" w:name="_Toc300742960"/>
      <w:bookmarkStart w:id="552" w:name="_Toc300744315"/>
      <w:r w:rsidRPr="00A15917">
        <w:rPr>
          <w:lang w:val="ga-IE"/>
        </w:rPr>
        <w:t>Comhdháil Bhliantúil an Údaráis Náisiúnta Míchumais</w:t>
      </w:r>
      <w:bookmarkEnd w:id="549"/>
      <w:bookmarkEnd w:id="550"/>
      <w:bookmarkEnd w:id="551"/>
      <w:bookmarkEnd w:id="552"/>
      <w:r w:rsidRPr="00A15917">
        <w:rPr>
          <w:i/>
          <w:lang w:val="ga-IE"/>
        </w:rPr>
        <w:t xml:space="preserve"> </w:t>
      </w:r>
    </w:p>
    <w:p w14:paraId="617DDE62" w14:textId="77777777" w:rsidR="00EE061F" w:rsidRPr="00A15917" w:rsidRDefault="00EE061F" w:rsidP="006F18C4">
      <w:pPr>
        <w:rPr>
          <w:lang w:val="ga-IE"/>
        </w:rPr>
      </w:pPr>
      <w:r w:rsidRPr="00A15917">
        <w:rPr>
          <w:lang w:val="ga-IE"/>
        </w:rPr>
        <w:t xml:space="preserve">Mheall comhdháil bhliantúil an Údaráis Náisiúnta Míchumais ar </w:t>
      </w:r>
      <w:r w:rsidRPr="00A15917">
        <w:rPr>
          <w:b/>
          <w:lang w:val="ga-IE"/>
        </w:rPr>
        <w:t xml:space="preserve">Mhaireachtáil go Neamhspleách agus Rannpháirtíocht sa Phobal </w:t>
      </w:r>
      <w:r w:rsidRPr="00A15917">
        <w:rPr>
          <w:lang w:val="ga-IE"/>
        </w:rPr>
        <w:t xml:space="preserve">thart ar 200 toscaire. Rinne saineolaithe idirnáisiúnta ceannródaíocha cuir i láthair ar thionscnaimh deachleachtais agus ar fhorbairtí polasaí go hidirnáisiúnta a chuireann maireachtáil go neamhspleách agus rannpháirtíocht sa phobal do dhaoine faoi mhíchumas chun cinn. Sa bhreis ar na seisiúin iomlánacha, rinneadh cuir i láthair eile ar na nithe a leanas: dearadh agus seirbhísí chun cuidiú le maireachtáil go neamhspleách; mar is féidir le pobail tacú le daoine faoi mhíchumas i bpobail; agus samplaí in Éirinn de dhaoine a bheith ag fágáil institiúidí agus ag bogadh isteach in ionaid phobail. Is féidir teacht ar imeachtaí na comhdhála ar láithreán gréasáin an Údaráis Náisiúnta Míchumais (www.nda.ie). </w:t>
      </w:r>
    </w:p>
    <w:p w14:paraId="34C94146" w14:textId="77777777" w:rsidR="00EE061F" w:rsidRPr="00A15917" w:rsidRDefault="00EE061F" w:rsidP="006F18C4">
      <w:pPr>
        <w:pStyle w:val="Heading2"/>
        <w:rPr>
          <w:i/>
          <w:lang w:val="ga-IE"/>
        </w:rPr>
      </w:pPr>
      <w:bookmarkStart w:id="553" w:name="_Toc299362604"/>
      <w:bookmarkStart w:id="554" w:name="_Toc300742209"/>
      <w:bookmarkStart w:id="555" w:name="_Toc300742961"/>
      <w:bookmarkStart w:id="556" w:name="_Toc300744316"/>
      <w:r w:rsidRPr="00A15917">
        <w:rPr>
          <w:lang w:val="ga-IE"/>
        </w:rPr>
        <w:t>Seimineáir Taighde 2010</w:t>
      </w:r>
      <w:bookmarkEnd w:id="553"/>
      <w:bookmarkEnd w:id="554"/>
      <w:bookmarkEnd w:id="555"/>
      <w:bookmarkEnd w:id="556"/>
    </w:p>
    <w:p w14:paraId="27D9F4F2" w14:textId="77777777" w:rsidR="00EE061F" w:rsidRPr="00A15917" w:rsidRDefault="00EE061F" w:rsidP="006F18C4">
      <w:pPr>
        <w:rPr>
          <w:lang w:val="ga-IE"/>
        </w:rPr>
      </w:pPr>
      <w:r w:rsidRPr="00A15917">
        <w:rPr>
          <w:lang w:val="ga-IE"/>
        </w:rPr>
        <w:t xml:space="preserve">Reáchtáil an tÚdarás Náisiúnta Míchumais sraith seimineár taighde le linn 2010 le súil agus taighde arna mhaoiniú ag an Údarás Náisiúnta Míchumais a tugadh chun críche le gairid a léiriú agus scrúdú a dhéanamh ar shaincheisteanna reatha a bhfuil spéis iontu mar na nithe seo a leanas: </w:t>
      </w:r>
    </w:p>
    <w:p w14:paraId="6F96AB92" w14:textId="77777777" w:rsidR="00EE061F" w:rsidRPr="00A15917" w:rsidRDefault="00EE061F" w:rsidP="006F18C4">
      <w:pPr>
        <w:pStyle w:val="ListBullet"/>
        <w:rPr>
          <w:lang w:val="ga-IE"/>
        </w:rPr>
      </w:pPr>
      <w:r w:rsidRPr="00A15917">
        <w:rPr>
          <w:lang w:val="ga-IE"/>
        </w:rPr>
        <w:t>meabhairshláinte</w:t>
      </w:r>
    </w:p>
    <w:p w14:paraId="02410112" w14:textId="77777777" w:rsidR="00EE061F" w:rsidRPr="00A15917" w:rsidRDefault="00EE061F" w:rsidP="006F18C4">
      <w:pPr>
        <w:pStyle w:val="ListBullet"/>
        <w:rPr>
          <w:lang w:val="ga-IE"/>
        </w:rPr>
      </w:pPr>
      <w:r w:rsidRPr="00A15917">
        <w:rPr>
          <w:lang w:val="ga-IE"/>
        </w:rPr>
        <w:t>riachtanais tacaíochta agus buiséid phearsanta</w:t>
      </w:r>
    </w:p>
    <w:p w14:paraId="12D2BAED" w14:textId="77777777" w:rsidR="00EE061F" w:rsidRPr="00A15917" w:rsidRDefault="00EE061F" w:rsidP="006F18C4">
      <w:pPr>
        <w:pStyle w:val="ListBullet"/>
        <w:rPr>
          <w:lang w:val="ga-IE"/>
        </w:rPr>
      </w:pPr>
      <w:r w:rsidRPr="00A15917">
        <w:rPr>
          <w:lang w:val="ga-IE"/>
        </w:rPr>
        <w:t>sonraí míchumais</w:t>
      </w:r>
    </w:p>
    <w:p w14:paraId="3959D018" w14:textId="77777777" w:rsidR="00EE061F" w:rsidRPr="00A15917" w:rsidRDefault="00EE061F" w:rsidP="006F18C4">
      <w:pPr>
        <w:pStyle w:val="ListBullet"/>
        <w:rPr>
          <w:lang w:val="ga-IE"/>
        </w:rPr>
      </w:pPr>
      <w:r w:rsidRPr="00A15917">
        <w:rPr>
          <w:lang w:val="ga-IE"/>
        </w:rPr>
        <w:t>rochtain ar bhunoideachas phríomhshrutha</w:t>
      </w:r>
    </w:p>
    <w:p w14:paraId="459109D3" w14:textId="77777777" w:rsidR="00EE061F" w:rsidRPr="00A15917" w:rsidRDefault="00EE061F" w:rsidP="006F18C4">
      <w:pPr>
        <w:pStyle w:val="ListBullet"/>
        <w:rPr>
          <w:lang w:val="ga-IE"/>
        </w:rPr>
      </w:pPr>
      <w:r w:rsidRPr="00A15917">
        <w:rPr>
          <w:lang w:val="ga-IE"/>
        </w:rPr>
        <w:t>polasaithe náisiúnta comparáideacha ar theanga chomharthaíochta</w:t>
      </w:r>
    </w:p>
    <w:p w14:paraId="6832CD13" w14:textId="77777777" w:rsidR="00EE061F" w:rsidRPr="00A15917" w:rsidRDefault="00EE061F" w:rsidP="006F18C4">
      <w:pPr>
        <w:pStyle w:val="ListBullet"/>
        <w:rPr>
          <w:lang w:val="ga-IE"/>
        </w:rPr>
      </w:pPr>
      <w:r w:rsidRPr="00A15917">
        <w:rPr>
          <w:lang w:val="ga-IE"/>
        </w:rPr>
        <w:t>fachtóirí faoi bhaol féinmharú agus féinmharú a chosc</w:t>
      </w:r>
    </w:p>
    <w:p w14:paraId="7FF2418B" w14:textId="77777777" w:rsidR="00EE061F" w:rsidRPr="00A15917" w:rsidRDefault="00EE061F" w:rsidP="006F18C4">
      <w:pPr>
        <w:pStyle w:val="Heading2"/>
        <w:rPr>
          <w:i/>
          <w:lang w:val="ga-IE"/>
        </w:rPr>
      </w:pPr>
      <w:bookmarkStart w:id="557" w:name="_Toc299362605"/>
      <w:bookmarkStart w:id="558" w:name="_Toc300742210"/>
      <w:bookmarkStart w:id="559" w:name="_Toc300742962"/>
      <w:bookmarkStart w:id="560" w:name="_Toc300744317"/>
      <w:r w:rsidRPr="00A15917">
        <w:rPr>
          <w:lang w:val="ga-IE"/>
        </w:rPr>
        <w:lastRenderedPageBreak/>
        <w:t>Scéim Chur Chun Cinn Taighde an Údaráis Náisiúnta Míchumais</w:t>
      </w:r>
      <w:bookmarkEnd w:id="557"/>
      <w:bookmarkEnd w:id="558"/>
      <w:bookmarkEnd w:id="559"/>
      <w:bookmarkEnd w:id="560"/>
    </w:p>
    <w:p w14:paraId="0BC96411" w14:textId="77777777" w:rsidR="00EE061F" w:rsidRPr="00A15917" w:rsidRDefault="00EE061F" w:rsidP="006F18C4">
      <w:pPr>
        <w:rPr>
          <w:lang w:val="ga-IE"/>
        </w:rPr>
      </w:pPr>
      <w:r w:rsidRPr="00A15917">
        <w:rPr>
          <w:lang w:val="ga-IE"/>
        </w:rPr>
        <w:t xml:space="preserve">Sa bhliain 2008, sheol an tÚdarás Náisiúnta Míchumais Scéim Chur Chun Cinn Taighde a dhírigh ar mheabhairshláinte, agus as na ceithre thionscadal a ceadaíodh, tugadh ceann amháin acu sin chun críche sa bhliain 2010: </w:t>
      </w:r>
      <w:r w:rsidRPr="00A15917">
        <w:rPr>
          <w:b/>
          <w:lang w:val="ga-IE"/>
        </w:rPr>
        <w:t>After a Suicide Attempt: A follow up study of young men who attempted suicide</w:t>
      </w:r>
      <w:r w:rsidRPr="00A15917">
        <w:rPr>
          <w:lang w:val="ga-IE"/>
        </w:rPr>
        <w:t xml:space="preserve"> leis an Dochtúir Anne Cleary as UCD. Ba é cuspóir an staidéir sin eolas leantach a bhailiú ar ghrúpa 52 fear a rinne iarracht lámh a chur ina mbás féin thart ar seacht mbliana roimhe sin. Tugann torthaí an taighde le fios go bhfuil foghrúpaí tábhachtacha inaitheanta i measc na ndaoine sin a rinne iarracht lámh a chur ina mbás féin agus go n-éilíonn gach aon cheann de na foghrúpaí sin cóireáil ar leith agus cur chuigí coisctheacha ar leith. Rinneadh sraith moltaí. Chuir an t-údar a cuid torthaí i láthair ag ceann de sheimineáir taighde an Údaráis Náisiúnta Míchumais. </w:t>
      </w:r>
    </w:p>
    <w:p w14:paraId="48108950" w14:textId="77777777" w:rsidR="00EE061F" w:rsidRPr="00A15917" w:rsidRDefault="00EE061F" w:rsidP="006F18C4">
      <w:pPr>
        <w:pStyle w:val="Heading2"/>
        <w:rPr>
          <w:i/>
          <w:lang w:val="ga-IE"/>
        </w:rPr>
      </w:pPr>
      <w:bookmarkStart w:id="561" w:name="_Toc299362606"/>
      <w:bookmarkStart w:id="562" w:name="_Toc300742211"/>
      <w:bookmarkStart w:id="563" w:name="_Toc300742963"/>
      <w:bookmarkStart w:id="564" w:name="_Toc300744318"/>
      <w:r w:rsidRPr="00A15917">
        <w:rPr>
          <w:lang w:val="ga-IE"/>
        </w:rPr>
        <w:t>Athbhreithniú ar Scéim Scoláireachtaí an Údaráis Náisiúnta Míchumais</w:t>
      </w:r>
      <w:bookmarkEnd w:id="561"/>
      <w:bookmarkEnd w:id="562"/>
      <w:bookmarkEnd w:id="563"/>
      <w:bookmarkEnd w:id="564"/>
    </w:p>
    <w:p w14:paraId="3D709130" w14:textId="77777777" w:rsidR="00EE061F" w:rsidRPr="00A15917" w:rsidRDefault="00EE061F" w:rsidP="006F18C4">
      <w:pPr>
        <w:rPr>
          <w:lang w:val="ga-IE"/>
        </w:rPr>
      </w:pPr>
      <w:r w:rsidRPr="00A15917">
        <w:rPr>
          <w:lang w:val="ga-IE"/>
        </w:rPr>
        <w:t>Rinneadh athbhreithniú cuimsitheach ar scéim scoláireachtaí an Údaráis Náisiúnta Míchumais in 2010</w:t>
      </w:r>
      <w:r w:rsidR="006F18C4">
        <w:rPr>
          <w:lang w:val="ga-IE"/>
        </w:rPr>
        <w:t xml:space="preserve">. </w:t>
      </w:r>
      <w:r w:rsidRPr="00A15917">
        <w:rPr>
          <w:lang w:val="ga-IE"/>
        </w:rPr>
        <w:t>Mhaoinigh an scéim sin scoláirí PhD i raon disciplíní agus ollscoileanna ina mbaineann na topaicí le dlí, polasaí agus soláthar seirbhíse míchumais. Scrúdaigh an t-athbhreithniú feidhmiú na scéime agus rinneadh moltaí don todhchaí.</w:t>
      </w:r>
    </w:p>
    <w:p w14:paraId="227EB116" w14:textId="77777777" w:rsidR="00EE061F" w:rsidRPr="00A15917" w:rsidRDefault="00EE061F" w:rsidP="006F18C4">
      <w:pPr>
        <w:pStyle w:val="Heading2"/>
        <w:rPr>
          <w:i/>
          <w:lang w:val="ga-IE"/>
        </w:rPr>
      </w:pPr>
      <w:bookmarkStart w:id="565" w:name="_Toc299362607"/>
      <w:bookmarkStart w:id="566" w:name="_Toc300742212"/>
      <w:bookmarkStart w:id="567" w:name="_Toc300742964"/>
      <w:bookmarkStart w:id="568" w:name="_Toc300744319"/>
      <w:r w:rsidRPr="00A15917">
        <w:rPr>
          <w:lang w:val="ga-IE"/>
        </w:rPr>
        <w:t>Seirbhísí máithreachais do mhná faoi mhíchumas</w:t>
      </w:r>
      <w:bookmarkEnd w:id="565"/>
      <w:bookmarkEnd w:id="566"/>
      <w:bookmarkEnd w:id="567"/>
      <w:bookmarkEnd w:id="568"/>
      <w:r w:rsidRPr="00A15917">
        <w:rPr>
          <w:i/>
          <w:lang w:val="ga-IE"/>
        </w:rPr>
        <w:t xml:space="preserve"> </w:t>
      </w:r>
    </w:p>
    <w:p w14:paraId="715C59E1" w14:textId="77777777" w:rsidR="00EE061F" w:rsidRPr="00A15917" w:rsidRDefault="00EE061F" w:rsidP="006F18C4">
      <w:pPr>
        <w:rPr>
          <w:lang w:val="ga-IE"/>
        </w:rPr>
      </w:pPr>
      <w:r w:rsidRPr="00A15917">
        <w:rPr>
          <w:lang w:val="ga-IE"/>
        </w:rPr>
        <w:t>Foilsíodh an tríú tuarascáil sa tsraith taighde de chuid an Údaráis Náisiúnta Míchumais ar sheirbhísí máithreachais agus leanaí do mhná faoi mhíchumas in 2010</w:t>
      </w:r>
      <w:r w:rsidR="006F18C4">
        <w:rPr>
          <w:lang w:val="ga-IE"/>
        </w:rPr>
        <w:t xml:space="preserve">. </w:t>
      </w:r>
      <w:r w:rsidRPr="00A15917">
        <w:rPr>
          <w:lang w:val="ga-IE"/>
        </w:rPr>
        <w:t xml:space="preserve">Scrúdaítear leis an tuarascáil sin taithí na mban laistigh de na seirbhísí máithreachais atá maoinithe go poiblí. Tá an taighde bunaithe ar agallaimh le máithreacha faoi mhíchumas ar an taithí a bhí acu ar na seirbhísí sláinte, agus ar fhócas-ghrúpaí le foireann iomchuí. Is féidir teacht ar an tuarascáil ar láithreán gréasáin an Údaráis Náisiúnta Míchumais (www.nda.ie). </w:t>
      </w:r>
    </w:p>
    <w:p w14:paraId="7EF0F21D" w14:textId="77777777" w:rsidR="00EE061F" w:rsidRPr="00A15917" w:rsidRDefault="00EE061F" w:rsidP="006F18C4">
      <w:pPr>
        <w:rPr>
          <w:lang w:val="ga-IE"/>
        </w:rPr>
      </w:pPr>
      <w:r w:rsidRPr="00A15917">
        <w:rPr>
          <w:lang w:val="ga-IE"/>
        </w:rPr>
        <w:t>Tháirg an tÚdarás Náisiúnta Míchumais, i gcomhar le Clár um Thoirchis Ghéarchéime Fheidhmeannacht na Seirbhíse Sláinte, athbhreithniú litríochta ar na tacaíochtaí sárchleachtais atá ar fáil go hidirnáisiúnta do mhná faoi mhíchumas intleachtúil le toircheas géarchéime</w:t>
      </w:r>
      <w:r w:rsidR="006F18C4">
        <w:rPr>
          <w:lang w:val="ga-IE"/>
        </w:rPr>
        <w:t xml:space="preserve">. </w:t>
      </w:r>
      <w:r w:rsidRPr="00A15917">
        <w:rPr>
          <w:lang w:val="ga-IE"/>
        </w:rPr>
        <w:t xml:space="preserve">Coimisiúnaíodh an tuarascáil sin i gcomhar leis an gClár um Thoirchis Ghéarchéime agus seoladh páipéar achoimre ar thorthaí na tuarascála ag seimineár náisiúnta i mí Mheán Fómhair. </w:t>
      </w:r>
    </w:p>
    <w:p w14:paraId="7C853998" w14:textId="77777777" w:rsidR="00EE061F" w:rsidRPr="00A15917" w:rsidRDefault="00EE061F" w:rsidP="006F18C4">
      <w:pPr>
        <w:pStyle w:val="Heading2"/>
        <w:rPr>
          <w:i/>
          <w:lang w:val="ga-IE"/>
        </w:rPr>
      </w:pPr>
      <w:bookmarkStart w:id="569" w:name="_Toc299362608"/>
      <w:bookmarkStart w:id="570" w:name="_Toc300742213"/>
      <w:bookmarkStart w:id="571" w:name="_Toc300742965"/>
      <w:bookmarkStart w:id="572" w:name="_Toc300744320"/>
      <w:r w:rsidRPr="00A15917">
        <w:rPr>
          <w:lang w:val="ga-IE"/>
        </w:rPr>
        <w:t>Reachtaíocht maidir le Cumas Meabhrach</w:t>
      </w:r>
      <w:bookmarkEnd w:id="569"/>
      <w:bookmarkEnd w:id="570"/>
      <w:bookmarkEnd w:id="571"/>
      <w:bookmarkEnd w:id="572"/>
    </w:p>
    <w:p w14:paraId="1DFF6E30" w14:textId="77777777" w:rsidR="00EE061F" w:rsidRPr="00A15917" w:rsidRDefault="00EE061F" w:rsidP="006F18C4">
      <w:pPr>
        <w:rPr>
          <w:lang w:val="ga-IE"/>
        </w:rPr>
      </w:pPr>
      <w:r w:rsidRPr="00A15917">
        <w:rPr>
          <w:lang w:val="ga-IE"/>
        </w:rPr>
        <w:t>Lean an tÚdarás Náisiúnta Míchumais ag tabhairt comhairle don Roinn Dlí agus Cirt agus Athchóirithe Dlí ar shaincheisteanna a bhaineann leis an mBille um Chumas Meabhrach atá le teacht. Thug an tÚdarás Náisiúnta Míchumais comhairle d’Fho-Choiste Saincheisteanna Dlí COSC freisin ar shaincheisteanna a bhaineann leis an dlí ar chumas daoine le lagú meabhrach comhthoiliú do chaidreamh gnéis.</w:t>
      </w:r>
    </w:p>
    <w:p w14:paraId="6B32E58D" w14:textId="77777777" w:rsidR="00EE061F" w:rsidRPr="00A15917" w:rsidRDefault="00EE061F" w:rsidP="006F18C4">
      <w:pPr>
        <w:pStyle w:val="Heading2"/>
        <w:rPr>
          <w:i/>
          <w:lang w:val="ga-IE"/>
        </w:rPr>
      </w:pPr>
      <w:bookmarkStart w:id="573" w:name="_Toc299362609"/>
      <w:bookmarkStart w:id="574" w:name="_Toc300742214"/>
      <w:bookmarkStart w:id="575" w:name="_Toc300742966"/>
      <w:bookmarkStart w:id="576" w:name="_Toc300744321"/>
      <w:r w:rsidRPr="00A15917">
        <w:rPr>
          <w:lang w:val="ga-IE"/>
        </w:rPr>
        <w:t>Ríomhfhoghlaim maidir le feasacht ar mhíchumas</w:t>
      </w:r>
      <w:bookmarkEnd w:id="573"/>
      <w:bookmarkEnd w:id="574"/>
      <w:bookmarkEnd w:id="575"/>
      <w:bookmarkEnd w:id="576"/>
    </w:p>
    <w:p w14:paraId="1A9D4251" w14:textId="77777777" w:rsidR="00EE061F" w:rsidRPr="00A15917" w:rsidRDefault="00EE061F" w:rsidP="006F18C4">
      <w:pPr>
        <w:rPr>
          <w:lang w:val="ga-IE"/>
        </w:rPr>
      </w:pPr>
      <w:r w:rsidRPr="00A15917">
        <w:rPr>
          <w:lang w:val="ga-IE"/>
        </w:rPr>
        <w:t xml:space="preserve">Chun feabhas a chur ar fheasacht ar mhíchumas i measc lucht foirne na hearnála poiblí, choimisiúnaigh an tÚdarás Náisiúnta Míchumais forbairt uirlis ríomhfhoghlama chun Oiliúint ar </w:t>
      </w:r>
      <w:r w:rsidRPr="00A15917">
        <w:rPr>
          <w:lang w:val="ga-IE"/>
        </w:rPr>
        <w:lastRenderedPageBreak/>
        <w:t>Chomhionannas Míchumais a sholáthar d’fhoireann na hearnála poiblí. Tógfaidh sé thart ar aon uair an chloig an modúil oiliúna seo a thabhairt chun críche, agus cuirfear ar fáil é do chomhlachtaí poiblí na hÉireann.</w:t>
      </w:r>
    </w:p>
    <w:p w14:paraId="1E05ED14" w14:textId="77777777" w:rsidR="00EE061F" w:rsidRPr="00A15917" w:rsidRDefault="00EE061F" w:rsidP="006F18C4">
      <w:pPr>
        <w:rPr>
          <w:lang w:val="ga-IE"/>
        </w:rPr>
      </w:pPr>
      <w:r w:rsidRPr="00A15917">
        <w:rPr>
          <w:lang w:val="ga-IE"/>
        </w:rPr>
        <w:t>Tugadh dearadh mionsonraithe an mhodúil seo chun críche in 2010, tar éis cleachtas comhairliúcháin leathan le comhlachtaí poiblí agus leis an earnáil mhíchumais. Tabharfar an modúl chun críche agus déanfar é a phíolótú le linn 2011.</w:t>
      </w:r>
    </w:p>
    <w:p w14:paraId="6464CEF6" w14:textId="77777777" w:rsidR="00EE061F" w:rsidRPr="00A15917" w:rsidRDefault="00EE061F" w:rsidP="006F18C4">
      <w:pPr>
        <w:pStyle w:val="Heading2"/>
        <w:rPr>
          <w:i/>
          <w:lang w:val="ga-IE"/>
        </w:rPr>
      </w:pPr>
      <w:bookmarkStart w:id="577" w:name="_Toc299362610"/>
      <w:bookmarkStart w:id="578" w:name="_Toc300742215"/>
      <w:bookmarkStart w:id="579" w:name="_Toc300742967"/>
      <w:bookmarkStart w:id="580" w:name="_Toc300744322"/>
      <w:r w:rsidRPr="00A15917">
        <w:rPr>
          <w:lang w:val="ga-IE"/>
        </w:rPr>
        <w:t>Taighde ar Mhí-Úsáid</w:t>
      </w:r>
      <w:bookmarkEnd w:id="577"/>
      <w:bookmarkEnd w:id="578"/>
      <w:bookmarkEnd w:id="579"/>
      <w:bookmarkEnd w:id="580"/>
    </w:p>
    <w:p w14:paraId="0A64A423" w14:textId="77777777" w:rsidR="00EE061F" w:rsidRPr="00A15917" w:rsidRDefault="00EE061F" w:rsidP="006F18C4">
      <w:pPr>
        <w:rPr>
          <w:lang w:val="ga-IE"/>
        </w:rPr>
      </w:pPr>
      <w:r w:rsidRPr="00A15917">
        <w:rPr>
          <w:lang w:val="ga-IE"/>
        </w:rPr>
        <w:t xml:space="preserve">Tugadh taighde chun críche chun roghanna agus modheolaíocht do staidéar náisiúnta ar mhí-úsáid daoine faoi mhíchumas a aithint. Rinne an fhoireann staidéir athbhreithniú litríochta cuimsitheach freisin ar thaighde cáilíochtúil a bhaineann le mí-úsáid gnéis agus daoine faoi mhíchumas. Athbhreithníodh litríocht as Éirinn agus litríocht idirnáisiúnta araon, agus beidh sin mar threoir d’obair an Údaráis Náisiúnta Míchumais sa todhchaí chun meicníochtaí agus straitéisí a aithint a chuirfidh cosc agus nochtadh mí-úsáide chun cinn. </w:t>
      </w:r>
    </w:p>
    <w:p w14:paraId="51F9945A" w14:textId="77777777" w:rsidR="00EE061F" w:rsidRPr="00A15917" w:rsidRDefault="00EE061F" w:rsidP="006F18C4">
      <w:pPr>
        <w:pStyle w:val="Heading2"/>
        <w:rPr>
          <w:i/>
          <w:lang w:val="ga-IE"/>
        </w:rPr>
      </w:pPr>
      <w:bookmarkStart w:id="581" w:name="_Toc299362611"/>
      <w:bookmarkStart w:id="582" w:name="_Toc300742216"/>
      <w:bookmarkStart w:id="583" w:name="_Toc300742968"/>
      <w:bookmarkStart w:id="584" w:name="_Toc300744323"/>
      <w:r w:rsidRPr="00A15917">
        <w:rPr>
          <w:lang w:val="ga-IE"/>
        </w:rPr>
        <w:t>Sonraí Míchumais</w:t>
      </w:r>
      <w:bookmarkEnd w:id="581"/>
      <w:bookmarkEnd w:id="582"/>
      <w:bookmarkEnd w:id="583"/>
      <w:bookmarkEnd w:id="584"/>
    </w:p>
    <w:p w14:paraId="6EBD1F07" w14:textId="77777777" w:rsidR="00EE061F" w:rsidRPr="00A15917" w:rsidRDefault="00EE061F" w:rsidP="006F18C4">
      <w:pPr>
        <w:rPr>
          <w:lang w:val="ga-IE"/>
        </w:rPr>
      </w:pPr>
      <w:r w:rsidRPr="00A15917">
        <w:rPr>
          <w:lang w:val="ga-IE"/>
        </w:rPr>
        <w:t>Thug an tÚdarás Náisiúnta Míchumais comhairle don Phríomh-Oifig Staidrimh ar cheisteanna a bhaineann le míchumas i nDaonáireamh 2011 agus an leagan amach a mba chóir sonraí den sórt sin a fhoilsiú. Cuireadh comhairle ar an gCoimisiún um Rialáil Cumarsáide freisin maidir le conas is fearr a d’fhéadfaí úsáid a bhaint as an Suirbhé Náisiúnta Míchumais mar chreat oibre dá suirbhé chun tuairimí na gcustaiméirí faoi mhíchumas a scrúdú.</w:t>
      </w:r>
    </w:p>
    <w:p w14:paraId="685C43AE" w14:textId="77777777" w:rsidR="00EE061F" w:rsidRPr="00A15917" w:rsidRDefault="00EE061F" w:rsidP="006F18C4">
      <w:pPr>
        <w:rPr>
          <w:lang w:val="ga-IE"/>
        </w:rPr>
      </w:pPr>
      <w:r w:rsidRPr="00A15917">
        <w:rPr>
          <w:lang w:val="ga-IE"/>
        </w:rPr>
        <w:t>Chun feabhas a chur ar an gcomhairle a sholáthraítear maidir le tionscnaimh phraiticiúla a fhéadfar a fheidhmiú chun uilechuimsitheacht a chur chun cinn, tá obair déanta ag an Údarás Náisiúnta Míchumais chun na bacainní agus na héascaitheoirí maidir le huilechuimsitheacht do dhaoine le lagú néareolaíoch agus do dhaoine a mbíonn Neamhord ar Speictream an Uathachais ag dul dóibh a thuairisciú. Bailítear faisnéis sna cáipéisí sin ar dheacrachtaí feidhmiúla, ar thruicir agus bacainní a bhíonn ag daoine le riochtaí sonracha agus leagtar amach faisnéis ar chóiríochtaí a d’fhéadfaí a chur i bhfeidhm. Cuirfidh an obair sin le heolas na foirne ar na réimsí sin agus beidh sé mar eolas do chomhairle polasaí an Údaráis Náisiúnta Míchumais agus a threoir ar inrochtaineacht.</w:t>
      </w:r>
    </w:p>
    <w:p w14:paraId="369D5908" w14:textId="77777777" w:rsidR="00EE061F" w:rsidRPr="00A15917" w:rsidRDefault="00EE061F" w:rsidP="006F18C4">
      <w:pPr>
        <w:pStyle w:val="Heading1"/>
        <w:rPr>
          <w:lang w:val="ga-IE"/>
        </w:rPr>
      </w:pPr>
      <w:r w:rsidRPr="00A15917">
        <w:rPr>
          <w:lang w:val="ga-IE"/>
        </w:rPr>
        <w:br w:type="page"/>
      </w:r>
      <w:bookmarkStart w:id="585" w:name="_Toc299361994"/>
      <w:bookmarkStart w:id="586" w:name="_Toc299362498"/>
      <w:bookmarkStart w:id="587" w:name="_Toc299362612"/>
      <w:bookmarkStart w:id="588" w:name="_Toc300741752"/>
      <w:bookmarkStart w:id="589" w:name="_Toc300742217"/>
      <w:bookmarkStart w:id="590" w:name="_Toc300742969"/>
      <w:bookmarkStart w:id="591" w:name="_Toc300744324"/>
      <w:bookmarkStart w:id="592" w:name="_Toc304371225"/>
      <w:bookmarkStart w:id="593" w:name="_Toc304381943"/>
      <w:r w:rsidR="00B3690F">
        <w:rPr>
          <w:lang w:val="ga-IE"/>
        </w:rPr>
        <w:lastRenderedPageBreak/>
        <w:t>Tosaíocht Straitéiseach a Trí</w:t>
      </w:r>
      <w:bookmarkEnd w:id="591"/>
      <w:bookmarkEnd w:id="592"/>
      <w:r w:rsidR="00572BA4">
        <w:rPr>
          <w:lang w:val="ga-IE"/>
        </w:rPr>
        <w:t xml:space="preserve">: </w:t>
      </w:r>
      <w:bookmarkStart w:id="594" w:name="_Toc300744325"/>
      <w:bookmarkStart w:id="595" w:name="_Toc304371226"/>
      <w:r w:rsidRPr="00A15917">
        <w:rPr>
          <w:lang w:val="ga-IE"/>
        </w:rPr>
        <w:t>Uilechuimsitheacht a chur chun cinn trí inrochtaineacht agus dearadh uilíoch</w:t>
      </w:r>
      <w:bookmarkEnd w:id="585"/>
      <w:bookmarkEnd w:id="586"/>
      <w:bookmarkEnd w:id="587"/>
      <w:bookmarkEnd w:id="588"/>
      <w:bookmarkEnd w:id="589"/>
      <w:bookmarkEnd w:id="590"/>
      <w:bookmarkEnd w:id="593"/>
      <w:bookmarkEnd w:id="594"/>
      <w:bookmarkEnd w:id="595"/>
    </w:p>
    <w:p w14:paraId="4D6D542F" w14:textId="77777777" w:rsidR="00EE061F" w:rsidRPr="00A15917" w:rsidRDefault="00EE061F" w:rsidP="006F18C4">
      <w:pPr>
        <w:pStyle w:val="Heading2"/>
        <w:rPr>
          <w:i/>
          <w:lang w:val="ga-IE"/>
        </w:rPr>
      </w:pPr>
      <w:bookmarkStart w:id="596" w:name="_Toc299362613"/>
      <w:bookmarkStart w:id="597" w:name="_Toc300742218"/>
      <w:bookmarkStart w:id="598" w:name="_Toc300742970"/>
      <w:bookmarkStart w:id="599" w:name="_Toc300744326"/>
      <w:r w:rsidRPr="00A15917">
        <w:rPr>
          <w:lang w:val="ga-IE"/>
        </w:rPr>
        <w:t>Dualgas maidir le caighdeáin</w:t>
      </w:r>
      <w:bookmarkEnd w:id="596"/>
      <w:bookmarkEnd w:id="597"/>
      <w:bookmarkEnd w:id="598"/>
      <w:bookmarkEnd w:id="599"/>
      <w:r w:rsidRPr="00A15917">
        <w:rPr>
          <w:i/>
          <w:lang w:val="ga-IE"/>
        </w:rPr>
        <w:t xml:space="preserve"> </w:t>
      </w:r>
    </w:p>
    <w:p w14:paraId="76436577" w14:textId="77777777" w:rsidR="00EE061F" w:rsidRPr="00A15917" w:rsidRDefault="00EE061F" w:rsidP="006F18C4">
      <w:pPr>
        <w:rPr>
          <w:lang w:val="ga-IE"/>
        </w:rPr>
      </w:pPr>
      <w:r w:rsidRPr="00A15917">
        <w:rPr>
          <w:lang w:val="ga-IE"/>
        </w:rPr>
        <w:t xml:space="preserve">Tá dhá ról ag an Údarás Náisiúnta Míchumais i ndáil le caighdeáin – i ndáil le comhairle a thabhairt ar chaighdeáin do chláir agus do sheirbhísí a bheidh le húsáid ag daoine faoi mhíchumas, agus i ndáil le caighdeáin do dhearadh uilíoch. </w:t>
      </w:r>
    </w:p>
    <w:p w14:paraId="129870A2" w14:textId="77777777" w:rsidR="00EE061F" w:rsidRPr="00A15917" w:rsidRDefault="00EE061F" w:rsidP="006F18C4">
      <w:pPr>
        <w:rPr>
          <w:lang w:val="ga-IE"/>
        </w:rPr>
      </w:pPr>
      <w:r w:rsidRPr="00A15917">
        <w:rPr>
          <w:lang w:val="ga-IE"/>
        </w:rPr>
        <w:t xml:space="preserve">Faoin Acht um Údarás Náisiúnta Míchumais 1999, tá dualgas ar an Údarás Náisiúnta Míchumais comhairle a thabhairt ar chaighdeáin chuí do chláir agus do sheirbhísí a bheidh le soláthar do dhaoine faoi mhíchumas mar aon le comhairle a thabhairt ar fhorbairt na gclár agus na gcaighdeán sin. Féadfaidh an tÚdarás Náisiúnta Míchumais Cóid Chleachtais a ullmhú freisin le cur faoi bhráid an Aire. </w:t>
      </w:r>
    </w:p>
    <w:p w14:paraId="7D25A7A0" w14:textId="77777777" w:rsidR="00EE061F" w:rsidRPr="00A15917" w:rsidRDefault="00EE061F" w:rsidP="006F18C4">
      <w:pPr>
        <w:rPr>
          <w:lang w:val="ga-IE"/>
        </w:rPr>
      </w:pPr>
      <w:r w:rsidRPr="00A15917">
        <w:rPr>
          <w:lang w:val="ga-IE"/>
        </w:rPr>
        <w:t>Tá dualgas ar an Ionad Sárchleachtais ó thaobh Dearadh Uilíoch, a bunaíodh faoin Acht um Míchumas 2005 mar chuid lárnach den Údarás Náisiúnta Míchumai</w:t>
      </w:r>
      <w:r w:rsidRPr="006F18C4">
        <w:rPr>
          <w:lang w:val="ga-IE"/>
        </w:rPr>
        <w:t>s</w:t>
      </w:r>
      <w:r w:rsidRPr="00A15917">
        <w:rPr>
          <w:lang w:val="ga-IE"/>
        </w:rPr>
        <w:t xml:space="preserve">, a théann sa bhreis ar mhíchumas chun aghaidh a thabhairt ar tháirgí, ar sheirbhísí, ar thimpeallachtaí nó ar theicneolaíocht faisnéise agus cumarsáide a fhéadfaí gach duine a úsáid, cibé cén aois, méid iad nó cibé cumas nó míchumas a bheith ag dul dóibh. Tá feidhmeanna sonracha ag an ionad cur le forbairt agus le fógairt caighdeáin i ndáil le dearadh uilíoch, agus dul i mbun idirchaidrimh le comhlachtaí caighdeán náisiúnta agus idirnáisiúnta i ndáil le dearadh uilíoch chórais leictreonacha. </w:t>
      </w:r>
    </w:p>
    <w:p w14:paraId="289CAED8" w14:textId="77777777" w:rsidR="00EE061F" w:rsidRPr="00A15917" w:rsidRDefault="00EE061F" w:rsidP="006F18C4">
      <w:pPr>
        <w:pStyle w:val="Heading2"/>
        <w:rPr>
          <w:i/>
          <w:lang w:val="ga-IE"/>
        </w:rPr>
      </w:pPr>
      <w:bookmarkStart w:id="600" w:name="_Toc299362614"/>
      <w:bookmarkStart w:id="601" w:name="_Toc300742219"/>
      <w:bookmarkStart w:id="602" w:name="_Toc300742971"/>
      <w:bookmarkStart w:id="603" w:name="_Toc300744327"/>
      <w:r w:rsidRPr="00A15917">
        <w:rPr>
          <w:lang w:val="ga-IE"/>
        </w:rPr>
        <w:t>Cuid M de na Rialacháin Foirgníochta</w:t>
      </w:r>
      <w:bookmarkEnd w:id="600"/>
      <w:bookmarkEnd w:id="601"/>
      <w:bookmarkEnd w:id="602"/>
      <w:bookmarkEnd w:id="603"/>
    </w:p>
    <w:p w14:paraId="1DEC68EA" w14:textId="77777777" w:rsidR="00EE061F" w:rsidRPr="00A15917" w:rsidRDefault="00EE061F" w:rsidP="006F18C4">
      <w:pPr>
        <w:rPr>
          <w:lang w:val="ga-IE"/>
        </w:rPr>
      </w:pPr>
      <w:r w:rsidRPr="00A15917">
        <w:rPr>
          <w:lang w:val="ga-IE"/>
        </w:rPr>
        <w:t xml:space="preserve">Bhí ionadaíocht ag an Údarás Náisiúnta Míchumais ar Chomhlacht Comhairleach na Rialachán Foirgníochta agus ar an ngrúpa oibre a bunaíodh chun comhairle a chur ar an gComhairle Comhairleach maidir le forbairt rialacháin foirgníochta athbhreithnithe ar inrochtaineacht (Cuid M de na Rialacháin Foirgníochta). </w:t>
      </w:r>
      <w:r w:rsidRPr="00A15917">
        <w:rPr>
          <w:noProof/>
          <w:lang w:val="ga-IE"/>
        </w:rPr>
        <w:t>Cheadaigh an tAire Comhshaoil, Oidhreachta agus Rialtais Áitiúil Cuid M</w:t>
      </w:r>
      <w:r w:rsidRPr="00A15917">
        <w:rPr>
          <w:rStyle w:val="FootnoteReference"/>
          <w:noProof/>
          <w:lang w:val="ga-IE"/>
        </w:rPr>
        <w:footnoteReference w:id="10"/>
      </w:r>
      <w:r w:rsidRPr="00A15917">
        <w:rPr>
          <w:noProof/>
          <w:lang w:val="ga-IE"/>
        </w:rPr>
        <w:t xml:space="preserve"> athbhreithnithe in 2010 agus beidh feidhm leo ón mbliain 2012.</w:t>
      </w:r>
      <w:r w:rsidRPr="00A15917">
        <w:rPr>
          <w:lang w:val="ga-IE"/>
        </w:rPr>
        <w:t xml:space="preserve"> </w:t>
      </w:r>
    </w:p>
    <w:p w14:paraId="1181A7B0" w14:textId="77777777" w:rsidR="00EE061F" w:rsidRPr="00A15917" w:rsidRDefault="00EE061F" w:rsidP="006F18C4">
      <w:pPr>
        <w:pStyle w:val="Heading2"/>
        <w:rPr>
          <w:i/>
          <w:lang w:val="ga-IE"/>
        </w:rPr>
      </w:pPr>
      <w:bookmarkStart w:id="604" w:name="_Toc299362615"/>
      <w:bookmarkStart w:id="605" w:name="_Toc300742220"/>
      <w:bookmarkStart w:id="606" w:name="_Toc300742972"/>
      <w:bookmarkStart w:id="607" w:name="_Toc300744328"/>
      <w:r w:rsidRPr="00A15917">
        <w:rPr>
          <w:lang w:val="ga-IE"/>
        </w:rPr>
        <w:t>Dréachtchód Cleachtais ar Láithreáin Oidhreachta Inrochtaine</w:t>
      </w:r>
      <w:bookmarkEnd w:id="604"/>
      <w:bookmarkEnd w:id="605"/>
      <w:bookmarkEnd w:id="606"/>
      <w:bookmarkEnd w:id="607"/>
    </w:p>
    <w:p w14:paraId="360AB3C6" w14:textId="77777777" w:rsidR="00EE061F" w:rsidRPr="00A15917" w:rsidRDefault="00EE061F" w:rsidP="006F18C4">
      <w:pPr>
        <w:rPr>
          <w:lang w:val="ga-IE"/>
        </w:rPr>
      </w:pPr>
      <w:r w:rsidRPr="00A15917">
        <w:rPr>
          <w:lang w:val="ga-IE"/>
        </w:rPr>
        <w:t>I ndiaidh comhairliúchán náisiúnta sa bhliain 2009, d’fhorbair agus sheol an tÚdarás Náisiúnta Míchumais dréachtchód cleachtais chuig an Aire Gnóthaí Pobail, Comhionannais agus Gaeltachta chun inrochtaineacht ag láithreáin oidhreachta a chur chun cinn mar atá leagtha amach in alt 29 den Acht um Míchumas 2005</w:t>
      </w:r>
      <w:r w:rsidR="006F18C4">
        <w:rPr>
          <w:lang w:val="ga-IE"/>
        </w:rPr>
        <w:t xml:space="preserve">. </w:t>
      </w:r>
      <w:r w:rsidRPr="00A15917">
        <w:rPr>
          <w:lang w:val="ga-IE"/>
        </w:rPr>
        <w:t>Is é an aidhm atá leis an ndréacht-Chód Cleachtais tacú le húinéirí agus le bainisteoirí láithreáin oidhreachta chun feabhas a chur ar inrochtaineacht ag a gcuid láithreán oidhreachta lena chinntiú go bhféadfaidh daoine faoi mhíchumas láithreáin den sórt sin a úsáid, nuair is indéanta, go héasca agus le dínit</w:t>
      </w:r>
      <w:r w:rsidR="006F18C4">
        <w:rPr>
          <w:lang w:val="ga-IE"/>
        </w:rPr>
        <w:t xml:space="preserve">. </w:t>
      </w:r>
      <w:r w:rsidRPr="00A15917">
        <w:rPr>
          <w:lang w:val="ga-IE"/>
        </w:rPr>
        <w:t xml:space="preserve">  </w:t>
      </w:r>
    </w:p>
    <w:p w14:paraId="539F8C8B" w14:textId="77777777" w:rsidR="00EE061F" w:rsidRPr="00A15917" w:rsidRDefault="00EE061F" w:rsidP="006F18C4">
      <w:pPr>
        <w:pStyle w:val="Heading2"/>
        <w:rPr>
          <w:i/>
          <w:lang w:val="ga-IE"/>
        </w:rPr>
      </w:pPr>
      <w:bookmarkStart w:id="608" w:name="_Toc299362616"/>
      <w:bookmarkStart w:id="609" w:name="_Toc300742221"/>
      <w:bookmarkStart w:id="610" w:name="_Toc300742973"/>
      <w:bookmarkStart w:id="611" w:name="_Toc300744329"/>
      <w:r w:rsidRPr="00A15917">
        <w:rPr>
          <w:lang w:val="ga-IE"/>
        </w:rPr>
        <w:lastRenderedPageBreak/>
        <w:t>An Gradam Sárchleachtas trí Inrochtaineacht</w:t>
      </w:r>
      <w:bookmarkEnd w:id="608"/>
      <w:bookmarkEnd w:id="609"/>
      <w:bookmarkEnd w:id="610"/>
      <w:bookmarkEnd w:id="611"/>
    </w:p>
    <w:p w14:paraId="2ADF93A1" w14:textId="77777777" w:rsidR="00EE061F" w:rsidRPr="00A15917" w:rsidRDefault="00EE061F" w:rsidP="006F18C4">
      <w:pPr>
        <w:rPr>
          <w:lang w:val="ga-IE"/>
        </w:rPr>
      </w:pPr>
      <w:r w:rsidRPr="00A15917">
        <w:rPr>
          <w:lang w:val="ga-IE"/>
        </w:rPr>
        <w:t xml:space="preserve">D’oibrigh an tÚdarás Náisiúnta Míchumais le thart ar 20 comhlacht poiblí le linn 2010 chun cuidiú leo feabhas a chur ar inrochtaineacht a gcuid seirbhísí poiblí. Rinneadh measúnachtaí mionsonraithe ar 13 ionad ar leith agus dheimhnigh Bord Faofa </w:t>
      </w:r>
      <w:r w:rsidRPr="00A15917">
        <w:rPr>
          <w:b/>
          <w:lang w:val="ga-IE"/>
        </w:rPr>
        <w:t>na nGradam Sárchleachtas trí Inrochtaineacht atá neamhspleách gradaim do na 13 ionad sin go léir.</w:t>
      </w:r>
      <w:r w:rsidRPr="00A15917">
        <w:rPr>
          <w:lang w:val="ga-IE"/>
        </w:rPr>
        <w:t xml:space="preserve"> </w:t>
      </w:r>
    </w:p>
    <w:p w14:paraId="5E2F46E0" w14:textId="77777777" w:rsidR="00EE061F" w:rsidRPr="00A15917" w:rsidRDefault="00EE061F" w:rsidP="006F18C4">
      <w:pPr>
        <w:pStyle w:val="Heading2"/>
        <w:rPr>
          <w:i/>
          <w:lang w:val="ga-IE"/>
        </w:rPr>
      </w:pPr>
      <w:bookmarkStart w:id="612" w:name="_Toc299362617"/>
      <w:bookmarkStart w:id="613" w:name="_Toc300742222"/>
      <w:bookmarkStart w:id="614" w:name="_Toc300742974"/>
      <w:bookmarkStart w:id="615" w:name="_Toc300744330"/>
      <w:r w:rsidRPr="00A15917">
        <w:rPr>
          <w:lang w:val="ga-IE"/>
        </w:rPr>
        <w:t>Inrochtaineacht Seirbhísí Poiblí a Chur Chun Cinn</w:t>
      </w:r>
      <w:bookmarkEnd w:id="612"/>
      <w:bookmarkEnd w:id="613"/>
      <w:bookmarkEnd w:id="614"/>
      <w:bookmarkEnd w:id="615"/>
      <w:r w:rsidRPr="00A15917">
        <w:rPr>
          <w:i/>
          <w:lang w:val="ga-IE"/>
        </w:rPr>
        <w:t xml:space="preserve"> </w:t>
      </w:r>
    </w:p>
    <w:p w14:paraId="56BEF2D7" w14:textId="77777777" w:rsidR="00EE061F" w:rsidRPr="00A15917" w:rsidRDefault="00EE061F" w:rsidP="006F18C4">
      <w:pPr>
        <w:rPr>
          <w:lang w:val="ga-IE"/>
        </w:rPr>
      </w:pPr>
      <w:r w:rsidRPr="00A15917">
        <w:rPr>
          <w:lang w:val="ga-IE"/>
        </w:rPr>
        <w:t xml:space="preserve">Thug an tÚdarás Náisiúnta Míchumais chun cinn roinnt foilseachán treorach nua tábhachtach do na comhlachtaí san earnáil phoiblí lena n-áirítear leagan leasaithe dár dtreoir ar </w:t>
      </w:r>
      <w:r w:rsidRPr="00A15917">
        <w:rPr>
          <w:b/>
          <w:lang w:val="ga-IE"/>
        </w:rPr>
        <w:t>Safe Evacuation for All</w:t>
      </w:r>
      <w:r w:rsidRPr="00A15917">
        <w:rPr>
          <w:lang w:val="ga-IE"/>
        </w:rPr>
        <w:t>; treoir nua ar fháil inrochtaineacht; agus treoir chun inrochtaineacht i ngach bunscoil agus meánscoil a chur chun cinn. Chuathas i mbun próisis chomhairliúcháin ar gach aon cheann de na dréacht-fhoilseacháin sin. Meastar go dtabharfar na foilseacháin sin chun críche agus go seolfar iad in 2011.</w:t>
      </w:r>
    </w:p>
    <w:p w14:paraId="7676F86B" w14:textId="77777777" w:rsidR="00EE061F" w:rsidRPr="00A15917" w:rsidRDefault="00EE061F" w:rsidP="006F18C4">
      <w:pPr>
        <w:pStyle w:val="Heading2"/>
        <w:rPr>
          <w:i/>
          <w:lang w:val="ga-IE"/>
        </w:rPr>
      </w:pPr>
      <w:bookmarkStart w:id="616" w:name="_Toc299362618"/>
      <w:bookmarkStart w:id="617" w:name="_Toc300742223"/>
      <w:bookmarkStart w:id="618" w:name="_Toc300742975"/>
      <w:bookmarkStart w:id="619" w:name="_Toc300744331"/>
      <w:r w:rsidRPr="00A15917">
        <w:rPr>
          <w:lang w:val="ga-IE"/>
        </w:rPr>
        <w:t>Ionad Sárchleachtais ó thaobh Dearadh Uilíoch</w:t>
      </w:r>
      <w:bookmarkEnd w:id="616"/>
      <w:bookmarkEnd w:id="617"/>
      <w:bookmarkEnd w:id="618"/>
      <w:bookmarkEnd w:id="619"/>
    </w:p>
    <w:p w14:paraId="4D252AAA" w14:textId="77777777" w:rsidR="00EE061F" w:rsidRPr="00A15917" w:rsidRDefault="00EE061F" w:rsidP="006F18C4">
      <w:pPr>
        <w:rPr>
          <w:lang w:val="ga-IE"/>
        </w:rPr>
      </w:pPr>
      <w:r w:rsidRPr="00A15917">
        <w:rPr>
          <w:lang w:val="ga-IE"/>
        </w:rPr>
        <w:t>Dhírigh obair an Údaráis ar dhearadh uilíoch in 2010 ar na nithe a leanas:</w:t>
      </w:r>
    </w:p>
    <w:p w14:paraId="25E29719" w14:textId="77777777" w:rsidR="00EE061F" w:rsidRPr="00A15917" w:rsidRDefault="00EE061F" w:rsidP="006F18C4">
      <w:pPr>
        <w:pStyle w:val="ListBullet"/>
        <w:rPr>
          <w:lang w:val="ga-IE"/>
        </w:rPr>
      </w:pPr>
      <w:r w:rsidRPr="00A15917">
        <w:rPr>
          <w:lang w:val="ga-IE"/>
        </w:rPr>
        <w:t>cur le feasacht</w:t>
      </w:r>
    </w:p>
    <w:p w14:paraId="00CB5DAC" w14:textId="77777777" w:rsidR="00EE061F" w:rsidRPr="00A15917" w:rsidRDefault="00EE061F" w:rsidP="006F18C4">
      <w:pPr>
        <w:pStyle w:val="ListBullet"/>
        <w:rPr>
          <w:lang w:val="ga-IE"/>
        </w:rPr>
      </w:pPr>
      <w:r w:rsidRPr="00A15917">
        <w:rPr>
          <w:lang w:val="ga-IE"/>
        </w:rPr>
        <w:t>ag obair i gcomhar le príomhgheallsealbhóirí chun forbairt caighdeáin i ndearadh uilíoch a threorú</w:t>
      </w:r>
    </w:p>
    <w:p w14:paraId="14D53CD2" w14:textId="77777777" w:rsidR="00EE061F" w:rsidRPr="00A15917" w:rsidRDefault="00EE061F" w:rsidP="006F18C4">
      <w:pPr>
        <w:pStyle w:val="ListBullet"/>
        <w:rPr>
          <w:lang w:val="ga-IE"/>
        </w:rPr>
      </w:pPr>
      <w:r w:rsidRPr="00A15917">
        <w:rPr>
          <w:lang w:val="ga-IE"/>
        </w:rPr>
        <w:t>ag obair i gcomhpháirtíocht le lucht acadúil chun dearadh uilíoch a lánpháirtiú i gcuraclam iomchuí ag an tríú leibhéal</w:t>
      </w:r>
    </w:p>
    <w:p w14:paraId="538AF3A5" w14:textId="77777777" w:rsidR="00EE061F" w:rsidRPr="00A15917" w:rsidRDefault="00EE061F" w:rsidP="006F18C4">
      <w:pPr>
        <w:pStyle w:val="Heading3"/>
        <w:rPr>
          <w:lang w:val="ga-IE"/>
        </w:rPr>
      </w:pPr>
      <w:r w:rsidRPr="00A15917">
        <w:rPr>
          <w:lang w:val="ga-IE"/>
        </w:rPr>
        <w:t>Dúshlán Dearaidh 24 Uair an Chloig</w:t>
      </w:r>
    </w:p>
    <w:p w14:paraId="14B1DE7E" w14:textId="77777777" w:rsidR="00EE061F" w:rsidRPr="00A15917" w:rsidRDefault="00EE061F" w:rsidP="006F18C4">
      <w:pPr>
        <w:rPr>
          <w:lang w:val="ga-IE"/>
        </w:rPr>
      </w:pPr>
      <w:r w:rsidRPr="00A15917">
        <w:rPr>
          <w:lang w:val="ga-IE"/>
        </w:rPr>
        <w:t xml:space="preserve">D’eagraigh an tIonad An Dúshlán Dearaidh Uilíoch 24 Uair an Chloig 2010 agus d’éirigh go hiontach leis agus b’ionann an téama agus “Teicneolaíocht sa Chathair” a dhírigh ar dhearaí nua chun feabhas a chur ar inrochtaineacht agus inúsáideacht de thairiscintí faisnéise agus seirbhísí in áiteanna poiblí. Lánpháirtíodh an ócáid le Líonra Eorpach Ríomh-Inrochtaineachta Dearadh do Chách ag Cruinniú Ginearálta Bliantúil an Údaráis Náisiúnta Míchumais a thug urraíocht don ócáid agus comhdháil dar teideal “Teicneolaíocht sa Chathair”. Cuireadh le próifíl an dá ócáid toisc gur nascadh le chéile iad agus chuidigh sin le hidirchaidreamh idir raon daoine gairmiúla agus cinntíodh éifeachtúlachtaí foirne agus coigiltis costais shuntasacha ar an tslí sin. </w:t>
      </w:r>
    </w:p>
    <w:p w14:paraId="06B145F8" w14:textId="77777777" w:rsidR="00EE061F" w:rsidRPr="00A15917" w:rsidRDefault="00EE061F" w:rsidP="006F18C4">
      <w:pPr>
        <w:pStyle w:val="Heading3"/>
        <w:rPr>
          <w:lang w:val="ga-IE"/>
        </w:rPr>
      </w:pPr>
      <w:r w:rsidRPr="00A15917">
        <w:rPr>
          <w:lang w:val="ga-IE"/>
        </w:rPr>
        <w:t>Líonra Eorpach Ríomh-Inrochtaineachta Dearadh do Chách</w:t>
      </w:r>
    </w:p>
    <w:p w14:paraId="59D5E56D" w14:textId="77777777" w:rsidR="00EE061F" w:rsidRPr="00A15917" w:rsidRDefault="00EE061F" w:rsidP="006F18C4">
      <w:pPr>
        <w:rPr>
          <w:lang w:val="ga-IE"/>
        </w:rPr>
      </w:pPr>
      <w:r w:rsidRPr="00A15917">
        <w:rPr>
          <w:lang w:val="ga-IE"/>
        </w:rPr>
        <w:t xml:space="preserve">Ghlac an tIonad leis an ról mar rúnaíocht don Líonra Dearadh do Chách in 2010, mar aon le freagracht a ghlacadh as an ionad teagmhála náisiúnta ar ríomh-Inrochtaineacht. Áiríodh ar an ról faisnéis a roinnt ar obair an Ionaid agus faisnéis a bhailiú maidir le sárchleachtais agus forbairtí nua ar inrochtaineacht ICT agus dearadh uilíoch ó ar fud na hEorpa. </w:t>
      </w:r>
    </w:p>
    <w:p w14:paraId="7DCF787C" w14:textId="77777777" w:rsidR="00EE061F" w:rsidRPr="00A15917" w:rsidRDefault="00EE061F" w:rsidP="006F18C4">
      <w:pPr>
        <w:pStyle w:val="Heading3"/>
        <w:rPr>
          <w:lang w:val="ga-IE"/>
        </w:rPr>
      </w:pPr>
      <w:r w:rsidRPr="00A15917">
        <w:rPr>
          <w:lang w:val="ga-IE"/>
        </w:rPr>
        <w:t>Cur le Feasacht</w:t>
      </w:r>
    </w:p>
    <w:p w14:paraId="1B4E30D9" w14:textId="77777777" w:rsidR="00EE061F" w:rsidRPr="00A15917" w:rsidRDefault="00EE061F" w:rsidP="006F18C4">
      <w:pPr>
        <w:rPr>
          <w:lang w:val="ga-IE"/>
        </w:rPr>
      </w:pPr>
      <w:r w:rsidRPr="00A15917">
        <w:rPr>
          <w:lang w:val="ga-IE"/>
        </w:rPr>
        <w:t>Reáchtáil agus chomhoibrigh an tÚdarás Náisiúnta Míchumais roinnt imeachtaí do gheallsealbhóirí agus bhíothas rannpháirteach iontu in 2009 agus díríodh ar phríomhghnéithe de dhearadh uilíoch, na nithe a leanas san áireamh:</w:t>
      </w:r>
    </w:p>
    <w:p w14:paraId="21B4BBCB" w14:textId="77777777" w:rsidR="00EE061F" w:rsidRPr="00A15917" w:rsidRDefault="00EE061F" w:rsidP="006F18C4">
      <w:pPr>
        <w:pStyle w:val="ListBullet"/>
        <w:rPr>
          <w:lang w:val="ga-IE"/>
        </w:rPr>
      </w:pPr>
      <w:r w:rsidRPr="00A15917">
        <w:rPr>
          <w:lang w:val="ga-IE"/>
        </w:rPr>
        <w:t>seimineár ar Spásanna Comhroinnte, i gcomhar le hInnealtóirí Éireann</w:t>
      </w:r>
    </w:p>
    <w:p w14:paraId="2D950EBF" w14:textId="77777777" w:rsidR="00EE061F" w:rsidRPr="00A15917" w:rsidRDefault="00EE061F" w:rsidP="006F18C4">
      <w:pPr>
        <w:pStyle w:val="ListBullet"/>
        <w:rPr>
          <w:lang w:val="ga-IE"/>
        </w:rPr>
      </w:pPr>
      <w:r w:rsidRPr="00A15917">
        <w:rPr>
          <w:lang w:val="ga-IE"/>
        </w:rPr>
        <w:lastRenderedPageBreak/>
        <w:t xml:space="preserve">seimineár ar </w:t>
      </w:r>
      <w:r w:rsidRPr="00A15917">
        <w:rPr>
          <w:b/>
          <w:lang w:val="ga-IE"/>
        </w:rPr>
        <w:t>dhearadh uilíoch i reachtaíocht, i bpolasaí agus i gcleachtas</w:t>
      </w:r>
    </w:p>
    <w:p w14:paraId="4A639179" w14:textId="77777777" w:rsidR="00EE061F" w:rsidRPr="00A15917" w:rsidRDefault="00EE061F" w:rsidP="006F18C4">
      <w:pPr>
        <w:pStyle w:val="ListBullet"/>
        <w:rPr>
          <w:lang w:val="ga-IE"/>
        </w:rPr>
      </w:pPr>
      <w:r w:rsidRPr="00A15917">
        <w:rPr>
          <w:lang w:val="ga-IE"/>
        </w:rPr>
        <w:t xml:space="preserve">seimineár ar chórais phobalbhunaithe, ar thionscnaimh athchóirithe agus reachtúla chun cur le deiseanna tithíochta príomhshrutha do dhaoine faoi mhíchumas in Iowa </w:t>
      </w:r>
    </w:p>
    <w:p w14:paraId="68D0B1DC" w14:textId="77777777" w:rsidR="00EE061F" w:rsidRPr="00A15917" w:rsidRDefault="00EE061F" w:rsidP="006F18C4">
      <w:pPr>
        <w:pStyle w:val="ListBullet"/>
        <w:rPr>
          <w:lang w:val="ga-IE"/>
        </w:rPr>
      </w:pPr>
      <w:r w:rsidRPr="00A15917">
        <w:rPr>
          <w:lang w:val="ga-IE"/>
        </w:rPr>
        <w:t>ceardlann a dhírigh ar mar a mhúintear dearadh uilíoch faoi láthair agus mar a fheidhmítear sin ag DIT mar aon leis an tionchar a d'fhéadfadh a bheith aige ar thionscnamh campais Ghráinseach Ghormáin de chuid DIT</w:t>
      </w:r>
    </w:p>
    <w:p w14:paraId="29443C22" w14:textId="77777777" w:rsidR="00EE061F" w:rsidRPr="00A15917" w:rsidRDefault="00EE061F" w:rsidP="006F18C4">
      <w:pPr>
        <w:pStyle w:val="ListBullet"/>
        <w:rPr>
          <w:lang w:val="ga-IE"/>
        </w:rPr>
      </w:pPr>
      <w:r w:rsidRPr="00A15917">
        <w:rPr>
          <w:lang w:val="ga-IE"/>
        </w:rPr>
        <w:t>sraith ceardlann chun a léiriú mar is féidir modheolaíochtaí dearaidh uilíoch a fheidhmiú go díreach isteach i bpleanáil agus i gcleachtas na n-údarás áitiúil</w:t>
      </w:r>
    </w:p>
    <w:p w14:paraId="39C3BDD1" w14:textId="77777777" w:rsidR="00EE061F" w:rsidRPr="00A15917" w:rsidRDefault="00EE061F" w:rsidP="006F18C4">
      <w:pPr>
        <w:rPr>
          <w:lang w:val="ga-IE"/>
        </w:rPr>
      </w:pPr>
      <w:r w:rsidRPr="00A15917">
        <w:rPr>
          <w:lang w:val="ga-IE"/>
        </w:rPr>
        <w:t xml:space="preserve">Thacaigh an tIonad le heagarthóireacht agus le bailiú ábhair don </w:t>
      </w:r>
      <w:r w:rsidRPr="00A15917">
        <w:rPr>
          <w:b/>
          <w:lang w:val="ga-IE"/>
        </w:rPr>
        <w:t xml:space="preserve">Sraith Straitéisí ar Ríomh-Inrochtaineacht do Dhéantóirí Polasaí ar ICT </w:t>
      </w:r>
      <w:r w:rsidRPr="00A15917">
        <w:rPr>
          <w:lang w:val="ga-IE"/>
        </w:rPr>
        <w:t>ag teacht le hoibleagáidí faoi Choinbhinsiún na Náisiún Aontaithe ar Chearta an Duine faoi Mhíchumas. Tá an fhaisnéis sin go léir le fáil go héasca ar an láithreán gréasáin: www.e-accessibilitytoolkit.org</w:t>
      </w:r>
    </w:p>
    <w:p w14:paraId="2555D01F" w14:textId="77777777" w:rsidR="00EE061F" w:rsidRPr="00A15917" w:rsidRDefault="00EE061F" w:rsidP="006F18C4">
      <w:pPr>
        <w:pStyle w:val="Heading3"/>
        <w:rPr>
          <w:lang w:val="ga-IE"/>
        </w:rPr>
      </w:pPr>
      <w:r w:rsidRPr="00A15917">
        <w:rPr>
          <w:lang w:val="ga-IE"/>
        </w:rPr>
        <w:t>Caighdeáin ó thaobh dearadh uilíoch</w:t>
      </w:r>
    </w:p>
    <w:p w14:paraId="681DFCE4" w14:textId="77777777" w:rsidR="00EE061F" w:rsidRPr="00A15917" w:rsidRDefault="00EE061F" w:rsidP="006F18C4">
      <w:pPr>
        <w:rPr>
          <w:lang w:val="ga-IE"/>
        </w:rPr>
      </w:pPr>
      <w:r w:rsidRPr="00A15917">
        <w:rPr>
          <w:lang w:val="ga-IE"/>
        </w:rPr>
        <w:t xml:space="preserve">Déanann an tIonad cathaoirleacht ar an gCoiste Comhairleach Caighdeáin maidir le hInrochtaineacht do Chách arna rith ag Údarás um Chaighdeáin Náisiúnta na hÉireann. D’athbhreithnigh an tIonad an dréacht is déanaí de </w:t>
      </w:r>
      <w:r w:rsidRPr="00A15917">
        <w:rPr>
          <w:b/>
          <w:lang w:val="ga-IE"/>
        </w:rPr>
        <w:t xml:space="preserve">International Standard ISO/DIS 21542 - Building construction: Accessibility and usability of the built environment. </w:t>
      </w:r>
      <w:r w:rsidRPr="00A15917">
        <w:rPr>
          <w:lang w:val="ga-IE"/>
        </w:rPr>
        <w:t>Chuir an tÚdarás um Chaighdeáin Náisiúnta na hÉireann</w:t>
      </w:r>
      <w:r w:rsidRPr="00A15917">
        <w:rPr>
          <w:b/>
          <w:lang w:val="ga-IE"/>
        </w:rPr>
        <w:t xml:space="preserve"> </w:t>
      </w:r>
      <w:r w:rsidRPr="00A15917">
        <w:rPr>
          <w:lang w:val="ga-IE"/>
        </w:rPr>
        <w:t>tuairimí chuig an Eagraíocht Idirnáisiúnta Caighdeáin.</w:t>
      </w:r>
    </w:p>
    <w:p w14:paraId="617BA98B" w14:textId="77777777" w:rsidR="00EE061F" w:rsidRPr="00A15917" w:rsidRDefault="00EE061F" w:rsidP="006F18C4">
      <w:pPr>
        <w:rPr>
          <w:lang w:val="ga-IE"/>
        </w:rPr>
      </w:pPr>
      <w:r w:rsidRPr="00A15917">
        <w:rPr>
          <w:lang w:val="ga-IE"/>
        </w:rPr>
        <w:t xml:space="preserve">Rinne an tIonad cathaoirleacht ar fhorbairt caighdeán nua de chuid na hEagraíochta Caighdeán Eorpaigh (CEN) ar Churaclam Dearaidh Uilíoch do Dhaoine Gairmiúla ICT. Thángthas ar chomhréiteach ina leith sin i mí na Samhna 2010. </w:t>
      </w:r>
    </w:p>
    <w:p w14:paraId="602416DB" w14:textId="77777777" w:rsidR="00EE061F" w:rsidRPr="00A15917" w:rsidRDefault="00EE061F" w:rsidP="006F18C4">
      <w:pPr>
        <w:rPr>
          <w:rFonts w:ascii="Verdana" w:hAnsi="Verdana"/>
          <w:lang w:val="ga-IE"/>
        </w:rPr>
      </w:pPr>
      <w:r w:rsidRPr="00A15917">
        <w:rPr>
          <w:lang w:val="ga-IE"/>
        </w:rPr>
        <w:t xml:space="preserve">Leanadh leis an obair </w:t>
      </w:r>
      <w:r w:rsidRPr="00A15917">
        <w:rPr>
          <w:b/>
          <w:lang w:val="ga-IE"/>
        </w:rPr>
        <w:t>Building for Everyone</w:t>
      </w:r>
      <w:r w:rsidRPr="00A15917">
        <w:rPr>
          <w:lang w:val="ga-IE"/>
        </w:rPr>
        <w:t>, ó pheirspictíocht dearaidh uilíoch, mar shraith naoi leabhrán, go dtí 2010</w:t>
      </w:r>
      <w:r w:rsidR="006F18C4">
        <w:rPr>
          <w:lang w:val="ga-IE"/>
        </w:rPr>
        <w:t xml:space="preserve">. </w:t>
      </w:r>
      <w:r w:rsidRPr="00A15917">
        <w:rPr>
          <w:lang w:val="ga-IE"/>
        </w:rPr>
        <w:t>Tá sé mar aidhm anois iad a fhoilsiú sa bhliain 2011.</w:t>
      </w:r>
    </w:p>
    <w:p w14:paraId="638DB5D5" w14:textId="77777777" w:rsidR="00EE061F" w:rsidRPr="00A15917" w:rsidRDefault="00EE061F" w:rsidP="006F18C4">
      <w:pPr>
        <w:pStyle w:val="Heading3"/>
        <w:rPr>
          <w:lang w:val="ga-IE"/>
        </w:rPr>
      </w:pPr>
      <w:r w:rsidRPr="00A15917">
        <w:rPr>
          <w:lang w:val="ga-IE"/>
        </w:rPr>
        <w:t xml:space="preserve">Oideachas </w:t>
      </w:r>
    </w:p>
    <w:p w14:paraId="4E85AA42" w14:textId="77777777" w:rsidR="00EE061F" w:rsidRPr="00A15917" w:rsidRDefault="00EE061F" w:rsidP="006F18C4">
      <w:pPr>
        <w:rPr>
          <w:lang w:val="ga-IE"/>
        </w:rPr>
      </w:pPr>
      <w:r w:rsidRPr="00A15917">
        <w:rPr>
          <w:lang w:val="ga-IE"/>
        </w:rPr>
        <w:t xml:space="preserve">Scrúdaigh an tIonad, i dtionscadal taighde comhpháirtíochta le Coláiste na Tríonóide, Baile Átha Cliath cleachtas idirnáisiúnta ar ábhar dearaidh uilíoch mar chuid d’oideachas tríú leibhéal i gcúrsaí innealtóireachta agus dearaidh. Ina theannta sin, scrúdaíodh leis an taighde mar is féidir dearadh uilíoch a mhúineadh agus a fheidhmiú ag campas Choláiste na Tríonóide. </w:t>
      </w:r>
    </w:p>
    <w:p w14:paraId="78E185CF" w14:textId="77777777" w:rsidR="00EE061F" w:rsidRPr="00A15917" w:rsidRDefault="00EE061F" w:rsidP="006F18C4">
      <w:pPr>
        <w:rPr>
          <w:lang w:val="ga-IE"/>
        </w:rPr>
      </w:pPr>
      <w:r w:rsidRPr="00A15917">
        <w:rPr>
          <w:lang w:val="ga-IE"/>
        </w:rPr>
        <w:t>Bainistíonn an tIonad dhá thionscadal comhaltachta taighde a fhaigheann urraíocht ón Údarás Náisiúnta Míchumais mar aon le Comhairle Taighde na hÉireann d’Eolaíocht, Innealtóireacht agus Teicneolaíocht. Soláthraíonn an tÚdarás Náisiúnta Míchumais, mar an Comhpháirtí Fiontar, aon tríú den mhaoiniú don taighdeoir agus bíonn an meantóir taighde ar fhoireann an Ionaid ag idirchaidreamh leis an meantóir acadúil chun comhairle a thabhairt don taighdeoir le linn na dtionscadal. Seo a leanas an dá thionscadal taighde atá gníomhach:</w:t>
      </w:r>
    </w:p>
    <w:p w14:paraId="7ED73C40" w14:textId="77777777" w:rsidR="00EE061F" w:rsidRPr="00A15917" w:rsidRDefault="00EE061F" w:rsidP="006F18C4">
      <w:pPr>
        <w:pStyle w:val="ListBullet"/>
        <w:rPr>
          <w:lang w:val="ga-IE"/>
        </w:rPr>
      </w:pPr>
      <w:r w:rsidRPr="00A15917">
        <w:rPr>
          <w:b/>
          <w:lang w:val="ga-IE"/>
        </w:rPr>
        <w:t>Taighde ar Dhearadh Táirgí Uilíoch, Modhanna agus Próisis:</w:t>
      </w:r>
      <w:r w:rsidRPr="00A15917">
        <w:rPr>
          <w:lang w:val="ga-IE"/>
        </w:rPr>
        <w:t xml:space="preserve">  Comhalta taighde iardhochtúireachta a fhaigheann meantóireacht ó Ionad Innealtóireacht Bithleighis Choláiste na Tríonóide, Baile Átha Cliath a scrúdaíonn feidhmiú dhearadh uilíoch ó thaobh fhorbairt táirgí míochaine trí chás-staidéar sárchleachtais mar bhunús d’fhorbairt creata oibre do churaclam tríú leibhéal lena mbaineann </w:t>
      </w:r>
    </w:p>
    <w:p w14:paraId="222F4C60" w14:textId="77777777" w:rsidR="00EE061F" w:rsidRPr="00A15917" w:rsidRDefault="00EE061F" w:rsidP="006F18C4">
      <w:pPr>
        <w:pStyle w:val="ListBullet"/>
        <w:rPr>
          <w:lang w:val="ga-IE"/>
        </w:rPr>
      </w:pPr>
      <w:r w:rsidRPr="00A15917">
        <w:rPr>
          <w:b/>
          <w:lang w:val="ga-IE"/>
        </w:rPr>
        <w:lastRenderedPageBreak/>
        <w:t>Rátáil Dearaidh Uilíoch don Timpeallacht Thógtha:</w:t>
      </w:r>
      <w:r w:rsidRPr="00A15917">
        <w:rPr>
          <w:lang w:val="ga-IE"/>
        </w:rPr>
        <w:t xml:space="preserve">  Comhalta taighde iarchéime a fhaigheann meantóireacht ó TrinityHaus laistigh de Scoil na hInnealtóireacht i gColáiste na Tríonóide, Baile Átha Cliath </w:t>
      </w:r>
    </w:p>
    <w:p w14:paraId="0B91D2B9" w14:textId="77777777" w:rsidR="00EE061F" w:rsidRPr="00A15917" w:rsidRDefault="00EE061F" w:rsidP="006F18C4">
      <w:pPr>
        <w:pStyle w:val="Heading1"/>
        <w:rPr>
          <w:lang w:val="ga-IE"/>
        </w:rPr>
      </w:pPr>
      <w:r w:rsidRPr="00A15917">
        <w:rPr>
          <w:lang w:val="ga-IE"/>
        </w:rPr>
        <w:br w:type="page"/>
      </w:r>
      <w:bookmarkStart w:id="620" w:name="_Toc299361995"/>
      <w:bookmarkStart w:id="621" w:name="_Toc299362499"/>
      <w:bookmarkStart w:id="622" w:name="_Toc299362619"/>
      <w:bookmarkStart w:id="623" w:name="_Toc300741753"/>
      <w:bookmarkStart w:id="624" w:name="_Toc300742224"/>
      <w:bookmarkStart w:id="625" w:name="_Toc300742976"/>
      <w:bookmarkStart w:id="626" w:name="_Toc300744332"/>
      <w:bookmarkStart w:id="627" w:name="_Toc304371227"/>
      <w:bookmarkStart w:id="628" w:name="_Toc304381944"/>
      <w:r w:rsidRPr="00A15917">
        <w:rPr>
          <w:lang w:val="ga-IE"/>
        </w:rPr>
        <w:lastRenderedPageBreak/>
        <w:t>Tos</w:t>
      </w:r>
      <w:r w:rsidR="00B3690F">
        <w:rPr>
          <w:lang w:val="ga-IE"/>
        </w:rPr>
        <w:t>aíocht Straitéiseach a Ceathair</w:t>
      </w:r>
      <w:bookmarkEnd w:id="626"/>
      <w:bookmarkEnd w:id="627"/>
      <w:r w:rsidR="00572BA4">
        <w:rPr>
          <w:lang w:val="ga-IE"/>
        </w:rPr>
        <w:t xml:space="preserve">: </w:t>
      </w:r>
      <w:bookmarkStart w:id="629" w:name="_Toc300744333"/>
      <w:bookmarkStart w:id="630" w:name="_Toc304371228"/>
      <w:r w:rsidRPr="00A15917">
        <w:rPr>
          <w:lang w:val="ga-IE"/>
        </w:rPr>
        <w:t>Cur le cumas an Údaráis Náisiúnta Míchumais a bheith ábalta na spriocanna straitéiseacha atá acu a sheachadadh</w:t>
      </w:r>
      <w:bookmarkEnd w:id="620"/>
      <w:bookmarkEnd w:id="621"/>
      <w:bookmarkEnd w:id="622"/>
      <w:bookmarkEnd w:id="623"/>
      <w:bookmarkEnd w:id="624"/>
      <w:bookmarkEnd w:id="625"/>
      <w:bookmarkEnd w:id="628"/>
      <w:bookmarkEnd w:id="629"/>
      <w:bookmarkEnd w:id="630"/>
    </w:p>
    <w:p w14:paraId="744DC07F" w14:textId="77777777" w:rsidR="00EE061F" w:rsidRPr="00A15917" w:rsidRDefault="00EE061F" w:rsidP="006F18C4">
      <w:pPr>
        <w:pStyle w:val="Heading2"/>
        <w:rPr>
          <w:i/>
          <w:lang w:val="ga-IE"/>
        </w:rPr>
      </w:pPr>
      <w:bookmarkStart w:id="631" w:name="_Toc299362620"/>
      <w:bookmarkStart w:id="632" w:name="_Toc300742225"/>
      <w:bookmarkStart w:id="633" w:name="_Toc300742977"/>
      <w:bookmarkStart w:id="634" w:name="_Toc300744334"/>
      <w:r w:rsidRPr="00A15917">
        <w:rPr>
          <w:lang w:val="ga-IE"/>
        </w:rPr>
        <w:t>Oiliúint agus Forbairt</w:t>
      </w:r>
      <w:bookmarkEnd w:id="631"/>
      <w:bookmarkEnd w:id="632"/>
      <w:bookmarkEnd w:id="633"/>
      <w:bookmarkEnd w:id="634"/>
    </w:p>
    <w:p w14:paraId="65DEB84D" w14:textId="77777777" w:rsidR="00EE061F" w:rsidRPr="00A15917" w:rsidRDefault="00EE061F" w:rsidP="006F18C4">
      <w:pPr>
        <w:rPr>
          <w:lang w:val="ga-IE"/>
        </w:rPr>
      </w:pPr>
      <w:r w:rsidRPr="00A15917">
        <w:rPr>
          <w:lang w:val="ga-IE"/>
        </w:rPr>
        <w:t>Mar aitheantas ar an tábhacht atá le ceannaireacht láidir chun straitéis eagraíochtúil a sheachadadh go héifeachtach rinne an tÚdarás Náisiúnta Míchumais tairiscint ar sholáthar clár oiliúna forbartha ceannaireachta saincheaptha do bhainisteoirí sinsearacha agus do mheán-bhainisteoirí in 2009, mar a rinneadh soláthar i Straitéis Acmhainní Daonna an Údaráis Náisiúnta Míchumais 2007-2009</w:t>
      </w:r>
      <w:r w:rsidR="006F18C4">
        <w:rPr>
          <w:lang w:val="ga-IE"/>
        </w:rPr>
        <w:t xml:space="preserve">. </w:t>
      </w:r>
      <w:r w:rsidRPr="00A15917">
        <w:rPr>
          <w:lang w:val="ga-IE"/>
        </w:rPr>
        <w:t xml:space="preserve">Is é aidhm an chláir stíl cheannaireachta chomhsheasmhach a chothú agus a chur chun cinn san Údarás Náisiúnta Míchumais, bunaithe ar mhisean, ar fhís agus ar luachanna na heagraíochta agus tacú le seachadadh éifeachtach Phlean Straitéiseach an Údaráis Náisiúnta Míchumais agus an Chláir Rialtais. Tugadh céim mheasúnaithe, a bheadh mar chabhair le saincheapadh a dhéanamh ar chláir oiliúna, chun críche i mí na Nollag 2009 agus as sin cuireadh modúil oiliúna ar fáil do gach bainisteoir sinsearach agus meánbhainisteoir in 2010. </w:t>
      </w:r>
    </w:p>
    <w:p w14:paraId="2C515F08" w14:textId="77777777" w:rsidR="00EE061F" w:rsidRPr="00A15917" w:rsidRDefault="00EE061F" w:rsidP="006F18C4">
      <w:pPr>
        <w:pStyle w:val="Heading2"/>
        <w:rPr>
          <w:i/>
          <w:lang w:val="ga-IE"/>
        </w:rPr>
      </w:pPr>
      <w:bookmarkStart w:id="635" w:name="_Toc299362621"/>
      <w:bookmarkStart w:id="636" w:name="_Toc300742226"/>
      <w:bookmarkStart w:id="637" w:name="_Toc300742978"/>
      <w:bookmarkStart w:id="638" w:name="_Toc300744335"/>
      <w:r w:rsidRPr="00A15917">
        <w:rPr>
          <w:lang w:val="ga-IE"/>
        </w:rPr>
        <w:t>Airgeadas agus Rialachas</w:t>
      </w:r>
      <w:bookmarkEnd w:id="635"/>
      <w:bookmarkEnd w:id="636"/>
      <w:bookmarkEnd w:id="637"/>
      <w:bookmarkEnd w:id="638"/>
    </w:p>
    <w:p w14:paraId="48B76F73" w14:textId="77777777" w:rsidR="00EE061F" w:rsidRPr="00A15917" w:rsidRDefault="00EE061F" w:rsidP="006F18C4">
      <w:pPr>
        <w:rPr>
          <w:lang w:val="ga-IE"/>
        </w:rPr>
      </w:pPr>
      <w:r w:rsidRPr="00A15917">
        <w:rPr>
          <w:lang w:val="ga-IE"/>
        </w:rPr>
        <w:t xml:space="preserve">I mí an Mheithimh 2010, tar éis athrú a bheith déanta ar na Ranna Rialtais, d’aistrigh an tÚdarás Náisiúnta Míchumais chuig an Roinn Gnóthaí Pobail, Comhionannais agus Gaeltachta. Mar thoradh air sin, agus chun tacú le héifeachtúlachtaí leanúnacha, thosaigh an tÚdarás Náisiúnta Míchumais ar obair chun íocaíochtaí creidiúnaithe, párolla agus próiseáil taistil agus cóiríocht a aistriú chuig saoráid seirbhíse comhroinnte sa Roinn Gnóthaí Pobail, Comhionannais agus Gaeltachta i mí na Nollag 2010. </w:t>
      </w:r>
    </w:p>
    <w:p w14:paraId="403B7BCC" w14:textId="77777777" w:rsidR="00EE061F" w:rsidRPr="00A15917" w:rsidRDefault="00EE061F" w:rsidP="006F18C4">
      <w:pPr>
        <w:rPr>
          <w:lang w:val="ga-IE"/>
        </w:rPr>
      </w:pPr>
      <w:r w:rsidRPr="00A15917">
        <w:rPr>
          <w:lang w:val="ga-IE"/>
        </w:rPr>
        <w:t>Ag teacht le dea-rialachas, rinne an tÚdarás Náisiúnta Míchumais athbhreithniú ar rialuithe airgeadais inmheánach i mí Aibreáin 2010 agus chuidigh sin le heolas a thabhairt faoi cheadú Ráitis Airgeadais 2009</w:t>
      </w:r>
      <w:r w:rsidR="006F18C4">
        <w:rPr>
          <w:lang w:val="ga-IE"/>
        </w:rPr>
        <w:t xml:space="preserve">. </w:t>
      </w:r>
      <w:r w:rsidRPr="00A15917">
        <w:rPr>
          <w:lang w:val="ga-IE"/>
        </w:rPr>
        <w:t xml:space="preserve">Choimisiúnaigh an tÚdarás Náisiúnta Míchumais athbhreithniú agus nuashonrú ar an </w:t>
      </w:r>
      <w:r w:rsidRPr="00A15917">
        <w:rPr>
          <w:b/>
          <w:lang w:val="ga-IE"/>
        </w:rPr>
        <w:t>Lámhleabhar Rialachas Corparáideach</w:t>
      </w:r>
      <w:r w:rsidRPr="00A15917">
        <w:rPr>
          <w:lang w:val="ga-IE"/>
        </w:rPr>
        <w:t xml:space="preserve"> freisin chun sárchleachtas reatha a léiriú agus go háirithe chun na riachtanais sa </w:t>
      </w:r>
      <w:r w:rsidRPr="00A15917">
        <w:rPr>
          <w:b/>
          <w:lang w:val="ga-IE"/>
        </w:rPr>
        <w:t>Chód Cleachtais do Rialachas Comhlachtaí Stáit 2009</w:t>
      </w:r>
      <w:r w:rsidRPr="00A15917">
        <w:rPr>
          <w:lang w:val="ga-IE"/>
        </w:rPr>
        <w:t xml:space="preserve"> a ionchorprú</w:t>
      </w:r>
      <w:r w:rsidR="006F18C4">
        <w:rPr>
          <w:lang w:val="ga-IE"/>
        </w:rPr>
        <w:t xml:space="preserve">. </w:t>
      </w:r>
      <w:r w:rsidRPr="00A15917">
        <w:rPr>
          <w:lang w:val="ga-IE"/>
        </w:rPr>
        <w:t>Bhí an obair sin ag leanúint ar aghaidh ag deireadh na bliana.</w:t>
      </w:r>
    </w:p>
    <w:p w14:paraId="450925F6" w14:textId="77777777" w:rsidR="00EE061F" w:rsidRPr="00A15917" w:rsidRDefault="00EE061F" w:rsidP="006F18C4">
      <w:pPr>
        <w:pStyle w:val="Heading2"/>
        <w:rPr>
          <w:i/>
          <w:lang w:val="ga-IE"/>
        </w:rPr>
      </w:pPr>
      <w:bookmarkStart w:id="639" w:name="_Toc299362622"/>
      <w:bookmarkStart w:id="640" w:name="_Toc300742227"/>
      <w:bookmarkStart w:id="641" w:name="_Toc300742979"/>
      <w:bookmarkStart w:id="642" w:name="_Toc300744336"/>
      <w:r w:rsidRPr="00A15917">
        <w:rPr>
          <w:lang w:val="ga-IE"/>
        </w:rPr>
        <w:t>Córais Faisnéise agus Taifeadta</w:t>
      </w:r>
      <w:bookmarkEnd w:id="639"/>
      <w:bookmarkEnd w:id="640"/>
      <w:bookmarkEnd w:id="641"/>
      <w:bookmarkEnd w:id="642"/>
    </w:p>
    <w:p w14:paraId="0B023AF1" w14:textId="77777777" w:rsidR="00EE061F" w:rsidRPr="00A15917" w:rsidRDefault="00EE061F" w:rsidP="006F18C4">
      <w:pPr>
        <w:rPr>
          <w:lang w:val="ga-IE"/>
        </w:rPr>
      </w:pPr>
      <w:r w:rsidRPr="00A15917">
        <w:rPr>
          <w:lang w:val="ga-IE"/>
        </w:rPr>
        <w:t>I rith 2010 d’fhorbair an tÚdarás Náisiúnta Míchumais bunachar sonraí ordaithe chun cúlra aoisliúntais agus mionsonraí fostaithe reatha agus iarfhostaithe a stóráil air. Cuideoidh an bunachar sonraí leis an Údarás Náisiúnta Míchumais a oibleagáidí reachtúla a chomhlíonadh mar aon le riachtanais dlí a bhaineann le teidlíochtaí pinsin agus cinnteofar go stórálfar an fhaisnéis agus go gcoimeádfar sin in áit lárnach agus slán.</w:t>
      </w:r>
      <w:r w:rsidRPr="00A15917">
        <w:rPr>
          <w:color w:val="000000"/>
          <w:lang w:val="ga-IE"/>
        </w:rPr>
        <w:t xml:space="preserve"> Ina theannta sin soláthraítear teacht éasca agus tapa ar fhaisnéis mhionsonraithe, mar aon le réamhaisnéis a thabhairt ar theidlíocht pinsin ag aois scortha.</w:t>
      </w:r>
    </w:p>
    <w:p w14:paraId="6F9BEA97" w14:textId="77777777" w:rsidR="00EE061F" w:rsidRPr="00A15917" w:rsidRDefault="00EE061F" w:rsidP="006F18C4">
      <w:pPr>
        <w:rPr>
          <w:color w:val="000000"/>
          <w:lang w:val="ga-IE"/>
        </w:rPr>
      </w:pPr>
      <w:r w:rsidRPr="00A15917">
        <w:rPr>
          <w:lang w:val="ga-IE"/>
        </w:rPr>
        <w:t>Cuireadh tús le hobair freisin ar fheabhas a chur ar Chlár Sócmhainní Seasta an Údaráis Náisiúnta Míchumais isteach i mbunachar sonraí faisnéise cuimsitheach chun monatóireacht éifeachtach a dhéanamh ar thaifid agus sócmhainní a rianú.</w:t>
      </w:r>
    </w:p>
    <w:p w14:paraId="4B83A827" w14:textId="77777777" w:rsidR="00EE061F" w:rsidRPr="00A15917" w:rsidRDefault="00EE061F" w:rsidP="006F18C4">
      <w:pPr>
        <w:pStyle w:val="Heading2"/>
        <w:rPr>
          <w:i/>
          <w:lang w:val="ga-IE"/>
        </w:rPr>
      </w:pPr>
      <w:bookmarkStart w:id="643" w:name="_Toc299362623"/>
      <w:bookmarkStart w:id="644" w:name="_Toc300742228"/>
      <w:bookmarkStart w:id="645" w:name="_Toc300742980"/>
      <w:bookmarkStart w:id="646" w:name="_Toc300744337"/>
      <w:r w:rsidRPr="00A15917">
        <w:rPr>
          <w:lang w:val="ga-IE"/>
        </w:rPr>
        <w:lastRenderedPageBreak/>
        <w:t>Comhpháirtíocht</w:t>
      </w:r>
      <w:bookmarkEnd w:id="643"/>
      <w:bookmarkEnd w:id="644"/>
      <w:bookmarkEnd w:id="645"/>
      <w:bookmarkEnd w:id="646"/>
    </w:p>
    <w:p w14:paraId="14D6BF68" w14:textId="77777777" w:rsidR="00EE061F" w:rsidRPr="00A15917" w:rsidRDefault="00EE061F" w:rsidP="006F18C4">
      <w:pPr>
        <w:rPr>
          <w:lang w:val="ga-IE"/>
        </w:rPr>
      </w:pPr>
      <w:r w:rsidRPr="00A15917">
        <w:rPr>
          <w:lang w:val="ga-IE"/>
        </w:rPr>
        <w:t>Bhí ceithre chruinniú ag coiste comhpháirtíochta an Údaráis Náisiúnta Míchumais le linn 2010</w:t>
      </w:r>
      <w:r w:rsidR="006F18C4">
        <w:rPr>
          <w:lang w:val="ga-IE"/>
        </w:rPr>
        <w:t xml:space="preserve">. </w:t>
      </w:r>
      <w:r w:rsidRPr="00A15917">
        <w:rPr>
          <w:lang w:val="ga-IE"/>
        </w:rPr>
        <w:t>Seo a leanas roinnt de na réimsí a raibh an coiste gníomhach ina leith i rith na bliana</w:t>
      </w:r>
      <w:r w:rsidR="006F18C4">
        <w:rPr>
          <w:lang w:val="ga-IE"/>
        </w:rPr>
        <w:t xml:space="preserve">. </w:t>
      </w:r>
      <w:r w:rsidRPr="00A15917">
        <w:rPr>
          <w:lang w:val="ga-IE"/>
        </w:rPr>
        <w:t xml:space="preserve">An Plean Rochtana agus Plean an Oifigigh Fuinnimh; Plean Gnímh do Chustaiméirí, aiseolas ar an Straitéis Chumarsáide agus an plean gnímh lena mbaineann; agus próiseas chun athbhreithniú a dhéanamh ar oibríochtaí an choiste comhpháirtíochta in 2011. </w:t>
      </w:r>
    </w:p>
    <w:p w14:paraId="0D79A717" w14:textId="77777777" w:rsidR="00EE061F" w:rsidRPr="00A15917" w:rsidRDefault="00EE061F" w:rsidP="006F18C4">
      <w:pPr>
        <w:pStyle w:val="Heading2"/>
        <w:rPr>
          <w:i/>
          <w:lang w:val="ga-IE"/>
        </w:rPr>
      </w:pPr>
      <w:bookmarkStart w:id="647" w:name="_Toc299362624"/>
      <w:bookmarkStart w:id="648" w:name="_Toc300742229"/>
      <w:bookmarkStart w:id="649" w:name="_Toc300742981"/>
      <w:bookmarkStart w:id="650" w:name="_Toc300744338"/>
      <w:r w:rsidRPr="00A15917">
        <w:rPr>
          <w:lang w:val="ga-IE"/>
        </w:rPr>
        <w:t>Oifigeach Rochtana</w:t>
      </w:r>
      <w:bookmarkEnd w:id="647"/>
      <w:bookmarkEnd w:id="648"/>
      <w:bookmarkEnd w:id="649"/>
      <w:bookmarkEnd w:id="650"/>
    </w:p>
    <w:p w14:paraId="0F0BDA93" w14:textId="77777777" w:rsidR="00EE061F" w:rsidRPr="00A15917" w:rsidRDefault="00EE061F" w:rsidP="006F18C4">
      <w:pPr>
        <w:rPr>
          <w:lang w:val="ga-IE"/>
        </w:rPr>
      </w:pPr>
      <w:r w:rsidRPr="00A15917">
        <w:rPr>
          <w:lang w:val="ga-IE"/>
        </w:rPr>
        <w:t>Éilíonn an tAcht um Míchumas 2005 ar gach comhlacht poiblí aon Oifigeach Rochtana amháin a bheith acu ar a laghad. Chinntigh Oifigeach Rochtana an Údaráis Náisiúnta Míchumais cúnamh cuí do dhaoine faoi mhíchumas a bhain leas as faisnéis agus seirbhísí an Údaráis Náisiúnta Míchumais i rith 2010</w:t>
      </w:r>
      <w:r w:rsidR="006F18C4">
        <w:rPr>
          <w:lang w:val="ga-IE"/>
        </w:rPr>
        <w:t xml:space="preserve">. </w:t>
      </w:r>
      <w:r w:rsidRPr="00A15917">
        <w:rPr>
          <w:lang w:val="ga-IE"/>
        </w:rPr>
        <w:t>Tá mionsonraí teagmhála an Oifigigh Rochtana ar fáil ar leathanach baile an láithreáin ghréasáin.</w:t>
      </w:r>
    </w:p>
    <w:p w14:paraId="54CCFC3D" w14:textId="77777777" w:rsidR="00EE061F" w:rsidRPr="00A15917" w:rsidRDefault="00EE061F" w:rsidP="006F18C4">
      <w:pPr>
        <w:pStyle w:val="Heading2"/>
        <w:rPr>
          <w:i/>
          <w:lang w:val="ga-IE"/>
        </w:rPr>
      </w:pPr>
      <w:bookmarkStart w:id="651" w:name="_Toc299362625"/>
      <w:bookmarkStart w:id="652" w:name="_Toc300742230"/>
      <w:bookmarkStart w:id="653" w:name="_Toc300742982"/>
      <w:bookmarkStart w:id="654" w:name="_Toc300744339"/>
      <w:r w:rsidRPr="00A15917">
        <w:rPr>
          <w:lang w:val="ga-IE"/>
        </w:rPr>
        <w:t>Straitéis Chumarsáide</w:t>
      </w:r>
      <w:bookmarkEnd w:id="651"/>
      <w:bookmarkEnd w:id="652"/>
      <w:bookmarkEnd w:id="653"/>
      <w:bookmarkEnd w:id="654"/>
    </w:p>
    <w:p w14:paraId="56F58AE6" w14:textId="77777777" w:rsidR="00EE061F" w:rsidRPr="00A15917" w:rsidRDefault="00EE061F" w:rsidP="006F18C4">
      <w:pPr>
        <w:rPr>
          <w:lang w:val="ga-IE"/>
        </w:rPr>
      </w:pPr>
      <w:r w:rsidRPr="00A15917">
        <w:rPr>
          <w:lang w:val="ga-IE"/>
        </w:rPr>
        <w:t xml:space="preserve">I ndiaidh dul i gcomhairle le geallsealbhóirí seachtracha an Údaráis Náisiúnta Míchumais, agus go hinmheánach leis an bhfoireann, forbraíodh </w:t>
      </w:r>
      <w:r w:rsidRPr="00A15917">
        <w:rPr>
          <w:b/>
          <w:lang w:val="ga-IE"/>
        </w:rPr>
        <w:t xml:space="preserve">Straitéis Chumarsáide 2010-2012 </w:t>
      </w:r>
      <w:r w:rsidRPr="00A15917">
        <w:rPr>
          <w:lang w:val="ga-IE"/>
        </w:rPr>
        <w:t xml:space="preserve">agus plean gnímh lena mbaineann chun tacú le seachadadh an </w:t>
      </w:r>
      <w:r w:rsidRPr="00A15917">
        <w:rPr>
          <w:b/>
          <w:lang w:val="ga-IE"/>
        </w:rPr>
        <w:t>Phlean Straitéisigh 2010-2012.</w:t>
      </w:r>
      <w:r w:rsidRPr="00A15917">
        <w:rPr>
          <w:b/>
          <w:color w:val="000000"/>
          <w:lang w:val="ga-IE"/>
        </w:rPr>
        <w:t xml:space="preserve"> </w:t>
      </w:r>
    </w:p>
    <w:p w14:paraId="24DE721F" w14:textId="77777777" w:rsidR="00EE061F" w:rsidRPr="00A15917" w:rsidRDefault="00EE061F" w:rsidP="006F18C4">
      <w:pPr>
        <w:pStyle w:val="Heading2"/>
        <w:rPr>
          <w:i/>
          <w:lang w:val="ga-IE"/>
        </w:rPr>
      </w:pPr>
      <w:bookmarkStart w:id="655" w:name="_Toc299362626"/>
      <w:bookmarkStart w:id="656" w:name="_Toc300742231"/>
      <w:bookmarkStart w:id="657" w:name="_Toc300742983"/>
      <w:bookmarkStart w:id="658" w:name="_Toc300744340"/>
      <w:r w:rsidRPr="00A15917">
        <w:rPr>
          <w:lang w:val="ga-IE"/>
        </w:rPr>
        <w:t>Sláinte agus Sábháilteacht</w:t>
      </w:r>
      <w:bookmarkEnd w:id="655"/>
      <w:bookmarkEnd w:id="656"/>
      <w:bookmarkEnd w:id="657"/>
      <w:bookmarkEnd w:id="658"/>
    </w:p>
    <w:p w14:paraId="04CCDD91" w14:textId="77777777" w:rsidR="00EE061F" w:rsidRPr="00A15917" w:rsidRDefault="00EE061F" w:rsidP="006F18C4">
      <w:pPr>
        <w:rPr>
          <w:lang w:val="ga-IE"/>
        </w:rPr>
      </w:pPr>
      <w:r w:rsidRPr="00A15917">
        <w:rPr>
          <w:lang w:val="ga-IE"/>
        </w:rPr>
        <w:t xml:space="preserve">Mar chuid den obair leanúnach faoi shláinte agus sábháilteacht chun feabhas a chur ar inrochtaineacht foriomlán bhealaí éigeandála, tugadh an obair ar uasghrádú ar an ardaitheoir atá chun tosaigh san fhoirgneamh i gcás éalú éigeandála chun críche. </w:t>
      </w:r>
    </w:p>
    <w:p w14:paraId="425CB009" w14:textId="77777777" w:rsidR="00EE061F" w:rsidRPr="00A15917" w:rsidRDefault="00EE061F" w:rsidP="006F18C4">
      <w:pPr>
        <w:pStyle w:val="Heading2"/>
        <w:rPr>
          <w:i/>
          <w:lang w:val="ga-IE"/>
        </w:rPr>
      </w:pPr>
      <w:bookmarkStart w:id="659" w:name="_Toc299362627"/>
      <w:bookmarkStart w:id="660" w:name="_Toc300742232"/>
      <w:bookmarkStart w:id="661" w:name="_Toc300742984"/>
      <w:bookmarkStart w:id="662" w:name="_Toc300744341"/>
      <w:r w:rsidRPr="00A15917">
        <w:rPr>
          <w:lang w:val="ga-IE"/>
        </w:rPr>
        <w:t>Seirbhís Leabharlainne</w:t>
      </w:r>
      <w:bookmarkEnd w:id="659"/>
      <w:bookmarkEnd w:id="660"/>
      <w:bookmarkEnd w:id="661"/>
      <w:bookmarkEnd w:id="662"/>
    </w:p>
    <w:p w14:paraId="78DA111F" w14:textId="77777777" w:rsidR="00EE061F" w:rsidRPr="00A15917" w:rsidRDefault="00EE061F" w:rsidP="006F18C4">
      <w:pPr>
        <w:rPr>
          <w:lang w:val="ga-IE"/>
        </w:rPr>
      </w:pPr>
      <w:r w:rsidRPr="00A15917">
        <w:rPr>
          <w:lang w:val="ga-IE"/>
        </w:rPr>
        <w:t xml:space="preserve">Tá breis agus 55,000 mír i seilbh an Údaráis Náisiúnta Míchumais ar chúrsaí míchumais agus ábhair lena mbaineann, agus soláthraítear leis acmhainn chun tacú le faisnéis, comhairle agus treoir atá fianaisebhunaithe. Tá an bailiúchán ollmhór comhdhéanta de leabhair, irisleabhair, nuachtlitreacha, ailt nuachtáin, DVDanna, físeáin agus CD-ROManna. Mar aon le catalóg ar líne a thairiscint, soláthraíonn an Leabharlann leabhair agus alt irisleabhair tríd an bpost. Is féidir le daoine cuairt a thabhairt ar an Leabharlann chun obair níos doimhne a dhéanamh. Faigheann an Leabharlann leabhair agus ailt don fhoireann freisin ó acmhainní leabharlainne níos mó. Oibrítear an Leabharlann ar bhonn páirtaimseartha, soláthraítear rochtain ar an teileafón gach maidin i rith na seachtaine agus is féidir coinní a shocrú do dhá lá in aghaidh na seachtaine. </w:t>
      </w:r>
    </w:p>
    <w:p w14:paraId="60CFD9E1" w14:textId="77777777" w:rsidR="006B62B3" w:rsidRDefault="00EE061F" w:rsidP="006F18C4">
      <w:pPr>
        <w:rPr>
          <w:lang w:val="ga-IE"/>
        </w:rPr>
      </w:pPr>
      <w:r w:rsidRPr="00A15917">
        <w:rPr>
          <w:lang w:val="ga-IE"/>
        </w:rPr>
        <w:t>I rith 2010, d’fhreagair an Leabharlann 935 fiosrúchán (tháinig aon tríú acu ón bhfoireann), agus thosaigh 49 ball nua sa leabharlann i rith na bliana. Sholáthair an Leabharlann 192 leabhar ar iasacht agus 272 alt irisleabhair freisin.</w:t>
      </w:r>
    </w:p>
    <w:p w14:paraId="20E68440" w14:textId="77777777" w:rsidR="006B62B3" w:rsidRPr="000E6F67" w:rsidRDefault="006B62B3" w:rsidP="00B3690F">
      <w:pPr>
        <w:pStyle w:val="Heading1"/>
        <w:rPr>
          <w:rFonts w:eastAsia="Bodoni MT"/>
          <w:lang w:val="ga-IE"/>
        </w:rPr>
      </w:pPr>
      <w:r>
        <w:rPr>
          <w:lang w:val="ga-IE"/>
        </w:rPr>
        <w:br w:type="page"/>
      </w:r>
      <w:bookmarkStart w:id="663" w:name="_Toc299361996"/>
      <w:bookmarkStart w:id="664" w:name="_Toc299362500"/>
      <w:bookmarkStart w:id="665" w:name="_Toc299362628"/>
      <w:bookmarkStart w:id="666" w:name="_Toc300741754"/>
      <w:bookmarkStart w:id="667" w:name="_Toc300742233"/>
      <w:bookmarkStart w:id="668" w:name="_Toc300742985"/>
      <w:bookmarkStart w:id="669" w:name="_Toc300744342"/>
      <w:bookmarkStart w:id="670" w:name="_Toc304371229"/>
      <w:bookmarkStart w:id="671" w:name="_Toc304381945"/>
      <w:r w:rsidR="00872C46">
        <w:rPr>
          <w:lang w:val="ga-IE"/>
        </w:rPr>
        <w:lastRenderedPageBreak/>
        <w:br w:type="page"/>
      </w:r>
      <w:r w:rsidRPr="000E6F67">
        <w:rPr>
          <w:rFonts w:eastAsia="Bodoni MT"/>
          <w:lang w:val="ga-IE"/>
        </w:rPr>
        <w:lastRenderedPageBreak/>
        <w:t>Ráitis Airgeadais 2010</w:t>
      </w:r>
      <w:bookmarkEnd w:id="663"/>
      <w:bookmarkEnd w:id="664"/>
      <w:bookmarkEnd w:id="665"/>
      <w:bookmarkEnd w:id="666"/>
      <w:bookmarkEnd w:id="667"/>
      <w:bookmarkEnd w:id="668"/>
      <w:bookmarkEnd w:id="669"/>
      <w:bookmarkEnd w:id="670"/>
      <w:bookmarkEnd w:id="671"/>
    </w:p>
    <w:p w14:paraId="466C5A39" w14:textId="77777777" w:rsidR="006B62B3" w:rsidRPr="000E6F67" w:rsidRDefault="006B62B3" w:rsidP="00934F76">
      <w:pPr>
        <w:pStyle w:val="Heading1"/>
        <w:rPr>
          <w:lang w:val="ga-IE"/>
        </w:rPr>
      </w:pPr>
      <w:r w:rsidRPr="000E6F67">
        <w:rPr>
          <w:lang w:val="ga-IE"/>
        </w:rPr>
        <w:br w:type="page"/>
      </w:r>
      <w:bookmarkStart w:id="672" w:name="_Toc299360719"/>
      <w:bookmarkStart w:id="673" w:name="_Toc299361997"/>
      <w:bookmarkStart w:id="674" w:name="_Toc299362501"/>
      <w:bookmarkStart w:id="675" w:name="_Toc299362629"/>
      <w:bookmarkStart w:id="676" w:name="_Toc300741755"/>
      <w:bookmarkStart w:id="677" w:name="_Toc300742234"/>
      <w:bookmarkStart w:id="678" w:name="_Toc300742986"/>
      <w:bookmarkStart w:id="679" w:name="_Toc300744343"/>
      <w:bookmarkStart w:id="680" w:name="_Toc304371230"/>
      <w:bookmarkStart w:id="681" w:name="_Toc304381946"/>
      <w:r w:rsidRPr="000E6F67">
        <w:rPr>
          <w:lang w:val="ga-IE"/>
        </w:rPr>
        <w:lastRenderedPageBreak/>
        <w:t>Clár</w:t>
      </w:r>
      <w:bookmarkEnd w:id="672"/>
      <w:bookmarkEnd w:id="673"/>
      <w:bookmarkEnd w:id="674"/>
      <w:bookmarkEnd w:id="675"/>
      <w:bookmarkEnd w:id="676"/>
      <w:bookmarkEnd w:id="677"/>
      <w:bookmarkEnd w:id="678"/>
      <w:bookmarkEnd w:id="679"/>
      <w:bookmarkEnd w:id="680"/>
      <w:bookmarkEnd w:id="681"/>
      <w:r w:rsidRPr="000E6F67">
        <w:rPr>
          <w:lang w:val="ga-IE"/>
        </w:rPr>
        <w:tab/>
      </w:r>
    </w:p>
    <w:p w14:paraId="45CE27C8" w14:textId="77777777" w:rsidR="00716D67" w:rsidRDefault="00716D67" w:rsidP="00716D67">
      <w:pPr>
        <w:pStyle w:val="TOC2"/>
        <w:tabs>
          <w:tab w:val="right" w:leader="dot" w:pos="8636"/>
        </w:tabs>
        <w:ind w:left="0"/>
        <w:rPr>
          <w:rFonts w:ascii="Times New Roman" w:hAnsi="Times New Roman"/>
          <w:noProof/>
          <w:lang w:val="en-GB" w:eastAsia="en-GB"/>
        </w:rPr>
      </w:pPr>
      <w:r>
        <w:rPr>
          <w:lang w:val="ga-IE"/>
        </w:rPr>
        <w:fldChar w:fldCharType="begin"/>
      </w:r>
      <w:r>
        <w:rPr>
          <w:lang w:val="ga-IE"/>
        </w:rPr>
        <w:instrText xml:space="preserve"> TOC \o "1-2" \h \z \u </w:instrText>
      </w:r>
      <w:r>
        <w:rPr>
          <w:lang w:val="ga-IE"/>
        </w:rPr>
        <w:fldChar w:fldCharType="separate"/>
      </w:r>
      <w:hyperlink w:anchor="_Toc300744344" w:history="1">
        <w:r w:rsidRPr="0076675B">
          <w:rPr>
            <w:rStyle w:val="Hyperlink"/>
            <w:noProof/>
            <w:lang w:val="ga-IE"/>
          </w:rPr>
          <w:t>Baill an Údaráis Náisiúnta Míchumais agus Eolas Eile</w:t>
        </w:r>
        <w:r>
          <w:rPr>
            <w:noProof/>
            <w:webHidden/>
          </w:rPr>
          <w:tab/>
        </w:r>
        <w:r>
          <w:rPr>
            <w:noProof/>
            <w:webHidden/>
          </w:rPr>
          <w:fldChar w:fldCharType="begin"/>
        </w:r>
        <w:r>
          <w:rPr>
            <w:noProof/>
            <w:webHidden/>
          </w:rPr>
          <w:instrText xml:space="preserve"> PAGEREF _Toc300744344 \h </w:instrText>
        </w:r>
        <w:r>
          <w:rPr>
            <w:noProof/>
          </w:rPr>
        </w:r>
        <w:r>
          <w:rPr>
            <w:noProof/>
            <w:webHidden/>
          </w:rPr>
          <w:fldChar w:fldCharType="separate"/>
        </w:r>
        <w:r w:rsidR="00C7626C">
          <w:rPr>
            <w:noProof/>
            <w:webHidden/>
          </w:rPr>
          <w:t>39</w:t>
        </w:r>
        <w:r>
          <w:rPr>
            <w:noProof/>
            <w:webHidden/>
          </w:rPr>
          <w:fldChar w:fldCharType="end"/>
        </w:r>
      </w:hyperlink>
    </w:p>
    <w:p w14:paraId="10D8ECCA" w14:textId="77777777" w:rsidR="00716D67" w:rsidRDefault="00716D67" w:rsidP="00716D67">
      <w:pPr>
        <w:pStyle w:val="TOC2"/>
        <w:tabs>
          <w:tab w:val="right" w:leader="dot" w:pos="8636"/>
        </w:tabs>
        <w:ind w:left="0"/>
        <w:rPr>
          <w:rFonts w:ascii="Times New Roman" w:hAnsi="Times New Roman"/>
          <w:noProof/>
          <w:lang w:val="en-GB" w:eastAsia="en-GB"/>
        </w:rPr>
      </w:pPr>
      <w:hyperlink w:anchor="_Toc300744346" w:history="1">
        <w:r w:rsidRPr="0076675B">
          <w:rPr>
            <w:rStyle w:val="Hyperlink"/>
            <w:noProof/>
            <w:lang w:val="ga-IE"/>
          </w:rPr>
          <w:t>Feidhmeanna agus Cumhachtaí ÚNM</w:t>
        </w:r>
        <w:r>
          <w:rPr>
            <w:noProof/>
            <w:webHidden/>
          </w:rPr>
          <w:tab/>
        </w:r>
        <w:r>
          <w:rPr>
            <w:noProof/>
            <w:webHidden/>
          </w:rPr>
          <w:fldChar w:fldCharType="begin"/>
        </w:r>
        <w:r>
          <w:rPr>
            <w:noProof/>
            <w:webHidden/>
          </w:rPr>
          <w:instrText xml:space="preserve"> PAGEREF _Toc300744346 \h </w:instrText>
        </w:r>
        <w:r>
          <w:rPr>
            <w:noProof/>
          </w:rPr>
        </w:r>
        <w:r>
          <w:rPr>
            <w:noProof/>
            <w:webHidden/>
          </w:rPr>
          <w:fldChar w:fldCharType="separate"/>
        </w:r>
        <w:r w:rsidR="00C7626C">
          <w:rPr>
            <w:noProof/>
            <w:webHidden/>
          </w:rPr>
          <w:t>40</w:t>
        </w:r>
        <w:r>
          <w:rPr>
            <w:noProof/>
            <w:webHidden/>
          </w:rPr>
          <w:fldChar w:fldCharType="end"/>
        </w:r>
      </w:hyperlink>
    </w:p>
    <w:p w14:paraId="6D00BFA5" w14:textId="77777777" w:rsidR="00716D67" w:rsidRDefault="00716D67" w:rsidP="00716D67">
      <w:pPr>
        <w:pStyle w:val="TOC2"/>
        <w:tabs>
          <w:tab w:val="right" w:leader="dot" w:pos="8636"/>
        </w:tabs>
        <w:ind w:left="0"/>
        <w:rPr>
          <w:rFonts w:ascii="Times New Roman" w:hAnsi="Times New Roman"/>
          <w:noProof/>
          <w:lang w:val="en-GB" w:eastAsia="en-GB"/>
        </w:rPr>
      </w:pPr>
      <w:hyperlink w:anchor="_Toc300744348" w:history="1">
        <w:r w:rsidRPr="0076675B">
          <w:rPr>
            <w:rStyle w:val="Hyperlink"/>
            <w:noProof/>
            <w:lang w:val="ga-IE"/>
          </w:rPr>
          <w:t>Ráiteas ar Fhreagrachtaí na mBall den Údarás</w:t>
        </w:r>
        <w:r>
          <w:rPr>
            <w:noProof/>
            <w:webHidden/>
          </w:rPr>
          <w:tab/>
        </w:r>
        <w:r>
          <w:rPr>
            <w:noProof/>
            <w:webHidden/>
          </w:rPr>
          <w:fldChar w:fldCharType="begin"/>
        </w:r>
        <w:r>
          <w:rPr>
            <w:noProof/>
            <w:webHidden/>
          </w:rPr>
          <w:instrText xml:space="preserve"> PAGEREF _Toc300744348 \h </w:instrText>
        </w:r>
        <w:r>
          <w:rPr>
            <w:noProof/>
          </w:rPr>
        </w:r>
        <w:r>
          <w:rPr>
            <w:noProof/>
            <w:webHidden/>
          </w:rPr>
          <w:fldChar w:fldCharType="separate"/>
        </w:r>
        <w:r w:rsidR="00C7626C">
          <w:rPr>
            <w:noProof/>
            <w:webHidden/>
          </w:rPr>
          <w:t>42</w:t>
        </w:r>
        <w:r>
          <w:rPr>
            <w:noProof/>
            <w:webHidden/>
          </w:rPr>
          <w:fldChar w:fldCharType="end"/>
        </w:r>
      </w:hyperlink>
    </w:p>
    <w:p w14:paraId="50C51AF8" w14:textId="77777777" w:rsidR="00716D67" w:rsidRDefault="00716D67" w:rsidP="00716D67">
      <w:pPr>
        <w:pStyle w:val="TOC2"/>
        <w:tabs>
          <w:tab w:val="right" w:leader="dot" w:pos="8636"/>
        </w:tabs>
        <w:ind w:left="0"/>
        <w:rPr>
          <w:rFonts w:ascii="Times New Roman" w:hAnsi="Times New Roman"/>
          <w:noProof/>
          <w:lang w:val="en-GB" w:eastAsia="en-GB"/>
        </w:rPr>
      </w:pPr>
      <w:hyperlink w:anchor="_Toc300744349" w:history="1">
        <w:r w:rsidRPr="0076675B">
          <w:rPr>
            <w:rStyle w:val="Hyperlink"/>
            <w:noProof/>
            <w:lang w:val="ga-IE"/>
          </w:rPr>
          <w:t>Ráiteas ar Rialú Inmheánach Airgeadais</w:t>
        </w:r>
        <w:r>
          <w:rPr>
            <w:noProof/>
            <w:webHidden/>
          </w:rPr>
          <w:tab/>
        </w:r>
        <w:r>
          <w:rPr>
            <w:noProof/>
            <w:webHidden/>
          </w:rPr>
          <w:fldChar w:fldCharType="begin"/>
        </w:r>
        <w:r>
          <w:rPr>
            <w:noProof/>
            <w:webHidden/>
          </w:rPr>
          <w:instrText xml:space="preserve"> PAGEREF _Toc300744349 \h </w:instrText>
        </w:r>
        <w:r>
          <w:rPr>
            <w:noProof/>
          </w:rPr>
        </w:r>
        <w:r>
          <w:rPr>
            <w:noProof/>
            <w:webHidden/>
          </w:rPr>
          <w:fldChar w:fldCharType="separate"/>
        </w:r>
        <w:r w:rsidR="00C7626C">
          <w:rPr>
            <w:noProof/>
            <w:webHidden/>
          </w:rPr>
          <w:t>43</w:t>
        </w:r>
        <w:r>
          <w:rPr>
            <w:noProof/>
            <w:webHidden/>
          </w:rPr>
          <w:fldChar w:fldCharType="end"/>
        </w:r>
      </w:hyperlink>
    </w:p>
    <w:p w14:paraId="34A88A04" w14:textId="77777777" w:rsidR="00716D67" w:rsidRDefault="00716D67">
      <w:pPr>
        <w:pStyle w:val="TOC1"/>
        <w:rPr>
          <w:rFonts w:ascii="Times New Roman" w:hAnsi="Times New Roman"/>
          <w:lang w:val="en-GB" w:eastAsia="en-GB"/>
        </w:rPr>
      </w:pPr>
      <w:hyperlink w:anchor="_Toc300744350" w:history="1">
        <w:r w:rsidRPr="0076675B">
          <w:rPr>
            <w:rStyle w:val="Hyperlink"/>
            <w:lang w:val="en-GB"/>
          </w:rPr>
          <w:t>Tuarascáil an Ard-Reachtaire Cuntas agus Ciste</w:t>
        </w:r>
        <w:r>
          <w:rPr>
            <w:webHidden/>
          </w:rPr>
          <w:tab/>
        </w:r>
        <w:r>
          <w:rPr>
            <w:webHidden/>
          </w:rPr>
          <w:fldChar w:fldCharType="begin"/>
        </w:r>
        <w:r>
          <w:rPr>
            <w:webHidden/>
          </w:rPr>
          <w:instrText xml:space="preserve"> PAGEREF _Toc300744350 \h </w:instrText>
        </w:r>
        <w:r>
          <w:rPr>
            <w:webHidden/>
          </w:rPr>
          <w:fldChar w:fldCharType="separate"/>
        </w:r>
        <w:r w:rsidR="00C7626C">
          <w:rPr>
            <w:webHidden/>
          </w:rPr>
          <w:t>46</w:t>
        </w:r>
        <w:r>
          <w:rPr>
            <w:webHidden/>
          </w:rPr>
          <w:fldChar w:fldCharType="end"/>
        </w:r>
      </w:hyperlink>
    </w:p>
    <w:p w14:paraId="40C380D6" w14:textId="77777777" w:rsidR="00716D67" w:rsidRDefault="00716D67">
      <w:pPr>
        <w:pStyle w:val="TOC1"/>
        <w:rPr>
          <w:rFonts w:ascii="Times New Roman" w:hAnsi="Times New Roman"/>
          <w:lang w:val="en-GB" w:eastAsia="en-GB"/>
        </w:rPr>
      </w:pPr>
      <w:hyperlink w:anchor="_Toc300744355" w:history="1">
        <w:r w:rsidRPr="0076675B">
          <w:rPr>
            <w:rStyle w:val="Hyperlink"/>
            <w:rFonts w:eastAsia="Gill Sans"/>
          </w:rPr>
          <w:t>Ráiteas ar Pholasaithe Cuntasaíochta</w:t>
        </w:r>
        <w:r>
          <w:rPr>
            <w:webHidden/>
          </w:rPr>
          <w:tab/>
        </w:r>
        <w:r>
          <w:rPr>
            <w:webHidden/>
          </w:rPr>
          <w:fldChar w:fldCharType="begin"/>
        </w:r>
        <w:r>
          <w:rPr>
            <w:webHidden/>
          </w:rPr>
          <w:instrText xml:space="preserve"> PAGEREF _Toc300744355 \h </w:instrText>
        </w:r>
        <w:r>
          <w:rPr>
            <w:webHidden/>
          </w:rPr>
          <w:fldChar w:fldCharType="separate"/>
        </w:r>
        <w:r w:rsidR="00C7626C">
          <w:rPr>
            <w:webHidden/>
          </w:rPr>
          <w:t>48</w:t>
        </w:r>
        <w:r>
          <w:rPr>
            <w:webHidden/>
          </w:rPr>
          <w:fldChar w:fldCharType="end"/>
        </w:r>
      </w:hyperlink>
    </w:p>
    <w:p w14:paraId="2732733A" w14:textId="77777777" w:rsidR="00716D67" w:rsidRDefault="00716D67" w:rsidP="00716D67">
      <w:pPr>
        <w:pStyle w:val="TOC2"/>
        <w:tabs>
          <w:tab w:val="right" w:leader="dot" w:pos="8636"/>
        </w:tabs>
        <w:ind w:left="0"/>
        <w:rPr>
          <w:rFonts w:ascii="Times New Roman" w:hAnsi="Times New Roman"/>
          <w:noProof/>
          <w:lang w:val="en-GB" w:eastAsia="en-GB"/>
        </w:rPr>
      </w:pPr>
      <w:hyperlink w:anchor="_Toc300744356" w:history="1">
        <w:r w:rsidRPr="0076675B">
          <w:rPr>
            <w:rStyle w:val="Hyperlink"/>
            <w:noProof/>
          </w:rPr>
          <w:t>Cuntas Ioncaim Agus Caiteachais</w:t>
        </w:r>
        <w:r>
          <w:rPr>
            <w:noProof/>
            <w:webHidden/>
          </w:rPr>
          <w:tab/>
        </w:r>
        <w:r>
          <w:rPr>
            <w:noProof/>
            <w:webHidden/>
          </w:rPr>
          <w:fldChar w:fldCharType="begin"/>
        </w:r>
        <w:r>
          <w:rPr>
            <w:noProof/>
            <w:webHidden/>
          </w:rPr>
          <w:instrText xml:space="preserve"> PAGEREF _Toc300744356 \h </w:instrText>
        </w:r>
        <w:r>
          <w:rPr>
            <w:noProof/>
          </w:rPr>
        </w:r>
        <w:r>
          <w:rPr>
            <w:noProof/>
            <w:webHidden/>
          </w:rPr>
          <w:fldChar w:fldCharType="separate"/>
        </w:r>
        <w:r w:rsidR="00C7626C">
          <w:rPr>
            <w:noProof/>
            <w:webHidden/>
          </w:rPr>
          <w:t>49</w:t>
        </w:r>
        <w:r>
          <w:rPr>
            <w:noProof/>
            <w:webHidden/>
          </w:rPr>
          <w:fldChar w:fldCharType="end"/>
        </w:r>
      </w:hyperlink>
    </w:p>
    <w:p w14:paraId="557B379C" w14:textId="77777777" w:rsidR="00716D67" w:rsidRDefault="00716D67" w:rsidP="00934F76">
      <w:pPr>
        <w:pStyle w:val="TOC2"/>
        <w:tabs>
          <w:tab w:val="right" w:leader="dot" w:pos="8636"/>
        </w:tabs>
        <w:ind w:left="0"/>
        <w:rPr>
          <w:rFonts w:ascii="Times New Roman" w:hAnsi="Times New Roman"/>
          <w:noProof/>
          <w:lang w:val="en-GB" w:eastAsia="en-GB"/>
        </w:rPr>
      </w:pPr>
      <w:hyperlink w:anchor="_Toc300744357" w:history="1">
        <w:r w:rsidRPr="0076675B">
          <w:rPr>
            <w:rStyle w:val="Hyperlink"/>
            <w:rFonts w:eastAsia="Arial"/>
            <w:noProof/>
          </w:rPr>
          <w:t>Clár Comhardaithe</w:t>
        </w:r>
        <w:r>
          <w:rPr>
            <w:noProof/>
            <w:webHidden/>
          </w:rPr>
          <w:tab/>
        </w:r>
        <w:r>
          <w:rPr>
            <w:noProof/>
            <w:webHidden/>
          </w:rPr>
          <w:fldChar w:fldCharType="begin"/>
        </w:r>
        <w:r>
          <w:rPr>
            <w:noProof/>
            <w:webHidden/>
          </w:rPr>
          <w:instrText xml:space="preserve"> PAGEREF _Toc300744357 \h </w:instrText>
        </w:r>
        <w:r>
          <w:rPr>
            <w:noProof/>
          </w:rPr>
        </w:r>
        <w:r>
          <w:rPr>
            <w:noProof/>
            <w:webHidden/>
          </w:rPr>
          <w:fldChar w:fldCharType="separate"/>
        </w:r>
        <w:r w:rsidR="00C7626C">
          <w:rPr>
            <w:noProof/>
            <w:webHidden/>
          </w:rPr>
          <w:t>51</w:t>
        </w:r>
        <w:r>
          <w:rPr>
            <w:noProof/>
            <w:webHidden/>
          </w:rPr>
          <w:fldChar w:fldCharType="end"/>
        </w:r>
      </w:hyperlink>
    </w:p>
    <w:p w14:paraId="731136B5" w14:textId="77777777" w:rsidR="00716D67" w:rsidRDefault="00716D67" w:rsidP="00934F76">
      <w:pPr>
        <w:pStyle w:val="TOC2"/>
        <w:tabs>
          <w:tab w:val="right" w:leader="dot" w:pos="8636"/>
        </w:tabs>
        <w:ind w:left="0"/>
        <w:rPr>
          <w:rFonts w:ascii="Times New Roman" w:hAnsi="Times New Roman"/>
          <w:noProof/>
          <w:lang w:val="en-GB" w:eastAsia="en-GB"/>
        </w:rPr>
      </w:pPr>
      <w:hyperlink w:anchor="_Toc300744358" w:history="1">
        <w:r w:rsidRPr="0076675B">
          <w:rPr>
            <w:rStyle w:val="Hyperlink"/>
            <w:noProof/>
          </w:rPr>
          <w:t>Ráiteas ar an Sreabhadh Airgid</w:t>
        </w:r>
        <w:r>
          <w:rPr>
            <w:noProof/>
            <w:webHidden/>
          </w:rPr>
          <w:tab/>
        </w:r>
        <w:r>
          <w:rPr>
            <w:noProof/>
            <w:webHidden/>
          </w:rPr>
          <w:fldChar w:fldCharType="begin"/>
        </w:r>
        <w:r>
          <w:rPr>
            <w:noProof/>
            <w:webHidden/>
          </w:rPr>
          <w:instrText xml:space="preserve"> PAGEREF _Toc300744358 \h </w:instrText>
        </w:r>
        <w:r>
          <w:rPr>
            <w:noProof/>
          </w:rPr>
        </w:r>
        <w:r>
          <w:rPr>
            <w:noProof/>
            <w:webHidden/>
          </w:rPr>
          <w:fldChar w:fldCharType="separate"/>
        </w:r>
        <w:r w:rsidR="00C7626C">
          <w:rPr>
            <w:noProof/>
            <w:webHidden/>
          </w:rPr>
          <w:t>52</w:t>
        </w:r>
        <w:r>
          <w:rPr>
            <w:noProof/>
            <w:webHidden/>
          </w:rPr>
          <w:fldChar w:fldCharType="end"/>
        </w:r>
      </w:hyperlink>
    </w:p>
    <w:p w14:paraId="766CB231" w14:textId="77777777" w:rsidR="00716D67" w:rsidRDefault="00716D67" w:rsidP="00934F76">
      <w:pPr>
        <w:pStyle w:val="TOC2"/>
        <w:tabs>
          <w:tab w:val="right" w:leader="dot" w:pos="8636"/>
        </w:tabs>
        <w:ind w:left="0"/>
        <w:rPr>
          <w:rFonts w:ascii="Times New Roman" w:hAnsi="Times New Roman"/>
          <w:noProof/>
          <w:lang w:val="en-GB" w:eastAsia="en-GB"/>
        </w:rPr>
      </w:pPr>
      <w:hyperlink w:anchor="_Toc300744359" w:history="1">
        <w:r w:rsidRPr="0076675B">
          <w:rPr>
            <w:rStyle w:val="Hyperlink"/>
            <w:noProof/>
          </w:rPr>
          <w:t>NótaÍ ar na Ráitis Airgeadais</w:t>
        </w:r>
        <w:r>
          <w:rPr>
            <w:noProof/>
            <w:webHidden/>
          </w:rPr>
          <w:tab/>
        </w:r>
        <w:r>
          <w:rPr>
            <w:noProof/>
            <w:webHidden/>
          </w:rPr>
          <w:fldChar w:fldCharType="begin"/>
        </w:r>
        <w:r>
          <w:rPr>
            <w:noProof/>
            <w:webHidden/>
          </w:rPr>
          <w:instrText xml:space="preserve"> PAGEREF _Toc300744359 \h </w:instrText>
        </w:r>
        <w:r>
          <w:rPr>
            <w:noProof/>
          </w:rPr>
        </w:r>
        <w:r>
          <w:rPr>
            <w:noProof/>
            <w:webHidden/>
          </w:rPr>
          <w:fldChar w:fldCharType="separate"/>
        </w:r>
        <w:r w:rsidR="00C7626C">
          <w:rPr>
            <w:noProof/>
            <w:webHidden/>
          </w:rPr>
          <w:t>53</w:t>
        </w:r>
        <w:r>
          <w:rPr>
            <w:noProof/>
            <w:webHidden/>
          </w:rPr>
          <w:fldChar w:fldCharType="end"/>
        </w:r>
      </w:hyperlink>
    </w:p>
    <w:p w14:paraId="42FCE621" w14:textId="77777777" w:rsidR="006B62B3" w:rsidRPr="000E6F67" w:rsidRDefault="00716D67" w:rsidP="006B62B3">
      <w:pPr>
        <w:pStyle w:val="Heading2"/>
        <w:rPr>
          <w:lang w:val="ga-IE"/>
        </w:rPr>
      </w:pPr>
      <w:r>
        <w:rPr>
          <w:lang w:val="ga-IE"/>
        </w:rPr>
        <w:fldChar w:fldCharType="end"/>
      </w:r>
      <w:r w:rsidR="006B62B3" w:rsidRPr="000E6F67">
        <w:rPr>
          <w:lang w:val="ga-IE"/>
        </w:rPr>
        <w:br w:type="page"/>
      </w:r>
      <w:bookmarkStart w:id="682" w:name="_Toc299362630"/>
      <w:bookmarkStart w:id="683" w:name="_Toc300742235"/>
      <w:bookmarkStart w:id="684" w:name="_Toc300742987"/>
      <w:bookmarkStart w:id="685" w:name="_Toc300744344"/>
      <w:r w:rsidR="006B62B3" w:rsidRPr="000E6F67">
        <w:rPr>
          <w:lang w:val="ga-IE"/>
        </w:rPr>
        <w:lastRenderedPageBreak/>
        <w:t>Baill an Údaráis Náisiúnta Míchumais agus Eolas Eile</w:t>
      </w:r>
      <w:bookmarkEnd w:id="682"/>
      <w:bookmarkEnd w:id="683"/>
      <w:bookmarkEnd w:id="684"/>
      <w:bookmarkEnd w:id="685"/>
    </w:p>
    <w:p w14:paraId="7B156237" w14:textId="77777777" w:rsidR="006B62B3" w:rsidRPr="000E6F67" w:rsidRDefault="006B62B3" w:rsidP="006B62B3">
      <w:pPr>
        <w:pStyle w:val="TableTitle"/>
        <w:rPr>
          <w:lang w:val="ga-IE"/>
        </w:rPr>
      </w:pPr>
      <w:r w:rsidRPr="000E6F67">
        <w:rPr>
          <w:lang w:val="ga-IE"/>
        </w:rPr>
        <w:t>Baill an Údaráis Náisiúnta Míchumais (</w:t>
      </w:r>
      <w:r w:rsidR="00C822AE">
        <w:rPr>
          <w:lang w:val="ga-IE"/>
        </w:rPr>
        <w:t>Eanair 1 – Nollaig 31 2010)</w:t>
      </w:r>
    </w:p>
    <w:tbl>
      <w:tblPr>
        <w:tblW w:w="7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214"/>
        <w:gridCol w:w="3114"/>
        <w:gridCol w:w="1217"/>
        <w:gridCol w:w="1317"/>
      </w:tblGrid>
      <w:tr w:rsidR="005F16C7" w:rsidRPr="000E6F67" w14:paraId="01CC1E18" w14:textId="77777777" w:rsidTr="000E6F67">
        <w:tblPrEx>
          <w:tblCellMar>
            <w:top w:w="0" w:type="dxa"/>
            <w:bottom w:w="0" w:type="dxa"/>
          </w:tblCellMar>
        </w:tblPrEx>
        <w:tc>
          <w:tcPr>
            <w:tcW w:w="2214" w:type="dxa"/>
            <w:shd w:val="clear" w:color="auto" w:fill="auto"/>
          </w:tcPr>
          <w:p w14:paraId="7E65DD33" w14:textId="77777777" w:rsidR="005F16C7" w:rsidRPr="000E6F67" w:rsidRDefault="005F16C7" w:rsidP="00594740">
            <w:pPr>
              <w:pStyle w:val="TableNote"/>
              <w:spacing w:before="0" w:after="0" w:line="240" w:lineRule="auto"/>
              <w:jc w:val="left"/>
              <w:rPr>
                <w:lang w:val="ga-IE"/>
              </w:rPr>
            </w:pPr>
          </w:p>
        </w:tc>
        <w:tc>
          <w:tcPr>
            <w:tcW w:w="3114" w:type="dxa"/>
            <w:shd w:val="clear" w:color="auto" w:fill="auto"/>
          </w:tcPr>
          <w:p w14:paraId="24E3EC3C" w14:textId="77777777" w:rsidR="005F16C7" w:rsidRPr="000E6F67" w:rsidRDefault="005F16C7" w:rsidP="00594740">
            <w:pPr>
              <w:pStyle w:val="TableHead"/>
              <w:spacing w:line="240" w:lineRule="auto"/>
              <w:jc w:val="right"/>
              <w:rPr>
                <w:sz w:val="20"/>
                <w:szCs w:val="20"/>
                <w:lang w:val="ga-IE"/>
              </w:rPr>
            </w:pPr>
            <w:r w:rsidRPr="000E6F67">
              <w:rPr>
                <w:sz w:val="20"/>
                <w:szCs w:val="20"/>
                <w:lang w:val="ga-IE" w:eastAsia="en-IE"/>
              </w:rPr>
              <w:t>Líon na gcruinnithe ar fhreastail linn na tréimhse seo</w:t>
            </w:r>
          </w:p>
        </w:tc>
        <w:tc>
          <w:tcPr>
            <w:tcW w:w="1217" w:type="dxa"/>
            <w:shd w:val="clear" w:color="auto" w:fill="auto"/>
          </w:tcPr>
          <w:p w14:paraId="56EA7344" w14:textId="77777777" w:rsidR="005F16C7" w:rsidRPr="000E6F67" w:rsidRDefault="005F16C7" w:rsidP="00594740">
            <w:pPr>
              <w:pStyle w:val="TableHead"/>
              <w:spacing w:line="240" w:lineRule="auto"/>
              <w:jc w:val="right"/>
              <w:rPr>
                <w:sz w:val="20"/>
                <w:szCs w:val="20"/>
                <w:lang w:val="ga-IE"/>
              </w:rPr>
            </w:pPr>
            <w:r w:rsidRPr="000E6F67">
              <w:rPr>
                <w:sz w:val="20"/>
                <w:szCs w:val="20"/>
                <w:lang w:val="ga-IE"/>
              </w:rPr>
              <w:t>Táillí</w:t>
            </w:r>
          </w:p>
        </w:tc>
        <w:tc>
          <w:tcPr>
            <w:tcW w:w="1317" w:type="dxa"/>
            <w:shd w:val="clear" w:color="auto" w:fill="auto"/>
          </w:tcPr>
          <w:p w14:paraId="7B54DDC1" w14:textId="77777777" w:rsidR="005F16C7" w:rsidRPr="000E6F67" w:rsidRDefault="005F16C7" w:rsidP="00594740">
            <w:pPr>
              <w:pStyle w:val="TableHead"/>
              <w:spacing w:line="240" w:lineRule="auto"/>
              <w:jc w:val="right"/>
              <w:rPr>
                <w:sz w:val="20"/>
                <w:szCs w:val="20"/>
                <w:lang w:val="ga-IE"/>
              </w:rPr>
            </w:pPr>
            <w:r w:rsidRPr="000E6F67">
              <w:rPr>
                <w:sz w:val="20"/>
                <w:szCs w:val="20"/>
                <w:lang w:val="ga-IE"/>
              </w:rPr>
              <w:t>Speansais</w:t>
            </w:r>
          </w:p>
        </w:tc>
      </w:tr>
      <w:tr w:rsidR="005F16C7" w:rsidRPr="000E6F67" w14:paraId="65DB9BCC" w14:textId="77777777" w:rsidTr="000E6F67">
        <w:tblPrEx>
          <w:tblCellMar>
            <w:top w:w="0" w:type="dxa"/>
            <w:bottom w:w="0" w:type="dxa"/>
          </w:tblCellMar>
        </w:tblPrEx>
        <w:tc>
          <w:tcPr>
            <w:tcW w:w="2214" w:type="dxa"/>
            <w:shd w:val="clear" w:color="auto" w:fill="auto"/>
          </w:tcPr>
          <w:p w14:paraId="0EAB1E44"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Peter Mc Kevitt, (Cathaoirleach)                 </w:t>
            </w:r>
          </w:p>
        </w:tc>
        <w:tc>
          <w:tcPr>
            <w:tcW w:w="3114" w:type="dxa"/>
            <w:shd w:val="clear" w:color="auto" w:fill="auto"/>
            <w:vAlign w:val="center"/>
          </w:tcPr>
          <w:p w14:paraId="55B4DC3D"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8/10</w:t>
            </w:r>
          </w:p>
        </w:tc>
        <w:tc>
          <w:tcPr>
            <w:tcW w:w="1217" w:type="dxa"/>
            <w:shd w:val="clear" w:color="auto" w:fill="auto"/>
            <w:vAlign w:val="center"/>
          </w:tcPr>
          <w:p w14:paraId="1671F039"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€8,978.00</w:t>
            </w:r>
          </w:p>
        </w:tc>
        <w:tc>
          <w:tcPr>
            <w:tcW w:w="1317" w:type="dxa"/>
            <w:shd w:val="clear" w:color="auto" w:fill="auto"/>
            <w:vAlign w:val="center"/>
          </w:tcPr>
          <w:p w14:paraId="2C1968F0" w14:textId="77777777" w:rsidR="005F16C7" w:rsidRPr="000E6F67" w:rsidRDefault="005F16C7" w:rsidP="00594740">
            <w:pPr>
              <w:pStyle w:val="TableNote"/>
              <w:spacing w:before="0" w:after="0" w:line="240" w:lineRule="auto"/>
              <w:jc w:val="right"/>
              <w:rPr>
                <w:lang w:val="ga-IE"/>
              </w:rPr>
            </w:pPr>
            <w:r w:rsidRPr="000E6F67">
              <w:rPr>
                <w:lang w:val="ga-IE"/>
              </w:rPr>
              <w:t>€51.20</w:t>
            </w:r>
          </w:p>
        </w:tc>
      </w:tr>
      <w:tr w:rsidR="005F16C7" w:rsidRPr="000E6F67" w14:paraId="2E937006" w14:textId="77777777" w:rsidTr="000E6F67">
        <w:tblPrEx>
          <w:tblCellMar>
            <w:top w:w="0" w:type="dxa"/>
            <w:bottom w:w="0" w:type="dxa"/>
          </w:tblCellMar>
        </w:tblPrEx>
        <w:tc>
          <w:tcPr>
            <w:tcW w:w="2214" w:type="dxa"/>
            <w:shd w:val="clear" w:color="auto" w:fill="auto"/>
          </w:tcPr>
          <w:p w14:paraId="34F4CE6E" w14:textId="77777777" w:rsidR="005F16C7" w:rsidRPr="000E6F67" w:rsidRDefault="005F16C7" w:rsidP="00594740">
            <w:pPr>
              <w:pStyle w:val="TableNote"/>
              <w:spacing w:before="0" w:after="0" w:line="240" w:lineRule="auto"/>
              <w:jc w:val="left"/>
              <w:rPr>
                <w:lang w:val="ga-IE"/>
              </w:rPr>
            </w:pPr>
            <w:r w:rsidRPr="000E6F67">
              <w:rPr>
                <w:lang w:val="ga-IE"/>
              </w:rPr>
              <w:t xml:space="preserve">An Dr. Tony Bates </w:t>
            </w:r>
            <w:r w:rsidRPr="000E6F67">
              <w:rPr>
                <w:lang w:val="ga-IE"/>
              </w:rPr>
              <w:tab/>
            </w:r>
          </w:p>
        </w:tc>
        <w:tc>
          <w:tcPr>
            <w:tcW w:w="3114" w:type="dxa"/>
            <w:shd w:val="clear" w:color="auto" w:fill="auto"/>
            <w:vAlign w:val="center"/>
          </w:tcPr>
          <w:p w14:paraId="2EA02C53"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6/10</w:t>
            </w:r>
          </w:p>
        </w:tc>
        <w:tc>
          <w:tcPr>
            <w:tcW w:w="1217" w:type="dxa"/>
            <w:shd w:val="clear" w:color="auto" w:fill="auto"/>
            <w:vAlign w:val="center"/>
          </w:tcPr>
          <w:p w14:paraId="51D1483D"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€5,985.00</w:t>
            </w:r>
          </w:p>
        </w:tc>
        <w:tc>
          <w:tcPr>
            <w:tcW w:w="1317" w:type="dxa"/>
            <w:shd w:val="clear" w:color="auto" w:fill="auto"/>
            <w:vAlign w:val="center"/>
          </w:tcPr>
          <w:p w14:paraId="64CD2F10" w14:textId="77777777" w:rsidR="005F16C7" w:rsidRPr="000E6F67" w:rsidRDefault="005F16C7" w:rsidP="00594740">
            <w:pPr>
              <w:pStyle w:val="TableNote"/>
              <w:spacing w:before="0" w:after="0" w:line="240" w:lineRule="auto"/>
              <w:jc w:val="right"/>
              <w:rPr>
                <w:rFonts w:cs="Arial"/>
                <w:lang w:val="ga-IE"/>
              </w:rPr>
            </w:pPr>
          </w:p>
        </w:tc>
      </w:tr>
      <w:tr w:rsidR="005F16C7" w:rsidRPr="000E6F67" w14:paraId="1D8A90F0" w14:textId="77777777" w:rsidTr="000E6F67">
        <w:tblPrEx>
          <w:tblCellMar>
            <w:top w:w="0" w:type="dxa"/>
            <w:bottom w:w="0" w:type="dxa"/>
          </w:tblCellMar>
        </w:tblPrEx>
        <w:tc>
          <w:tcPr>
            <w:tcW w:w="2214" w:type="dxa"/>
            <w:shd w:val="clear" w:color="auto" w:fill="auto"/>
          </w:tcPr>
          <w:p w14:paraId="693D6FA4" w14:textId="77777777" w:rsidR="005F16C7" w:rsidRPr="000E6F67" w:rsidRDefault="005F16C7" w:rsidP="00594740">
            <w:pPr>
              <w:pStyle w:val="TableNote"/>
              <w:spacing w:before="0" w:after="0" w:line="240" w:lineRule="auto"/>
              <w:jc w:val="left"/>
              <w:rPr>
                <w:lang w:val="ga-IE"/>
              </w:rPr>
            </w:pPr>
            <w:r w:rsidRPr="000E6F67">
              <w:rPr>
                <w:lang w:val="ga-IE"/>
              </w:rPr>
              <w:t>Caroline Burrell Uasal</w:t>
            </w:r>
          </w:p>
        </w:tc>
        <w:tc>
          <w:tcPr>
            <w:tcW w:w="3114" w:type="dxa"/>
            <w:shd w:val="clear" w:color="auto" w:fill="auto"/>
            <w:vAlign w:val="center"/>
          </w:tcPr>
          <w:p w14:paraId="74F0E222"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10/10</w:t>
            </w:r>
          </w:p>
        </w:tc>
        <w:tc>
          <w:tcPr>
            <w:tcW w:w="1217" w:type="dxa"/>
            <w:shd w:val="clear" w:color="auto" w:fill="auto"/>
            <w:vAlign w:val="center"/>
          </w:tcPr>
          <w:p w14:paraId="58202058"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6385C2AF" w14:textId="77777777" w:rsidR="005F16C7" w:rsidRPr="000E6F67" w:rsidRDefault="005F16C7" w:rsidP="00594740">
            <w:pPr>
              <w:pStyle w:val="TableNote"/>
              <w:spacing w:before="0" w:after="0" w:line="240" w:lineRule="auto"/>
              <w:jc w:val="right"/>
              <w:rPr>
                <w:lang w:val="ga-IE"/>
              </w:rPr>
            </w:pPr>
            <w:r w:rsidRPr="000E6F67">
              <w:rPr>
                <w:lang w:val="ga-IE"/>
              </w:rPr>
              <w:t>€186.07</w:t>
            </w:r>
          </w:p>
        </w:tc>
      </w:tr>
      <w:tr w:rsidR="005F16C7" w:rsidRPr="000E6F67" w14:paraId="494D00BD" w14:textId="77777777" w:rsidTr="000E6F67">
        <w:tblPrEx>
          <w:tblCellMar>
            <w:top w:w="0" w:type="dxa"/>
            <w:bottom w:w="0" w:type="dxa"/>
          </w:tblCellMar>
        </w:tblPrEx>
        <w:tc>
          <w:tcPr>
            <w:tcW w:w="2214" w:type="dxa"/>
            <w:shd w:val="clear" w:color="auto" w:fill="auto"/>
          </w:tcPr>
          <w:p w14:paraId="67E70719"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Frank Cunneen </w:t>
            </w:r>
          </w:p>
        </w:tc>
        <w:tc>
          <w:tcPr>
            <w:tcW w:w="3114" w:type="dxa"/>
            <w:shd w:val="clear" w:color="auto" w:fill="auto"/>
            <w:vAlign w:val="center"/>
          </w:tcPr>
          <w:p w14:paraId="250847F7"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9/10</w:t>
            </w:r>
          </w:p>
        </w:tc>
        <w:tc>
          <w:tcPr>
            <w:tcW w:w="1217" w:type="dxa"/>
            <w:shd w:val="clear" w:color="auto" w:fill="auto"/>
            <w:vAlign w:val="center"/>
          </w:tcPr>
          <w:p w14:paraId="49BD8833"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071EF295" w14:textId="77777777" w:rsidR="005F16C7" w:rsidRPr="000E6F67" w:rsidRDefault="005F16C7" w:rsidP="00594740">
            <w:pPr>
              <w:pStyle w:val="TableNote"/>
              <w:spacing w:before="0" w:after="0" w:line="240" w:lineRule="auto"/>
              <w:jc w:val="right"/>
              <w:rPr>
                <w:lang w:val="ga-IE"/>
              </w:rPr>
            </w:pPr>
          </w:p>
        </w:tc>
      </w:tr>
      <w:tr w:rsidR="005F16C7" w:rsidRPr="000E6F67" w14:paraId="6E160057" w14:textId="77777777" w:rsidTr="000E6F67">
        <w:tblPrEx>
          <w:tblCellMar>
            <w:top w:w="0" w:type="dxa"/>
            <w:bottom w:w="0" w:type="dxa"/>
          </w:tblCellMar>
        </w:tblPrEx>
        <w:tc>
          <w:tcPr>
            <w:tcW w:w="2214" w:type="dxa"/>
            <w:shd w:val="clear" w:color="auto" w:fill="auto"/>
          </w:tcPr>
          <w:p w14:paraId="2A223EDC" w14:textId="77777777" w:rsidR="005F16C7" w:rsidRPr="000E6F67" w:rsidRDefault="005F16C7" w:rsidP="00594740">
            <w:pPr>
              <w:pStyle w:val="TableNote"/>
              <w:spacing w:before="0" w:after="0" w:line="240" w:lineRule="auto"/>
              <w:jc w:val="left"/>
              <w:rPr>
                <w:lang w:val="ga-IE"/>
              </w:rPr>
            </w:pPr>
            <w:r w:rsidRPr="000E6F67">
              <w:rPr>
                <w:lang w:val="ga-IE"/>
              </w:rPr>
              <w:t xml:space="preserve">Tara Cunningham </w:t>
            </w:r>
            <w:r w:rsidR="000E6F67" w:rsidRPr="000E6F67">
              <w:rPr>
                <w:lang w:val="ga-IE"/>
              </w:rPr>
              <w:t>Uasal</w:t>
            </w:r>
          </w:p>
        </w:tc>
        <w:tc>
          <w:tcPr>
            <w:tcW w:w="3114" w:type="dxa"/>
            <w:shd w:val="clear" w:color="auto" w:fill="auto"/>
            <w:vAlign w:val="center"/>
          </w:tcPr>
          <w:p w14:paraId="7ED23C7C"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8/10</w:t>
            </w:r>
          </w:p>
        </w:tc>
        <w:tc>
          <w:tcPr>
            <w:tcW w:w="1217" w:type="dxa"/>
            <w:shd w:val="clear" w:color="auto" w:fill="auto"/>
            <w:vAlign w:val="center"/>
          </w:tcPr>
          <w:p w14:paraId="62675496"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3124DBEE" w14:textId="77777777" w:rsidR="005F16C7" w:rsidRPr="000E6F67" w:rsidRDefault="005F16C7" w:rsidP="00594740">
            <w:pPr>
              <w:pStyle w:val="TableNote"/>
              <w:spacing w:before="0" w:after="0" w:line="240" w:lineRule="auto"/>
              <w:jc w:val="right"/>
              <w:rPr>
                <w:lang w:val="ga-IE"/>
              </w:rPr>
            </w:pPr>
          </w:p>
        </w:tc>
      </w:tr>
      <w:tr w:rsidR="005F16C7" w:rsidRPr="000E6F67" w14:paraId="1F8A903E" w14:textId="77777777" w:rsidTr="000E6F67">
        <w:tblPrEx>
          <w:tblCellMar>
            <w:top w:w="0" w:type="dxa"/>
            <w:bottom w:w="0" w:type="dxa"/>
          </w:tblCellMar>
        </w:tblPrEx>
        <w:tc>
          <w:tcPr>
            <w:tcW w:w="2214" w:type="dxa"/>
            <w:shd w:val="clear" w:color="auto" w:fill="auto"/>
          </w:tcPr>
          <w:p w14:paraId="5D18035D"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Colm Desmond </w:t>
            </w:r>
          </w:p>
        </w:tc>
        <w:tc>
          <w:tcPr>
            <w:tcW w:w="3114" w:type="dxa"/>
            <w:shd w:val="clear" w:color="auto" w:fill="auto"/>
            <w:vAlign w:val="center"/>
          </w:tcPr>
          <w:p w14:paraId="7D45E711"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8/10</w:t>
            </w:r>
          </w:p>
        </w:tc>
        <w:tc>
          <w:tcPr>
            <w:tcW w:w="1217" w:type="dxa"/>
            <w:shd w:val="clear" w:color="auto" w:fill="auto"/>
            <w:vAlign w:val="center"/>
          </w:tcPr>
          <w:p w14:paraId="7DBE60AC" w14:textId="77777777" w:rsidR="005F16C7" w:rsidRPr="000E6F67" w:rsidRDefault="005F16C7" w:rsidP="00594740">
            <w:pPr>
              <w:pStyle w:val="TableNote"/>
              <w:spacing w:before="0" w:after="0" w:line="240" w:lineRule="auto"/>
              <w:jc w:val="right"/>
              <w:rPr>
                <w:rFonts w:cs="Arial"/>
                <w:lang w:val="ga-IE"/>
              </w:rPr>
            </w:pPr>
          </w:p>
        </w:tc>
        <w:tc>
          <w:tcPr>
            <w:tcW w:w="1317" w:type="dxa"/>
            <w:shd w:val="clear" w:color="auto" w:fill="auto"/>
            <w:vAlign w:val="center"/>
          </w:tcPr>
          <w:p w14:paraId="0B8F9D19" w14:textId="77777777" w:rsidR="005F16C7" w:rsidRPr="000E6F67" w:rsidRDefault="005F16C7" w:rsidP="00594740">
            <w:pPr>
              <w:pStyle w:val="TableNote"/>
              <w:spacing w:before="0" w:after="0" w:line="240" w:lineRule="auto"/>
              <w:jc w:val="right"/>
              <w:rPr>
                <w:rFonts w:cs="Arial"/>
                <w:lang w:val="ga-IE"/>
              </w:rPr>
            </w:pPr>
          </w:p>
        </w:tc>
      </w:tr>
      <w:tr w:rsidR="005F16C7" w:rsidRPr="000E6F67" w14:paraId="1BBF7E92" w14:textId="77777777" w:rsidTr="000E6F67">
        <w:tblPrEx>
          <w:tblCellMar>
            <w:top w:w="0" w:type="dxa"/>
            <w:bottom w:w="0" w:type="dxa"/>
          </w:tblCellMar>
        </w:tblPrEx>
        <w:tc>
          <w:tcPr>
            <w:tcW w:w="2214" w:type="dxa"/>
            <w:shd w:val="clear" w:color="auto" w:fill="auto"/>
          </w:tcPr>
          <w:p w14:paraId="21CC4AEE" w14:textId="77777777" w:rsidR="005F16C7" w:rsidRPr="000E6F67" w:rsidRDefault="005F16C7" w:rsidP="00594740">
            <w:pPr>
              <w:pStyle w:val="TableNote"/>
              <w:spacing w:before="0" w:after="0" w:line="240" w:lineRule="auto"/>
              <w:jc w:val="left"/>
              <w:rPr>
                <w:lang w:val="ga-IE"/>
              </w:rPr>
            </w:pPr>
            <w:r w:rsidRPr="000E6F67">
              <w:rPr>
                <w:lang w:val="ga-IE"/>
              </w:rPr>
              <w:t>Fiona Duignan</w:t>
            </w:r>
            <w:r w:rsidR="000E6F67" w:rsidRPr="000E6F67">
              <w:rPr>
                <w:lang w:val="ga-IE"/>
              </w:rPr>
              <w:t xml:space="preserve"> Uasal</w:t>
            </w:r>
            <w:r w:rsidRPr="000E6F67">
              <w:rPr>
                <w:lang w:val="ga-IE"/>
              </w:rPr>
              <w:t xml:space="preserve"> </w:t>
            </w:r>
          </w:p>
        </w:tc>
        <w:tc>
          <w:tcPr>
            <w:tcW w:w="3114" w:type="dxa"/>
            <w:shd w:val="clear" w:color="auto" w:fill="auto"/>
            <w:vAlign w:val="center"/>
          </w:tcPr>
          <w:p w14:paraId="35634CFA"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8/10</w:t>
            </w:r>
          </w:p>
        </w:tc>
        <w:tc>
          <w:tcPr>
            <w:tcW w:w="1217" w:type="dxa"/>
            <w:shd w:val="clear" w:color="auto" w:fill="auto"/>
            <w:vAlign w:val="center"/>
          </w:tcPr>
          <w:p w14:paraId="3D8CD55B" w14:textId="77777777" w:rsidR="005F16C7" w:rsidRPr="000E6F67" w:rsidRDefault="005F16C7" w:rsidP="00594740">
            <w:pPr>
              <w:pStyle w:val="TableNote"/>
              <w:spacing w:before="0" w:after="0" w:line="240" w:lineRule="auto"/>
              <w:jc w:val="right"/>
              <w:rPr>
                <w:rFonts w:cs="Arial"/>
                <w:lang w:val="ga-IE"/>
              </w:rPr>
            </w:pPr>
            <w:r w:rsidRPr="000E6F67">
              <w:rPr>
                <w:lang w:val="ga-IE"/>
              </w:rPr>
              <w:t>€5,985.00</w:t>
            </w:r>
          </w:p>
        </w:tc>
        <w:tc>
          <w:tcPr>
            <w:tcW w:w="1317" w:type="dxa"/>
            <w:shd w:val="clear" w:color="auto" w:fill="auto"/>
            <w:vAlign w:val="center"/>
          </w:tcPr>
          <w:p w14:paraId="5EE1E949" w14:textId="77777777" w:rsidR="005F16C7" w:rsidRPr="000E6F67" w:rsidRDefault="005F16C7" w:rsidP="00594740">
            <w:pPr>
              <w:pStyle w:val="TableNote"/>
              <w:spacing w:before="0" w:after="0" w:line="240" w:lineRule="auto"/>
              <w:jc w:val="right"/>
              <w:rPr>
                <w:rFonts w:cs="Arial"/>
                <w:lang w:val="ga-IE"/>
              </w:rPr>
            </w:pPr>
          </w:p>
        </w:tc>
      </w:tr>
      <w:tr w:rsidR="005F16C7" w:rsidRPr="000E6F67" w14:paraId="18FCAB30" w14:textId="77777777" w:rsidTr="000E6F67">
        <w:tblPrEx>
          <w:tblCellMar>
            <w:top w:w="0" w:type="dxa"/>
            <w:bottom w:w="0" w:type="dxa"/>
          </w:tblCellMar>
        </w:tblPrEx>
        <w:tc>
          <w:tcPr>
            <w:tcW w:w="2214" w:type="dxa"/>
            <w:shd w:val="clear" w:color="auto" w:fill="auto"/>
          </w:tcPr>
          <w:p w14:paraId="1C6773D8" w14:textId="77777777" w:rsidR="005F16C7" w:rsidRPr="000E6F67" w:rsidRDefault="005F16C7" w:rsidP="00594740">
            <w:pPr>
              <w:pStyle w:val="TableNote"/>
              <w:spacing w:before="0" w:after="0" w:line="240" w:lineRule="auto"/>
              <w:jc w:val="left"/>
              <w:rPr>
                <w:lang w:val="ga-IE"/>
              </w:rPr>
            </w:pPr>
            <w:r w:rsidRPr="000E6F67">
              <w:rPr>
                <w:lang w:val="ga-IE"/>
              </w:rPr>
              <w:t>Linda Grealy</w:t>
            </w:r>
            <w:r w:rsidR="000E6F67" w:rsidRPr="000E6F67">
              <w:rPr>
                <w:lang w:val="ga-IE"/>
              </w:rPr>
              <w:t xml:space="preserve"> Uasal</w:t>
            </w:r>
            <w:r w:rsidRPr="000E6F67">
              <w:rPr>
                <w:lang w:val="ga-IE"/>
              </w:rPr>
              <w:t xml:space="preserve"> </w:t>
            </w:r>
          </w:p>
        </w:tc>
        <w:tc>
          <w:tcPr>
            <w:tcW w:w="3114" w:type="dxa"/>
            <w:shd w:val="clear" w:color="auto" w:fill="auto"/>
            <w:vAlign w:val="center"/>
          </w:tcPr>
          <w:p w14:paraId="47D3DFEA"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8/10</w:t>
            </w:r>
          </w:p>
        </w:tc>
        <w:tc>
          <w:tcPr>
            <w:tcW w:w="1217" w:type="dxa"/>
            <w:shd w:val="clear" w:color="auto" w:fill="auto"/>
            <w:vAlign w:val="center"/>
          </w:tcPr>
          <w:p w14:paraId="2641E18F" w14:textId="77777777" w:rsidR="005F16C7" w:rsidRPr="000E6F67" w:rsidRDefault="005F16C7" w:rsidP="00594740">
            <w:pPr>
              <w:pStyle w:val="TableNote"/>
              <w:spacing w:before="0" w:after="0" w:line="240" w:lineRule="auto"/>
              <w:jc w:val="right"/>
              <w:rPr>
                <w:lang w:val="ga-IE"/>
              </w:rPr>
            </w:pPr>
          </w:p>
        </w:tc>
        <w:tc>
          <w:tcPr>
            <w:tcW w:w="1317" w:type="dxa"/>
            <w:shd w:val="clear" w:color="auto" w:fill="auto"/>
            <w:vAlign w:val="center"/>
          </w:tcPr>
          <w:p w14:paraId="487704B7" w14:textId="77777777" w:rsidR="005F16C7" w:rsidRPr="000E6F67" w:rsidRDefault="005F16C7" w:rsidP="00594740">
            <w:pPr>
              <w:pStyle w:val="TableNote"/>
              <w:spacing w:before="0" w:after="0" w:line="240" w:lineRule="auto"/>
              <w:jc w:val="right"/>
              <w:rPr>
                <w:lang w:val="ga-IE"/>
              </w:rPr>
            </w:pPr>
          </w:p>
        </w:tc>
      </w:tr>
      <w:tr w:rsidR="005F16C7" w:rsidRPr="000E6F67" w14:paraId="6D33DFD1" w14:textId="77777777" w:rsidTr="000E6F67">
        <w:tblPrEx>
          <w:tblCellMar>
            <w:top w:w="0" w:type="dxa"/>
            <w:bottom w:w="0" w:type="dxa"/>
          </w:tblCellMar>
        </w:tblPrEx>
        <w:tc>
          <w:tcPr>
            <w:tcW w:w="2214" w:type="dxa"/>
            <w:shd w:val="clear" w:color="auto" w:fill="auto"/>
          </w:tcPr>
          <w:p w14:paraId="30400796"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Shane Hogan </w:t>
            </w:r>
          </w:p>
        </w:tc>
        <w:tc>
          <w:tcPr>
            <w:tcW w:w="3114" w:type="dxa"/>
            <w:shd w:val="clear" w:color="auto" w:fill="auto"/>
            <w:vAlign w:val="center"/>
          </w:tcPr>
          <w:p w14:paraId="236FD358"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10/10</w:t>
            </w:r>
          </w:p>
        </w:tc>
        <w:tc>
          <w:tcPr>
            <w:tcW w:w="1217" w:type="dxa"/>
            <w:shd w:val="clear" w:color="auto" w:fill="auto"/>
            <w:vAlign w:val="center"/>
          </w:tcPr>
          <w:p w14:paraId="140BA63F" w14:textId="77777777" w:rsidR="005F16C7" w:rsidRPr="000E6F67" w:rsidRDefault="005F16C7" w:rsidP="00594740">
            <w:pPr>
              <w:pStyle w:val="TableNote"/>
              <w:spacing w:before="0" w:after="0" w:line="240" w:lineRule="auto"/>
              <w:jc w:val="right"/>
              <w:rPr>
                <w:rFonts w:cs="Arial"/>
                <w:lang w:val="ga-IE"/>
              </w:rPr>
            </w:pPr>
          </w:p>
        </w:tc>
        <w:tc>
          <w:tcPr>
            <w:tcW w:w="1317" w:type="dxa"/>
            <w:shd w:val="clear" w:color="auto" w:fill="auto"/>
            <w:vAlign w:val="center"/>
          </w:tcPr>
          <w:p w14:paraId="1DF5791C" w14:textId="77777777" w:rsidR="005F16C7" w:rsidRPr="000E6F67" w:rsidRDefault="005F16C7" w:rsidP="00594740">
            <w:pPr>
              <w:pStyle w:val="TableNote"/>
              <w:spacing w:before="0" w:after="0" w:line="240" w:lineRule="auto"/>
              <w:jc w:val="right"/>
              <w:rPr>
                <w:rFonts w:cs="Arial"/>
                <w:lang w:val="ga-IE"/>
              </w:rPr>
            </w:pPr>
          </w:p>
        </w:tc>
      </w:tr>
      <w:tr w:rsidR="005F16C7" w:rsidRPr="000E6F67" w14:paraId="42E8EB31" w14:textId="77777777" w:rsidTr="000E6F67">
        <w:tblPrEx>
          <w:tblCellMar>
            <w:top w:w="0" w:type="dxa"/>
            <w:bottom w:w="0" w:type="dxa"/>
          </w:tblCellMar>
        </w:tblPrEx>
        <w:tc>
          <w:tcPr>
            <w:tcW w:w="2214" w:type="dxa"/>
            <w:shd w:val="clear" w:color="auto" w:fill="auto"/>
          </w:tcPr>
          <w:p w14:paraId="7A1E3B0D"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David Joyce </w:t>
            </w:r>
          </w:p>
        </w:tc>
        <w:tc>
          <w:tcPr>
            <w:tcW w:w="3114" w:type="dxa"/>
            <w:shd w:val="clear" w:color="auto" w:fill="auto"/>
            <w:vAlign w:val="center"/>
          </w:tcPr>
          <w:p w14:paraId="74CC51BD"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7/10</w:t>
            </w:r>
          </w:p>
        </w:tc>
        <w:tc>
          <w:tcPr>
            <w:tcW w:w="1217" w:type="dxa"/>
            <w:shd w:val="clear" w:color="auto" w:fill="auto"/>
            <w:vAlign w:val="center"/>
          </w:tcPr>
          <w:p w14:paraId="5D68AEC7" w14:textId="77777777" w:rsidR="005F16C7" w:rsidRPr="000E6F67" w:rsidRDefault="005F16C7" w:rsidP="00594740">
            <w:pPr>
              <w:pStyle w:val="TableNote"/>
              <w:spacing w:before="0" w:after="0" w:line="240" w:lineRule="auto"/>
              <w:jc w:val="right"/>
              <w:rPr>
                <w:rFonts w:cs="Arial"/>
                <w:lang w:val="ga-IE"/>
              </w:rPr>
            </w:pPr>
            <w:r w:rsidRPr="000E6F67">
              <w:rPr>
                <w:lang w:val="ga-IE"/>
              </w:rPr>
              <w:t>€5,985.00</w:t>
            </w:r>
          </w:p>
        </w:tc>
        <w:tc>
          <w:tcPr>
            <w:tcW w:w="1317" w:type="dxa"/>
            <w:shd w:val="clear" w:color="auto" w:fill="auto"/>
            <w:vAlign w:val="center"/>
          </w:tcPr>
          <w:p w14:paraId="1405F085" w14:textId="77777777" w:rsidR="005F16C7" w:rsidRPr="000E6F67" w:rsidRDefault="005F16C7" w:rsidP="00594740">
            <w:pPr>
              <w:pStyle w:val="TableNote"/>
              <w:spacing w:before="0" w:after="0" w:line="240" w:lineRule="auto"/>
              <w:jc w:val="right"/>
              <w:rPr>
                <w:rFonts w:cs="Arial"/>
                <w:lang w:val="ga-IE"/>
              </w:rPr>
            </w:pPr>
          </w:p>
        </w:tc>
      </w:tr>
      <w:tr w:rsidR="005F16C7" w:rsidRPr="000E6F67" w14:paraId="4B5BDB39" w14:textId="77777777" w:rsidTr="000E6F67">
        <w:tblPrEx>
          <w:tblCellMar>
            <w:top w:w="0" w:type="dxa"/>
            <w:bottom w:w="0" w:type="dxa"/>
          </w:tblCellMar>
        </w:tblPrEx>
        <w:tc>
          <w:tcPr>
            <w:tcW w:w="2214" w:type="dxa"/>
            <w:shd w:val="clear" w:color="auto" w:fill="auto"/>
          </w:tcPr>
          <w:p w14:paraId="7C939E93" w14:textId="77777777" w:rsidR="005F16C7" w:rsidRPr="000E6F67" w:rsidRDefault="005F16C7" w:rsidP="00594740">
            <w:pPr>
              <w:pStyle w:val="TableNote"/>
              <w:spacing w:before="0" w:after="0" w:line="240" w:lineRule="auto"/>
              <w:jc w:val="left"/>
              <w:rPr>
                <w:lang w:val="ga-IE"/>
              </w:rPr>
            </w:pPr>
            <w:r w:rsidRPr="000E6F67">
              <w:rPr>
                <w:lang w:val="ga-IE"/>
              </w:rPr>
              <w:t xml:space="preserve">An tUasal Des Kenny </w:t>
            </w:r>
          </w:p>
        </w:tc>
        <w:tc>
          <w:tcPr>
            <w:tcW w:w="3114" w:type="dxa"/>
            <w:shd w:val="clear" w:color="auto" w:fill="auto"/>
            <w:vAlign w:val="center"/>
          </w:tcPr>
          <w:p w14:paraId="46375D32"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9/10</w:t>
            </w:r>
          </w:p>
        </w:tc>
        <w:tc>
          <w:tcPr>
            <w:tcW w:w="1217" w:type="dxa"/>
            <w:shd w:val="clear" w:color="auto" w:fill="auto"/>
            <w:vAlign w:val="center"/>
          </w:tcPr>
          <w:p w14:paraId="54FF214D"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5AAD7484" w14:textId="77777777" w:rsidR="005F16C7" w:rsidRPr="000E6F67" w:rsidRDefault="005F16C7" w:rsidP="00594740">
            <w:pPr>
              <w:pStyle w:val="TableNote"/>
              <w:spacing w:before="0" w:after="0" w:line="240" w:lineRule="auto"/>
              <w:jc w:val="right"/>
              <w:rPr>
                <w:lang w:val="ga-IE"/>
              </w:rPr>
            </w:pPr>
          </w:p>
        </w:tc>
      </w:tr>
      <w:tr w:rsidR="005F16C7" w:rsidRPr="000E6F67" w14:paraId="63D1A4EB" w14:textId="77777777" w:rsidTr="000E6F67">
        <w:tblPrEx>
          <w:tblCellMar>
            <w:top w:w="0" w:type="dxa"/>
            <w:bottom w:w="0" w:type="dxa"/>
          </w:tblCellMar>
        </w:tblPrEx>
        <w:tc>
          <w:tcPr>
            <w:tcW w:w="2214" w:type="dxa"/>
            <w:shd w:val="clear" w:color="auto" w:fill="auto"/>
          </w:tcPr>
          <w:p w14:paraId="1DF5E96F" w14:textId="77777777" w:rsidR="005F16C7" w:rsidRPr="000E6F67" w:rsidRDefault="005F16C7" w:rsidP="00594740">
            <w:pPr>
              <w:pStyle w:val="TableNote"/>
              <w:spacing w:before="0" w:after="0" w:line="240" w:lineRule="auto"/>
              <w:jc w:val="left"/>
              <w:rPr>
                <w:lang w:val="ga-IE"/>
              </w:rPr>
            </w:pPr>
            <w:r w:rsidRPr="000E6F67">
              <w:rPr>
                <w:lang w:val="ga-IE"/>
              </w:rPr>
              <w:t xml:space="preserve">Mary Lavelle </w:t>
            </w:r>
            <w:r w:rsidR="000E6F67" w:rsidRPr="000E6F67">
              <w:rPr>
                <w:lang w:val="ga-IE"/>
              </w:rPr>
              <w:t>Uasal</w:t>
            </w:r>
          </w:p>
        </w:tc>
        <w:tc>
          <w:tcPr>
            <w:tcW w:w="3114" w:type="dxa"/>
            <w:shd w:val="clear" w:color="auto" w:fill="auto"/>
            <w:vAlign w:val="center"/>
          </w:tcPr>
          <w:p w14:paraId="7E0904FD"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9/10</w:t>
            </w:r>
          </w:p>
        </w:tc>
        <w:tc>
          <w:tcPr>
            <w:tcW w:w="1217" w:type="dxa"/>
            <w:shd w:val="clear" w:color="auto" w:fill="auto"/>
            <w:vAlign w:val="center"/>
          </w:tcPr>
          <w:p w14:paraId="3B114A8F"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2166121D" w14:textId="77777777" w:rsidR="005F16C7" w:rsidRPr="000E6F67" w:rsidRDefault="005F16C7" w:rsidP="00594740">
            <w:pPr>
              <w:pStyle w:val="TableNote"/>
              <w:spacing w:before="0" w:after="0" w:line="240" w:lineRule="auto"/>
              <w:jc w:val="right"/>
              <w:rPr>
                <w:lang w:val="ga-IE"/>
              </w:rPr>
            </w:pPr>
          </w:p>
        </w:tc>
      </w:tr>
      <w:tr w:rsidR="005F16C7" w:rsidRPr="000E6F67" w14:paraId="31160C2A" w14:textId="77777777" w:rsidTr="000E6F67">
        <w:tblPrEx>
          <w:tblCellMar>
            <w:top w:w="0" w:type="dxa"/>
            <w:bottom w:w="0" w:type="dxa"/>
          </w:tblCellMar>
        </w:tblPrEx>
        <w:tc>
          <w:tcPr>
            <w:tcW w:w="2214" w:type="dxa"/>
            <w:shd w:val="clear" w:color="auto" w:fill="auto"/>
          </w:tcPr>
          <w:p w14:paraId="7CB0C906" w14:textId="77777777" w:rsidR="005F16C7" w:rsidRPr="000E6F67" w:rsidRDefault="005F16C7" w:rsidP="00594740">
            <w:pPr>
              <w:pStyle w:val="TableNote"/>
              <w:spacing w:before="0" w:after="0" w:line="240" w:lineRule="auto"/>
              <w:jc w:val="left"/>
              <w:rPr>
                <w:lang w:val="ga-IE"/>
              </w:rPr>
            </w:pPr>
            <w:r w:rsidRPr="000E6F67">
              <w:rPr>
                <w:lang w:val="ga-IE"/>
              </w:rPr>
              <w:t xml:space="preserve">Joanne McCarthy </w:t>
            </w:r>
            <w:r w:rsidR="000E6F67" w:rsidRPr="000E6F67">
              <w:rPr>
                <w:lang w:val="ga-IE"/>
              </w:rPr>
              <w:t>Uasal</w:t>
            </w:r>
          </w:p>
        </w:tc>
        <w:tc>
          <w:tcPr>
            <w:tcW w:w="3114" w:type="dxa"/>
            <w:shd w:val="clear" w:color="auto" w:fill="auto"/>
            <w:vAlign w:val="center"/>
          </w:tcPr>
          <w:p w14:paraId="251CDC79" w14:textId="77777777" w:rsidR="005F16C7" w:rsidRPr="000E6F67" w:rsidRDefault="005F16C7" w:rsidP="00594740">
            <w:pPr>
              <w:pStyle w:val="TableNote"/>
              <w:spacing w:before="0" w:after="0" w:line="240" w:lineRule="auto"/>
              <w:jc w:val="right"/>
              <w:rPr>
                <w:rFonts w:cs="Arial"/>
                <w:lang w:val="ga-IE"/>
              </w:rPr>
            </w:pPr>
            <w:r w:rsidRPr="000E6F67">
              <w:rPr>
                <w:rFonts w:cs="Arial"/>
                <w:lang w:val="ga-IE"/>
              </w:rPr>
              <w:t>7/10</w:t>
            </w:r>
          </w:p>
        </w:tc>
        <w:tc>
          <w:tcPr>
            <w:tcW w:w="1217" w:type="dxa"/>
            <w:shd w:val="clear" w:color="auto" w:fill="auto"/>
            <w:vAlign w:val="center"/>
          </w:tcPr>
          <w:p w14:paraId="5F42DA02" w14:textId="77777777" w:rsidR="005F16C7" w:rsidRPr="000E6F67" w:rsidRDefault="005F16C7" w:rsidP="00594740">
            <w:pPr>
              <w:pStyle w:val="TableNote"/>
              <w:spacing w:before="0" w:after="0" w:line="240" w:lineRule="auto"/>
              <w:jc w:val="right"/>
              <w:rPr>
                <w:lang w:val="ga-IE"/>
              </w:rPr>
            </w:pPr>
            <w:r w:rsidRPr="000E6F67">
              <w:rPr>
                <w:lang w:val="ga-IE"/>
              </w:rPr>
              <w:t>€5,985.00</w:t>
            </w:r>
          </w:p>
        </w:tc>
        <w:tc>
          <w:tcPr>
            <w:tcW w:w="1317" w:type="dxa"/>
            <w:shd w:val="clear" w:color="auto" w:fill="auto"/>
            <w:vAlign w:val="center"/>
          </w:tcPr>
          <w:p w14:paraId="22B26694" w14:textId="77777777" w:rsidR="005F16C7" w:rsidRPr="000E6F67" w:rsidRDefault="005F16C7" w:rsidP="00594740">
            <w:pPr>
              <w:pStyle w:val="TableNote"/>
              <w:spacing w:before="0" w:after="0" w:line="240" w:lineRule="auto"/>
              <w:jc w:val="right"/>
              <w:rPr>
                <w:lang w:val="ga-IE"/>
              </w:rPr>
            </w:pPr>
          </w:p>
        </w:tc>
      </w:tr>
    </w:tbl>
    <w:p w14:paraId="35DD7D47" w14:textId="77777777" w:rsidR="006B62B3" w:rsidRPr="000E6F67" w:rsidRDefault="00594740" w:rsidP="006B62B3">
      <w:pPr>
        <w:rPr>
          <w:lang w:val="ga-IE"/>
        </w:rPr>
      </w:pPr>
      <w:r>
        <w:rPr>
          <w:b/>
          <w:lang w:val="ga-IE"/>
        </w:rPr>
        <w:br/>
      </w:r>
      <w:r w:rsidR="006B62B3" w:rsidRPr="000E6F67">
        <w:rPr>
          <w:b/>
          <w:lang w:val="ga-IE"/>
        </w:rPr>
        <w:t>Stiúrthóir:</w:t>
      </w:r>
      <w:r w:rsidR="006B62B3" w:rsidRPr="000E6F67">
        <w:rPr>
          <w:lang w:val="ga-IE"/>
        </w:rPr>
        <w:tab/>
      </w:r>
      <w:r w:rsidR="006B62B3" w:rsidRPr="000E6F67">
        <w:rPr>
          <w:lang w:val="ga-IE"/>
        </w:rPr>
        <w:tab/>
      </w:r>
      <w:r w:rsidR="006B62B3" w:rsidRPr="000E6F67">
        <w:rPr>
          <w:lang w:val="ga-IE"/>
        </w:rPr>
        <w:tab/>
      </w:r>
      <w:r w:rsidR="006B62B3" w:rsidRPr="000E6F67">
        <w:rPr>
          <w:lang w:val="ga-IE"/>
        </w:rPr>
        <w:tab/>
        <w:t>Siobhan Barron Uasal</w:t>
      </w:r>
      <w:r w:rsidR="006B62B3" w:rsidRPr="000E6F67">
        <w:rPr>
          <w:lang w:val="ga-IE"/>
        </w:rPr>
        <w:tab/>
      </w:r>
    </w:p>
    <w:p w14:paraId="0D1BD45A" w14:textId="77777777" w:rsidR="006B62B3" w:rsidRPr="000E6F67" w:rsidRDefault="006B62B3" w:rsidP="006B62B3">
      <w:pPr>
        <w:rPr>
          <w:lang w:val="ga-IE"/>
        </w:rPr>
      </w:pPr>
      <w:r w:rsidRPr="000E6F67">
        <w:rPr>
          <w:b/>
          <w:lang w:val="ga-IE"/>
        </w:rPr>
        <w:t>Aturnaetha:</w:t>
      </w:r>
      <w:r w:rsidRPr="000E6F67">
        <w:rPr>
          <w:lang w:val="ga-IE"/>
        </w:rPr>
        <w:t xml:space="preserve"> </w:t>
      </w:r>
      <w:r w:rsidRPr="000E6F67">
        <w:rPr>
          <w:lang w:val="ga-IE"/>
        </w:rPr>
        <w:tab/>
      </w:r>
      <w:r w:rsidRPr="000E6F67">
        <w:rPr>
          <w:lang w:val="ga-IE"/>
        </w:rPr>
        <w:tab/>
      </w:r>
      <w:r w:rsidRPr="000E6F67">
        <w:rPr>
          <w:lang w:val="ga-IE"/>
        </w:rPr>
        <w:tab/>
      </w:r>
      <w:r w:rsidRPr="000E6F67">
        <w:rPr>
          <w:lang w:val="ga-IE"/>
        </w:rPr>
        <w:tab/>
        <w:t>Kilcullen and Associates</w:t>
      </w:r>
      <w:r w:rsidRPr="000E6F67">
        <w:rPr>
          <w:lang w:val="ga-IE"/>
        </w:rPr>
        <w:br/>
      </w:r>
      <w:r w:rsidRPr="000E6F67">
        <w:rPr>
          <w:lang w:val="ga-IE"/>
        </w:rPr>
        <w:tab/>
      </w:r>
      <w:r w:rsidRPr="000E6F67">
        <w:rPr>
          <w:lang w:val="ga-IE"/>
        </w:rPr>
        <w:tab/>
      </w:r>
      <w:r w:rsidRPr="000E6F67">
        <w:rPr>
          <w:lang w:val="ga-IE"/>
        </w:rPr>
        <w:tab/>
      </w:r>
      <w:r w:rsidRPr="000E6F67">
        <w:rPr>
          <w:lang w:val="ga-IE"/>
        </w:rPr>
        <w:tab/>
      </w:r>
      <w:r w:rsidRPr="000E6F67">
        <w:rPr>
          <w:lang w:val="ga-IE"/>
        </w:rPr>
        <w:tab/>
        <w:t>183 Bóthar Ráth Maonais Íocht</w:t>
      </w:r>
      <w:r w:rsidRPr="000E6F67">
        <w:rPr>
          <w:lang w:val="ga-IE"/>
        </w:rPr>
        <w:br/>
      </w:r>
      <w:r w:rsidRPr="000E6F67">
        <w:rPr>
          <w:lang w:val="ga-IE"/>
        </w:rPr>
        <w:tab/>
      </w:r>
      <w:r w:rsidRPr="000E6F67">
        <w:rPr>
          <w:lang w:val="ga-IE"/>
        </w:rPr>
        <w:tab/>
      </w:r>
      <w:r w:rsidRPr="000E6F67">
        <w:rPr>
          <w:lang w:val="ga-IE"/>
        </w:rPr>
        <w:tab/>
      </w:r>
      <w:r w:rsidRPr="000E6F67">
        <w:rPr>
          <w:lang w:val="ga-IE"/>
        </w:rPr>
        <w:tab/>
      </w:r>
      <w:r w:rsidRPr="000E6F67">
        <w:rPr>
          <w:lang w:val="ga-IE"/>
        </w:rPr>
        <w:tab/>
        <w:t>Baile Átha Cliath 6.</w:t>
      </w:r>
    </w:p>
    <w:p w14:paraId="7FAE4613" w14:textId="77777777" w:rsidR="006B62B3" w:rsidRPr="000E6F67" w:rsidRDefault="006B62B3" w:rsidP="006B62B3">
      <w:pPr>
        <w:rPr>
          <w:lang w:val="ga-IE"/>
        </w:rPr>
      </w:pPr>
      <w:r w:rsidRPr="000E6F67">
        <w:rPr>
          <w:b/>
          <w:lang w:val="ga-IE"/>
        </w:rPr>
        <w:t>Baincéirí:</w:t>
      </w:r>
      <w:r w:rsidRPr="000E6F67">
        <w:rPr>
          <w:lang w:val="ga-IE"/>
        </w:rPr>
        <w:tab/>
      </w:r>
      <w:r w:rsidRPr="000E6F67">
        <w:rPr>
          <w:lang w:val="ga-IE"/>
        </w:rPr>
        <w:tab/>
      </w:r>
      <w:r w:rsidRPr="000E6F67">
        <w:rPr>
          <w:lang w:val="ga-IE"/>
        </w:rPr>
        <w:tab/>
      </w:r>
      <w:r w:rsidRPr="000E6F67">
        <w:rPr>
          <w:lang w:val="ga-IE"/>
        </w:rPr>
        <w:tab/>
        <w:t>Banc na hÉireann</w:t>
      </w:r>
      <w:r w:rsidRPr="000E6F67">
        <w:rPr>
          <w:lang w:val="ga-IE"/>
        </w:rPr>
        <w:br/>
      </w:r>
      <w:r w:rsidRPr="000E6F67">
        <w:rPr>
          <w:lang w:val="ga-IE"/>
        </w:rPr>
        <w:tab/>
      </w:r>
      <w:r w:rsidRPr="000E6F67">
        <w:rPr>
          <w:lang w:val="ga-IE"/>
        </w:rPr>
        <w:tab/>
      </w:r>
      <w:r w:rsidRPr="000E6F67">
        <w:rPr>
          <w:lang w:val="ga-IE"/>
        </w:rPr>
        <w:tab/>
      </w:r>
      <w:r w:rsidRPr="000E6F67">
        <w:rPr>
          <w:lang w:val="ga-IE"/>
        </w:rPr>
        <w:tab/>
      </w:r>
      <w:r w:rsidRPr="000E6F67">
        <w:rPr>
          <w:lang w:val="ga-IE"/>
        </w:rPr>
        <w:tab/>
        <w:t>Sráid Líosáin Uacht</w:t>
      </w:r>
      <w:r w:rsidRPr="000E6F67">
        <w:rPr>
          <w:lang w:val="ga-IE"/>
        </w:rPr>
        <w:br/>
        <w:t xml:space="preserve">                      </w:t>
      </w:r>
      <w:r w:rsidRPr="000E6F67">
        <w:rPr>
          <w:lang w:val="ga-IE"/>
        </w:rPr>
        <w:tab/>
        <w:t xml:space="preserve"> </w:t>
      </w:r>
      <w:r w:rsidRPr="000E6F67">
        <w:rPr>
          <w:lang w:val="ga-IE"/>
        </w:rPr>
        <w:tab/>
      </w:r>
      <w:r w:rsidRPr="000E6F67">
        <w:rPr>
          <w:lang w:val="ga-IE"/>
        </w:rPr>
        <w:tab/>
        <w:t>Baile Átha Cliath 4.</w:t>
      </w:r>
    </w:p>
    <w:p w14:paraId="5BC34EBF" w14:textId="77777777" w:rsidR="006B62B3" w:rsidRPr="000E6F67" w:rsidRDefault="006B62B3" w:rsidP="006B62B3">
      <w:pPr>
        <w:rPr>
          <w:lang w:val="ga-IE"/>
        </w:rPr>
      </w:pPr>
      <w:r w:rsidRPr="000E6F67">
        <w:rPr>
          <w:b/>
          <w:lang w:val="ga-IE"/>
        </w:rPr>
        <w:t>Iniúchóirí:</w:t>
      </w:r>
      <w:r w:rsidRPr="000E6F67">
        <w:rPr>
          <w:lang w:val="ga-IE"/>
        </w:rPr>
        <w:t xml:space="preserve">       </w:t>
      </w:r>
      <w:r w:rsidRPr="000E6F67">
        <w:rPr>
          <w:lang w:val="ga-IE"/>
        </w:rPr>
        <w:tab/>
      </w:r>
      <w:r w:rsidRPr="000E6F67">
        <w:rPr>
          <w:lang w:val="ga-IE"/>
        </w:rPr>
        <w:tab/>
      </w:r>
      <w:r w:rsidRPr="000E6F67">
        <w:rPr>
          <w:lang w:val="ga-IE"/>
        </w:rPr>
        <w:tab/>
        <w:t xml:space="preserve">An tArd-Reachtaire Cuntas agus Ciste </w:t>
      </w:r>
      <w:r w:rsidRPr="000E6F67">
        <w:rPr>
          <w:lang w:val="ga-IE"/>
        </w:rPr>
        <w:br/>
        <w:t xml:space="preserve">                      </w:t>
      </w:r>
      <w:r w:rsidRPr="000E6F67">
        <w:rPr>
          <w:lang w:val="ga-IE"/>
        </w:rPr>
        <w:tab/>
      </w:r>
      <w:r w:rsidRPr="000E6F67">
        <w:rPr>
          <w:lang w:val="ga-IE"/>
        </w:rPr>
        <w:tab/>
      </w:r>
      <w:r w:rsidRPr="000E6F67">
        <w:rPr>
          <w:lang w:val="ga-IE"/>
        </w:rPr>
        <w:tab/>
        <w:t>Caisleán Bhaile Átha Cliath</w:t>
      </w:r>
      <w:r w:rsidRPr="000E6F67">
        <w:rPr>
          <w:lang w:val="ga-IE"/>
        </w:rPr>
        <w:br/>
        <w:t xml:space="preserve">                      </w:t>
      </w:r>
      <w:r w:rsidRPr="000E6F67">
        <w:rPr>
          <w:lang w:val="ga-IE"/>
        </w:rPr>
        <w:tab/>
      </w:r>
      <w:r w:rsidRPr="000E6F67">
        <w:rPr>
          <w:lang w:val="ga-IE"/>
        </w:rPr>
        <w:tab/>
      </w:r>
      <w:r w:rsidRPr="000E6F67">
        <w:rPr>
          <w:lang w:val="ga-IE"/>
        </w:rPr>
        <w:tab/>
        <w:t>Baile Átha Cliath 2.</w:t>
      </w:r>
    </w:p>
    <w:p w14:paraId="6EB0DB5D" w14:textId="77777777" w:rsidR="006B62B3" w:rsidRPr="000E6F67" w:rsidRDefault="006B62B3" w:rsidP="006B62B3">
      <w:pPr>
        <w:pStyle w:val="Heading1"/>
        <w:rPr>
          <w:lang w:val="ga-IE"/>
        </w:rPr>
      </w:pPr>
      <w:r w:rsidRPr="000E6F67">
        <w:rPr>
          <w:lang w:val="ga-IE"/>
        </w:rPr>
        <w:br w:type="page"/>
      </w:r>
      <w:bookmarkStart w:id="686" w:name="_Toc299360720"/>
      <w:bookmarkStart w:id="687" w:name="_Toc299361998"/>
      <w:bookmarkStart w:id="688" w:name="_Toc299362502"/>
      <w:bookmarkStart w:id="689" w:name="_Toc299362631"/>
      <w:bookmarkStart w:id="690" w:name="_Toc300741756"/>
      <w:bookmarkStart w:id="691" w:name="_Toc300742236"/>
      <w:bookmarkStart w:id="692" w:name="_Toc300742988"/>
      <w:bookmarkStart w:id="693" w:name="_Toc300744345"/>
      <w:bookmarkStart w:id="694" w:name="_Toc304371231"/>
      <w:bookmarkStart w:id="695" w:name="_Toc304381947"/>
      <w:r w:rsidRPr="000E6F67">
        <w:rPr>
          <w:lang w:val="ga-IE"/>
        </w:rPr>
        <w:lastRenderedPageBreak/>
        <w:t>An tÚdarás Náisiúnta Míchumais</w:t>
      </w:r>
      <w:bookmarkEnd w:id="686"/>
      <w:bookmarkEnd w:id="687"/>
      <w:bookmarkEnd w:id="688"/>
      <w:bookmarkEnd w:id="689"/>
      <w:bookmarkEnd w:id="690"/>
      <w:bookmarkEnd w:id="691"/>
      <w:bookmarkEnd w:id="692"/>
      <w:bookmarkEnd w:id="693"/>
      <w:bookmarkEnd w:id="694"/>
      <w:bookmarkEnd w:id="695"/>
    </w:p>
    <w:p w14:paraId="11DC60CB" w14:textId="77777777" w:rsidR="006B62B3" w:rsidRPr="000E6F67" w:rsidRDefault="006B62B3" w:rsidP="006B62B3">
      <w:pPr>
        <w:rPr>
          <w:lang w:val="ga-IE"/>
        </w:rPr>
      </w:pPr>
      <w:r w:rsidRPr="000E6F67">
        <w:rPr>
          <w:lang w:val="ga-IE"/>
        </w:rPr>
        <w:t>Bunaíodh an tÚdarás Náisiúnta Míchumais ar an 12 Meitheamh 2000 faoi Alt 6 den Acht um  Údarás Náisiúnta Míchumais 1999.</w:t>
      </w:r>
    </w:p>
    <w:p w14:paraId="4E7A15B3" w14:textId="77777777" w:rsidR="006B62B3" w:rsidRPr="000E6F67" w:rsidRDefault="006B62B3" w:rsidP="006B62B3">
      <w:pPr>
        <w:pStyle w:val="Heading2"/>
        <w:rPr>
          <w:lang w:val="ga-IE"/>
        </w:rPr>
      </w:pPr>
      <w:bookmarkStart w:id="696" w:name="_Toc299362632"/>
      <w:bookmarkStart w:id="697" w:name="_Toc300742237"/>
      <w:bookmarkStart w:id="698" w:name="_Toc300742989"/>
      <w:bookmarkStart w:id="699" w:name="_Toc300744346"/>
      <w:r w:rsidRPr="000E6F67">
        <w:rPr>
          <w:lang w:val="ga-IE"/>
        </w:rPr>
        <w:t>Feidhmeanna agus Cumhachtaí ÚNM</w:t>
      </w:r>
      <w:bookmarkEnd w:id="696"/>
      <w:bookmarkEnd w:id="697"/>
      <w:bookmarkEnd w:id="698"/>
      <w:bookmarkEnd w:id="699"/>
    </w:p>
    <w:p w14:paraId="3C9F5895" w14:textId="77777777" w:rsidR="00594740" w:rsidRPr="00594740" w:rsidRDefault="006B62B3" w:rsidP="00594740">
      <w:r w:rsidRPr="000E6F67">
        <w:rPr>
          <w:lang w:val="ga-IE"/>
        </w:rPr>
        <w:t>Is é is príomhfheidhm ag an ÚNM ná comhairle a chur ar an Aire Dlí agus Cirt, Comhionannais agus Athchóirithe Dlí maidir le ceisteanna polasaí agus cleachtais maidir le míchumas</w:t>
      </w:r>
      <w:r w:rsidRPr="00594740">
        <w:t>.</w:t>
      </w:r>
      <w:r w:rsidR="000E6F67" w:rsidRPr="00594740">
        <w:t xml:space="preserve"> </w:t>
      </w:r>
      <w:r w:rsidR="00594740" w:rsidRPr="00594740">
        <w:t xml:space="preserve">Aistríodh Freagracht Aireachta as an NDA ón Roinn Dlí agus Cirt, </w:t>
      </w:r>
      <w:proofErr w:type="spellStart"/>
      <w:r w:rsidR="00594740" w:rsidRPr="00594740">
        <w:t>Comhionannais</w:t>
      </w:r>
      <w:proofErr w:type="spellEnd"/>
      <w:r w:rsidR="00594740" w:rsidRPr="00594740">
        <w:t xml:space="preserve"> agus Athchóirithe Dlí chuig an Roinn Gnóthaí Pobail, </w:t>
      </w:r>
      <w:proofErr w:type="spellStart"/>
      <w:r w:rsidR="00594740" w:rsidRPr="00594740">
        <w:t>Comhionannais</w:t>
      </w:r>
      <w:proofErr w:type="spellEnd"/>
      <w:r w:rsidR="00594740" w:rsidRPr="00594740">
        <w:t xml:space="preserve"> agus Gaeltachta </w:t>
      </w:r>
      <w:proofErr w:type="gramStart"/>
      <w:r w:rsidR="00594740" w:rsidRPr="00594740">
        <w:t>an</w:t>
      </w:r>
      <w:proofErr w:type="gramEnd"/>
      <w:r w:rsidR="00594740" w:rsidRPr="00594740">
        <w:t xml:space="preserve"> 1 Meitheamh faoi IR 217 de 2010.</w:t>
      </w:r>
    </w:p>
    <w:p w14:paraId="48161CD4" w14:textId="77777777" w:rsidR="006B62B3" w:rsidRPr="000E6F67" w:rsidRDefault="006B62B3" w:rsidP="006B62B3">
      <w:pPr>
        <w:rPr>
          <w:lang w:val="ga-IE"/>
        </w:rPr>
      </w:pPr>
      <w:r w:rsidRPr="000E6F67">
        <w:rPr>
          <w:lang w:val="ga-IE"/>
        </w:rPr>
        <w:t xml:space="preserve">Cuimsíonn feidhmeanna áirithe an Údaráis  faoi Alt 8 den Acht um Údarás Náisiúnta Míchumais 1999:  </w:t>
      </w:r>
    </w:p>
    <w:p w14:paraId="135CBC8C" w14:textId="77777777" w:rsidR="006B62B3" w:rsidRPr="000E6F67" w:rsidRDefault="006B62B3" w:rsidP="006B62B3">
      <w:pPr>
        <w:pStyle w:val="ListBullet"/>
        <w:rPr>
          <w:lang w:val="ga-IE"/>
        </w:rPr>
      </w:pPr>
      <w:r w:rsidRPr="000E6F67">
        <w:rPr>
          <w:lang w:val="ga-IE"/>
        </w:rPr>
        <w:t>Feidhmiú mar chomhlacht lárnach náisiúnta a chabhróidh leis an Aire i gcomhordú agus i bhforbairt polasaí maidir le daoine faoi mhíchumas</w:t>
      </w:r>
    </w:p>
    <w:p w14:paraId="67B9FDEE" w14:textId="77777777" w:rsidR="006B62B3" w:rsidRPr="000E6F67" w:rsidRDefault="006B62B3" w:rsidP="006B62B3">
      <w:pPr>
        <w:pStyle w:val="ListBullet"/>
        <w:rPr>
          <w:lang w:val="ga-IE"/>
        </w:rPr>
      </w:pPr>
      <w:r w:rsidRPr="000E6F67">
        <w:rPr>
          <w:lang w:val="ga-IE"/>
        </w:rPr>
        <w:t>Dul i mbun, coimisiúnú a dhéanamh ar nó comhoibriú le tionscadail agus gníomhaíochtaí taighde maidir le saincheisteanna a bhaineann le míchumas agus cúnamh a thabhairt i bhforbairt fhaisnéis staitistiúil atá cuí do phleanáil, seachadadh agus monatóireacht na gclár agus na seirbhísí do dhaoine faoi mhíchumas</w:t>
      </w:r>
    </w:p>
    <w:p w14:paraId="654F80B4" w14:textId="77777777" w:rsidR="006B62B3" w:rsidRPr="000E6F67" w:rsidRDefault="006B62B3" w:rsidP="006B62B3">
      <w:pPr>
        <w:pStyle w:val="ListBullet"/>
        <w:rPr>
          <w:lang w:val="ga-IE"/>
        </w:rPr>
      </w:pPr>
      <w:r w:rsidRPr="000E6F67">
        <w:rPr>
          <w:lang w:val="ga-IE"/>
        </w:rPr>
        <w:t>Comhairle a chur ar an Aire  ar chaighdeáin chuí do chláir agus do sheirbhísí a soláthraítear nó a soláthrófar do dhaoine faoi mhíchumas agus gníomhú mar chomhlacht comhairleach maidir le forbairt ar chaighdeáin ghinearálta agus sainchaighdeáin maidir lena leithid de chlár agus de sheirbhísí</w:t>
      </w:r>
    </w:p>
    <w:p w14:paraId="36097326" w14:textId="77777777" w:rsidR="006B62B3" w:rsidRPr="000E6F67" w:rsidRDefault="006B62B3" w:rsidP="006B62B3">
      <w:pPr>
        <w:pStyle w:val="ListBullet"/>
        <w:rPr>
          <w:lang w:val="ga-IE"/>
        </w:rPr>
      </w:pPr>
      <w:r w:rsidRPr="000E6F67">
        <w:rPr>
          <w:lang w:val="ga-IE"/>
        </w:rPr>
        <w:t>Monatóireacht a dhéanamh ar fhorfheidhmiúchán ar chaighdeáin agus ar chóid chleachtais i gcláir agus i seirbhísí a soláthraítear do dhaoine faoi mhíchumas agus tuairisciú don Aire air sin</w:t>
      </w:r>
    </w:p>
    <w:p w14:paraId="23935904" w14:textId="77777777" w:rsidR="006B62B3" w:rsidRPr="000E6F67" w:rsidRDefault="006B62B3" w:rsidP="006B62B3">
      <w:pPr>
        <w:pStyle w:val="ListBullet"/>
        <w:rPr>
          <w:lang w:val="ga-IE"/>
        </w:rPr>
      </w:pPr>
      <w:r w:rsidRPr="000E6F67">
        <w:rPr>
          <w:lang w:val="ga-IE"/>
        </w:rPr>
        <w:t>Teagmháil le comhlachtaí eile, corpraithe agus neamhchorpraithe, atá rannpháirteach i soláthar seirbhísí do dhaoine faoi mhíchumas agus áisiú agus tacaíocht a thabhairt i bhforbairt agus i bhfeidhmiúchán caighdeán cuí do chlár agus do sheirbhísí do dhaoine faoi mhíchumas</w:t>
      </w:r>
    </w:p>
    <w:p w14:paraId="66CAAA9E" w14:textId="77777777" w:rsidR="006B62B3" w:rsidRPr="000E6F67" w:rsidRDefault="006B62B3" w:rsidP="006B62B3">
      <w:pPr>
        <w:pStyle w:val="ListBullet"/>
        <w:rPr>
          <w:lang w:val="ga-IE"/>
        </w:rPr>
      </w:pPr>
      <w:r w:rsidRPr="000E6F67">
        <w:rPr>
          <w:lang w:val="ga-IE"/>
        </w:rPr>
        <w:t>Cóid chleachtais a bhaint amach ar chaighdeáin mhaithe agus ardcháilíochta i soláthar chlár agus seirbhísí a sholáthraítear do dhaoine faoi mhíchumas.</w:t>
      </w:r>
    </w:p>
    <w:p w14:paraId="08006A22" w14:textId="77777777" w:rsidR="006B62B3" w:rsidRPr="000E6F67" w:rsidRDefault="006B62B3" w:rsidP="006B62B3">
      <w:pPr>
        <w:pStyle w:val="ListBullet"/>
        <w:rPr>
          <w:lang w:val="ga-IE"/>
        </w:rPr>
      </w:pPr>
      <w:r w:rsidRPr="000E6F67">
        <w:rPr>
          <w:lang w:val="ga-IE"/>
        </w:rPr>
        <w:t>Baint amach caighdeáin mhaithe agus ardcháilíochta i soláthar chlár agus seirbhísí do dhaoine faoi mhíchumas a aithint, ag áireamh soláthair ar chóras dámhachtana um chomhionannas míchumais</w:t>
      </w:r>
    </w:p>
    <w:p w14:paraId="12F46210" w14:textId="77777777" w:rsidR="006B62B3" w:rsidRPr="000E6F67" w:rsidRDefault="006B62B3" w:rsidP="006B62B3">
      <w:pPr>
        <w:pStyle w:val="ListBullet"/>
        <w:rPr>
          <w:lang w:val="ga-IE"/>
        </w:rPr>
      </w:pPr>
      <w:r w:rsidRPr="000E6F67">
        <w:rPr>
          <w:lang w:val="ga-IE"/>
        </w:rPr>
        <w:t>Pleananna straitéisacha a ullmhú</w:t>
      </w:r>
    </w:p>
    <w:p w14:paraId="4462ACC5" w14:textId="77777777" w:rsidR="006B62B3" w:rsidRPr="000E6F67" w:rsidRDefault="006B62B3" w:rsidP="006B62B3">
      <w:pPr>
        <w:rPr>
          <w:lang w:val="ga-IE"/>
        </w:rPr>
      </w:pPr>
      <w:r w:rsidRPr="000E6F67">
        <w:rPr>
          <w:lang w:val="ga-IE"/>
        </w:rPr>
        <w:t>Ar fheidhmeanna breise an Údaráis faoi Acht Míchumais 2005 tá:</w:t>
      </w:r>
    </w:p>
    <w:p w14:paraId="188ADACF" w14:textId="77777777" w:rsidR="006B62B3" w:rsidRPr="000E6F67" w:rsidRDefault="006B62B3" w:rsidP="006B62B3">
      <w:pPr>
        <w:pStyle w:val="ListBullet"/>
        <w:rPr>
          <w:lang w:val="ga-IE"/>
        </w:rPr>
      </w:pPr>
      <w:r w:rsidRPr="000E6F67">
        <w:rPr>
          <w:lang w:val="ga-IE"/>
        </w:rPr>
        <w:t>Cóid chleachtais a ullmhú maidir le inrochtaine foirgneamh poiblí, seirbhísí, faisnéise agus láithreán oidhreachta agus fostaíochta do dhaoine faoi mhíchumas san earnáil phoiblí ar iarratas ón Aire (Cuid 3)</w:t>
      </w:r>
    </w:p>
    <w:p w14:paraId="21F8F77D" w14:textId="77777777" w:rsidR="006B62B3" w:rsidRPr="000E6F67" w:rsidRDefault="006B62B3" w:rsidP="006B62B3">
      <w:pPr>
        <w:pStyle w:val="ListBullet"/>
        <w:rPr>
          <w:lang w:val="ga-IE"/>
        </w:rPr>
      </w:pPr>
      <w:r w:rsidRPr="000E6F67">
        <w:rPr>
          <w:lang w:val="ga-IE"/>
        </w:rPr>
        <w:lastRenderedPageBreak/>
        <w:t>Monatóireacht a dhéanamh ar ghéilliúntas do spriocanna reachtúla d'earcaíocht agus d'fhostaíocht daoine faoi mhíchumas san earnáil phoiblí, gníomhaíocht a mholadh nuair nach bhfuil na spriocanna sin á mbaint amach, agus cóid chleachtais a ullmhú nuair a iarrtar sin (Cuid5)</w:t>
      </w:r>
    </w:p>
    <w:p w14:paraId="673B4A67" w14:textId="77777777" w:rsidR="006B62B3" w:rsidRPr="000E6F67" w:rsidRDefault="006B62B3" w:rsidP="006B62B3">
      <w:pPr>
        <w:pStyle w:val="ListBullet"/>
        <w:rPr>
          <w:lang w:val="ga-IE"/>
        </w:rPr>
      </w:pPr>
      <w:r w:rsidRPr="000E6F67">
        <w:rPr>
          <w:lang w:val="ga-IE"/>
        </w:rPr>
        <w:t>Lárionad Sármhaitheasa i nDearadh Uilíoch a bhunú sa chomhshaol tógtha agus sa teicneolaíocht faisnéise a chuirfidh na prionsabail  um dhearadh uilíocht atá inrochtain, gur féidir a thuiscint agus a úsáid a mhéid agus is féidir ag daoine faoi mhíchumas:</w:t>
      </w:r>
    </w:p>
    <w:p w14:paraId="68A24302" w14:textId="77777777" w:rsidR="006B62B3" w:rsidRPr="000E6F67" w:rsidRDefault="006B62B3" w:rsidP="006B62B3">
      <w:pPr>
        <w:pStyle w:val="ListBullet2"/>
        <w:rPr>
          <w:lang w:val="ga-IE"/>
        </w:rPr>
      </w:pPr>
      <w:r w:rsidRPr="000E6F67">
        <w:rPr>
          <w:lang w:val="ga-IE"/>
        </w:rPr>
        <w:t>ar an mbealach is neamhspleáchaí agus is nádúrtha</w:t>
      </w:r>
    </w:p>
    <w:p w14:paraId="33F18BA7" w14:textId="77777777" w:rsidR="006B62B3" w:rsidRPr="000E6F67" w:rsidRDefault="006B62B3" w:rsidP="006B62B3">
      <w:pPr>
        <w:pStyle w:val="ListBullet2"/>
        <w:rPr>
          <w:lang w:val="ga-IE"/>
        </w:rPr>
      </w:pPr>
      <w:r w:rsidRPr="000E6F67">
        <w:rPr>
          <w:lang w:val="ga-IE"/>
        </w:rPr>
        <w:t>sa réimse is fairsinge suíomh agus ócáid</w:t>
      </w:r>
    </w:p>
    <w:p w14:paraId="54875D09" w14:textId="77777777" w:rsidR="006B62B3" w:rsidRPr="000E6F67" w:rsidRDefault="006B62B3" w:rsidP="006B62B3">
      <w:pPr>
        <w:pStyle w:val="ListBullet2"/>
        <w:rPr>
          <w:lang w:val="ga-IE"/>
        </w:rPr>
      </w:pPr>
      <w:r w:rsidRPr="000E6F67">
        <w:rPr>
          <w:lang w:val="ga-IE"/>
        </w:rPr>
        <w:t>gan ghá le leasú, oiriúnú, fearas cuidithe nó sainréiteach  (Cuid 6)</w:t>
      </w:r>
    </w:p>
    <w:p w14:paraId="6808F42A" w14:textId="77777777" w:rsidR="006B62B3" w:rsidRPr="000E6F67" w:rsidRDefault="006B62B3" w:rsidP="006B62B3">
      <w:pPr>
        <w:pStyle w:val="Heading2"/>
        <w:rPr>
          <w:lang w:val="ga-IE"/>
        </w:rPr>
      </w:pPr>
      <w:bookmarkStart w:id="700" w:name="_Toc299362633"/>
      <w:bookmarkStart w:id="701" w:name="_Toc300742238"/>
      <w:bookmarkStart w:id="702" w:name="_Toc300742990"/>
      <w:bookmarkStart w:id="703" w:name="_Toc300744347"/>
      <w:r w:rsidRPr="000E6F67">
        <w:rPr>
          <w:lang w:val="ga-IE"/>
        </w:rPr>
        <w:t>Cumhachtaí reachtúla</w:t>
      </w:r>
      <w:bookmarkEnd w:id="700"/>
      <w:bookmarkEnd w:id="701"/>
      <w:bookmarkEnd w:id="702"/>
      <w:bookmarkEnd w:id="703"/>
      <w:r w:rsidRPr="000E6F67">
        <w:rPr>
          <w:lang w:val="ga-IE"/>
        </w:rPr>
        <w:t xml:space="preserve"> </w:t>
      </w:r>
    </w:p>
    <w:p w14:paraId="3A8BDD8E" w14:textId="77777777" w:rsidR="006B62B3" w:rsidRPr="000E6F67" w:rsidRDefault="006B62B3" w:rsidP="006B62B3">
      <w:pPr>
        <w:rPr>
          <w:lang w:val="ga-IE"/>
        </w:rPr>
      </w:pPr>
      <w:r w:rsidRPr="000E6F67">
        <w:rPr>
          <w:lang w:val="ga-IE"/>
        </w:rPr>
        <w:t>D'fhonn a fheidhmeanna reachtúla a chomhlánú, tá cumhachtaí áitrithe reachtúla ag an Údarás faoin Acht an Údaráis  Náisiúnta Míchumas 1999:</w:t>
      </w:r>
    </w:p>
    <w:p w14:paraId="22BF5273" w14:textId="77777777" w:rsidR="006B62B3" w:rsidRPr="000E6F67" w:rsidRDefault="006B62B3" w:rsidP="006B62B3">
      <w:pPr>
        <w:pStyle w:val="ListBullet"/>
        <w:rPr>
          <w:lang w:val="ga-IE"/>
        </w:rPr>
      </w:pPr>
      <w:r w:rsidRPr="000E6F67">
        <w:rPr>
          <w:lang w:val="ga-IE"/>
        </w:rPr>
        <w:t>Tá ceart rochtana ag an Údarás ar eolas (sonraí san áireamh) atá ábhartha dá chuid feidhmeanna agus atá i seilbh comhlachtaí poiblí (Alt 13)</w:t>
      </w:r>
    </w:p>
    <w:p w14:paraId="20CAD2A8" w14:textId="77777777" w:rsidR="006B62B3" w:rsidRPr="000E6F67" w:rsidRDefault="006B62B3" w:rsidP="006B62B3">
      <w:pPr>
        <w:pStyle w:val="ListBullet"/>
        <w:rPr>
          <w:lang w:val="ga-IE"/>
        </w:rPr>
      </w:pPr>
      <w:r w:rsidRPr="000E6F67">
        <w:rPr>
          <w:lang w:val="ga-IE"/>
        </w:rPr>
        <w:t>Tig leis an Údarás eolas a lorg ar aon ní a bhaineann le soláthar chlár nó seirbhísí,  do dhaoine faoi mhíchumas, atá á soláthar mar dhualgas reachtúil agus atá á maoiniú go hiomlán nó  go páirteach ón gciste poiblí (Alt 14)</w:t>
      </w:r>
    </w:p>
    <w:p w14:paraId="20003872" w14:textId="77777777" w:rsidR="006B62B3" w:rsidRPr="000E6F67" w:rsidRDefault="006B62B3" w:rsidP="006B62B3">
      <w:pPr>
        <w:pStyle w:val="ListBullet"/>
        <w:rPr>
          <w:lang w:val="ga-IE"/>
        </w:rPr>
      </w:pPr>
      <w:r w:rsidRPr="000E6F67">
        <w:rPr>
          <w:lang w:val="ga-IE"/>
        </w:rPr>
        <w:t>Déanann an tÚdarás moltaí d'athbhreithniú, laghdú nó tarraingt siar airgid a sholáthraíonn an tOireachtas do chlár nó do sheirbhís nuair a meastar dó é a bheith á chur ar fáil ar bhealach neamhleor nó míshásúil  nó nach bhfuil sé á chur ar fáil do dhaoine faoi mhíchumas (Alt 15(4))</w:t>
      </w:r>
    </w:p>
    <w:p w14:paraId="438236D8" w14:textId="77777777" w:rsidR="006B62B3" w:rsidRPr="000E6F67" w:rsidRDefault="006B62B3" w:rsidP="006B62B3">
      <w:pPr>
        <w:pStyle w:val="ListBullet"/>
        <w:rPr>
          <w:lang w:val="ga-IE"/>
        </w:rPr>
      </w:pPr>
      <w:r w:rsidRPr="000E6F67">
        <w:rPr>
          <w:lang w:val="ga-IE"/>
        </w:rPr>
        <w:t>Déanann an tÚdarás tuairisciú bliantúil agus tuairiscí eile don Aire maidir lena chuid feidhmeanna (Alt 15)</w:t>
      </w:r>
    </w:p>
    <w:p w14:paraId="757ED69B" w14:textId="77777777" w:rsidR="006B62B3" w:rsidRPr="000E6F67" w:rsidRDefault="006B62B3" w:rsidP="006B62B3">
      <w:pPr>
        <w:pStyle w:val="Heading2"/>
        <w:rPr>
          <w:lang w:val="ga-IE"/>
        </w:rPr>
      </w:pPr>
      <w:r w:rsidRPr="000E6F67">
        <w:rPr>
          <w:lang w:val="ga-IE"/>
        </w:rPr>
        <w:br w:type="page"/>
      </w:r>
      <w:bookmarkStart w:id="704" w:name="_Toc299362634"/>
      <w:bookmarkStart w:id="705" w:name="_Toc300742239"/>
      <w:bookmarkStart w:id="706" w:name="_Toc300742991"/>
      <w:bookmarkStart w:id="707" w:name="_Toc300744348"/>
      <w:r w:rsidRPr="000E6F67">
        <w:rPr>
          <w:lang w:val="ga-IE"/>
        </w:rPr>
        <w:lastRenderedPageBreak/>
        <w:t>Ráiteas ar Fhreagrachtaí na mBall den Údarás</w:t>
      </w:r>
      <w:bookmarkEnd w:id="704"/>
      <w:bookmarkEnd w:id="705"/>
      <w:bookmarkEnd w:id="706"/>
      <w:bookmarkEnd w:id="707"/>
    </w:p>
    <w:p w14:paraId="1DFBE5DB" w14:textId="77777777" w:rsidR="006B62B3" w:rsidRPr="000E6F67" w:rsidRDefault="006B62B3" w:rsidP="006B62B3">
      <w:pPr>
        <w:rPr>
          <w:lang w:val="ga-IE"/>
        </w:rPr>
      </w:pPr>
      <w:r w:rsidRPr="000E6F67">
        <w:rPr>
          <w:lang w:val="ga-IE"/>
        </w:rPr>
        <w:t>Tá ar an Údarás faoi Alt 17 den Acht Náisiúnta Míchumais 199 ráiteas airgeadais a ullmhú do gach aon bhliain airgeadais ar leith a thugann léargas fírinneach cóir ar stáid ghnóthaí an Údaráis agus ar a ioncam agus caiteachais don tréimhse sin.</w:t>
      </w:r>
    </w:p>
    <w:p w14:paraId="63ADCB9D" w14:textId="77777777" w:rsidR="006B62B3" w:rsidRPr="000E6F67" w:rsidRDefault="006B62B3" w:rsidP="006B62B3">
      <w:pPr>
        <w:rPr>
          <w:lang w:val="ga-IE"/>
        </w:rPr>
      </w:pPr>
      <w:r w:rsidRPr="000E6F67">
        <w:rPr>
          <w:lang w:val="ga-IE"/>
        </w:rPr>
        <w:t>Agus na ráitis airgeadais seo á n-ullmhú, tá ar an gComhairle:</w:t>
      </w:r>
    </w:p>
    <w:p w14:paraId="1D6923B3" w14:textId="77777777" w:rsidR="006B62B3" w:rsidRPr="000E6F67" w:rsidRDefault="006B62B3" w:rsidP="006B62B3">
      <w:pPr>
        <w:pStyle w:val="ListBullet"/>
        <w:rPr>
          <w:lang w:val="ga-IE"/>
        </w:rPr>
      </w:pPr>
      <w:r w:rsidRPr="000E6F67">
        <w:rPr>
          <w:lang w:val="ga-IE"/>
        </w:rPr>
        <w:t>polasaithe oiriúnacha cuntasaíochta a roghnú agus a chur i bhfeidhm go comhsheasamhach</w:t>
      </w:r>
    </w:p>
    <w:p w14:paraId="658B3F73" w14:textId="77777777" w:rsidR="006B62B3" w:rsidRPr="000E6F67" w:rsidRDefault="006B62B3" w:rsidP="006B62B3">
      <w:pPr>
        <w:pStyle w:val="ListBullet"/>
        <w:rPr>
          <w:lang w:val="ga-IE"/>
        </w:rPr>
      </w:pPr>
      <w:r w:rsidRPr="000E6F67">
        <w:rPr>
          <w:lang w:val="ga-IE"/>
        </w:rPr>
        <w:t>breithiúnais agus meastacháin a dhéanamh atá réasúnta agus ciallmhar</w:t>
      </w:r>
    </w:p>
    <w:p w14:paraId="2A0E0C2D" w14:textId="77777777" w:rsidR="006B62B3" w:rsidRPr="000E6F67" w:rsidRDefault="006B62B3" w:rsidP="006B62B3">
      <w:pPr>
        <w:pStyle w:val="ListBullet"/>
        <w:rPr>
          <w:lang w:val="ga-IE"/>
        </w:rPr>
      </w:pPr>
      <w:r w:rsidRPr="000E6F67">
        <w:rPr>
          <w:lang w:val="ga-IE"/>
        </w:rPr>
        <w:t>cloí le Caighdeáin infheidhmithe Cuntasaíochta, faoi réir aon difríochtaí ábhartha a nochtar agus a mhínítear sna Ráitis Airgeadais</w:t>
      </w:r>
    </w:p>
    <w:p w14:paraId="77F5D550" w14:textId="77777777" w:rsidR="006B62B3" w:rsidRPr="000E6F67" w:rsidRDefault="006B62B3" w:rsidP="006B62B3">
      <w:pPr>
        <w:pStyle w:val="ListBullet"/>
        <w:rPr>
          <w:lang w:val="ga-IE"/>
        </w:rPr>
      </w:pPr>
      <w:r w:rsidRPr="000E6F67">
        <w:rPr>
          <w:lang w:val="ga-IE"/>
        </w:rPr>
        <w:t>na ráitis airgeadais as ullmhú ar bhonn ghnóthais leantaigh mura bhfuil sé míchuí a thoimhdiú go leanfaidh an tÚdarás Náisiúnta Míchumais a bheith ann</w:t>
      </w:r>
    </w:p>
    <w:p w14:paraId="2D055C65" w14:textId="77777777" w:rsidR="006B62B3" w:rsidRPr="000E6F67" w:rsidRDefault="006B62B3" w:rsidP="006B62B3">
      <w:pPr>
        <w:rPr>
          <w:lang w:val="ga-IE"/>
        </w:rPr>
      </w:pPr>
      <w:r w:rsidRPr="000E6F67">
        <w:rPr>
          <w:lang w:val="ga-IE"/>
        </w:rPr>
        <w:t>Tá freagracht ar an Údarás cuntais chearta cuntasaíochta a choimeád, a nochtann staid airgeadais an Údaráis le cruinneas réasúnta ag am ar bith, agus a chinntiú go ngéilleann na ráitis airgeadais don Acht. Tá sé freagrach chomh maith as sóchmhainní an Údarás Náisiúnta Míchumais a chosaint agus dá bhrí sin as céimeanna   réasúnta a ghlacadh do chosc agus do bhrath calaoise agus neamhrialtachtaí eile.</w:t>
      </w:r>
    </w:p>
    <w:p w14:paraId="41B64BC2" w14:textId="77777777" w:rsidR="006B62B3" w:rsidRPr="000E6F67" w:rsidRDefault="006B62B3" w:rsidP="006B62B3">
      <w:pPr>
        <w:rPr>
          <w:lang w:val="ga-IE"/>
        </w:rPr>
      </w:pPr>
      <w:r w:rsidRPr="000E6F67">
        <w:rPr>
          <w:lang w:val="ga-IE"/>
        </w:rPr>
        <w:t>Thar ceann an Údaráis</w:t>
      </w:r>
    </w:p>
    <w:p w14:paraId="09852CBE" w14:textId="77777777" w:rsidR="006B62B3" w:rsidRPr="000E6F67" w:rsidRDefault="006B62B3" w:rsidP="006B62B3">
      <w:pPr>
        <w:rPr>
          <w:lang w:val="ga-IE"/>
        </w:rPr>
      </w:pPr>
      <w:r w:rsidRPr="000E6F67">
        <w:rPr>
          <w:lang w:val="ga-IE"/>
        </w:rPr>
        <w:t>Cathaoirleach:</w:t>
      </w:r>
      <w:r w:rsidRPr="000E6F67">
        <w:rPr>
          <w:lang w:val="ga-IE"/>
        </w:rPr>
        <w:tab/>
      </w:r>
      <w:r w:rsidRPr="000E6F67">
        <w:rPr>
          <w:lang w:val="ga-IE"/>
        </w:rPr>
        <w:tab/>
        <w:t>An tUasal Peter McKevitt</w:t>
      </w:r>
    </w:p>
    <w:p w14:paraId="551231A4" w14:textId="77777777" w:rsidR="006B62B3" w:rsidRPr="000E6F67" w:rsidRDefault="006B62B3" w:rsidP="006B62B3">
      <w:pPr>
        <w:rPr>
          <w:lang w:val="ga-IE"/>
        </w:rPr>
      </w:pPr>
      <w:r w:rsidRPr="000E6F67">
        <w:rPr>
          <w:lang w:val="ga-IE"/>
        </w:rPr>
        <w:t>Stiúrthóir:</w:t>
      </w:r>
      <w:r w:rsidRPr="000E6F67">
        <w:rPr>
          <w:lang w:val="ga-IE"/>
        </w:rPr>
        <w:tab/>
      </w:r>
      <w:r w:rsidRPr="000E6F67">
        <w:rPr>
          <w:lang w:val="ga-IE"/>
        </w:rPr>
        <w:tab/>
      </w:r>
      <w:r w:rsidRPr="000E6F67">
        <w:rPr>
          <w:lang w:val="ga-IE"/>
        </w:rPr>
        <w:tab/>
        <w:t>Siobhan Barron Uasal</w:t>
      </w:r>
    </w:p>
    <w:p w14:paraId="36073865" w14:textId="77777777" w:rsidR="006B62B3" w:rsidRPr="000E6F67" w:rsidRDefault="006B62B3" w:rsidP="006B62B3">
      <w:pPr>
        <w:rPr>
          <w:lang w:val="ga-IE"/>
        </w:rPr>
      </w:pPr>
      <w:r w:rsidRPr="000E6F67">
        <w:rPr>
          <w:lang w:val="ga-IE"/>
        </w:rPr>
        <w:tab/>
      </w:r>
      <w:r w:rsidRPr="000E6F67">
        <w:rPr>
          <w:lang w:val="ga-IE"/>
        </w:rPr>
        <w:tab/>
      </w:r>
      <w:r w:rsidRPr="000E6F67">
        <w:rPr>
          <w:lang w:val="ga-IE"/>
        </w:rPr>
        <w:tab/>
      </w:r>
      <w:r w:rsidRPr="000E6F67">
        <w:rPr>
          <w:lang w:val="ga-IE"/>
        </w:rPr>
        <w:tab/>
      </w:r>
      <w:r w:rsidR="00C822AE">
        <w:rPr>
          <w:lang w:val="ga-IE"/>
        </w:rPr>
        <w:t>16 Meitheamh 2011</w:t>
      </w:r>
    </w:p>
    <w:p w14:paraId="4E0B5009" w14:textId="77777777" w:rsidR="006B62B3" w:rsidRPr="000E6F67" w:rsidRDefault="006B62B3" w:rsidP="006B62B3">
      <w:pPr>
        <w:pStyle w:val="Heading2"/>
        <w:rPr>
          <w:lang w:val="ga-IE"/>
        </w:rPr>
      </w:pPr>
      <w:r w:rsidRPr="000E6F67">
        <w:rPr>
          <w:lang w:val="ga-IE"/>
        </w:rPr>
        <w:br w:type="page"/>
      </w:r>
      <w:bookmarkStart w:id="708" w:name="_Toc299362635"/>
      <w:bookmarkStart w:id="709" w:name="_Toc300742240"/>
      <w:bookmarkStart w:id="710" w:name="_Toc300742992"/>
      <w:bookmarkStart w:id="711" w:name="_Toc300744349"/>
      <w:r w:rsidRPr="000E6F67">
        <w:rPr>
          <w:lang w:val="ga-IE"/>
        </w:rPr>
        <w:lastRenderedPageBreak/>
        <w:t>Ráiteas ar Rialú Inmheánach Airgeadais don bhl</w:t>
      </w:r>
      <w:r w:rsidR="0052068C">
        <w:rPr>
          <w:lang w:val="ga-IE"/>
        </w:rPr>
        <w:t>iain dar chríoch 31 Nollaig 2010</w:t>
      </w:r>
      <w:bookmarkEnd w:id="708"/>
      <w:bookmarkEnd w:id="709"/>
      <w:bookmarkEnd w:id="710"/>
      <w:bookmarkEnd w:id="711"/>
    </w:p>
    <w:p w14:paraId="230A3ED7" w14:textId="77777777" w:rsidR="006B62B3" w:rsidRPr="000E6F67" w:rsidRDefault="006B62B3" w:rsidP="006B62B3">
      <w:pPr>
        <w:rPr>
          <w:lang w:val="ga-IE"/>
        </w:rPr>
      </w:pPr>
      <w:r w:rsidRPr="000E6F67">
        <w:rPr>
          <w:lang w:val="ga-IE"/>
        </w:rPr>
        <w:t>Thar ceann Bhord an tÚdarás Náisiúnta Míchumais, admhaím ár bhfreagracht  as deimhin a dhéanamh go bhfuil córas éifeachtach rialála airgeadais inmheánaigh á chothú agus á fheidhmiú..</w:t>
      </w:r>
    </w:p>
    <w:p w14:paraId="5B198237" w14:textId="77777777" w:rsidR="006B62B3" w:rsidRPr="000E6F67" w:rsidRDefault="006B62B3" w:rsidP="006B62B3">
      <w:pPr>
        <w:rPr>
          <w:lang w:val="ga-IE"/>
        </w:rPr>
      </w:pPr>
      <w:r w:rsidRPr="000E6F67">
        <w:rPr>
          <w:lang w:val="ga-IE"/>
        </w:rPr>
        <w:t>Ní féidir lena leithéid de chóras ach dearbhú réasúnta, nach ionann agus dearbh amach is amach,  a thabhairt go bhfuil sóchmhainní cosanta, idirbhearta údaraithe agus taifeadta i gceart, agus go stoptar dearmaid nó mírialtachtaí ábhartha nó go n-aimseofaí iad ar bhealach tráthúil.</w:t>
      </w:r>
    </w:p>
    <w:p w14:paraId="7CA55616" w14:textId="77777777" w:rsidR="006B62B3" w:rsidRPr="000E6F67" w:rsidRDefault="006B62B3" w:rsidP="006B62B3">
      <w:pPr>
        <w:rPr>
          <w:lang w:val="ga-IE"/>
        </w:rPr>
      </w:pPr>
      <w:r w:rsidRPr="000E6F67">
        <w:rPr>
          <w:lang w:val="ga-IE"/>
        </w:rPr>
        <w:t>Tá céimeanna glactha ag an Údarás le deimhin a dhéanamh de go bhfuil comhshaol cuí rialála ann trí:</w:t>
      </w:r>
    </w:p>
    <w:p w14:paraId="6DE48F96" w14:textId="77777777" w:rsidR="006B62B3" w:rsidRPr="000E6F67" w:rsidRDefault="006B62B3" w:rsidP="006B62B3">
      <w:pPr>
        <w:pStyle w:val="ListBullet"/>
        <w:rPr>
          <w:lang w:val="ga-IE"/>
        </w:rPr>
      </w:pPr>
      <w:r w:rsidRPr="000E6F67">
        <w:rPr>
          <w:lang w:val="ga-IE"/>
        </w:rPr>
        <w:t>Bunú nósanna foirmeálta imeachta trí fheidhmeanna éagsúla coiste le monatóireacht agus cosaint a dhéanamh ar shóchmhainní na heagraíochta</w:t>
      </w:r>
    </w:p>
    <w:p w14:paraId="74656899" w14:textId="77777777" w:rsidR="006B62B3" w:rsidRPr="000E6F67" w:rsidRDefault="006B62B3" w:rsidP="006B62B3">
      <w:pPr>
        <w:pStyle w:val="ListBullet"/>
        <w:rPr>
          <w:lang w:val="ga-IE"/>
        </w:rPr>
      </w:pPr>
      <w:r w:rsidRPr="000E6F67">
        <w:rPr>
          <w:lang w:val="ga-IE"/>
        </w:rPr>
        <w:t>Léirmhíniú soiléir agus doiciméadú a dhéanamh ar fhreagrachtaí agus ar chumhachtaí na bainistíochta</w:t>
      </w:r>
    </w:p>
    <w:p w14:paraId="716AA034" w14:textId="77777777" w:rsidR="006B62B3" w:rsidRPr="000E6F67" w:rsidRDefault="006B62B3" w:rsidP="006B62B3">
      <w:pPr>
        <w:pStyle w:val="ListBullet"/>
        <w:rPr>
          <w:lang w:val="ga-IE"/>
        </w:rPr>
      </w:pPr>
      <w:r w:rsidRPr="000E6F67">
        <w:rPr>
          <w:lang w:val="ga-IE"/>
        </w:rPr>
        <w:t>Cultúr láidir cuntasachta a fhorbairt ar gach aon leibhéal ar fud na heagraíochta</w:t>
      </w:r>
    </w:p>
    <w:p w14:paraId="2290D704" w14:textId="77777777" w:rsidR="006B62B3" w:rsidRPr="000E6F67" w:rsidRDefault="006B62B3" w:rsidP="006B62B3">
      <w:pPr>
        <w:rPr>
          <w:lang w:val="ga-IE"/>
        </w:rPr>
      </w:pPr>
      <w:r w:rsidRPr="000E6F67">
        <w:rPr>
          <w:lang w:val="ga-IE"/>
        </w:rPr>
        <w:t>Tá nós imeachta bunaithe ag an Údarás chomh maith le rioscaí gnó a aithint agus a luacháil.. Baintear seo amach ar bhealaí éagsúla, ina measc:</w:t>
      </w:r>
    </w:p>
    <w:p w14:paraId="29956C20" w14:textId="77777777" w:rsidR="006B62B3" w:rsidRPr="000E6F67" w:rsidRDefault="006B62B3" w:rsidP="006B62B3">
      <w:pPr>
        <w:pStyle w:val="ListBullet"/>
        <w:rPr>
          <w:lang w:val="ga-IE"/>
        </w:rPr>
      </w:pPr>
      <w:r w:rsidRPr="000E6F67">
        <w:rPr>
          <w:lang w:val="ga-IE"/>
        </w:rPr>
        <w:t>Nádúr, méid agus impleachtaí airgeadais rioscaí don Údarás Náisiúnta Míchumais a aithint</w:t>
      </w:r>
    </w:p>
    <w:p w14:paraId="6461DFE3" w14:textId="77777777" w:rsidR="006B62B3" w:rsidRPr="000E6F67" w:rsidRDefault="006B62B3" w:rsidP="006B62B3">
      <w:pPr>
        <w:pStyle w:val="ListBullet"/>
        <w:rPr>
          <w:lang w:val="ga-IE"/>
        </w:rPr>
      </w:pPr>
      <w:r w:rsidRPr="000E6F67">
        <w:rPr>
          <w:lang w:val="ga-IE"/>
        </w:rPr>
        <w:t>Measúnú a dhéanamh ar dhóchúlacht na rioscaí a bheith ag tarlú. Tá clár riosca ullmhaithe ag an ÚNM ag cuimsiú rioscaí géilliúntais/cáile, straitéise, oibriúcháin, faisnéise teicneolaíochta agus airgeadais.</w:t>
      </w:r>
      <w:r w:rsidRPr="000E6F67">
        <w:rPr>
          <w:b/>
          <w:i/>
          <w:lang w:val="ga-IE"/>
        </w:rPr>
        <w:t xml:space="preserve"> </w:t>
      </w:r>
      <w:r w:rsidRPr="000E6F67">
        <w:rPr>
          <w:rFonts w:cs="Arial"/>
          <w:color w:val="000000"/>
          <w:lang w:val="ga-IE" w:eastAsia="en-IE"/>
        </w:rPr>
        <w:t>Chomh maith le sin, tugtar anailís riosca chun críche ag céim na pleanála tionscadail agus scóipe</w:t>
      </w:r>
    </w:p>
    <w:p w14:paraId="19D7069F" w14:textId="77777777" w:rsidR="006B62B3" w:rsidRPr="000E6F67" w:rsidRDefault="006B62B3" w:rsidP="006B62B3">
      <w:pPr>
        <w:pStyle w:val="ListBullet"/>
        <w:rPr>
          <w:lang w:val="ga-IE"/>
        </w:rPr>
      </w:pPr>
      <w:r w:rsidRPr="000E6F67">
        <w:rPr>
          <w:lang w:val="ga-IE"/>
        </w:rPr>
        <w:t>Measúnú ar chumas an Údarás Náisiúnta Míchumais na rioscaí a tharlaíonn a bhainistiú agus a mhaolú</w:t>
      </w:r>
    </w:p>
    <w:p w14:paraId="6925BE9A" w14:textId="77777777" w:rsidR="006B62B3" w:rsidRPr="000E6F67" w:rsidRDefault="006B62B3" w:rsidP="006B62B3">
      <w:pPr>
        <w:pStyle w:val="ListBullet"/>
        <w:rPr>
          <w:lang w:val="ga-IE"/>
        </w:rPr>
      </w:pPr>
      <w:r w:rsidRPr="000E6F67">
        <w:rPr>
          <w:lang w:val="ga-IE"/>
        </w:rPr>
        <w:t>Oibriú go dlúth leis an Rialtas agus le gníomhaireachtaí agus institiúidí éagsúla le deimhin a dhéanamh de go bhfuil tuiscint shoiléir ann ar spriocanna an ÚNM agus tacaíocht do straitéisí an Údaráis leis na spriocanna sin a bhaint amach</w:t>
      </w:r>
    </w:p>
    <w:p w14:paraId="680E06AA" w14:textId="77777777" w:rsidR="006B62B3" w:rsidRPr="000E6F67" w:rsidRDefault="006B62B3" w:rsidP="006B62B3">
      <w:pPr>
        <w:pStyle w:val="ListBullet"/>
        <w:rPr>
          <w:lang w:val="ga-IE"/>
        </w:rPr>
      </w:pPr>
      <w:r w:rsidRPr="000E6F67">
        <w:rPr>
          <w:lang w:val="ga-IE"/>
        </w:rPr>
        <w:t>Athbhreithnithe rialta a dhéanamh ar phleananna straitéiseacha gearr agus fadtéarmacha agus luacháil ar na rioscaí ar na pleananna sin a thabhairt i bhfeidhm</w:t>
      </w:r>
    </w:p>
    <w:p w14:paraId="7D229719" w14:textId="77777777" w:rsidR="006B62B3" w:rsidRPr="000E6F67" w:rsidRDefault="006B62B3" w:rsidP="006B62B3">
      <w:pPr>
        <w:pStyle w:val="ListBullet"/>
        <w:rPr>
          <w:lang w:val="ga-IE"/>
        </w:rPr>
      </w:pPr>
      <w:r w:rsidRPr="000E6F67">
        <w:rPr>
          <w:lang w:val="ga-IE"/>
        </w:rPr>
        <w:t>Leagan amach spriocanna bliantiúla agus níos faide do na réimsí ar leith dár ngnó agus ina ndiaidh tuairisciú rialta ar na torthaí a bhaintear amach</w:t>
      </w:r>
    </w:p>
    <w:p w14:paraId="330B9723" w14:textId="77777777" w:rsidR="006B62B3" w:rsidRPr="000E6F67" w:rsidRDefault="006B62B3" w:rsidP="006B62B3">
      <w:pPr>
        <w:pStyle w:val="ListBullet"/>
        <w:rPr>
          <w:lang w:val="ga-IE"/>
        </w:rPr>
      </w:pPr>
      <w:r w:rsidRPr="000E6F67">
        <w:rPr>
          <w:lang w:val="ga-IE"/>
        </w:rPr>
        <w:t>Bunú agus forfheidhmiú nósanna imeachta fairsinge caighdeánacha agus foráil faoinar féidir cúnamh airgeadais a thabhairt do thionscadail, ag áireamh forálacha ag éileamh aisíoca mura gcomhlíonann an tionscadal tiomantais a rinne an té a chuir chun cinn é</w:t>
      </w:r>
    </w:p>
    <w:p w14:paraId="5EB1F9B2" w14:textId="77777777" w:rsidR="006B62B3" w:rsidRPr="000E6F67" w:rsidRDefault="006B62B3" w:rsidP="006B62B3">
      <w:pPr>
        <w:rPr>
          <w:lang w:val="ga-IE"/>
        </w:rPr>
      </w:pPr>
      <w:r w:rsidRPr="000E6F67">
        <w:rPr>
          <w:lang w:val="ga-IE"/>
        </w:rPr>
        <w:t>Tá córas rialaithe inmheánach airgeadais bunaithe ar chreat d'eolas rialta bainistíochta, nósanna imeachta ag áireamh leithscaradh dualgas, agus córas tarmligin agus cuntasachta. Cuimsíonn sé go háirithe:</w:t>
      </w:r>
    </w:p>
    <w:p w14:paraId="6CC515A7" w14:textId="77777777" w:rsidR="006B62B3" w:rsidRPr="000E6F67" w:rsidRDefault="006B62B3" w:rsidP="006B62B3">
      <w:pPr>
        <w:pStyle w:val="ListBullet"/>
        <w:rPr>
          <w:lang w:val="ga-IE"/>
        </w:rPr>
      </w:pPr>
      <w:r w:rsidRPr="000E6F67">
        <w:rPr>
          <w:lang w:val="ga-IE"/>
        </w:rPr>
        <w:lastRenderedPageBreak/>
        <w:t xml:space="preserve">Córas cuimsitheach buiséid le buiséad bliantúil ar a ndéanann an tÚdarás athbhreithniú agus comhaontú </w:t>
      </w:r>
    </w:p>
    <w:p w14:paraId="5FDC8866" w14:textId="77777777" w:rsidR="006B62B3" w:rsidRPr="000E6F67" w:rsidRDefault="006B62B3" w:rsidP="006B62B3">
      <w:pPr>
        <w:pStyle w:val="ListBullet"/>
        <w:rPr>
          <w:lang w:val="ga-IE"/>
        </w:rPr>
      </w:pPr>
      <w:r w:rsidRPr="000E6F67">
        <w:rPr>
          <w:lang w:val="ga-IE"/>
        </w:rPr>
        <w:t>Athbhreithniú rialta ag an Údarás agus tuarascálacha bliantúla a léiríonn feidhmíocht airgeadais i bhfrithshuíomh le réamhaisnéisí</w:t>
      </w:r>
    </w:p>
    <w:p w14:paraId="2A699E14" w14:textId="77777777" w:rsidR="006B62B3" w:rsidRPr="000E6F67" w:rsidRDefault="006B62B3" w:rsidP="006B62B3">
      <w:pPr>
        <w:pStyle w:val="ListBullet"/>
        <w:rPr>
          <w:lang w:val="ga-IE"/>
        </w:rPr>
      </w:pPr>
      <w:r w:rsidRPr="000E6F67">
        <w:rPr>
          <w:lang w:val="ga-IE"/>
        </w:rPr>
        <w:t>Leagan síos spriocanna le feidhmíocht airgeadais agus eile a thomhas</w:t>
      </w:r>
    </w:p>
    <w:p w14:paraId="30E223C2" w14:textId="77777777" w:rsidR="006B62B3" w:rsidRPr="000E6F67" w:rsidRDefault="006B62B3" w:rsidP="006B62B3">
      <w:pPr>
        <w:pStyle w:val="ListBullet"/>
        <w:rPr>
          <w:lang w:val="ga-IE"/>
        </w:rPr>
      </w:pPr>
      <w:r w:rsidRPr="000E6F67">
        <w:rPr>
          <w:lang w:val="ga-IE"/>
        </w:rPr>
        <w:t>Treoirlínte soiléire rialaithe ar shainchaipiteal infheistíochta</w:t>
      </w:r>
    </w:p>
    <w:p w14:paraId="6E828FAF" w14:textId="77777777" w:rsidR="006B62B3" w:rsidRPr="000E6F67" w:rsidRDefault="006B62B3" w:rsidP="006B62B3">
      <w:pPr>
        <w:pStyle w:val="ListBullet"/>
        <w:rPr>
          <w:lang w:val="ga-IE"/>
        </w:rPr>
      </w:pPr>
      <w:r w:rsidRPr="000E6F67">
        <w:rPr>
          <w:lang w:val="ga-IE"/>
        </w:rPr>
        <w:t>Disciplíní foirmeálta bainistíochta tionscadal</w:t>
      </w:r>
    </w:p>
    <w:p w14:paraId="21CF0DFC" w14:textId="77777777" w:rsidR="006B62B3" w:rsidRPr="000E6F67" w:rsidRDefault="006B62B3" w:rsidP="006B62B3">
      <w:pPr>
        <w:rPr>
          <w:lang w:val="ga-IE"/>
        </w:rPr>
      </w:pPr>
      <w:r w:rsidRPr="000E6F67">
        <w:rPr>
          <w:lang w:val="ga-IE"/>
        </w:rPr>
        <w:t>Tá an tSeirbhís Iniúchta Inmhéanach, a oibríonn de réir Chreatcód Sárchleachtas, atá leagtha amach sa Chód Cleachtais Athbhreithnithe ar Rialachas na gComhlachtaí Stáit 2009, curtha amach ar cho</w:t>
      </w:r>
      <w:r w:rsidR="00BE6AB0">
        <w:rPr>
          <w:lang w:val="ga-IE"/>
        </w:rPr>
        <w:t>nradh ag an Údarás. Le linn 2011</w:t>
      </w:r>
      <w:r w:rsidRPr="000E6F67">
        <w:rPr>
          <w:lang w:val="ga-IE"/>
        </w:rPr>
        <w:t>, rinne an Roinn Dlí agus Cirt, Comhionannais agus Athchóirithe Dlí Seirbhís Iniúchta Inmheánach</w:t>
      </w:r>
      <w:r w:rsidRPr="00594740">
        <w:t xml:space="preserve">. </w:t>
      </w:r>
      <w:r w:rsidR="00594740" w:rsidRPr="00594740">
        <w:t xml:space="preserve">Tháinig an NDA ar ais faoi scáth na Roinne Dlí agus Cirt, </w:t>
      </w:r>
      <w:proofErr w:type="spellStart"/>
      <w:r w:rsidR="00594740" w:rsidRPr="00594740">
        <w:t>Comhionannais</w:t>
      </w:r>
      <w:proofErr w:type="spellEnd"/>
      <w:r w:rsidR="00594740" w:rsidRPr="00594740">
        <w:t xml:space="preserve"> agus Cosanta </w:t>
      </w:r>
      <w:proofErr w:type="gramStart"/>
      <w:r w:rsidR="00594740" w:rsidRPr="00594740">
        <w:t>an</w:t>
      </w:r>
      <w:proofErr w:type="gramEnd"/>
      <w:r w:rsidR="00594740" w:rsidRPr="00594740">
        <w:t xml:space="preserve"> 1 Aibreán 2011 ón Roinn Gnóthaí Pobail, </w:t>
      </w:r>
      <w:proofErr w:type="spellStart"/>
      <w:r w:rsidR="00594740" w:rsidRPr="00594740">
        <w:t>Comhionannais</w:t>
      </w:r>
      <w:proofErr w:type="spellEnd"/>
      <w:r w:rsidR="00594740" w:rsidRPr="00594740">
        <w:t xml:space="preserve"> agus Gaeltachta agus i rith 2011 </w:t>
      </w:r>
      <w:proofErr w:type="spellStart"/>
      <w:r w:rsidR="00594740" w:rsidRPr="00594740">
        <w:t>rachfaidh</w:t>
      </w:r>
      <w:proofErr w:type="spellEnd"/>
      <w:r w:rsidR="00594740" w:rsidRPr="00594740">
        <w:t xml:space="preserve"> an Roinn Dlí agus Cirt, </w:t>
      </w:r>
      <w:proofErr w:type="spellStart"/>
      <w:r w:rsidR="00594740" w:rsidRPr="00594740">
        <w:t>Comhionannais</w:t>
      </w:r>
      <w:proofErr w:type="spellEnd"/>
      <w:r w:rsidR="00594740" w:rsidRPr="00594740">
        <w:t xml:space="preserve"> agus Cosanta i mbun na Seirbhíse Iniúchta </w:t>
      </w:r>
      <w:proofErr w:type="spellStart"/>
      <w:r w:rsidR="00594740" w:rsidRPr="00594740">
        <w:t>Inmheánaí</w:t>
      </w:r>
      <w:proofErr w:type="spellEnd"/>
      <w:r w:rsidR="00594740" w:rsidRPr="00594740">
        <w:t>.</w:t>
      </w:r>
      <w:r w:rsidR="00594740">
        <w:t xml:space="preserve"> </w:t>
      </w:r>
      <w:r w:rsidRPr="000E6F67">
        <w:rPr>
          <w:lang w:val="ga-IE"/>
        </w:rPr>
        <w:t>Tugann an tSeirbhís Inmheánach Iniúchóireachta tuairisc don Choiste Iniúchóireachta go rialta. Sa bhliain reatha, rinne Iniúchadh Inmheánach tuarascála i réimsí TF agus Ceannach le hÍoc. Níor aithníodh aon mhórcheisteanna i gceachtar tuarascáil.</w:t>
      </w:r>
    </w:p>
    <w:p w14:paraId="1F58351F" w14:textId="77777777" w:rsidR="006B62B3" w:rsidRPr="000E6F67" w:rsidRDefault="006B62B3" w:rsidP="006B62B3">
      <w:pPr>
        <w:rPr>
          <w:lang w:val="ga-IE"/>
        </w:rPr>
      </w:pPr>
      <w:r w:rsidRPr="000E6F67">
        <w:rPr>
          <w:lang w:val="ga-IE"/>
        </w:rPr>
        <w:t>Tá an tÚdarás freagrach as feitheoireacht a dhéanamh ar fhorfheidhmiú moltaí na Seirbhíse Inmheánaí Iniúchóireachta lena dheimhniú go bhfuil nósanna imeachta córa agus éifeachtacha rialaithe airgeadais á bhfeidhmiú ague déanann feitheoireacht ar an bhfeidhm iniúchóireachta inmheánaí agus pleananna gaolmhara a chuimsíonn aon réimsí nua aitheanta.</w:t>
      </w:r>
    </w:p>
    <w:p w14:paraId="15FA9F0F" w14:textId="77777777" w:rsidR="006B62B3" w:rsidRPr="000E6F67" w:rsidRDefault="006B62B3" w:rsidP="006B62B3">
      <w:pPr>
        <w:rPr>
          <w:lang w:val="ga-IE"/>
        </w:rPr>
      </w:pPr>
      <w:r w:rsidRPr="000E6F67">
        <w:rPr>
          <w:lang w:val="ga-IE"/>
        </w:rPr>
        <w:t>Déantar eolasú ar mhonatóireacht agus ar athbhreithniú an Údaráis ar éifeachtacht na gcóras rialaithe inmheánacha airgeadais trí:</w:t>
      </w:r>
    </w:p>
    <w:p w14:paraId="4AB4D026" w14:textId="77777777" w:rsidR="006B62B3" w:rsidRPr="000E6F67" w:rsidRDefault="006B62B3" w:rsidP="006B62B3">
      <w:pPr>
        <w:pStyle w:val="ListBullet"/>
        <w:rPr>
          <w:lang w:val="ga-IE"/>
        </w:rPr>
      </w:pPr>
      <w:r w:rsidRPr="000E6F67">
        <w:rPr>
          <w:lang w:val="ga-IE"/>
        </w:rPr>
        <w:t>saothar na Seirbhíse Inmheánaí Iniúchóireachta agus cion an Choiste Iniúchóireachta a dhéanann feitheoireacht ar shaothar an Iniúchóra Inmheánaigh agus comhshaol an rialachais chorparáidigh</w:t>
      </w:r>
    </w:p>
    <w:p w14:paraId="15A22982" w14:textId="77777777" w:rsidR="006B62B3" w:rsidRPr="000E6F67" w:rsidRDefault="006B62B3" w:rsidP="006B62B3">
      <w:pPr>
        <w:pStyle w:val="ListBullet"/>
        <w:rPr>
          <w:lang w:val="ga-IE"/>
        </w:rPr>
      </w:pPr>
      <w:r w:rsidRPr="000E6F67">
        <w:rPr>
          <w:lang w:val="ga-IE"/>
        </w:rPr>
        <w:t>na bainisteoirí feidhmiúcháin leis an Údarás Náisiúnta Míchumais ar a bhfuil freagracht as   forbairt agus cothabháil an chreata rialaithe airgeadais</w:t>
      </w:r>
    </w:p>
    <w:p w14:paraId="091F22B1" w14:textId="77777777" w:rsidR="006B62B3" w:rsidRPr="000E6F67" w:rsidRDefault="006B62B3" w:rsidP="006B62B3">
      <w:pPr>
        <w:pStyle w:val="ListBullet"/>
        <w:rPr>
          <w:lang w:val="ga-IE"/>
        </w:rPr>
      </w:pPr>
      <w:r w:rsidRPr="000E6F67">
        <w:rPr>
          <w:lang w:val="ga-IE"/>
        </w:rPr>
        <w:t>an Coiste Airgeadais a thuairiscíonn in aghaidh na ráithe ar chaiteachas airgeadais agus ceisteanna gaolmhara agus</w:t>
      </w:r>
    </w:p>
    <w:p w14:paraId="0A829833" w14:textId="77777777" w:rsidR="006B62B3" w:rsidRPr="000E6F67" w:rsidRDefault="006B62B3" w:rsidP="006B62B3">
      <w:pPr>
        <w:pStyle w:val="ListBullet"/>
        <w:rPr>
          <w:lang w:val="ga-IE"/>
        </w:rPr>
      </w:pPr>
      <w:r w:rsidRPr="000E6F67">
        <w:rPr>
          <w:lang w:val="ga-IE"/>
        </w:rPr>
        <w:t>na ceisteanna a thógann an tArd-Reachtaire Cuntas agus Ciste</w:t>
      </w:r>
    </w:p>
    <w:p w14:paraId="4F15A356" w14:textId="77777777" w:rsidR="006B62B3" w:rsidRPr="000E6F67" w:rsidRDefault="006B62B3" w:rsidP="006B62B3">
      <w:pPr>
        <w:rPr>
          <w:lang w:val="ga-IE"/>
        </w:rPr>
      </w:pPr>
      <w:r w:rsidRPr="000E6F67">
        <w:rPr>
          <w:lang w:val="ga-IE"/>
        </w:rPr>
        <w:t>Deimhním go ndearna an Chomhairle athbhreithniú foirmeálta ar éifeacht na gcóras rialaithe inmheánaigh airgeadais do 20</w:t>
      </w:r>
      <w:r w:rsidR="00BE6AB0">
        <w:rPr>
          <w:lang w:val="ga-IE"/>
        </w:rPr>
        <w:t>10</w:t>
      </w:r>
      <w:r w:rsidRPr="000E6F67">
        <w:rPr>
          <w:lang w:val="ga-IE"/>
        </w:rPr>
        <w:t>.</w:t>
      </w:r>
    </w:p>
    <w:p w14:paraId="0C27E6AC" w14:textId="77777777" w:rsidR="006B62B3" w:rsidRPr="000E6F67" w:rsidRDefault="006B62B3" w:rsidP="006B62B3">
      <w:pPr>
        <w:rPr>
          <w:lang w:val="ga-IE"/>
        </w:rPr>
      </w:pPr>
      <w:r w:rsidRPr="000E6F67">
        <w:rPr>
          <w:lang w:val="ga-IE"/>
        </w:rPr>
        <w:t>An tUasal Peter McKevitt</w:t>
      </w:r>
    </w:p>
    <w:p w14:paraId="71C91273" w14:textId="77777777" w:rsidR="00C822AE" w:rsidRDefault="006B62B3" w:rsidP="00C822AE">
      <w:pPr>
        <w:rPr>
          <w:lang w:val="ga-IE"/>
        </w:rPr>
      </w:pPr>
      <w:r w:rsidRPr="000E6F67">
        <w:rPr>
          <w:lang w:val="ga-IE"/>
        </w:rPr>
        <w:t>Cathaoirleach</w:t>
      </w:r>
    </w:p>
    <w:p w14:paraId="49D5A7EF" w14:textId="77777777" w:rsidR="00B3690F" w:rsidRDefault="00C822AE" w:rsidP="00B3690F">
      <w:bookmarkStart w:id="712" w:name="_Toc299361999"/>
      <w:bookmarkStart w:id="713" w:name="_Toc299362503"/>
      <w:bookmarkStart w:id="714" w:name="_Toc299362636"/>
      <w:bookmarkStart w:id="715" w:name="_Toc300741757"/>
      <w:bookmarkStart w:id="716" w:name="_Toc300742241"/>
      <w:bookmarkStart w:id="717" w:name="_Toc300742993"/>
      <w:r w:rsidRPr="00C822AE">
        <w:t>16 Meitheamh 2011</w:t>
      </w:r>
      <w:bookmarkStart w:id="718" w:name="_Toc299362000"/>
      <w:bookmarkStart w:id="719" w:name="_Toc299362504"/>
      <w:bookmarkStart w:id="720" w:name="_Toc299362637"/>
      <w:bookmarkStart w:id="721" w:name="_Toc300741758"/>
      <w:bookmarkStart w:id="722" w:name="_Toc300742242"/>
      <w:bookmarkStart w:id="723" w:name="_Toc300742994"/>
    </w:p>
    <w:p w14:paraId="249853DE" w14:textId="77777777" w:rsidR="00985F1B" w:rsidRDefault="00B3690F" w:rsidP="00B3690F">
      <w:pPr>
        <w:pStyle w:val="Heading1"/>
        <w:rPr>
          <w:noProof/>
          <w:lang w:val="en-GB"/>
        </w:rPr>
      </w:pPr>
      <w:r>
        <w:br w:type="page"/>
      </w:r>
      <w:bookmarkStart w:id="724" w:name="_Toc300744350"/>
      <w:bookmarkStart w:id="725" w:name="_Toc304371232"/>
      <w:bookmarkStart w:id="726" w:name="_Toc304381948"/>
      <w:r w:rsidR="00985F1B">
        <w:rPr>
          <w:noProof/>
          <w:lang w:val="en-GB"/>
        </w:rPr>
        <w:lastRenderedPageBreak/>
        <w:t>Tuarascáil an Ard-Reachtaire Cuntas agus Ciste le cur i láthair Thithe an Oireachtais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02D62F8A" w14:textId="77777777" w:rsidR="00985F1B" w:rsidRPr="002434FB" w:rsidRDefault="00985F1B" w:rsidP="00985F1B">
      <w:pPr>
        <w:rPr>
          <w:noProof/>
          <w:szCs w:val="25"/>
          <w:lang w:val="en-GB"/>
        </w:rPr>
      </w:pPr>
      <w:r w:rsidRPr="002434FB">
        <w:rPr>
          <w:noProof/>
        </w:rPr>
        <w:t>Tá ráitis airgeadais an Údaráis Náisiúnta Míchumais don bh</w:t>
      </w:r>
      <w:r w:rsidR="00E8086E">
        <w:rPr>
          <w:noProof/>
        </w:rPr>
        <w:t>liain dar críoch 31 Nolla</w:t>
      </w:r>
      <w:proofErr w:type="spellStart"/>
      <w:r w:rsidR="00E8086E" w:rsidRPr="00594740">
        <w:t>i</w:t>
      </w:r>
      <w:r w:rsidR="00E8086E">
        <w:rPr>
          <w:noProof/>
        </w:rPr>
        <w:t>g</w:t>
      </w:r>
      <w:proofErr w:type="spellEnd"/>
      <w:r w:rsidR="00E8086E">
        <w:rPr>
          <w:noProof/>
        </w:rPr>
        <w:t xml:space="preserve"> 2010</w:t>
      </w:r>
      <w:r w:rsidRPr="002434FB">
        <w:rPr>
          <w:noProof/>
        </w:rPr>
        <w:t xml:space="preserve"> iniúchta agam faoi </w:t>
      </w:r>
      <w:r w:rsidRPr="002434FB">
        <w:rPr>
          <w:noProof/>
          <w:szCs w:val="25"/>
          <w:lang w:val="en-GB"/>
        </w:rPr>
        <w:t>Alt 17 den Acht um Údarás Náisiúnta Míchumais, 1999.</w:t>
      </w:r>
    </w:p>
    <w:p w14:paraId="6DEA63F9" w14:textId="77777777" w:rsidR="00985F1B" w:rsidRPr="002434FB" w:rsidRDefault="00985F1B" w:rsidP="00594740">
      <w:pPr>
        <w:rPr>
          <w:noProof/>
        </w:rPr>
      </w:pPr>
      <w:r w:rsidRPr="002434FB">
        <w:rPr>
          <w:noProof/>
        </w:rPr>
        <w:t xml:space="preserve">Tá na ráitis airgeadais, a ullmhaíodh faoi na beartais chuntasaíochta arna leagan amach sna ráitis, comhdhéanta den Ráiteas ar Bheartais Chuntasaíochta, an Cuntas Ioncaim agus Caiteachais, </w:t>
      </w:r>
      <w:r w:rsidRPr="002434FB">
        <w:rPr>
          <w:szCs w:val="20"/>
        </w:rPr>
        <w:t xml:space="preserve">Ráiteas </w:t>
      </w:r>
      <w:proofErr w:type="spellStart"/>
      <w:r w:rsidRPr="002434FB">
        <w:rPr>
          <w:szCs w:val="20"/>
        </w:rPr>
        <w:t>Gnóthachan</w:t>
      </w:r>
      <w:proofErr w:type="spellEnd"/>
      <w:r w:rsidRPr="002434FB">
        <w:rPr>
          <w:szCs w:val="20"/>
        </w:rPr>
        <w:t xml:space="preserve"> agus </w:t>
      </w:r>
      <w:proofErr w:type="spellStart"/>
      <w:r w:rsidRPr="002434FB">
        <w:rPr>
          <w:szCs w:val="20"/>
        </w:rPr>
        <w:t>Caillteanas</w:t>
      </w:r>
      <w:proofErr w:type="spellEnd"/>
      <w:r w:rsidRPr="002434FB">
        <w:rPr>
          <w:szCs w:val="20"/>
        </w:rPr>
        <w:t xml:space="preserve"> Aitheanta Iomlán</w:t>
      </w:r>
      <w:r>
        <w:rPr>
          <w:szCs w:val="20"/>
        </w:rPr>
        <w:t>,</w:t>
      </w:r>
      <w:r w:rsidRPr="002434FB">
        <w:rPr>
          <w:noProof/>
        </w:rPr>
        <w:t xml:space="preserve"> an Clár Comhardaithe, a</w:t>
      </w:r>
      <w:r>
        <w:rPr>
          <w:noProof/>
        </w:rPr>
        <w:t xml:space="preserve">n Ráiteas ar Shreabhadh Airgid </w:t>
      </w:r>
      <w:r w:rsidRPr="002434FB">
        <w:rPr>
          <w:noProof/>
        </w:rPr>
        <w:t xml:space="preserve">agus na nótaí gaolmhara.  </w:t>
      </w:r>
    </w:p>
    <w:p w14:paraId="540A330E" w14:textId="77777777" w:rsidR="00594740" w:rsidRPr="00D2679E" w:rsidRDefault="00594740" w:rsidP="00594740">
      <w:pPr>
        <w:pStyle w:val="Heading2"/>
        <w:rPr>
          <w:noProof/>
          <w:lang w:val="en-US"/>
        </w:rPr>
      </w:pPr>
      <w:bookmarkStart w:id="727" w:name="_Toc299362638"/>
      <w:bookmarkStart w:id="728" w:name="_Toc300742243"/>
      <w:bookmarkStart w:id="729" w:name="_Toc300742995"/>
      <w:bookmarkStart w:id="730" w:name="_Toc300744351"/>
      <w:r w:rsidRPr="00D2679E">
        <w:rPr>
          <w:lang/>
        </w:rPr>
        <w:t>Freagrachtaí Chomhaltaí an Údaráis</w:t>
      </w:r>
      <w:bookmarkEnd w:id="727"/>
      <w:bookmarkEnd w:id="728"/>
      <w:bookmarkEnd w:id="729"/>
      <w:bookmarkEnd w:id="730"/>
      <w:r w:rsidRPr="00D2679E">
        <w:rPr>
          <w:lang/>
        </w:rPr>
        <w:t xml:space="preserve"> </w:t>
      </w:r>
      <w:r w:rsidRPr="00D2679E">
        <w:rPr>
          <w:rStyle w:val="tw4winMark"/>
          <w:rFonts w:cs="Times New Roman"/>
          <w:b w:val="0"/>
          <w:bCs w:val="0"/>
          <w:iCs w:val="0"/>
          <w:szCs w:val="24"/>
          <w:lang w:val="en-US"/>
        </w:rPr>
        <w:t>&lt;0}</w:t>
      </w:r>
    </w:p>
    <w:p w14:paraId="26558AB6" w14:textId="77777777" w:rsidR="00594740" w:rsidRDefault="00594740" w:rsidP="00594740">
      <w:r>
        <w:rPr>
          <w:lang/>
        </w:rPr>
        <w:t>Tá an tÚdaras freagrach as na ráitis airgeadais a ullmhú, as a chinntiú go dtugann siad léargas fíor agus cothrom ar staid ghnóthaí an Údaráis Náisiúnta Míchumais, ar a ioncam agus caiteachas agus as rialtacht na n-idirbheart a chinntiú.</w:t>
      </w:r>
      <w:r>
        <w:rPr>
          <w:rStyle w:val="tw4winMark"/>
          <w:lang w:val="en-US"/>
        </w:rPr>
        <w:t>&lt;0}</w:t>
      </w:r>
    </w:p>
    <w:p w14:paraId="3AB72DCD" w14:textId="77777777" w:rsidR="00594740" w:rsidRDefault="00594740" w:rsidP="00594740">
      <w:pPr>
        <w:pStyle w:val="Heading2"/>
        <w:rPr>
          <w:i/>
        </w:rPr>
      </w:pPr>
      <w:bookmarkStart w:id="731" w:name="_Toc299362639"/>
      <w:bookmarkStart w:id="732" w:name="_Toc300742244"/>
      <w:bookmarkStart w:id="733" w:name="_Toc300742996"/>
      <w:bookmarkStart w:id="734" w:name="_Toc300744352"/>
      <w:r>
        <w:rPr>
          <w:lang/>
        </w:rPr>
        <w:t>Freagrachtaí an Ard-Reachtaire Cuntas agus Ciste</w:t>
      </w:r>
      <w:bookmarkEnd w:id="731"/>
      <w:bookmarkEnd w:id="732"/>
      <w:bookmarkEnd w:id="733"/>
      <w:bookmarkEnd w:id="734"/>
      <w:r>
        <w:rPr>
          <w:rStyle w:val="tw4winMark"/>
          <w:rFonts w:cs="Times New Roman"/>
          <w:b w:val="0"/>
          <w:bCs w:val="0"/>
          <w:iCs w:val="0"/>
          <w:szCs w:val="24"/>
          <w:lang w:val="en-US"/>
        </w:rPr>
        <w:t>&lt;0}</w:t>
      </w:r>
    </w:p>
    <w:p w14:paraId="2064E877" w14:textId="77777777" w:rsidR="00594740" w:rsidRDefault="00594740" w:rsidP="00594740">
      <w:r>
        <w:rPr>
          <w:lang/>
        </w:rPr>
        <w:t>Is í an fhreagracht atá orm iniúchadh a dhéanamh ar na ráitis airgeadais agus tuairisc a thabhairt orthu de réir dlí infheidhme.</w:t>
      </w:r>
      <w:r>
        <w:rPr>
          <w:rStyle w:val="tw4winMark"/>
          <w:lang w:val="en-US"/>
        </w:rPr>
        <w:t>&lt;0}</w:t>
      </w:r>
      <w:r>
        <w:t xml:space="preserve">  </w:t>
      </w:r>
    </w:p>
    <w:p w14:paraId="5A36F2A6" w14:textId="77777777" w:rsidR="00594740" w:rsidRDefault="00594740" w:rsidP="00594740">
      <w:r>
        <w:rPr>
          <w:lang/>
        </w:rPr>
        <w:t xml:space="preserve">Déanaim m’iniúchadh trí thagairt a dheánamh do bhreithnuithe speisialta a ghabhann le comhlachtaí Stáit maidir lena mbainistíocht agus lena n-oibríocht.  </w:t>
      </w:r>
      <w:r>
        <w:rPr>
          <w:rStyle w:val="tw4winMark"/>
          <w:lang w:val="en-US"/>
        </w:rPr>
        <w:t>&lt;0}</w:t>
      </w:r>
    </w:p>
    <w:p w14:paraId="0907A6D8" w14:textId="77777777" w:rsidR="00594740" w:rsidRDefault="00594740" w:rsidP="00594740">
      <w:r>
        <w:rPr>
          <w:lang/>
        </w:rPr>
        <w:t>Déanaim m’iniúchadh de réir na gCaighdeán Idirnáisiúnta maidir le hIniúchadh (An Ríocht Aontaithe agus Éire) agus ag cloí le Caighdeáin Eiticiúla d’Iniúchóirí de chuid an Bhoird Chleachtais Iniúchta ag an am céanna.</w:t>
      </w:r>
      <w:r>
        <w:rPr>
          <w:rStyle w:val="tw4winMark"/>
          <w:lang w:val="en-US"/>
        </w:rPr>
        <w:t>&lt;0}</w:t>
      </w:r>
    </w:p>
    <w:p w14:paraId="05986C76" w14:textId="77777777" w:rsidR="00594740" w:rsidRDefault="00594740" w:rsidP="00594740">
      <w:pPr>
        <w:pStyle w:val="Heading2"/>
        <w:rPr>
          <w:i/>
        </w:rPr>
      </w:pPr>
      <w:bookmarkStart w:id="735" w:name="_Toc299362640"/>
      <w:bookmarkStart w:id="736" w:name="_Toc300742245"/>
      <w:bookmarkStart w:id="737" w:name="_Toc300742997"/>
      <w:bookmarkStart w:id="738" w:name="_Toc300744353"/>
      <w:r>
        <w:rPr>
          <w:lang/>
        </w:rPr>
        <w:t>Scóp Iniúchta na Ráiteas Airgeadais</w:t>
      </w:r>
      <w:bookmarkEnd w:id="735"/>
      <w:bookmarkEnd w:id="736"/>
      <w:bookmarkEnd w:id="737"/>
      <w:bookmarkEnd w:id="738"/>
      <w:r>
        <w:rPr>
          <w:lang/>
        </w:rPr>
        <w:t xml:space="preserve"> </w:t>
      </w:r>
      <w:r>
        <w:rPr>
          <w:rStyle w:val="tw4winMark"/>
          <w:rFonts w:cs="Times New Roman"/>
          <w:b w:val="0"/>
          <w:bCs w:val="0"/>
          <w:iCs w:val="0"/>
          <w:szCs w:val="24"/>
          <w:lang w:val="en-US"/>
        </w:rPr>
        <w:t>&lt;0}</w:t>
      </w:r>
    </w:p>
    <w:p w14:paraId="4385A2FD" w14:textId="77777777" w:rsidR="00594740" w:rsidRPr="00594740" w:rsidRDefault="00594740" w:rsidP="00594740">
      <w:pPr>
        <w:rPr>
          <w:lang w:val="en-US"/>
        </w:rPr>
      </w:pPr>
      <w:r>
        <w:rPr>
          <w:lang/>
        </w:rPr>
        <w:t>I rith iniúchta, ní mór fianaise a fháil faoi na méideanna agus na nochtaí sna ráitis airgeadais, fianaise leordhóthanach a thabharfadh deimhniú réasúnta go bhfuil na ráitis airgeadais saor ó mhíráitis ábhartha, cibé ar calaois nó earráid is cúis leo. Áirítear air sin measúnú ar na nithe seo a leanas:</w:t>
      </w:r>
      <w:r>
        <w:rPr>
          <w:rStyle w:val="tw4winMark"/>
          <w:lang w:val="en-US"/>
        </w:rPr>
        <w:t>&lt;0}</w:t>
      </w:r>
      <w:r>
        <w:rPr>
          <w:lang w:val="en-US"/>
        </w:rPr>
        <w:t xml:space="preserve"> </w:t>
      </w:r>
      <w:r w:rsidRPr="009E24D3">
        <w:rPr>
          <w:rStyle w:val="tw4winMark"/>
          <w:lang w:val="en-US"/>
        </w:rPr>
        <w:t>{</w:t>
      </w:r>
      <w:r>
        <w:rPr>
          <w:rStyle w:val="tw4winMark"/>
          <w:lang w:val="en-US"/>
        </w:rPr>
        <w:t>0&gt;</w:t>
      </w:r>
    </w:p>
    <w:p w14:paraId="78CA9F9F" w14:textId="77777777" w:rsidR="00594740" w:rsidRDefault="00594740" w:rsidP="00594740">
      <w:pPr>
        <w:pStyle w:val="ListBullet"/>
      </w:pPr>
      <w:r>
        <w:rPr>
          <w:rStyle w:val="tw4winMark"/>
          <w:lang w:val="en-US"/>
        </w:rPr>
        <w:t>&lt;}0{&gt;</w:t>
      </w:r>
      <w:r w:rsidRPr="009E24D3">
        <w:t xml:space="preserve">cibé an bhfuil na beartais </w:t>
      </w:r>
      <w:proofErr w:type="spellStart"/>
      <w:r w:rsidRPr="009E24D3">
        <w:t>chuntasaíochta</w:t>
      </w:r>
      <w:proofErr w:type="spellEnd"/>
      <w:r w:rsidRPr="009E24D3">
        <w:t xml:space="preserve"> oiriúnach </w:t>
      </w:r>
      <w:proofErr w:type="spellStart"/>
      <w:r w:rsidRPr="009E24D3">
        <w:t>d'imthosca</w:t>
      </w:r>
      <w:proofErr w:type="spellEnd"/>
      <w:r w:rsidRPr="009E24D3">
        <w:t xml:space="preserve"> </w:t>
      </w:r>
      <w:r>
        <w:t>an Údaráis</w:t>
      </w:r>
      <w:r w:rsidRPr="009E24D3">
        <w:t xml:space="preserve">, agus gur cuireadh i bhfeidhm go </w:t>
      </w:r>
      <w:proofErr w:type="spellStart"/>
      <w:r w:rsidRPr="009E24D3">
        <w:t>comhsheasmhach</w:t>
      </w:r>
      <w:proofErr w:type="spellEnd"/>
      <w:r w:rsidRPr="009E24D3">
        <w:t xml:space="preserve"> iad agus gur </w:t>
      </w:r>
      <w:proofErr w:type="spellStart"/>
      <w:r w:rsidRPr="009E24D3">
        <w:t>nochtaíodh</w:t>
      </w:r>
      <w:proofErr w:type="spellEnd"/>
      <w:r w:rsidRPr="009E24D3">
        <w:t xml:space="preserve"> i gceart iad</w:t>
      </w:r>
      <w:r>
        <w:rPr>
          <w:rStyle w:val="tw4winMark"/>
          <w:lang w:val="en-US"/>
        </w:rPr>
        <w:t>&lt;0}</w:t>
      </w:r>
      <w:r w:rsidRPr="009E24D3">
        <w:rPr>
          <w:rStyle w:val="tw4winMark"/>
          <w:lang w:val="en-US"/>
        </w:rPr>
        <w:t>{</w:t>
      </w:r>
      <w:r>
        <w:rPr>
          <w:rStyle w:val="tw4winMark"/>
          <w:lang w:val="en-US"/>
        </w:rPr>
        <w:t>0&gt;</w:t>
      </w:r>
    </w:p>
    <w:p w14:paraId="105A7D31" w14:textId="77777777" w:rsidR="00594740" w:rsidRDefault="00594740" w:rsidP="00594740">
      <w:pPr>
        <w:pStyle w:val="ListBullet"/>
      </w:pPr>
      <w:r>
        <w:rPr>
          <w:rStyle w:val="tw4winMark"/>
          <w:lang w:val="en-US"/>
        </w:rPr>
        <w:t>&lt;}0{&gt;</w:t>
      </w:r>
      <w:proofErr w:type="spellStart"/>
      <w:r w:rsidRPr="009E24D3">
        <w:t>réasúnacht</w:t>
      </w:r>
      <w:proofErr w:type="spellEnd"/>
      <w:r w:rsidRPr="009E24D3">
        <w:t xml:space="preserve"> na </w:t>
      </w:r>
      <w:proofErr w:type="spellStart"/>
      <w:r w:rsidRPr="009E24D3">
        <w:t>meastachán</w:t>
      </w:r>
      <w:proofErr w:type="spellEnd"/>
      <w:r w:rsidRPr="009E24D3">
        <w:t xml:space="preserve"> cuntasaíochta </w:t>
      </w:r>
      <w:proofErr w:type="spellStart"/>
      <w:r w:rsidRPr="009E24D3">
        <w:t>suntasacha</w:t>
      </w:r>
      <w:proofErr w:type="spellEnd"/>
      <w:r w:rsidRPr="009E24D3">
        <w:t xml:space="preserve"> a rinneadh agus na </w:t>
      </w:r>
      <w:proofErr w:type="spellStart"/>
      <w:r w:rsidRPr="009E24D3">
        <w:t>ráitis</w:t>
      </w:r>
      <w:proofErr w:type="spellEnd"/>
      <w:r w:rsidRPr="009E24D3">
        <w:t xml:space="preserve"> airgeadais á n-ullmhú, agus </w:t>
      </w:r>
      <w:r>
        <w:rPr>
          <w:rStyle w:val="tw4winMark"/>
          <w:lang w:val="en-US"/>
        </w:rPr>
        <w:t>&lt;0}</w:t>
      </w:r>
      <w:r w:rsidRPr="009E24D3">
        <w:rPr>
          <w:rStyle w:val="tw4winMark"/>
          <w:lang w:val="en-US"/>
        </w:rPr>
        <w:t>{</w:t>
      </w:r>
      <w:r>
        <w:rPr>
          <w:rStyle w:val="tw4winMark"/>
          <w:lang w:val="en-US"/>
        </w:rPr>
        <w:t>0&gt;</w:t>
      </w:r>
    </w:p>
    <w:p w14:paraId="7A817FF6" w14:textId="77777777" w:rsidR="00594740" w:rsidRDefault="00594740" w:rsidP="00594740">
      <w:pPr>
        <w:pStyle w:val="ListBullet"/>
      </w:pPr>
      <w:r>
        <w:rPr>
          <w:rStyle w:val="tw4winMark"/>
          <w:lang w:val="en-US"/>
        </w:rPr>
        <w:t>&lt;}0{&gt;</w:t>
      </w:r>
      <w:r w:rsidRPr="009E24D3">
        <w:t xml:space="preserve">cur i láthair </w:t>
      </w:r>
      <w:proofErr w:type="spellStart"/>
      <w:r w:rsidRPr="009E24D3">
        <w:t>foriomlán</w:t>
      </w:r>
      <w:proofErr w:type="spellEnd"/>
      <w:r w:rsidRPr="009E24D3">
        <w:t xml:space="preserve"> na ráiteas airgeadais</w:t>
      </w:r>
      <w:r>
        <w:rPr>
          <w:rStyle w:val="tw4winMark"/>
          <w:lang w:val="en-US"/>
        </w:rPr>
        <w:t>&lt;0}</w:t>
      </w:r>
    </w:p>
    <w:p w14:paraId="5517054A" w14:textId="77777777" w:rsidR="00594740" w:rsidRDefault="00594740" w:rsidP="00594740">
      <w:r>
        <w:rPr>
          <w:rStyle w:val="tw4winMark"/>
          <w:lang w:val="en-US"/>
        </w:rPr>
        <w:t>{</w:t>
      </w:r>
      <w:r>
        <w:rPr>
          <w:lang/>
        </w:rPr>
        <w:t xml:space="preserve">Lorgaím fianaise chomh maith faoi rialtacht na n-idirbheart airgeadais le linn an iniúchta. </w:t>
      </w:r>
      <w:r>
        <w:rPr>
          <w:rStyle w:val="tw4winMark"/>
          <w:lang w:val="en-US"/>
        </w:rPr>
        <w:t>&lt;0}</w:t>
      </w:r>
      <w:r>
        <w:t xml:space="preserve"> </w:t>
      </w:r>
    </w:p>
    <w:p w14:paraId="6F32CAB6" w14:textId="77777777" w:rsidR="00594740" w:rsidRDefault="00594740" w:rsidP="00594740">
      <w:r>
        <w:rPr>
          <w:rStyle w:val="tw4winMark"/>
          <w:lang w:val="en-US"/>
        </w:rPr>
        <w:t>{0</w:t>
      </w:r>
      <w:r>
        <w:rPr>
          <w:lang/>
        </w:rPr>
        <w:t xml:space="preserve">Chomh maith leis sin, léigh mé an t-eolas airgeadais agus neamhairgeadais ar fad sa tuarascáil bhliantúil chun neamhréireachtaí ábhair maidir leis na ráitis airgeadais a bhfuil iniúchadh déanta orthu a aithint.  Má thugaim aon mhíráiteas nó neamhréireachtaí ábhair dhealraitheacha faoi deara, breithním na tionchair a bheidh acu sin ar mo thuarascáil. </w:t>
      </w:r>
      <w:r>
        <w:rPr>
          <w:rStyle w:val="tw4winMark"/>
          <w:lang w:val="en-US"/>
        </w:rPr>
        <w:t>&lt;0}</w:t>
      </w:r>
    </w:p>
    <w:p w14:paraId="0A97985D" w14:textId="77777777" w:rsidR="00594740" w:rsidRDefault="00594740" w:rsidP="00594740">
      <w:pPr>
        <w:pStyle w:val="Heading2"/>
        <w:rPr>
          <w:i/>
        </w:rPr>
      </w:pPr>
      <w:bookmarkStart w:id="739" w:name="_Toc299362641"/>
      <w:bookmarkStart w:id="740" w:name="_Toc300742246"/>
      <w:bookmarkStart w:id="741" w:name="_Toc300742998"/>
      <w:bookmarkStart w:id="742" w:name="_Toc300744354"/>
      <w:r>
        <w:rPr>
          <w:lang/>
        </w:rPr>
        <w:lastRenderedPageBreak/>
        <w:t>Tuairim ar na Ráitis Airgeadais</w:t>
      </w:r>
      <w:bookmarkEnd w:id="739"/>
      <w:bookmarkEnd w:id="740"/>
      <w:bookmarkEnd w:id="741"/>
      <w:bookmarkEnd w:id="742"/>
      <w:r>
        <w:rPr>
          <w:lang/>
        </w:rPr>
        <w:t xml:space="preserve"> </w:t>
      </w:r>
      <w:r>
        <w:rPr>
          <w:rStyle w:val="tw4winMark"/>
          <w:rFonts w:cs="Times New Roman"/>
          <w:b w:val="0"/>
          <w:bCs w:val="0"/>
          <w:iCs w:val="0"/>
          <w:szCs w:val="24"/>
          <w:lang w:val="en-US"/>
        </w:rPr>
        <w:t>&lt;0}</w:t>
      </w:r>
    </w:p>
    <w:p w14:paraId="74BCDF27" w14:textId="77777777" w:rsidR="00594740" w:rsidRDefault="00594740" w:rsidP="00594740">
      <w:pPr>
        <w:rPr>
          <w:lang w:val="en-US"/>
        </w:rPr>
      </w:pPr>
      <w:r>
        <w:rPr>
          <w:rStyle w:val="tw4winMark"/>
          <w:lang w:val="en-US"/>
        </w:rPr>
        <w:t>{</w:t>
      </w:r>
      <w:r>
        <w:rPr>
          <w:lang/>
        </w:rPr>
        <w:t>Is é mo thuairim go dtugann na ráitis airgeadais, a ullmhaíodh i gceart de réir Chleachtas Chuntasaíochta a nGlactar go Ginearálta leis in Éirinn, léargas fíor agus cothrom ar riocht ghnóthaí an Údaráis amhail an  31 Nollaig 2010 agus ar a ioncam agus ar a chaiteachas don bhliain dar críoch sin.</w:t>
      </w:r>
      <w:r>
        <w:rPr>
          <w:rStyle w:val="tw4winMark"/>
          <w:lang w:val="en-US"/>
        </w:rPr>
        <w:t>&lt;0}</w:t>
      </w:r>
    </w:p>
    <w:p w14:paraId="0CC9E44A" w14:textId="77777777" w:rsidR="00594740" w:rsidRDefault="00594740" w:rsidP="00594740">
      <w:pPr>
        <w:rPr>
          <w:lang w:val="en-US"/>
        </w:rPr>
      </w:pPr>
      <w:r>
        <w:rPr>
          <w:lang/>
        </w:rPr>
        <w:t>Is é mo thuairim go bhfuil leabhair chuntais chuí á gcoimeád ag an Údarás.</w:t>
      </w:r>
      <w:r>
        <w:rPr>
          <w:rStyle w:val="tw4winMark"/>
          <w:lang w:val="en-US"/>
        </w:rPr>
        <w:t>&lt;0}</w:t>
      </w:r>
      <w:r>
        <w:rPr>
          <w:lang w:val="en-US"/>
        </w:rPr>
        <w:t xml:space="preserve">  </w:t>
      </w:r>
      <w:r>
        <w:rPr>
          <w:lang/>
        </w:rPr>
        <w:t>Tá na ráitis airgeadais ag teacht leis na leabhair chuntais.</w:t>
      </w:r>
      <w:r>
        <w:rPr>
          <w:rStyle w:val="tw4winMark"/>
          <w:lang w:val="en-US"/>
        </w:rPr>
        <w:t>&lt;0}</w:t>
      </w:r>
    </w:p>
    <w:p w14:paraId="3847ADF2" w14:textId="77777777" w:rsidR="00594740" w:rsidRDefault="00594740" w:rsidP="00594740">
      <w:pPr>
        <w:pStyle w:val="Heading3"/>
      </w:pPr>
      <w:r>
        <w:rPr>
          <w:lang/>
        </w:rPr>
        <w:t>Ábhair lena dTuairiscím trí Eisceacht</w:t>
      </w:r>
      <w:r>
        <w:rPr>
          <w:rStyle w:val="tw4winMark"/>
          <w:rFonts w:cs="Times New Roman"/>
          <w:b w:val="0"/>
          <w:bCs w:val="0"/>
          <w:lang w:val="en-US"/>
        </w:rPr>
        <w:t>&lt;0}</w:t>
      </w:r>
    </w:p>
    <w:p w14:paraId="30E8E632" w14:textId="77777777" w:rsidR="00594740" w:rsidRDefault="00594740" w:rsidP="00594740">
      <w:pPr>
        <w:rPr>
          <w:lang w:val="en-US"/>
        </w:rPr>
      </w:pPr>
      <w:r>
        <w:rPr>
          <w:rStyle w:val="tw4winMark"/>
          <w:lang w:val="en-US"/>
        </w:rPr>
        <w:t>{</w:t>
      </w:r>
      <w:r>
        <w:rPr>
          <w:lang/>
        </w:rPr>
        <w:t>Tuairiscím trí eisceacht:</w:t>
      </w:r>
      <w:r>
        <w:rPr>
          <w:rStyle w:val="tw4winMark"/>
          <w:lang w:val="en-US"/>
        </w:rPr>
        <w:t>&lt;0}</w:t>
      </w:r>
    </w:p>
    <w:p w14:paraId="71D3D85D" w14:textId="77777777" w:rsidR="00594740" w:rsidRDefault="00594740" w:rsidP="00594740">
      <w:pPr>
        <w:pStyle w:val="ListBullet"/>
      </w:pPr>
      <w:r w:rsidRPr="009E24D3">
        <w:t xml:space="preserve">mura bhfuil an fhaisnéis agus na </w:t>
      </w:r>
      <w:proofErr w:type="spellStart"/>
      <w:r w:rsidRPr="009E24D3">
        <w:t>mínithe</w:t>
      </w:r>
      <w:proofErr w:type="spellEnd"/>
      <w:r w:rsidRPr="009E24D3">
        <w:t xml:space="preserve"> ar fad faighte agam don iniúchadh, nó</w:t>
      </w:r>
    </w:p>
    <w:p w14:paraId="67205D92" w14:textId="77777777" w:rsidR="00594740" w:rsidRPr="002D3B81" w:rsidRDefault="00594740" w:rsidP="00594740">
      <w:pPr>
        <w:pStyle w:val="ListBullet"/>
      </w:pPr>
      <w:r w:rsidRPr="002D3B81">
        <w:t xml:space="preserve">más rud é gur thug </w:t>
      </w:r>
      <w:proofErr w:type="spellStart"/>
      <w:r w:rsidRPr="002D3B81">
        <w:t>m’iniúchadh</w:t>
      </w:r>
      <w:proofErr w:type="spellEnd"/>
      <w:r w:rsidRPr="002D3B81">
        <w:t xml:space="preserve"> aon chás ábhartha nár </w:t>
      </w:r>
      <w:proofErr w:type="spellStart"/>
      <w:r w:rsidRPr="002D3B81">
        <w:t>feidhmíodh</w:t>
      </w:r>
      <w:proofErr w:type="spellEnd"/>
      <w:r w:rsidRPr="002D3B81">
        <w:t xml:space="preserve"> </w:t>
      </w:r>
      <w:proofErr w:type="spellStart"/>
      <w:r w:rsidRPr="002D3B81">
        <w:t>suimeanna</w:t>
      </w:r>
      <w:proofErr w:type="spellEnd"/>
      <w:r w:rsidRPr="002D3B81">
        <w:t xml:space="preserve"> airgid chun na </w:t>
      </w:r>
      <w:proofErr w:type="spellStart"/>
      <w:r w:rsidRPr="002D3B81">
        <w:t>gcríoch</w:t>
      </w:r>
      <w:proofErr w:type="spellEnd"/>
      <w:r w:rsidRPr="002D3B81">
        <w:t xml:space="preserve"> a bhí beartaithe faoi deara nó sa chás nach leanann na </w:t>
      </w:r>
      <w:proofErr w:type="spellStart"/>
      <w:r w:rsidRPr="002D3B81">
        <w:t>hidirbhearta</w:t>
      </w:r>
      <w:proofErr w:type="spellEnd"/>
      <w:r>
        <w:t xml:space="preserve"> do na húdaráis a </w:t>
      </w:r>
      <w:proofErr w:type="spellStart"/>
      <w:r>
        <w:t>rialaíonn</w:t>
      </w:r>
      <w:proofErr w:type="spellEnd"/>
      <w:r>
        <w:t xml:space="preserve"> iad</w:t>
      </w:r>
      <w:r w:rsidRPr="002D3B81">
        <w:rPr>
          <w:vanish/>
        </w:rPr>
        <w:t>&lt;0}</w:t>
      </w:r>
    </w:p>
    <w:p w14:paraId="5FB2988F" w14:textId="77777777" w:rsidR="00594740" w:rsidRPr="002D3B81" w:rsidRDefault="00594740" w:rsidP="00594740">
      <w:pPr>
        <w:pStyle w:val="ListBullet"/>
      </w:pPr>
      <w:r w:rsidRPr="002D3B81">
        <w:t xml:space="preserve">mura dtagann an t-eolas atá i </w:t>
      </w:r>
      <w:proofErr w:type="spellStart"/>
      <w:r w:rsidRPr="002D3B81">
        <w:t>dTuarascáil</w:t>
      </w:r>
      <w:proofErr w:type="spellEnd"/>
      <w:r w:rsidRPr="002D3B81">
        <w:t xml:space="preserve"> Bhliantúil an Údaráis don bhliain </w:t>
      </w:r>
      <w:proofErr w:type="spellStart"/>
      <w:r w:rsidRPr="002D3B81">
        <w:t>leanár</w:t>
      </w:r>
      <w:proofErr w:type="spellEnd"/>
      <w:r w:rsidRPr="002D3B81">
        <w:t xml:space="preserve"> </w:t>
      </w:r>
      <w:proofErr w:type="spellStart"/>
      <w:r w:rsidRPr="002D3B81">
        <w:t>ullmhaíodh</w:t>
      </w:r>
      <w:proofErr w:type="spellEnd"/>
      <w:r w:rsidRPr="002D3B81">
        <w:t xml:space="preserve"> na </w:t>
      </w:r>
      <w:proofErr w:type="spellStart"/>
      <w:r w:rsidRPr="002D3B81">
        <w:t>ráitis</w:t>
      </w:r>
      <w:proofErr w:type="spellEnd"/>
      <w:r w:rsidRPr="002D3B81">
        <w:t xml:space="preserve"> airgeadais leis na </w:t>
      </w:r>
      <w:proofErr w:type="spellStart"/>
      <w:r w:rsidRPr="002D3B81">
        <w:t>ráitis</w:t>
      </w:r>
      <w:proofErr w:type="spellEnd"/>
      <w:r w:rsidRPr="002D3B81">
        <w:t xml:space="preserve"> airgeadais, nó </w:t>
      </w:r>
      <w:r w:rsidRPr="002D3B81">
        <w:rPr>
          <w:vanish/>
        </w:rPr>
        <w:t>&lt;0}</w:t>
      </w:r>
    </w:p>
    <w:p w14:paraId="61937CB7" w14:textId="77777777" w:rsidR="00594740" w:rsidRPr="002D3B81" w:rsidRDefault="00594740" w:rsidP="00594740">
      <w:pPr>
        <w:pStyle w:val="ListBullet"/>
      </w:pPr>
      <w:r w:rsidRPr="002D3B81">
        <w:t xml:space="preserve">mura léiríonn an Ráiteas maidir le </w:t>
      </w:r>
      <w:proofErr w:type="spellStart"/>
      <w:r w:rsidRPr="002D3B81">
        <w:t>Rialú</w:t>
      </w:r>
      <w:proofErr w:type="spellEnd"/>
      <w:r w:rsidRPr="002D3B81">
        <w:t xml:space="preserve"> Inmheánach Airgeadais gur </w:t>
      </w:r>
      <w:proofErr w:type="spellStart"/>
      <w:r w:rsidRPr="002D3B81">
        <w:t>chomhlíon</w:t>
      </w:r>
      <w:proofErr w:type="spellEnd"/>
      <w:r w:rsidRPr="002D3B81">
        <w:t xml:space="preserve"> an </w:t>
      </w:r>
      <w:proofErr w:type="spellStart"/>
      <w:proofErr w:type="gramStart"/>
      <w:r w:rsidRPr="002D3B81">
        <w:t>tÚdarás</w:t>
      </w:r>
      <w:proofErr w:type="spellEnd"/>
      <w:r w:rsidRPr="002D3B81">
        <w:t xml:space="preserve">  an</w:t>
      </w:r>
      <w:proofErr w:type="gramEnd"/>
      <w:r w:rsidRPr="002D3B81">
        <w:t xml:space="preserve"> Cód Cleachtais do </w:t>
      </w:r>
      <w:proofErr w:type="spellStart"/>
      <w:r w:rsidRPr="002D3B81">
        <w:t>Rialachas</w:t>
      </w:r>
      <w:proofErr w:type="spellEnd"/>
      <w:r w:rsidRPr="002D3B81">
        <w:t xml:space="preserve"> Chomhlachtaí Stáit, nó</w:t>
      </w:r>
      <w:r w:rsidRPr="002D3B81">
        <w:rPr>
          <w:vanish/>
        </w:rPr>
        <w:t>&lt;0}</w:t>
      </w:r>
    </w:p>
    <w:p w14:paraId="72245F5B" w14:textId="77777777" w:rsidR="00594740" w:rsidRPr="002D3B81" w:rsidRDefault="00594740" w:rsidP="00594740">
      <w:pPr>
        <w:pStyle w:val="ListBullet"/>
      </w:pPr>
      <w:r w:rsidRPr="002D3B81">
        <w:t xml:space="preserve">má </w:t>
      </w:r>
      <w:proofErr w:type="spellStart"/>
      <w:r w:rsidRPr="002D3B81">
        <w:t>fhaighim</w:t>
      </w:r>
      <w:proofErr w:type="spellEnd"/>
      <w:r w:rsidRPr="002D3B81">
        <w:t xml:space="preserve"> amach go bhfuil fadhbanna ábhartha eile a bhaineann leis an</w:t>
      </w:r>
      <w:r>
        <w:t xml:space="preserve"> mbealach a rinneadh gnó poiblí</w:t>
      </w:r>
      <w:r w:rsidRPr="002D3B81">
        <w:rPr>
          <w:vanish/>
        </w:rPr>
        <w:t>&lt;0}</w:t>
      </w:r>
    </w:p>
    <w:p w14:paraId="786B0EF5" w14:textId="77777777" w:rsidR="00594740" w:rsidRDefault="00594740" w:rsidP="00594740">
      <w:pPr>
        <w:rPr>
          <w:lang/>
        </w:rPr>
      </w:pPr>
      <w:r>
        <w:rPr>
          <w:rStyle w:val="tw4winMark"/>
          <w:lang w:val="en-US"/>
        </w:rPr>
        <w:t>{</w:t>
      </w:r>
      <w:r>
        <w:rPr>
          <w:lang/>
        </w:rPr>
        <w:t>Níl aon ní le tuairisciú agam maidir leis na cúrsaí sin a dhéantar a thuairisciú trí eisceacht.</w:t>
      </w:r>
    </w:p>
    <w:p w14:paraId="3E29B23C" w14:textId="77777777" w:rsidR="00E8086E" w:rsidRPr="008D25AB" w:rsidRDefault="00E8086E" w:rsidP="00594740">
      <w:pPr>
        <w:rPr>
          <w:b/>
        </w:rPr>
      </w:pPr>
      <w:r w:rsidRPr="008D25AB">
        <w:rPr>
          <w:b/>
        </w:rPr>
        <w:t>Andrew Harkness</w:t>
      </w:r>
      <w:r w:rsidRPr="008D25AB">
        <w:rPr>
          <w:b/>
        </w:rPr>
        <w:br/>
      </w:r>
      <w:r w:rsidRPr="00B50E0F">
        <w:rPr>
          <w:b/>
          <w:lang w:val="en-GB"/>
        </w:rPr>
        <w:t xml:space="preserve">Le haghaidh agus thar ceann an </w:t>
      </w:r>
      <w:r w:rsidRPr="00B50E0F">
        <w:rPr>
          <w:b/>
          <w:noProof/>
        </w:rPr>
        <w:t>Ard-Reachtaire Cuntas agus Ciste</w:t>
      </w:r>
      <w:r w:rsidRPr="00B50E0F">
        <w:rPr>
          <w:b/>
          <w:noProof/>
          <w:lang w:val="en-GB"/>
        </w:rPr>
        <w:br/>
      </w:r>
      <w:r w:rsidRPr="00E8086E">
        <w:rPr>
          <w:b/>
        </w:rPr>
        <w:t>Iúil</w:t>
      </w:r>
      <w:r w:rsidRPr="008D25AB">
        <w:rPr>
          <w:b/>
        </w:rPr>
        <w:t xml:space="preserve"> 2011</w:t>
      </w:r>
    </w:p>
    <w:p w14:paraId="60A76A8E" w14:textId="77777777" w:rsidR="006B62B3" w:rsidRPr="000E6F67" w:rsidRDefault="006B62B3" w:rsidP="006B62B3">
      <w:pPr>
        <w:pStyle w:val="Heading1"/>
        <w:rPr>
          <w:lang w:val="ga-IE"/>
        </w:rPr>
      </w:pPr>
      <w:r w:rsidRPr="000E6F67">
        <w:rPr>
          <w:rFonts w:eastAsia="Gill Sans"/>
          <w:lang w:val="ga-IE"/>
        </w:rPr>
        <w:br w:type="page"/>
      </w:r>
      <w:bookmarkStart w:id="743" w:name="_Toc299360721"/>
      <w:bookmarkStart w:id="744" w:name="_Toc299362001"/>
      <w:bookmarkStart w:id="745" w:name="_Toc299362505"/>
      <w:bookmarkStart w:id="746" w:name="_Toc299362642"/>
      <w:bookmarkStart w:id="747" w:name="_Toc300741759"/>
      <w:bookmarkStart w:id="748" w:name="_Toc300742247"/>
      <w:bookmarkStart w:id="749" w:name="_Toc300742999"/>
      <w:bookmarkStart w:id="750" w:name="_Toc300744355"/>
      <w:bookmarkStart w:id="751" w:name="_Toc304371233"/>
      <w:bookmarkStart w:id="752" w:name="_Toc304381949"/>
      <w:r w:rsidRPr="000E6F67">
        <w:rPr>
          <w:rFonts w:eastAsia="Gill Sans"/>
          <w:lang w:val="ga-IE"/>
        </w:rPr>
        <w:lastRenderedPageBreak/>
        <w:t>Ráiteas ar Pholasaithe Cuntasaíochta</w:t>
      </w:r>
      <w:bookmarkEnd w:id="743"/>
      <w:bookmarkEnd w:id="744"/>
      <w:bookmarkEnd w:id="745"/>
      <w:bookmarkEnd w:id="746"/>
      <w:bookmarkEnd w:id="747"/>
      <w:bookmarkEnd w:id="748"/>
      <w:bookmarkEnd w:id="749"/>
      <w:bookmarkEnd w:id="750"/>
      <w:bookmarkEnd w:id="751"/>
      <w:bookmarkEnd w:id="752"/>
    </w:p>
    <w:p w14:paraId="11AFC3B9" w14:textId="77777777" w:rsidR="006B62B3" w:rsidRPr="000E6F67" w:rsidRDefault="006B62B3" w:rsidP="006B62B3">
      <w:pPr>
        <w:pStyle w:val="Heading3"/>
        <w:rPr>
          <w:lang w:val="ga-IE"/>
        </w:rPr>
      </w:pPr>
      <w:r w:rsidRPr="000E6F67">
        <w:rPr>
          <w:rFonts w:eastAsia="Gill Sans"/>
          <w:lang w:val="ga-IE"/>
        </w:rPr>
        <w:t>Bonn na Cuntasaíochta</w:t>
      </w:r>
    </w:p>
    <w:p w14:paraId="1EF44688" w14:textId="77777777" w:rsidR="006B62B3" w:rsidRPr="000E6F67" w:rsidRDefault="006B62B3" w:rsidP="006B62B3">
      <w:pPr>
        <w:rPr>
          <w:lang w:val="ga-IE"/>
        </w:rPr>
      </w:pPr>
      <w:r w:rsidRPr="000E6F67">
        <w:rPr>
          <w:rFonts w:eastAsia="Gill Sans"/>
          <w:lang w:val="ga-IE"/>
        </w:rPr>
        <w:t>Ullmhaítear na ráitis airgeadais ar an modh fabhraithe cuntasaíochta faoin gcoinbhinsiún stairiúil costais de réir na bprionsabal cuntasaíochta a bhfuil glacadh ginearálta leo, ach mar atá léirithe thíos.</w:t>
      </w:r>
    </w:p>
    <w:p w14:paraId="1C429D56" w14:textId="77777777" w:rsidR="006B62B3" w:rsidRPr="000E6F67" w:rsidRDefault="006B62B3" w:rsidP="006B62B3">
      <w:pPr>
        <w:rPr>
          <w:lang w:val="ga-IE"/>
        </w:rPr>
      </w:pPr>
      <w:r w:rsidRPr="000E6F67">
        <w:rPr>
          <w:rFonts w:eastAsia="Gill Sans"/>
          <w:lang w:val="ga-IE"/>
        </w:rPr>
        <w:t>Glactar leis na Caighdeáin Tuarascála a mholann na comhlachtaí aitheanta cuntasóireachta de réir mar a thagann siad i bfheidhm.</w:t>
      </w:r>
    </w:p>
    <w:p w14:paraId="429A9C1F" w14:textId="77777777" w:rsidR="006B62B3" w:rsidRPr="000E6F67" w:rsidRDefault="006B62B3" w:rsidP="006B62B3">
      <w:pPr>
        <w:pStyle w:val="Heading3"/>
        <w:rPr>
          <w:lang w:val="ga-IE"/>
        </w:rPr>
      </w:pPr>
      <w:r w:rsidRPr="000E6F67">
        <w:rPr>
          <w:rFonts w:eastAsia="Gill Sans"/>
          <w:lang w:val="ga-IE"/>
        </w:rPr>
        <w:t>Ioncam Deontas Oireachtais</w:t>
      </w:r>
    </w:p>
    <w:p w14:paraId="40642DB9" w14:textId="77777777" w:rsidR="006B62B3" w:rsidRPr="000E6F67" w:rsidRDefault="006B62B3" w:rsidP="006B62B3">
      <w:pPr>
        <w:rPr>
          <w:b/>
          <w:lang w:val="ga-IE"/>
        </w:rPr>
      </w:pPr>
      <w:r w:rsidRPr="000E6F67">
        <w:rPr>
          <w:rFonts w:eastAsia="Gill Sans"/>
          <w:lang w:val="ga-IE"/>
        </w:rPr>
        <w:t>Léiríonn ioncam ón bhfoinse seo na fáltais iarbhír airgid sa tréimhse.</w:t>
      </w:r>
    </w:p>
    <w:p w14:paraId="5E3AF197" w14:textId="77777777" w:rsidR="006B62B3" w:rsidRPr="000E6F67" w:rsidRDefault="006B62B3" w:rsidP="006B62B3">
      <w:pPr>
        <w:pStyle w:val="Heading3"/>
        <w:rPr>
          <w:lang w:val="ga-IE"/>
        </w:rPr>
      </w:pPr>
      <w:r w:rsidRPr="000E6F67">
        <w:rPr>
          <w:rFonts w:eastAsia="Gill Sans"/>
          <w:lang w:val="ga-IE"/>
        </w:rPr>
        <w:t>Ioncam eile– An Roinn Oideachais agus Eolaíochta</w:t>
      </w:r>
    </w:p>
    <w:p w14:paraId="16531077" w14:textId="77777777" w:rsidR="006B62B3" w:rsidRPr="000E6F67" w:rsidRDefault="006B62B3" w:rsidP="006B62B3">
      <w:pPr>
        <w:rPr>
          <w:b/>
          <w:lang w:val="ga-IE"/>
        </w:rPr>
      </w:pPr>
      <w:r w:rsidRPr="000E6F67">
        <w:rPr>
          <w:rFonts w:eastAsia="Gill Sans"/>
          <w:lang w:val="ga-IE"/>
        </w:rPr>
        <w:t>Déantar cuntas ar aisghabháil ón Roinn Oideachais agus Eolaíochta i leith tuarastal agus aoisliúntas a thit ar an Údarás Náisiúnta Míchumais ar bhonn fabhraithe.</w:t>
      </w:r>
    </w:p>
    <w:p w14:paraId="0BAB5A35" w14:textId="77777777" w:rsidR="006B62B3" w:rsidRPr="000E6F67" w:rsidRDefault="006B62B3" w:rsidP="006B62B3">
      <w:pPr>
        <w:pStyle w:val="Heading3"/>
        <w:rPr>
          <w:lang w:val="ga-IE"/>
        </w:rPr>
      </w:pPr>
      <w:r w:rsidRPr="000E6F67">
        <w:rPr>
          <w:rFonts w:eastAsia="Gill Sans"/>
          <w:lang w:val="ga-IE"/>
        </w:rPr>
        <w:t>Sóchmhainní Seasta agus Dímheas</w:t>
      </w:r>
    </w:p>
    <w:p w14:paraId="47B066D7" w14:textId="77777777" w:rsidR="006B62B3" w:rsidRPr="000E6F67" w:rsidRDefault="006B62B3" w:rsidP="006B62B3">
      <w:pPr>
        <w:rPr>
          <w:lang w:val="ga-IE"/>
        </w:rPr>
      </w:pPr>
      <w:r w:rsidRPr="000E6F67">
        <w:rPr>
          <w:rFonts w:eastAsia="Gill Sans"/>
          <w:lang w:val="ga-IE"/>
        </w:rPr>
        <w:t xml:space="preserve">Léirítear sóchmhainní seasta ar a gcéadchostas lúide dímheas. </w:t>
      </w:r>
    </w:p>
    <w:p w14:paraId="556619CD" w14:textId="77777777" w:rsidR="006B62B3" w:rsidRPr="000E6F67" w:rsidRDefault="006B62B3" w:rsidP="006B62B3">
      <w:pPr>
        <w:rPr>
          <w:lang w:val="ga-IE"/>
        </w:rPr>
      </w:pPr>
      <w:r w:rsidRPr="000E6F67">
        <w:rPr>
          <w:rFonts w:eastAsia="Gill Sans"/>
          <w:lang w:val="ga-IE"/>
        </w:rPr>
        <w:t>Gearrtar dímheas ar na rátaí bliantúla seo a leanas:-</w:t>
      </w:r>
    </w:p>
    <w:p w14:paraId="48F8A331" w14:textId="77777777" w:rsidR="006B62B3" w:rsidRPr="000E6F67" w:rsidRDefault="006B62B3" w:rsidP="006B62B3">
      <w:pPr>
        <w:rPr>
          <w:lang w:val="ga-IE"/>
        </w:rPr>
      </w:pPr>
      <w:r w:rsidRPr="000E6F67">
        <w:rPr>
          <w:rFonts w:eastAsia="Gill Sans"/>
          <w:lang w:val="ga-IE"/>
        </w:rPr>
        <w:t>Troscán agu</w:t>
      </w:r>
      <w:r w:rsidR="00BE6AB0">
        <w:rPr>
          <w:rFonts w:eastAsia="Gill Sans"/>
          <w:lang w:val="ga-IE"/>
        </w:rPr>
        <w:t xml:space="preserve">s Trealamh Oifige             </w:t>
      </w:r>
      <w:r w:rsidR="00BE6AB0">
        <w:rPr>
          <w:rFonts w:eastAsia="Gill Sans"/>
          <w:lang w:val="ga-IE"/>
        </w:rPr>
        <w:tab/>
      </w:r>
      <w:r w:rsidRPr="000E6F67">
        <w:rPr>
          <w:rFonts w:eastAsia="Gill Sans"/>
          <w:lang w:val="ga-IE"/>
        </w:rPr>
        <w:t xml:space="preserve">20.00% (Dímheas de </w:t>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00BE6AB0">
        <w:rPr>
          <w:rFonts w:eastAsia="Gill Sans"/>
          <w:lang w:val="ga-IE"/>
        </w:rPr>
        <w:tab/>
      </w:r>
      <w:r w:rsidRPr="000E6F67">
        <w:rPr>
          <w:rFonts w:eastAsia="Gill Sans"/>
          <w:lang w:val="ga-IE"/>
        </w:rPr>
        <w:t xml:space="preserve">réir méid chothroim) </w:t>
      </w:r>
    </w:p>
    <w:p w14:paraId="059960DA" w14:textId="77777777" w:rsidR="006B62B3" w:rsidRPr="000E6F67" w:rsidRDefault="00BE6AB0" w:rsidP="006B62B3">
      <w:pPr>
        <w:rPr>
          <w:lang w:val="ga-IE"/>
        </w:rPr>
      </w:pPr>
      <w:r>
        <w:rPr>
          <w:rFonts w:eastAsia="Gill Sans"/>
          <w:lang w:val="ga-IE"/>
        </w:rPr>
        <w:t>Cruaearraí agus Bogearraí</w:t>
      </w:r>
      <w:r>
        <w:rPr>
          <w:rFonts w:eastAsia="Gill Sans"/>
          <w:lang w:val="ga-IE"/>
        </w:rPr>
        <w:tab/>
      </w:r>
      <w:r>
        <w:rPr>
          <w:rFonts w:eastAsia="Gill Sans"/>
          <w:lang w:val="ga-IE"/>
        </w:rPr>
        <w:tab/>
      </w:r>
      <w:r>
        <w:rPr>
          <w:rFonts w:eastAsia="Gill Sans"/>
          <w:lang w:val="ga-IE"/>
        </w:rPr>
        <w:tab/>
      </w:r>
      <w:r w:rsidR="006B62B3" w:rsidRPr="000E6F67">
        <w:rPr>
          <w:rFonts w:eastAsia="Gill Sans"/>
          <w:lang w:val="ga-IE"/>
        </w:rPr>
        <w:t>33.33% (Dímheas de</w:t>
      </w:r>
      <w:r w:rsidR="006B62B3" w:rsidRPr="000E6F67">
        <w:rPr>
          <w:rFonts w:eastAsia="Gill Sans"/>
          <w:lang w:val="ga-IE"/>
        </w:rPr>
        <w:br/>
        <w:t>Ríomhaireachta</w:t>
      </w:r>
      <w:r w:rsidR="006B62B3" w:rsidRPr="000E6F67">
        <w:rPr>
          <w:rFonts w:eastAsia="Gill Sans"/>
          <w:lang w:val="ga-IE"/>
        </w:rPr>
        <w:tab/>
      </w:r>
      <w:r w:rsidR="006B62B3" w:rsidRPr="000E6F67">
        <w:rPr>
          <w:rFonts w:eastAsia="Gill Sans"/>
          <w:lang w:val="ga-IE"/>
        </w:rPr>
        <w:tab/>
      </w:r>
      <w:r w:rsidR="006B62B3" w:rsidRPr="000E6F67">
        <w:rPr>
          <w:rFonts w:eastAsia="Gill Sans"/>
          <w:lang w:val="ga-IE"/>
        </w:rPr>
        <w:tab/>
      </w:r>
      <w:r w:rsidR="006B62B3" w:rsidRPr="000E6F67">
        <w:rPr>
          <w:rFonts w:eastAsia="Gill Sans"/>
          <w:lang w:val="ga-IE"/>
        </w:rPr>
        <w:tab/>
        <w:t>réir méid chothroim)</w:t>
      </w:r>
      <w:r w:rsidR="006B62B3" w:rsidRPr="000E6F67">
        <w:rPr>
          <w:rFonts w:eastAsia="Gill Sans"/>
          <w:lang w:val="ga-IE"/>
        </w:rPr>
        <w:tab/>
      </w:r>
      <w:r w:rsidR="006B62B3" w:rsidRPr="000E6F67">
        <w:rPr>
          <w:rFonts w:eastAsia="Gill Sans"/>
          <w:lang w:val="ga-IE"/>
        </w:rPr>
        <w:tab/>
      </w:r>
      <w:r w:rsidR="006B62B3" w:rsidRPr="000E6F67">
        <w:rPr>
          <w:rFonts w:eastAsia="Gill Sans"/>
          <w:lang w:val="ga-IE"/>
        </w:rPr>
        <w:tab/>
      </w:r>
      <w:r w:rsidR="006B62B3" w:rsidRPr="000E6F67">
        <w:rPr>
          <w:rFonts w:eastAsia="Gill Sans"/>
          <w:lang w:val="ga-IE"/>
        </w:rPr>
        <w:tab/>
      </w:r>
    </w:p>
    <w:p w14:paraId="68253AB3" w14:textId="77777777" w:rsidR="006B62B3" w:rsidRPr="000E6F67" w:rsidRDefault="006B62B3" w:rsidP="006B62B3">
      <w:pPr>
        <w:rPr>
          <w:lang w:val="ga-IE"/>
        </w:rPr>
      </w:pPr>
      <w:r w:rsidRPr="000E6F67">
        <w:rPr>
          <w:rFonts w:eastAsia="Gill Sans"/>
          <w:lang w:val="ga-IE"/>
        </w:rPr>
        <w:t xml:space="preserve">Áitreabh                </w:t>
      </w:r>
      <w:r w:rsidR="00BE6AB0">
        <w:rPr>
          <w:rFonts w:eastAsia="Gill Sans"/>
          <w:lang w:val="ga-IE"/>
        </w:rPr>
        <w:t xml:space="preserve">                              </w:t>
      </w:r>
      <w:r w:rsidR="00BE6AB0">
        <w:rPr>
          <w:rFonts w:eastAsia="Gill Sans"/>
          <w:lang w:val="ga-IE"/>
        </w:rPr>
        <w:tab/>
      </w:r>
      <w:r w:rsidRPr="000E6F67">
        <w:rPr>
          <w:rFonts w:eastAsia="Gill Sans"/>
          <w:lang w:val="ga-IE"/>
        </w:rPr>
        <w:t xml:space="preserve">2.50% (Bonn </w:t>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00BE6AB0">
        <w:rPr>
          <w:rFonts w:eastAsia="Gill Sans"/>
          <w:lang w:val="ga-IE"/>
        </w:rPr>
        <w:tab/>
      </w:r>
      <w:r w:rsidRPr="000E6F67">
        <w:rPr>
          <w:rFonts w:eastAsia="Gill Sans"/>
          <w:lang w:val="ga-IE"/>
        </w:rPr>
        <w:t xml:space="preserve">Comhardaithe </w:t>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Pr="000E6F67">
        <w:rPr>
          <w:rFonts w:eastAsia="Gill Sans"/>
          <w:lang w:val="ga-IE"/>
        </w:rPr>
        <w:tab/>
      </w:r>
      <w:r w:rsidR="00BE6AB0">
        <w:rPr>
          <w:rFonts w:eastAsia="Gill Sans"/>
          <w:lang w:val="ga-IE"/>
        </w:rPr>
        <w:tab/>
      </w:r>
      <w:r w:rsidRPr="000E6F67">
        <w:rPr>
          <w:rFonts w:eastAsia="Gill Sans"/>
          <w:lang w:val="ga-IE"/>
        </w:rPr>
        <w:t>Laghdaithigh)</w:t>
      </w:r>
    </w:p>
    <w:p w14:paraId="7749C502" w14:textId="77777777" w:rsidR="006B62B3" w:rsidRPr="000E6F67" w:rsidRDefault="006B62B3" w:rsidP="006B62B3">
      <w:pPr>
        <w:pStyle w:val="Heading3"/>
        <w:rPr>
          <w:lang w:val="ga-IE"/>
        </w:rPr>
      </w:pPr>
      <w:r w:rsidRPr="000E6F67">
        <w:rPr>
          <w:rFonts w:eastAsia="Gill Sans"/>
          <w:lang w:val="ga-IE"/>
        </w:rPr>
        <w:t>Cuntas Caipitil</w:t>
      </w:r>
    </w:p>
    <w:p w14:paraId="6417D1B7" w14:textId="77777777" w:rsidR="006B62B3" w:rsidRPr="000E6F67" w:rsidRDefault="006B62B3" w:rsidP="006B62B3">
      <w:pPr>
        <w:rPr>
          <w:lang w:val="ga-IE"/>
        </w:rPr>
      </w:pPr>
      <w:r w:rsidRPr="000E6F67">
        <w:rPr>
          <w:rFonts w:eastAsia="Gill Sans"/>
          <w:lang w:val="ga-IE"/>
        </w:rPr>
        <w:t>An Cuntas Caipitil an méid ioncaim gan amúchadh a leithdháileadh le sóchmhainní seasta a  cheannach.</w:t>
      </w:r>
    </w:p>
    <w:p w14:paraId="00D53A38" w14:textId="77777777" w:rsidR="006B62B3" w:rsidRPr="000E6F67" w:rsidRDefault="006B62B3" w:rsidP="006B62B3">
      <w:pPr>
        <w:pStyle w:val="Heading3"/>
        <w:rPr>
          <w:lang w:val="ga-IE"/>
        </w:rPr>
      </w:pPr>
      <w:r w:rsidRPr="000E6F67">
        <w:rPr>
          <w:rFonts w:eastAsia="Gill Sans"/>
          <w:lang w:val="ga-IE"/>
        </w:rPr>
        <w:t>Pinsin</w:t>
      </w:r>
    </w:p>
    <w:p w14:paraId="0F271691" w14:textId="77777777" w:rsidR="006B62B3" w:rsidRPr="000E6F67" w:rsidRDefault="006B62B3" w:rsidP="006B62B3">
      <w:pPr>
        <w:rPr>
          <w:lang w:val="ga-IE"/>
        </w:rPr>
      </w:pPr>
      <w:r w:rsidRPr="000E6F67">
        <w:rPr>
          <w:rFonts w:eastAsia="Gill Sans"/>
          <w:lang w:val="ga-IE"/>
        </w:rPr>
        <w:t xml:space="preserve">Feidhmíonn an tÚdarás Náisiúnta Míchumais scéim pinsin socharshainithe a mhaoinítear go bliantúil ar bhonn íoc mar a théir ó airgead atá ar fáil aige, airgead arna sholáthar ag an Roinn Dlí agus Cirt Comhionannais agus Athchóirithe Dlí agus rannaíocaíochtaí ón bhfoireann san áireamh. </w:t>
      </w:r>
    </w:p>
    <w:p w14:paraId="69997032" w14:textId="77777777" w:rsidR="006B62B3" w:rsidRPr="000E6F67" w:rsidRDefault="006B62B3" w:rsidP="006B62B3">
      <w:pPr>
        <w:rPr>
          <w:lang w:val="ga-IE"/>
        </w:rPr>
      </w:pPr>
      <w:r w:rsidRPr="000E6F67">
        <w:rPr>
          <w:rFonts w:eastAsia="Gill Sans"/>
          <w:lang w:val="ga-IE"/>
        </w:rPr>
        <w:t>Léiríonn na costais pinsean sochair tuillte ag fostaithe sa tréimhse agus léirítear sin glan ar rannaíocaíochtaí foirne a choinníonn an tÚdarás Náisiúnta Míchumais. Aithnítear mar ioncam suim ag freagairt don mhuirear pinsin chomh fada is atá sé in-aisghabhála, agus fritháirithe ag deontais a fuarthas i rith na bliana le híocaíochtaí pinsin a íoc.</w:t>
      </w:r>
    </w:p>
    <w:p w14:paraId="3E722A5C" w14:textId="77777777" w:rsidR="006B62B3" w:rsidRPr="000E6F67" w:rsidRDefault="006B62B3" w:rsidP="006B62B3">
      <w:pPr>
        <w:rPr>
          <w:lang w:val="ga-IE"/>
        </w:rPr>
      </w:pPr>
      <w:r w:rsidRPr="000E6F67">
        <w:rPr>
          <w:rFonts w:eastAsia="Gill Sans"/>
          <w:lang w:val="ga-IE"/>
        </w:rPr>
        <w:lastRenderedPageBreak/>
        <w:t>Léirítear ghnóthachain nó caillteanais ar dhliteanais na scéime sa Ráiteas ar Ghnóthachain agus Chaillteanais Iomlána agus tá suim ag freagairt dó sin in-aisghabhála ón Roinn Dlí agus Cirt, Comhionannais agus Athchóirithe Dlí.</w:t>
      </w:r>
    </w:p>
    <w:p w14:paraId="3CCFD4B4" w14:textId="77777777" w:rsidR="00BE6AB0" w:rsidRDefault="006B62B3" w:rsidP="006F18C4">
      <w:pPr>
        <w:rPr>
          <w:rFonts w:eastAsia="Gill Sans"/>
          <w:lang w:val="ga-IE"/>
        </w:rPr>
      </w:pPr>
      <w:r w:rsidRPr="000E6F67">
        <w:rPr>
          <w:rFonts w:eastAsia="Gill Sans"/>
          <w:lang w:val="ga-IE"/>
        </w:rPr>
        <w:t xml:space="preserve">Léiríonn dliteanais pinsin luach na n-iocaíochtaí pinsean iníoctha sa todhchaí atá tuillte ag an bhfoireann go dtí seo. Léiríonn cistíocht iarchurtha an mhaoin chomhfhreagrach atá le haisghabháil i dtréimhsí sa todhchaí ón Roinn Dlí agus Cirt, Comhionannais agus Athchóirithe Dlí. </w:t>
      </w:r>
    </w:p>
    <w:p w14:paraId="0C1FC999" w14:textId="77777777" w:rsidR="00141421" w:rsidRPr="00F62A79" w:rsidRDefault="006E0990" w:rsidP="00B3690F">
      <w:pPr>
        <w:pStyle w:val="Heading2"/>
      </w:pPr>
      <w:bookmarkStart w:id="753" w:name="_Toc300744356"/>
      <w:r w:rsidRPr="00414EB5">
        <w:t xml:space="preserve">Cuntas Ioncaim Agus </w:t>
      </w:r>
      <w:proofErr w:type="spellStart"/>
      <w:r w:rsidRPr="00414EB5">
        <w:t>Caiteachais</w:t>
      </w:r>
      <w:proofErr w:type="spellEnd"/>
      <w:r w:rsidRPr="00414EB5">
        <w:t xml:space="preserve"> Don Bhliain Dar Chríoch 31 Nollaig</w:t>
      </w:r>
      <w:r w:rsidRPr="00F62A79">
        <w:t xml:space="preserve"> </w:t>
      </w:r>
      <w:r w:rsidR="00141421" w:rsidRPr="00F62A79">
        <w:t>2010</w:t>
      </w:r>
      <w:bookmarkEnd w:id="75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356"/>
        <w:gridCol w:w="1356"/>
        <w:gridCol w:w="1356"/>
      </w:tblGrid>
      <w:tr w:rsidR="00141421" w:rsidRPr="00F62A79" w14:paraId="454BF9A7" w14:textId="77777777" w:rsidTr="00141421">
        <w:tblPrEx>
          <w:tblCellMar>
            <w:top w:w="0" w:type="dxa"/>
            <w:bottom w:w="0" w:type="dxa"/>
          </w:tblCellMar>
        </w:tblPrEx>
        <w:trPr>
          <w:tblHeader/>
        </w:trPr>
        <w:tc>
          <w:tcPr>
            <w:tcW w:w="4788" w:type="dxa"/>
            <w:shd w:val="clear" w:color="auto" w:fill="auto"/>
          </w:tcPr>
          <w:p w14:paraId="3A859BA5" w14:textId="77777777" w:rsidR="00141421" w:rsidRPr="008C4F00" w:rsidRDefault="00141421" w:rsidP="00141421">
            <w:pPr>
              <w:pStyle w:val="TableHead"/>
              <w:jc w:val="right"/>
            </w:pPr>
          </w:p>
        </w:tc>
        <w:tc>
          <w:tcPr>
            <w:tcW w:w="1356" w:type="dxa"/>
            <w:shd w:val="clear" w:color="auto" w:fill="auto"/>
          </w:tcPr>
          <w:p w14:paraId="32B0D119" w14:textId="77777777" w:rsidR="00141421" w:rsidRPr="008C4F00" w:rsidRDefault="006E0990" w:rsidP="00141421">
            <w:pPr>
              <w:pStyle w:val="TableHead"/>
              <w:jc w:val="right"/>
            </w:pPr>
            <w:r w:rsidRPr="008C4F00">
              <w:t>Nótaí</w:t>
            </w:r>
          </w:p>
        </w:tc>
        <w:tc>
          <w:tcPr>
            <w:tcW w:w="1356" w:type="dxa"/>
            <w:shd w:val="clear" w:color="auto" w:fill="auto"/>
          </w:tcPr>
          <w:p w14:paraId="445282D9" w14:textId="77777777" w:rsidR="00141421" w:rsidRPr="008C4F00" w:rsidRDefault="00141421" w:rsidP="00141421">
            <w:pPr>
              <w:pStyle w:val="TableHead"/>
              <w:jc w:val="right"/>
            </w:pPr>
            <w:r w:rsidRPr="008C4F00">
              <w:t>2010</w:t>
            </w:r>
          </w:p>
        </w:tc>
        <w:tc>
          <w:tcPr>
            <w:tcW w:w="1356" w:type="dxa"/>
            <w:shd w:val="clear" w:color="auto" w:fill="auto"/>
          </w:tcPr>
          <w:p w14:paraId="2C72A5B6" w14:textId="77777777" w:rsidR="00141421" w:rsidRPr="008C4F00" w:rsidRDefault="00141421" w:rsidP="00141421">
            <w:pPr>
              <w:pStyle w:val="TableHead"/>
              <w:jc w:val="right"/>
            </w:pPr>
            <w:r w:rsidRPr="008C4F00">
              <w:t>2009</w:t>
            </w:r>
          </w:p>
        </w:tc>
      </w:tr>
      <w:tr w:rsidR="00141421" w:rsidRPr="00F62A79" w14:paraId="28864BEB" w14:textId="77777777" w:rsidTr="00141421">
        <w:tblPrEx>
          <w:tblCellMar>
            <w:top w:w="0" w:type="dxa"/>
            <w:bottom w:w="0" w:type="dxa"/>
          </w:tblCellMar>
        </w:tblPrEx>
        <w:tc>
          <w:tcPr>
            <w:tcW w:w="4788" w:type="dxa"/>
            <w:shd w:val="clear" w:color="auto" w:fill="auto"/>
          </w:tcPr>
          <w:p w14:paraId="0EB560E6" w14:textId="77777777" w:rsidR="00141421" w:rsidRPr="008C4F00" w:rsidRDefault="00141421" w:rsidP="00141421">
            <w:pPr>
              <w:pStyle w:val="TableRowHead"/>
            </w:pPr>
          </w:p>
        </w:tc>
        <w:tc>
          <w:tcPr>
            <w:tcW w:w="1356" w:type="dxa"/>
            <w:shd w:val="clear" w:color="auto" w:fill="auto"/>
          </w:tcPr>
          <w:p w14:paraId="5F531A3D" w14:textId="77777777" w:rsidR="00141421" w:rsidRPr="008C4F00" w:rsidRDefault="00141421" w:rsidP="00141421">
            <w:pPr>
              <w:pStyle w:val="TableCell"/>
              <w:jc w:val="right"/>
            </w:pPr>
          </w:p>
        </w:tc>
        <w:tc>
          <w:tcPr>
            <w:tcW w:w="1356" w:type="dxa"/>
            <w:shd w:val="clear" w:color="auto" w:fill="auto"/>
            <w:vAlign w:val="bottom"/>
          </w:tcPr>
          <w:p w14:paraId="12228954" w14:textId="77777777" w:rsidR="00141421" w:rsidRPr="008C4F00" w:rsidRDefault="00141421" w:rsidP="00141421">
            <w:pPr>
              <w:spacing w:after="0" w:line="240" w:lineRule="auto"/>
              <w:jc w:val="right"/>
              <w:rPr>
                <w:rFonts w:cs="Arial"/>
                <w:b/>
                <w:bCs/>
                <w:lang w:val="en-GB" w:eastAsia="en-GB"/>
              </w:rPr>
            </w:pPr>
            <w:r w:rsidRPr="008C4F00">
              <w:rPr>
                <w:rFonts w:cs="Arial"/>
                <w:b/>
                <w:bCs/>
                <w:lang w:val="en-GB" w:eastAsia="en-GB"/>
              </w:rPr>
              <w:t xml:space="preserve">          €</w:t>
            </w:r>
          </w:p>
        </w:tc>
        <w:tc>
          <w:tcPr>
            <w:tcW w:w="1356" w:type="dxa"/>
            <w:shd w:val="clear" w:color="auto" w:fill="auto"/>
            <w:vAlign w:val="bottom"/>
          </w:tcPr>
          <w:p w14:paraId="51FB15F5" w14:textId="77777777" w:rsidR="00141421" w:rsidRPr="008C4F00" w:rsidRDefault="00141421" w:rsidP="00141421">
            <w:pPr>
              <w:spacing w:after="0" w:line="240" w:lineRule="auto"/>
              <w:jc w:val="right"/>
              <w:rPr>
                <w:rFonts w:cs="Arial"/>
                <w:b/>
                <w:bCs/>
                <w:lang w:val="en-GB" w:eastAsia="en-GB"/>
              </w:rPr>
            </w:pPr>
            <w:r w:rsidRPr="008C4F00">
              <w:rPr>
                <w:rFonts w:cs="Arial"/>
                <w:b/>
                <w:bCs/>
                <w:lang w:val="en-GB" w:eastAsia="en-GB"/>
              </w:rPr>
              <w:t xml:space="preserve">          €</w:t>
            </w:r>
          </w:p>
        </w:tc>
      </w:tr>
      <w:tr w:rsidR="00141421" w:rsidRPr="00F62A79" w14:paraId="09DE196C" w14:textId="77777777" w:rsidTr="00141421">
        <w:tblPrEx>
          <w:tblCellMar>
            <w:top w:w="0" w:type="dxa"/>
            <w:bottom w:w="0" w:type="dxa"/>
          </w:tblCellMar>
        </w:tblPrEx>
        <w:tc>
          <w:tcPr>
            <w:tcW w:w="8856" w:type="dxa"/>
            <w:gridSpan w:val="4"/>
            <w:shd w:val="clear" w:color="auto" w:fill="auto"/>
          </w:tcPr>
          <w:p w14:paraId="431B5023" w14:textId="77777777" w:rsidR="00141421" w:rsidRPr="008C4F00" w:rsidRDefault="00E8086E" w:rsidP="00141421">
            <w:pPr>
              <w:pStyle w:val="TableHead"/>
              <w:jc w:val="center"/>
            </w:pPr>
            <w:r w:rsidRPr="008C4F00">
              <w:t>Ioncam</w:t>
            </w:r>
          </w:p>
        </w:tc>
      </w:tr>
      <w:tr w:rsidR="00141421" w:rsidRPr="00F62A79" w14:paraId="23A2FD5E" w14:textId="77777777" w:rsidTr="00141421">
        <w:tblPrEx>
          <w:tblCellMar>
            <w:top w:w="0" w:type="dxa"/>
            <w:bottom w:w="0" w:type="dxa"/>
          </w:tblCellMar>
        </w:tblPrEx>
        <w:tc>
          <w:tcPr>
            <w:tcW w:w="4788" w:type="dxa"/>
            <w:shd w:val="clear" w:color="auto" w:fill="auto"/>
            <w:vAlign w:val="bottom"/>
          </w:tcPr>
          <w:p w14:paraId="2881FB62" w14:textId="77777777" w:rsidR="00141421" w:rsidRPr="008C4F00" w:rsidRDefault="008C4F00" w:rsidP="008C4F00">
            <w:pPr>
              <w:pStyle w:val="TableRowHead"/>
              <w:rPr>
                <w:lang w:val="en-GB" w:eastAsia="en-GB"/>
              </w:rPr>
            </w:pPr>
            <w:r w:rsidRPr="008C4F00">
              <w:t>Ioncam Deontais</w:t>
            </w:r>
          </w:p>
        </w:tc>
        <w:tc>
          <w:tcPr>
            <w:tcW w:w="1356" w:type="dxa"/>
            <w:shd w:val="clear" w:color="auto" w:fill="auto"/>
            <w:vAlign w:val="bottom"/>
          </w:tcPr>
          <w:p w14:paraId="1D95AC74"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2(a)</w:t>
            </w:r>
          </w:p>
        </w:tc>
        <w:tc>
          <w:tcPr>
            <w:tcW w:w="1356" w:type="dxa"/>
            <w:shd w:val="clear" w:color="auto" w:fill="auto"/>
            <w:vAlign w:val="bottom"/>
          </w:tcPr>
          <w:p w14:paraId="1205AD6B"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3,814,576 </w:t>
            </w:r>
          </w:p>
        </w:tc>
        <w:tc>
          <w:tcPr>
            <w:tcW w:w="1356" w:type="dxa"/>
            <w:shd w:val="clear" w:color="auto" w:fill="auto"/>
            <w:vAlign w:val="bottom"/>
          </w:tcPr>
          <w:p w14:paraId="7EDA9C16"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4,155,576 </w:t>
            </w:r>
          </w:p>
        </w:tc>
      </w:tr>
      <w:tr w:rsidR="008C4F00" w:rsidRPr="00F62A79" w14:paraId="710C92D7" w14:textId="77777777" w:rsidTr="00231F76">
        <w:tblPrEx>
          <w:tblCellMar>
            <w:top w:w="0" w:type="dxa"/>
            <w:bottom w:w="0" w:type="dxa"/>
          </w:tblCellMar>
        </w:tblPrEx>
        <w:tc>
          <w:tcPr>
            <w:tcW w:w="4788" w:type="dxa"/>
            <w:shd w:val="clear" w:color="auto" w:fill="auto"/>
            <w:vAlign w:val="center"/>
          </w:tcPr>
          <w:p w14:paraId="3EDEBEEA" w14:textId="77777777" w:rsidR="008C4F00" w:rsidRPr="008C4F00" w:rsidRDefault="008C4F00" w:rsidP="008C4F00">
            <w:pPr>
              <w:pStyle w:val="TableRowHead"/>
            </w:pPr>
            <w:proofErr w:type="spellStart"/>
            <w:r w:rsidRPr="008C4F00">
              <w:t>Cistíocht</w:t>
            </w:r>
            <w:proofErr w:type="spellEnd"/>
            <w:r w:rsidRPr="008C4F00">
              <w:t xml:space="preserve"> ghlan </w:t>
            </w:r>
            <w:proofErr w:type="spellStart"/>
            <w:r w:rsidRPr="008C4F00">
              <w:t>iarchurtha</w:t>
            </w:r>
            <w:proofErr w:type="spellEnd"/>
            <w:r w:rsidRPr="008C4F00">
              <w:t xml:space="preserve"> do </w:t>
            </w:r>
            <w:proofErr w:type="spellStart"/>
            <w:r w:rsidRPr="008C4F00">
              <w:t>Phinsin</w:t>
            </w:r>
            <w:proofErr w:type="spellEnd"/>
          </w:p>
        </w:tc>
        <w:tc>
          <w:tcPr>
            <w:tcW w:w="1356" w:type="dxa"/>
            <w:shd w:val="clear" w:color="auto" w:fill="auto"/>
            <w:vAlign w:val="bottom"/>
          </w:tcPr>
          <w:p w14:paraId="024EE097"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10(b)</w:t>
            </w:r>
          </w:p>
        </w:tc>
        <w:tc>
          <w:tcPr>
            <w:tcW w:w="1356" w:type="dxa"/>
            <w:shd w:val="clear" w:color="auto" w:fill="auto"/>
            <w:vAlign w:val="bottom"/>
          </w:tcPr>
          <w:p w14:paraId="270AC292"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1,013,728 </w:t>
            </w:r>
          </w:p>
        </w:tc>
        <w:tc>
          <w:tcPr>
            <w:tcW w:w="1356" w:type="dxa"/>
            <w:shd w:val="clear" w:color="auto" w:fill="auto"/>
            <w:vAlign w:val="bottom"/>
          </w:tcPr>
          <w:p w14:paraId="62D719FB"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660,506 </w:t>
            </w:r>
          </w:p>
        </w:tc>
      </w:tr>
      <w:tr w:rsidR="008C4F00" w:rsidRPr="00F62A79" w14:paraId="2E881740" w14:textId="77777777" w:rsidTr="00231F76">
        <w:tblPrEx>
          <w:tblCellMar>
            <w:top w:w="0" w:type="dxa"/>
            <w:bottom w:w="0" w:type="dxa"/>
          </w:tblCellMar>
        </w:tblPrEx>
        <w:tc>
          <w:tcPr>
            <w:tcW w:w="4788" w:type="dxa"/>
            <w:shd w:val="clear" w:color="auto" w:fill="auto"/>
            <w:vAlign w:val="center"/>
          </w:tcPr>
          <w:p w14:paraId="0A6A2816" w14:textId="77777777" w:rsidR="008C4F00" w:rsidRPr="008C4F00" w:rsidRDefault="008C4F00" w:rsidP="008C4F00">
            <w:pPr>
              <w:pStyle w:val="TableRowHead"/>
            </w:pPr>
            <w:r w:rsidRPr="008C4F00">
              <w:t xml:space="preserve">Ioncam Eile </w:t>
            </w:r>
          </w:p>
        </w:tc>
        <w:tc>
          <w:tcPr>
            <w:tcW w:w="1356" w:type="dxa"/>
            <w:shd w:val="clear" w:color="auto" w:fill="auto"/>
            <w:vAlign w:val="bottom"/>
          </w:tcPr>
          <w:p w14:paraId="25908FB6"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2(b)</w:t>
            </w:r>
          </w:p>
        </w:tc>
        <w:tc>
          <w:tcPr>
            <w:tcW w:w="1356" w:type="dxa"/>
            <w:shd w:val="clear" w:color="auto" w:fill="auto"/>
            <w:vAlign w:val="bottom"/>
          </w:tcPr>
          <w:p w14:paraId="35E60A0A"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20,155 </w:t>
            </w:r>
          </w:p>
        </w:tc>
        <w:tc>
          <w:tcPr>
            <w:tcW w:w="1356" w:type="dxa"/>
            <w:shd w:val="clear" w:color="auto" w:fill="auto"/>
            <w:vAlign w:val="bottom"/>
          </w:tcPr>
          <w:p w14:paraId="551C0211"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140,327 </w:t>
            </w:r>
          </w:p>
        </w:tc>
      </w:tr>
      <w:tr w:rsidR="008C4F00" w:rsidRPr="00F62A79" w14:paraId="18E2D487" w14:textId="77777777" w:rsidTr="00231F76">
        <w:tblPrEx>
          <w:tblCellMar>
            <w:top w:w="0" w:type="dxa"/>
            <w:bottom w:w="0" w:type="dxa"/>
          </w:tblCellMar>
        </w:tblPrEx>
        <w:tc>
          <w:tcPr>
            <w:tcW w:w="4788" w:type="dxa"/>
            <w:shd w:val="clear" w:color="auto" w:fill="auto"/>
            <w:vAlign w:val="center"/>
          </w:tcPr>
          <w:p w14:paraId="35F0BA42" w14:textId="77777777" w:rsidR="008C4F00" w:rsidRPr="008C4F00" w:rsidRDefault="008C4F00" w:rsidP="008C4F00">
            <w:pPr>
              <w:pStyle w:val="TableRowHead"/>
            </w:pPr>
          </w:p>
        </w:tc>
        <w:tc>
          <w:tcPr>
            <w:tcW w:w="1356" w:type="dxa"/>
            <w:shd w:val="clear" w:color="auto" w:fill="auto"/>
            <w:vAlign w:val="bottom"/>
          </w:tcPr>
          <w:p w14:paraId="6F263ECE" w14:textId="77777777" w:rsidR="008C4F00" w:rsidRPr="008C4F00" w:rsidRDefault="008C4F00" w:rsidP="00141421">
            <w:pPr>
              <w:spacing w:after="0" w:line="240" w:lineRule="auto"/>
              <w:jc w:val="right"/>
              <w:rPr>
                <w:rFonts w:cs="Arial"/>
                <w:lang w:val="en-GB" w:eastAsia="en-GB"/>
              </w:rPr>
            </w:pPr>
          </w:p>
        </w:tc>
        <w:tc>
          <w:tcPr>
            <w:tcW w:w="1356" w:type="dxa"/>
            <w:shd w:val="clear" w:color="auto" w:fill="auto"/>
            <w:vAlign w:val="bottom"/>
          </w:tcPr>
          <w:p w14:paraId="294453F5"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4,848,459 </w:t>
            </w:r>
          </w:p>
        </w:tc>
        <w:tc>
          <w:tcPr>
            <w:tcW w:w="1356" w:type="dxa"/>
            <w:shd w:val="clear" w:color="auto" w:fill="auto"/>
            <w:vAlign w:val="bottom"/>
          </w:tcPr>
          <w:p w14:paraId="3D559FDE"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4,956,409 </w:t>
            </w:r>
          </w:p>
        </w:tc>
      </w:tr>
      <w:tr w:rsidR="008C4F00" w:rsidRPr="00F62A79" w14:paraId="17D94AEA" w14:textId="77777777" w:rsidTr="00231F76">
        <w:tblPrEx>
          <w:tblCellMar>
            <w:top w:w="0" w:type="dxa"/>
            <w:bottom w:w="0" w:type="dxa"/>
          </w:tblCellMar>
        </w:tblPrEx>
        <w:tc>
          <w:tcPr>
            <w:tcW w:w="4788" w:type="dxa"/>
            <w:shd w:val="clear" w:color="auto" w:fill="auto"/>
            <w:vAlign w:val="center"/>
          </w:tcPr>
          <w:p w14:paraId="51000074" w14:textId="77777777" w:rsidR="008C4F00" w:rsidRPr="008C4F00" w:rsidRDefault="008C4F00" w:rsidP="008C4F00">
            <w:pPr>
              <w:pStyle w:val="TableRowHead"/>
            </w:pPr>
            <w:r w:rsidRPr="008C4F00">
              <w:t xml:space="preserve">Aistriú ó / (go) Cuntas </w:t>
            </w:r>
            <w:proofErr w:type="spellStart"/>
            <w:r w:rsidRPr="008C4F00">
              <w:t>Caipitil</w:t>
            </w:r>
            <w:proofErr w:type="spellEnd"/>
          </w:p>
        </w:tc>
        <w:tc>
          <w:tcPr>
            <w:tcW w:w="1356" w:type="dxa"/>
            <w:shd w:val="clear" w:color="auto" w:fill="auto"/>
            <w:vAlign w:val="bottom"/>
          </w:tcPr>
          <w:p w14:paraId="081E51F0"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8</w:t>
            </w:r>
          </w:p>
        </w:tc>
        <w:tc>
          <w:tcPr>
            <w:tcW w:w="1356" w:type="dxa"/>
            <w:shd w:val="clear" w:color="auto" w:fill="auto"/>
            <w:vAlign w:val="bottom"/>
          </w:tcPr>
          <w:p w14:paraId="0E3A17F7"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93,251 </w:t>
            </w:r>
          </w:p>
        </w:tc>
        <w:tc>
          <w:tcPr>
            <w:tcW w:w="1356" w:type="dxa"/>
            <w:shd w:val="clear" w:color="auto" w:fill="auto"/>
            <w:vAlign w:val="bottom"/>
          </w:tcPr>
          <w:p w14:paraId="65B625E9"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110,351 </w:t>
            </w:r>
          </w:p>
        </w:tc>
      </w:tr>
      <w:tr w:rsidR="008C4F00" w:rsidRPr="00F62A79" w14:paraId="2D4607C9" w14:textId="77777777" w:rsidTr="00231F76">
        <w:tblPrEx>
          <w:tblCellMar>
            <w:top w:w="0" w:type="dxa"/>
            <w:bottom w:w="0" w:type="dxa"/>
          </w:tblCellMar>
        </w:tblPrEx>
        <w:tc>
          <w:tcPr>
            <w:tcW w:w="4788" w:type="dxa"/>
            <w:shd w:val="clear" w:color="auto" w:fill="auto"/>
            <w:vAlign w:val="center"/>
          </w:tcPr>
          <w:p w14:paraId="061BC2BC" w14:textId="77777777" w:rsidR="008C4F00" w:rsidRPr="008C4F00" w:rsidRDefault="008C4F00" w:rsidP="008C4F00">
            <w:pPr>
              <w:pStyle w:val="TableRowHead"/>
            </w:pPr>
            <w:r w:rsidRPr="008C4F00">
              <w:t>Ioncam Iomlán</w:t>
            </w:r>
          </w:p>
        </w:tc>
        <w:tc>
          <w:tcPr>
            <w:tcW w:w="1356" w:type="dxa"/>
            <w:shd w:val="clear" w:color="auto" w:fill="auto"/>
            <w:vAlign w:val="bottom"/>
          </w:tcPr>
          <w:p w14:paraId="720A63F6"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 </w:t>
            </w:r>
          </w:p>
        </w:tc>
        <w:tc>
          <w:tcPr>
            <w:tcW w:w="1356" w:type="dxa"/>
            <w:shd w:val="clear" w:color="auto" w:fill="auto"/>
            <w:vAlign w:val="bottom"/>
          </w:tcPr>
          <w:p w14:paraId="13A9C104"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4,941,710 </w:t>
            </w:r>
          </w:p>
        </w:tc>
        <w:tc>
          <w:tcPr>
            <w:tcW w:w="1356" w:type="dxa"/>
            <w:shd w:val="clear" w:color="auto" w:fill="auto"/>
            <w:vAlign w:val="bottom"/>
          </w:tcPr>
          <w:p w14:paraId="725E789D"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5,066,760 </w:t>
            </w:r>
          </w:p>
        </w:tc>
      </w:tr>
      <w:tr w:rsidR="00141421" w:rsidRPr="00F62A79" w14:paraId="526464BB" w14:textId="77777777" w:rsidTr="00141421">
        <w:tblPrEx>
          <w:tblCellMar>
            <w:top w:w="0" w:type="dxa"/>
            <w:bottom w:w="0" w:type="dxa"/>
          </w:tblCellMar>
        </w:tblPrEx>
        <w:tc>
          <w:tcPr>
            <w:tcW w:w="8856" w:type="dxa"/>
            <w:gridSpan w:val="4"/>
            <w:shd w:val="clear" w:color="auto" w:fill="auto"/>
          </w:tcPr>
          <w:p w14:paraId="72A58175" w14:textId="77777777" w:rsidR="00141421" w:rsidRPr="008C4F00" w:rsidRDefault="008C4F00" w:rsidP="008C4F00">
            <w:pPr>
              <w:pStyle w:val="TableHead"/>
              <w:jc w:val="center"/>
            </w:pPr>
            <w:r w:rsidRPr="008C4F00">
              <w:t>Caiteachas</w:t>
            </w:r>
          </w:p>
        </w:tc>
      </w:tr>
      <w:tr w:rsidR="00141421" w:rsidRPr="00F62A79" w14:paraId="31A5062E" w14:textId="77777777" w:rsidTr="00141421">
        <w:tblPrEx>
          <w:tblCellMar>
            <w:top w:w="0" w:type="dxa"/>
            <w:bottom w:w="0" w:type="dxa"/>
          </w:tblCellMar>
        </w:tblPrEx>
        <w:tc>
          <w:tcPr>
            <w:tcW w:w="4788" w:type="dxa"/>
            <w:shd w:val="clear" w:color="auto" w:fill="auto"/>
            <w:vAlign w:val="bottom"/>
          </w:tcPr>
          <w:p w14:paraId="70794441" w14:textId="77777777" w:rsidR="00141421" w:rsidRPr="008C4F00" w:rsidRDefault="008C4F00" w:rsidP="008C4F00">
            <w:pPr>
              <w:pStyle w:val="TableRowHead"/>
              <w:rPr>
                <w:lang w:val="en-GB" w:eastAsia="en-GB"/>
              </w:rPr>
            </w:pPr>
            <w:proofErr w:type="spellStart"/>
            <w:r w:rsidRPr="008C4F00">
              <w:t>Tionscadail</w:t>
            </w:r>
            <w:proofErr w:type="spellEnd"/>
            <w:r w:rsidRPr="008C4F00">
              <w:t xml:space="preserve"> agus Obair </w:t>
            </w:r>
            <w:proofErr w:type="spellStart"/>
            <w:r w:rsidRPr="008C4F00">
              <w:t>Coimisiúnaithe</w:t>
            </w:r>
            <w:proofErr w:type="spellEnd"/>
          </w:p>
        </w:tc>
        <w:tc>
          <w:tcPr>
            <w:tcW w:w="1356" w:type="dxa"/>
            <w:shd w:val="clear" w:color="auto" w:fill="auto"/>
            <w:vAlign w:val="bottom"/>
          </w:tcPr>
          <w:p w14:paraId="773C6826" w14:textId="77777777" w:rsidR="00141421" w:rsidRPr="008C4F00" w:rsidRDefault="00141421" w:rsidP="00141421">
            <w:pPr>
              <w:spacing w:after="0" w:line="240" w:lineRule="auto"/>
              <w:jc w:val="center"/>
              <w:rPr>
                <w:rFonts w:cs="Arial"/>
                <w:lang w:val="en-GB" w:eastAsia="en-GB"/>
              </w:rPr>
            </w:pPr>
            <w:r w:rsidRPr="008C4F00">
              <w:rPr>
                <w:rFonts w:cs="Arial"/>
                <w:lang w:val="en-GB" w:eastAsia="en-GB"/>
              </w:rPr>
              <w:t>3</w:t>
            </w:r>
          </w:p>
        </w:tc>
        <w:tc>
          <w:tcPr>
            <w:tcW w:w="1356" w:type="dxa"/>
            <w:shd w:val="clear" w:color="auto" w:fill="auto"/>
            <w:vAlign w:val="bottom"/>
          </w:tcPr>
          <w:p w14:paraId="6374616E"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468,863 </w:t>
            </w:r>
          </w:p>
        </w:tc>
        <w:tc>
          <w:tcPr>
            <w:tcW w:w="1356" w:type="dxa"/>
            <w:shd w:val="clear" w:color="auto" w:fill="auto"/>
            <w:vAlign w:val="bottom"/>
          </w:tcPr>
          <w:p w14:paraId="02CA9AE5"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422,076 </w:t>
            </w:r>
          </w:p>
        </w:tc>
      </w:tr>
      <w:tr w:rsidR="00141421" w:rsidRPr="00F62A79" w14:paraId="25FB2E82" w14:textId="77777777" w:rsidTr="00141421">
        <w:tblPrEx>
          <w:tblCellMar>
            <w:top w:w="0" w:type="dxa"/>
            <w:bottom w:w="0" w:type="dxa"/>
          </w:tblCellMar>
        </w:tblPrEx>
        <w:tc>
          <w:tcPr>
            <w:tcW w:w="8856" w:type="dxa"/>
            <w:gridSpan w:val="4"/>
            <w:shd w:val="clear" w:color="auto" w:fill="auto"/>
          </w:tcPr>
          <w:p w14:paraId="22EAD507" w14:textId="77777777" w:rsidR="00141421" w:rsidRPr="008C4F00" w:rsidRDefault="008C4F00" w:rsidP="00141421">
            <w:pPr>
              <w:pStyle w:val="TableHead"/>
              <w:jc w:val="center"/>
            </w:pPr>
            <w:r w:rsidRPr="008C4F00">
              <w:t>Costais Forbartha, Tacaíochta agus Riaracháin</w:t>
            </w:r>
          </w:p>
        </w:tc>
      </w:tr>
      <w:tr w:rsidR="008C4F00" w:rsidRPr="00F62A79" w14:paraId="11663DCC" w14:textId="77777777" w:rsidTr="00231F76">
        <w:tblPrEx>
          <w:tblCellMar>
            <w:top w:w="0" w:type="dxa"/>
            <w:bottom w:w="0" w:type="dxa"/>
          </w:tblCellMar>
        </w:tblPrEx>
        <w:tc>
          <w:tcPr>
            <w:tcW w:w="4788" w:type="dxa"/>
            <w:shd w:val="clear" w:color="auto" w:fill="auto"/>
            <w:vAlign w:val="center"/>
          </w:tcPr>
          <w:p w14:paraId="3033F736" w14:textId="77777777" w:rsidR="008C4F00" w:rsidRPr="008C4F00" w:rsidRDefault="008C4F00" w:rsidP="008C4F00">
            <w:pPr>
              <w:pStyle w:val="TableRowHead"/>
            </w:pPr>
            <w:proofErr w:type="spellStart"/>
            <w:r w:rsidRPr="008C4F00">
              <w:t>Párolla</w:t>
            </w:r>
            <w:proofErr w:type="spellEnd"/>
          </w:p>
        </w:tc>
        <w:tc>
          <w:tcPr>
            <w:tcW w:w="1356" w:type="dxa"/>
            <w:shd w:val="clear" w:color="auto" w:fill="auto"/>
            <w:vAlign w:val="bottom"/>
          </w:tcPr>
          <w:p w14:paraId="549F9F1E"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4</w:t>
            </w:r>
          </w:p>
        </w:tc>
        <w:tc>
          <w:tcPr>
            <w:tcW w:w="1356" w:type="dxa"/>
            <w:shd w:val="clear" w:color="auto" w:fill="auto"/>
            <w:vAlign w:val="bottom"/>
          </w:tcPr>
          <w:p w14:paraId="0AA82D33"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2,235,538 </w:t>
            </w:r>
          </w:p>
        </w:tc>
        <w:tc>
          <w:tcPr>
            <w:tcW w:w="1356" w:type="dxa"/>
            <w:shd w:val="clear" w:color="auto" w:fill="auto"/>
            <w:vAlign w:val="bottom"/>
          </w:tcPr>
          <w:p w14:paraId="70DAB532"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2,530,147 </w:t>
            </w:r>
          </w:p>
        </w:tc>
      </w:tr>
      <w:tr w:rsidR="008C4F00" w:rsidRPr="00F62A79" w14:paraId="1C4FD8BC" w14:textId="77777777" w:rsidTr="00231F76">
        <w:tblPrEx>
          <w:tblCellMar>
            <w:top w:w="0" w:type="dxa"/>
            <w:bottom w:w="0" w:type="dxa"/>
          </w:tblCellMar>
        </w:tblPrEx>
        <w:tc>
          <w:tcPr>
            <w:tcW w:w="4788" w:type="dxa"/>
            <w:shd w:val="clear" w:color="auto" w:fill="auto"/>
            <w:vAlign w:val="center"/>
          </w:tcPr>
          <w:p w14:paraId="1A5D6DB0" w14:textId="77777777" w:rsidR="008C4F00" w:rsidRPr="008C4F00" w:rsidRDefault="008C4F00" w:rsidP="008C4F00">
            <w:pPr>
              <w:pStyle w:val="TableRowHead"/>
            </w:pPr>
            <w:r w:rsidRPr="008C4F00">
              <w:t>Costais Pinsin</w:t>
            </w:r>
          </w:p>
        </w:tc>
        <w:tc>
          <w:tcPr>
            <w:tcW w:w="1356" w:type="dxa"/>
            <w:shd w:val="clear" w:color="auto" w:fill="auto"/>
            <w:vAlign w:val="bottom"/>
          </w:tcPr>
          <w:p w14:paraId="0D45C3B8"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10(c)</w:t>
            </w:r>
          </w:p>
        </w:tc>
        <w:tc>
          <w:tcPr>
            <w:tcW w:w="1356" w:type="dxa"/>
            <w:shd w:val="clear" w:color="auto" w:fill="auto"/>
            <w:vAlign w:val="bottom"/>
          </w:tcPr>
          <w:p w14:paraId="487227F6"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1,407,280 </w:t>
            </w:r>
          </w:p>
        </w:tc>
        <w:tc>
          <w:tcPr>
            <w:tcW w:w="1356" w:type="dxa"/>
            <w:shd w:val="clear" w:color="auto" w:fill="auto"/>
            <w:vAlign w:val="bottom"/>
          </w:tcPr>
          <w:p w14:paraId="5E73D218"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1,282,217 </w:t>
            </w:r>
          </w:p>
        </w:tc>
      </w:tr>
      <w:tr w:rsidR="008C4F00" w:rsidRPr="00F62A79" w14:paraId="700ACE36" w14:textId="77777777" w:rsidTr="00231F76">
        <w:tblPrEx>
          <w:tblCellMar>
            <w:top w:w="0" w:type="dxa"/>
            <w:bottom w:w="0" w:type="dxa"/>
          </w:tblCellMar>
        </w:tblPrEx>
        <w:tc>
          <w:tcPr>
            <w:tcW w:w="4788" w:type="dxa"/>
            <w:shd w:val="clear" w:color="auto" w:fill="auto"/>
            <w:vAlign w:val="center"/>
          </w:tcPr>
          <w:p w14:paraId="3E3A5AFF" w14:textId="77777777" w:rsidR="008C4F00" w:rsidRPr="008C4F00" w:rsidRDefault="008C4F00" w:rsidP="008C4F00">
            <w:pPr>
              <w:pStyle w:val="TableRowHead"/>
            </w:pPr>
            <w:r w:rsidRPr="008C4F00">
              <w:t xml:space="preserve">Costais Riaracháin </w:t>
            </w:r>
          </w:p>
        </w:tc>
        <w:tc>
          <w:tcPr>
            <w:tcW w:w="1356" w:type="dxa"/>
            <w:shd w:val="clear" w:color="auto" w:fill="auto"/>
            <w:vAlign w:val="bottom"/>
          </w:tcPr>
          <w:p w14:paraId="5FC1B30A"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5</w:t>
            </w:r>
          </w:p>
        </w:tc>
        <w:tc>
          <w:tcPr>
            <w:tcW w:w="1356" w:type="dxa"/>
            <w:shd w:val="clear" w:color="auto" w:fill="auto"/>
            <w:vAlign w:val="bottom"/>
          </w:tcPr>
          <w:p w14:paraId="24FE6EA3"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618,039 </w:t>
            </w:r>
          </w:p>
        </w:tc>
        <w:tc>
          <w:tcPr>
            <w:tcW w:w="1356" w:type="dxa"/>
            <w:shd w:val="clear" w:color="auto" w:fill="auto"/>
            <w:vAlign w:val="bottom"/>
          </w:tcPr>
          <w:p w14:paraId="4FE71B30"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751,112 </w:t>
            </w:r>
          </w:p>
        </w:tc>
      </w:tr>
      <w:tr w:rsidR="008C4F00" w:rsidRPr="00F62A79" w14:paraId="6DF26900" w14:textId="77777777" w:rsidTr="00231F76">
        <w:tblPrEx>
          <w:tblCellMar>
            <w:top w:w="0" w:type="dxa"/>
            <w:bottom w:w="0" w:type="dxa"/>
          </w:tblCellMar>
        </w:tblPrEx>
        <w:tc>
          <w:tcPr>
            <w:tcW w:w="4788" w:type="dxa"/>
            <w:shd w:val="clear" w:color="auto" w:fill="auto"/>
            <w:vAlign w:val="center"/>
          </w:tcPr>
          <w:p w14:paraId="6995DC49" w14:textId="77777777" w:rsidR="008C4F00" w:rsidRPr="008C4F00" w:rsidRDefault="008C4F00" w:rsidP="008C4F00">
            <w:pPr>
              <w:pStyle w:val="TableRowHead"/>
            </w:pPr>
            <w:proofErr w:type="spellStart"/>
            <w:r w:rsidRPr="008C4F00">
              <w:t>Dímheas</w:t>
            </w:r>
            <w:proofErr w:type="spellEnd"/>
            <w:r w:rsidRPr="008C4F00">
              <w:t xml:space="preserve"> </w:t>
            </w:r>
          </w:p>
        </w:tc>
        <w:tc>
          <w:tcPr>
            <w:tcW w:w="1356" w:type="dxa"/>
            <w:shd w:val="clear" w:color="auto" w:fill="auto"/>
            <w:vAlign w:val="bottom"/>
          </w:tcPr>
          <w:p w14:paraId="3530C14D"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7</w:t>
            </w:r>
          </w:p>
        </w:tc>
        <w:tc>
          <w:tcPr>
            <w:tcW w:w="1356" w:type="dxa"/>
            <w:shd w:val="clear" w:color="auto" w:fill="auto"/>
            <w:vAlign w:val="bottom"/>
          </w:tcPr>
          <w:p w14:paraId="2A746637"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96,980 </w:t>
            </w:r>
          </w:p>
        </w:tc>
        <w:tc>
          <w:tcPr>
            <w:tcW w:w="1356" w:type="dxa"/>
            <w:shd w:val="clear" w:color="auto" w:fill="auto"/>
            <w:vAlign w:val="bottom"/>
          </w:tcPr>
          <w:p w14:paraId="4E820B25"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112,176 </w:t>
            </w:r>
          </w:p>
        </w:tc>
      </w:tr>
      <w:tr w:rsidR="00141421" w:rsidRPr="00F62A79" w14:paraId="6DCE72F8" w14:textId="77777777" w:rsidTr="00141421">
        <w:tblPrEx>
          <w:tblCellMar>
            <w:top w:w="0" w:type="dxa"/>
            <w:bottom w:w="0" w:type="dxa"/>
          </w:tblCellMar>
        </w:tblPrEx>
        <w:tc>
          <w:tcPr>
            <w:tcW w:w="4788" w:type="dxa"/>
            <w:shd w:val="clear" w:color="auto" w:fill="auto"/>
            <w:vAlign w:val="bottom"/>
          </w:tcPr>
          <w:p w14:paraId="07B307AF" w14:textId="77777777" w:rsidR="00141421" w:rsidRPr="008C4F00" w:rsidRDefault="00141421" w:rsidP="00141421">
            <w:pPr>
              <w:pStyle w:val="TableRowHead"/>
              <w:rPr>
                <w:lang w:val="en-GB" w:eastAsia="en-GB"/>
              </w:rPr>
            </w:pPr>
          </w:p>
        </w:tc>
        <w:tc>
          <w:tcPr>
            <w:tcW w:w="1356" w:type="dxa"/>
            <w:shd w:val="clear" w:color="auto" w:fill="auto"/>
            <w:vAlign w:val="bottom"/>
          </w:tcPr>
          <w:p w14:paraId="7A3A8097" w14:textId="77777777" w:rsidR="00141421" w:rsidRPr="008C4F00" w:rsidRDefault="00141421" w:rsidP="00141421">
            <w:pPr>
              <w:spacing w:after="0" w:line="240" w:lineRule="auto"/>
              <w:jc w:val="right"/>
              <w:rPr>
                <w:rFonts w:cs="Arial"/>
                <w:lang w:val="en-GB" w:eastAsia="en-GB"/>
              </w:rPr>
            </w:pPr>
          </w:p>
        </w:tc>
        <w:tc>
          <w:tcPr>
            <w:tcW w:w="1356" w:type="dxa"/>
            <w:shd w:val="clear" w:color="auto" w:fill="auto"/>
            <w:vAlign w:val="bottom"/>
          </w:tcPr>
          <w:p w14:paraId="31640DA7"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4,357,837 </w:t>
            </w:r>
          </w:p>
        </w:tc>
        <w:tc>
          <w:tcPr>
            <w:tcW w:w="1356" w:type="dxa"/>
            <w:shd w:val="clear" w:color="auto" w:fill="auto"/>
            <w:vAlign w:val="bottom"/>
          </w:tcPr>
          <w:p w14:paraId="666C8F9D"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4,675,652 </w:t>
            </w:r>
          </w:p>
        </w:tc>
      </w:tr>
      <w:tr w:rsidR="00141421" w:rsidRPr="00F62A79" w14:paraId="4E4AE1C1" w14:textId="77777777" w:rsidTr="00141421">
        <w:tblPrEx>
          <w:tblCellMar>
            <w:top w:w="0" w:type="dxa"/>
            <w:bottom w:w="0" w:type="dxa"/>
          </w:tblCellMar>
        </w:tblPrEx>
        <w:tc>
          <w:tcPr>
            <w:tcW w:w="4788" w:type="dxa"/>
            <w:shd w:val="clear" w:color="auto" w:fill="auto"/>
            <w:vAlign w:val="bottom"/>
          </w:tcPr>
          <w:p w14:paraId="241D7461" w14:textId="77777777" w:rsidR="00141421" w:rsidRPr="008C4F00" w:rsidRDefault="008C4F00" w:rsidP="008C4F00">
            <w:pPr>
              <w:pStyle w:val="TableRowHead"/>
              <w:rPr>
                <w:lang w:val="en-GB" w:eastAsia="en-GB"/>
              </w:rPr>
            </w:pPr>
            <w:r w:rsidRPr="008C4F00">
              <w:t>Caiteachas Iomlán</w:t>
            </w:r>
          </w:p>
        </w:tc>
        <w:tc>
          <w:tcPr>
            <w:tcW w:w="1356" w:type="dxa"/>
            <w:shd w:val="clear" w:color="auto" w:fill="auto"/>
            <w:vAlign w:val="bottom"/>
          </w:tcPr>
          <w:p w14:paraId="19067074" w14:textId="77777777" w:rsidR="00141421" w:rsidRPr="008C4F00" w:rsidRDefault="00141421" w:rsidP="00141421">
            <w:pPr>
              <w:spacing w:after="0" w:line="240" w:lineRule="auto"/>
              <w:jc w:val="right"/>
              <w:rPr>
                <w:rFonts w:cs="Arial"/>
                <w:lang w:val="en-GB" w:eastAsia="en-GB"/>
              </w:rPr>
            </w:pPr>
          </w:p>
        </w:tc>
        <w:tc>
          <w:tcPr>
            <w:tcW w:w="1356" w:type="dxa"/>
            <w:shd w:val="clear" w:color="auto" w:fill="auto"/>
            <w:vAlign w:val="bottom"/>
          </w:tcPr>
          <w:p w14:paraId="2714C2FF"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4,826,700 </w:t>
            </w:r>
          </w:p>
        </w:tc>
        <w:tc>
          <w:tcPr>
            <w:tcW w:w="1356" w:type="dxa"/>
            <w:shd w:val="clear" w:color="auto" w:fill="auto"/>
            <w:vAlign w:val="bottom"/>
          </w:tcPr>
          <w:p w14:paraId="62897498"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5,097,728 </w:t>
            </w:r>
          </w:p>
        </w:tc>
      </w:tr>
      <w:tr w:rsidR="00141421" w:rsidRPr="00F62A79" w14:paraId="517B810F" w14:textId="77777777" w:rsidTr="00141421">
        <w:tblPrEx>
          <w:tblCellMar>
            <w:top w:w="0" w:type="dxa"/>
            <w:bottom w:w="0" w:type="dxa"/>
          </w:tblCellMar>
        </w:tblPrEx>
        <w:tc>
          <w:tcPr>
            <w:tcW w:w="4788" w:type="dxa"/>
            <w:shd w:val="clear" w:color="auto" w:fill="auto"/>
            <w:vAlign w:val="bottom"/>
          </w:tcPr>
          <w:p w14:paraId="29C39097" w14:textId="77777777" w:rsidR="00141421" w:rsidRPr="008C4F00" w:rsidRDefault="008C4F00" w:rsidP="008C4F00">
            <w:pPr>
              <w:pStyle w:val="TableRowHead"/>
              <w:rPr>
                <w:rFonts w:cs="Arial"/>
                <w:bCs/>
                <w:lang w:val="en-GB" w:eastAsia="en-GB"/>
              </w:rPr>
            </w:pPr>
            <w:proofErr w:type="spellStart"/>
            <w:r w:rsidRPr="008C4F00">
              <w:t>Farasbarr</w:t>
            </w:r>
            <w:proofErr w:type="spellEnd"/>
            <w:r w:rsidRPr="008C4F00">
              <w:t>/Easnamh don bhliain</w:t>
            </w:r>
          </w:p>
        </w:tc>
        <w:tc>
          <w:tcPr>
            <w:tcW w:w="1356" w:type="dxa"/>
            <w:shd w:val="clear" w:color="auto" w:fill="auto"/>
          </w:tcPr>
          <w:p w14:paraId="4E8EC4C6" w14:textId="77777777" w:rsidR="00141421" w:rsidRPr="008C4F00" w:rsidRDefault="00141421" w:rsidP="00141421">
            <w:pPr>
              <w:spacing w:after="0" w:line="240" w:lineRule="auto"/>
              <w:jc w:val="center"/>
              <w:rPr>
                <w:rFonts w:cs="Arial"/>
                <w:b/>
                <w:bCs/>
                <w:lang w:val="en-GB" w:eastAsia="en-GB"/>
              </w:rPr>
            </w:pPr>
          </w:p>
        </w:tc>
        <w:tc>
          <w:tcPr>
            <w:tcW w:w="1356" w:type="dxa"/>
            <w:shd w:val="clear" w:color="auto" w:fill="auto"/>
            <w:vAlign w:val="bottom"/>
          </w:tcPr>
          <w:p w14:paraId="561FCA8D"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115,010 </w:t>
            </w:r>
          </w:p>
        </w:tc>
        <w:tc>
          <w:tcPr>
            <w:tcW w:w="1356" w:type="dxa"/>
            <w:shd w:val="clear" w:color="auto" w:fill="auto"/>
            <w:vAlign w:val="bottom"/>
          </w:tcPr>
          <w:p w14:paraId="1CAA6F46"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(30,968)</w:t>
            </w:r>
          </w:p>
        </w:tc>
      </w:tr>
      <w:tr w:rsidR="00141421" w:rsidRPr="00F62A79" w14:paraId="52158457" w14:textId="77777777" w:rsidTr="00141421">
        <w:tblPrEx>
          <w:tblCellMar>
            <w:top w:w="0" w:type="dxa"/>
            <w:bottom w:w="0" w:type="dxa"/>
          </w:tblCellMar>
        </w:tblPrEx>
        <w:tc>
          <w:tcPr>
            <w:tcW w:w="4788" w:type="dxa"/>
            <w:shd w:val="clear" w:color="auto" w:fill="auto"/>
            <w:vAlign w:val="bottom"/>
          </w:tcPr>
          <w:p w14:paraId="0A12F1DF" w14:textId="77777777" w:rsidR="00141421" w:rsidRPr="008C4F00" w:rsidRDefault="008C4F00" w:rsidP="008C4F00">
            <w:pPr>
              <w:pStyle w:val="TableRowHead"/>
              <w:rPr>
                <w:lang w:val="en-GB" w:eastAsia="en-GB"/>
              </w:rPr>
            </w:pPr>
            <w:r w:rsidRPr="008C4F00">
              <w:t xml:space="preserve">Easnamh coinnithe ar </w:t>
            </w:r>
            <w:proofErr w:type="gramStart"/>
            <w:r w:rsidRPr="008C4F00">
              <w:t>an</w:t>
            </w:r>
            <w:proofErr w:type="gramEnd"/>
            <w:r w:rsidRPr="008C4F00">
              <w:t xml:space="preserve"> 1 Eanáir</w:t>
            </w:r>
          </w:p>
        </w:tc>
        <w:tc>
          <w:tcPr>
            <w:tcW w:w="1356" w:type="dxa"/>
            <w:shd w:val="clear" w:color="auto" w:fill="auto"/>
            <w:vAlign w:val="bottom"/>
          </w:tcPr>
          <w:p w14:paraId="13D5AE30" w14:textId="77777777" w:rsidR="00141421" w:rsidRPr="008C4F00" w:rsidRDefault="00141421" w:rsidP="00141421">
            <w:pPr>
              <w:spacing w:after="0" w:line="240" w:lineRule="auto"/>
              <w:jc w:val="center"/>
              <w:rPr>
                <w:rFonts w:cs="Arial"/>
                <w:lang w:val="en-GB" w:eastAsia="en-GB"/>
              </w:rPr>
            </w:pPr>
          </w:p>
        </w:tc>
        <w:tc>
          <w:tcPr>
            <w:tcW w:w="1356" w:type="dxa"/>
            <w:shd w:val="clear" w:color="auto" w:fill="auto"/>
            <w:vAlign w:val="bottom"/>
          </w:tcPr>
          <w:p w14:paraId="0788276E"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(68,991)</w:t>
            </w:r>
          </w:p>
        </w:tc>
        <w:tc>
          <w:tcPr>
            <w:tcW w:w="1356" w:type="dxa"/>
            <w:shd w:val="clear" w:color="auto" w:fill="auto"/>
            <w:vAlign w:val="bottom"/>
          </w:tcPr>
          <w:p w14:paraId="0D5D5F16"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(38,023)</w:t>
            </w:r>
          </w:p>
        </w:tc>
      </w:tr>
      <w:tr w:rsidR="00141421" w:rsidRPr="00F62A79" w14:paraId="5EA266C2" w14:textId="77777777" w:rsidTr="00141421">
        <w:tblPrEx>
          <w:tblCellMar>
            <w:top w:w="0" w:type="dxa"/>
            <w:bottom w:w="0" w:type="dxa"/>
          </w:tblCellMar>
        </w:tblPrEx>
        <w:tc>
          <w:tcPr>
            <w:tcW w:w="4788" w:type="dxa"/>
            <w:shd w:val="clear" w:color="auto" w:fill="auto"/>
            <w:vAlign w:val="bottom"/>
          </w:tcPr>
          <w:p w14:paraId="1E82E409" w14:textId="77777777" w:rsidR="00141421" w:rsidRPr="008C4F00" w:rsidRDefault="008C4F00" w:rsidP="008C4F00">
            <w:pPr>
              <w:pStyle w:val="TableRowHead"/>
              <w:rPr>
                <w:lang w:val="en-GB" w:eastAsia="en-GB"/>
              </w:rPr>
            </w:pPr>
            <w:proofErr w:type="spellStart"/>
            <w:r w:rsidRPr="008C4F00">
              <w:t>Farasbarr</w:t>
            </w:r>
            <w:proofErr w:type="spellEnd"/>
            <w:r w:rsidRPr="008C4F00">
              <w:t xml:space="preserve">/ (Easnamh) coinnithe ar </w:t>
            </w:r>
            <w:proofErr w:type="gramStart"/>
            <w:r w:rsidRPr="008C4F00">
              <w:t>an</w:t>
            </w:r>
            <w:proofErr w:type="gramEnd"/>
            <w:r w:rsidRPr="008C4F00">
              <w:t xml:space="preserve"> 31 Nollaig</w:t>
            </w:r>
          </w:p>
        </w:tc>
        <w:tc>
          <w:tcPr>
            <w:tcW w:w="1356" w:type="dxa"/>
            <w:shd w:val="clear" w:color="auto" w:fill="auto"/>
            <w:vAlign w:val="bottom"/>
          </w:tcPr>
          <w:p w14:paraId="1E72EC5D" w14:textId="77777777" w:rsidR="00141421" w:rsidRPr="008C4F00" w:rsidRDefault="00141421" w:rsidP="00141421">
            <w:pPr>
              <w:spacing w:after="0" w:line="240" w:lineRule="auto"/>
              <w:jc w:val="center"/>
              <w:rPr>
                <w:rFonts w:cs="Arial"/>
                <w:lang w:val="en-GB" w:eastAsia="en-GB"/>
              </w:rPr>
            </w:pPr>
          </w:p>
        </w:tc>
        <w:tc>
          <w:tcPr>
            <w:tcW w:w="1356" w:type="dxa"/>
            <w:shd w:val="clear" w:color="auto" w:fill="auto"/>
            <w:vAlign w:val="bottom"/>
          </w:tcPr>
          <w:p w14:paraId="39E25D04"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46,019 </w:t>
            </w:r>
          </w:p>
        </w:tc>
        <w:tc>
          <w:tcPr>
            <w:tcW w:w="1356" w:type="dxa"/>
            <w:shd w:val="clear" w:color="auto" w:fill="auto"/>
            <w:vAlign w:val="bottom"/>
          </w:tcPr>
          <w:p w14:paraId="3C1722E4"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(68,991)</w:t>
            </w:r>
          </w:p>
        </w:tc>
      </w:tr>
      <w:tr w:rsidR="00141421" w:rsidRPr="00F62A79" w14:paraId="017ECC55" w14:textId="77777777" w:rsidTr="00141421">
        <w:tblPrEx>
          <w:tblCellMar>
            <w:top w:w="0" w:type="dxa"/>
            <w:bottom w:w="0" w:type="dxa"/>
          </w:tblCellMar>
        </w:tblPrEx>
        <w:tc>
          <w:tcPr>
            <w:tcW w:w="8856" w:type="dxa"/>
            <w:gridSpan w:val="4"/>
            <w:shd w:val="clear" w:color="auto" w:fill="auto"/>
          </w:tcPr>
          <w:p w14:paraId="174D09D4" w14:textId="77777777" w:rsidR="00141421" w:rsidRPr="008C4F00" w:rsidRDefault="008C4F00" w:rsidP="00141421">
            <w:pPr>
              <w:pStyle w:val="TableHead"/>
              <w:jc w:val="center"/>
            </w:pPr>
            <w:r w:rsidRPr="008C4F00">
              <w:t xml:space="preserve">Ráiteas ar Iomlán na </w:t>
            </w:r>
            <w:proofErr w:type="spellStart"/>
            <w:r w:rsidRPr="008C4F00">
              <w:t>nGnóthachan</w:t>
            </w:r>
            <w:proofErr w:type="spellEnd"/>
            <w:r w:rsidRPr="008C4F00">
              <w:t xml:space="preserve"> agus na </w:t>
            </w:r>
            <w:proofErr w:type="spellStart"/>
            <w:r w:rsidRPr="008C4F00">
              <w:t>gCaillteanas</w:t>
            </w:r>
            <w:proofErr w:type="spellEnd"/>
          </w:p>
        </w:tc>
      </w:tr>
      <w:tr w:rsidR="00141421" w:rsidRPr="00F62A79" w14:paraId="6037C72E" w14:textId="77777777" w:rsidTr="00141421">
        <w:tblPrEx>
          <w:tblCellMar>
            <w:top w:w="0" w:type="dxa"/>
            <w:bottom w:w="0" w:type="dxa"/>
          </w:tblCellMar>
        </w:tblPrEx>
        <w:tc>
          <w:tcPr>
            <w:tcW w:w="4788" w:type="dxa"/>
            <w:shd w:val="clear" w:color="auto" w:fill="auto"/>
            <w:vAlign w:val="bottom"/>
          </w:tcPr>
          <w:p w14:paraId="787182D6" w14:textId="77777777" w:rsidR="00141421" w:rsidRPr="008C4F00" w:rsidRDefault="008C4F00" w:rsidP="008C4F00">
            <w:pPr>
              <w:pStyle w:val="TableRowHead"/>
              <w:rPr>
                <w:lang w:val="en-GB" w:eastAsia="en-GB"/>
              </w:rPr>
            </w:pPr>
            <w:proofErr w:type="spellStart"/>
            <w:r w:rsidRPr="008C4F00">
              <w:t>Farasbarr</w:t>
            </w:r>
            <w:proofErr w:type="spellEnd"/>
            <w:r w:rsidRPr="008C4F00">
              <w:t xml:space="preserve"> (Easnamh) don bhliain</w:t>
            </w:r>
          </w:p>
        </w:tc>
        <w:tc>
          <w:tcPr>
            <w:tcW w:w="1356" w:type="dxa"/>
            <w:shd w:val="clear" w:color="auto" w:fill="auto"/>
            <w:vAlign w:val="bottom"/>
          </w:tcPr>
          <w:p w14:paraId="35B54128" w14:textId="77777777" w:rsidR="00141421" w:rsidRPr="008C4F00" w:rsidRDefault="00141421" w:rsidP="00141421">
            <w:pPr>
              <w:spacing w:after="0" w:line="240" w:lineRule="auto"/>
              <w:jc w:val="center"/>
              <w:rPr>
                <w:rFonts w:cs="Arial"/>
                <w:b/>
                <w:bCs/>
                <w:lang w:val="en-GB" w:eastAsia="en-GB"/>
              </w:rPr>
            </w:pPr>
          </w:p>
        </w:tc>
        <w:tc>
          <w:tcPr>
            <w:tcW w:w="1356" w:type="dxa"/>
            <w:shd w:val="clear" w:color="auto" w:fill="auto"/>
            <w:vAlign w:val="bottom"/>
          </w:tcPr>
          <w:p w14:paraId="059172D4"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 xml:space="preserve">115,010 </w:t>
            </w:r>
          </w:p>
        </w:tc>
        <w:tc>
          <w:tcPr>
            <w:tcW w:w="1356" w:type="dxa"/>
            <w:shd w:val="clear" w:color="auto" w:fill="auto"/>
            <w:vAlign w:val="bottom"/>
          </w:tcPr>
          <w:p w14:paraId="37EED395" w14:textId="77777777" w:rsidR="00141421" w:rsidRPr="008C4F00" w:rsidRDefault="00141421" w:rsidP="00141421">
            <w:pPr>
              <w:spacing w:after="0" w:line="240" w:lineRule="auto"/>
              <w:jc w:val="right"/>
              <w:rPr>
                <w:rFonts w:cs="Arial"/>
                <w:lang w:val="en-GB" w:eastAsia="en-GB"/>
              </w:rPr>
            </w:pPr>
            <w:r w:rsidRPr="008C4F00">
              <w:rPr>
                <w:rFonts w:cs="Arial"/>
                <w:lang w:val="en-GB" w:eastAsia="en-GB"/>
              </w:rPr>
              <w:t>(30,968)</w:t>
            </w:r>
          </w:p>
        </w:tc>
      </w:tr>
      <w:tr w:rsidR="008C4F00" w:rsidRPr="00F62A79" w14:paraId="208227D1" w14:textId="77777777" w:rsidTr="00231F76">
        <w:tblPrEx>
          <w:tblCellMar>
            <w:top w:w="0" w:type="dxa"/>
            <w:bottom w:w="0" w:type="dxa"/>
          </w:tblCellMar>
        </w:tblPrEx>
        <w:tc>
          <w:tcPr>
            <w:tcW w:w="4788" w:type="dxa"/>
            <w:shd w:val="clear" w:color="auto" w:fill="auto"/>
            <w:vAlign w:val="center"/>
          </w:tcPr>
          <w:p w14:paraId="56E1178F" w14:textId="77777777" w:rsidR="008C4F00" w:rsidRPr="008C4F00" w:rsidRDefault="008C4F00" w:rsidP="008C4F00">
            <w:pPr>
              <w:pStyle w:val="TableRowHead"/>
            </w:pPr>
            <w:r w:rsidRPr="008C4F00">
              <w:t>(</w:t>
            </w:r>
            <w:proofErr w:type="spellStart"/>
            <w:r w:rsidRPr="008C4F00">
              <w:t>Gnóthachan</w:t>
            </w:r>
            <w:proofErr w:type="spellEnd"/>
            <w:r w:rsidRPr="008C4F00">
              <w:t xml:space="preserve">) </w:t>
            </w:r>
            <w:proofErr w:type="spellStart"/>
            <w:r w:rsidRPr="008C4F00">
              <w:t>Achtúireach</w:t>
            </w:r>
            <w:proofErr w:type="spellEnd"/>
            <w:r w:rsidRPr="008C4F00">
              <w:t xml:space="preserve"> / </w:t>
            </w:r>
            <w:proofErr w:type="spellStart"/>
            <w:r w:rsidRPr="008C4F00">
              <w:t>Caillteanas</w:t>
            </w:r>
            <w:proofErr w:type="spellEnd"/>
            <w:r w:rsidRPr="008C4F00">
              <w:t xml:space="preserve"> ar </w:t>
            </w:r>
            <w:proofErr w:type="spellStart"/>
            <w:r w:rsidRPr="008C4F00">
              <w:t>Dhliteanais</w:t>
            </w:r>
            <w:proofErr w:type="spellEnd"/>
            <w:r w:rsidRPr="008C4F00">
              <w:t xml:space="preserve"> </w:t>
            </w:r>
            <w:proofErr w:type="spellStart"/>
            <w:r w:rsidRPr="008C4F00">
              <w:t>Phinsin</w:t>
            </w:r>
            <w:proofErr w:type="spellEnd"/>
          </w:p>
        </w:tc>
        <w:tc>
          <w:tcPr>
            <w:tcW w:w="1356" w:type="dxa"/>
            <w:shd w:val="clear" w:color="auto" w:fill="auto"/>
            <w:vAlign w:val="bottom"/>
          </w:tcPr>
          <w:p w14:paraId="1451BFB7" w14:textId="77777777" w:rsidR="008C4F00" w:rsidRPr="008C4F00" w:rsidRDefault="008C4F00" w:rsidP="00141421">
            <w:pPr>
              <w:spacing w:after="0" w:line="240" w:lineRule="auto"/>
              <w:jc w:val="center"/>
              <w:rPr>
                <w:rFonts w:cs="Arial"/>
                <w:b/>
                <w:bCs/>
                <w:lang w:val="en-GB" w:eastAsia="en-GB"/>
              </w:rPr>
            </w:pPr>
          </w:p>
        </w:tc>
        <w:tc>
          <w:tcPr>
            <w:tcW w:w="1356" w:type="dxa"/>
            <w:shd w:val="clear" w:color="auto" w:fill="auto"/>
            <w:vAlign w:val="bottom"/>
          </w:tcPr>
          <w:p w14:paraId="1F347F23"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(2,419,000)</w:t>
            </w:r>
          </w:p>
        </w:tc>
        <w:tc>
          <w:tcPr>
            <w:tcW w:w="1356" w:type="dxa"/>
            <w:shd w:val="clear" w:color="auto" w:fill="auto"/>
            <w:vAlign w:val="bottom"/>
          </w:tcPr>
          <w:p w14:paraId="3BFE2946"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1,689,000 </w:t>
            </w:r>
          </w:p>
        </w:tc>
      </w:tr>
      <w:tr w:rsidR="008C4F00" w:rsidRPr="00F62A79" w14:paraId="6109136C" w14:textId="77777777" w:rsidTr="00231F76">
        <w:tblPrEx>
          <w:tblCellMar>
            <w:top w:w="0" w:type="dxa"/>
            <w:bottom w:w="0" w:type="dxa"/>
          </w:tblCellMar>
        </w:tblPrEx>
        <w:tc>
          <w:tcPr>
            <w:tcW w:w="4788" w:type="dxa"/>
            <w:shd w:val="clear" w:color="auto" w:fill="auto"/>
            <w:vAlign w:val="center"/>
          </w:tcPr>
          <w:p w14:paraId="3C3E380B" w14:textId="77777777" w:rsidR="008C4F00" w:rsidRPr="008C4F00" w:rsidRDefault="008C4F00" w:rsidP="008C4F00">
            <w:pPr>
              <w:pStyle w:val="TableRowHead"/>
            </w:pPr>
            <w:proofErr w:type="spellStart"/>
            <w:r w:rsidRPr="008C4F00">
              <w:t>Coigeartú</w:t>
            </w:r>
            <w:proofErr w:type="spellEnd"/>
            <w:r w:rsidRPr="008C4F00">
              <w:t xml:space="preserve"> ar </w:t>
            </w:r>
            <w:proofErr w:type="spellStart"/>
            <w:r w:rsidRPr="008C4F00">
              <w:t>Chistíocht</w:t>
            </w:r>
            <w:proofErr w:type="spellEnd"/>
            <w:r w:rsidRPr="008C4F00">
              <w:t xml:space="preserve"> </w:t>
            </w:r>
            <w:proofErr w:type="spellStart"/>
            <w:r w:rsidRPr="008C4F00">
              <w:t>Iarchurtha</w:t>
            </w:r>
            <w:proofErr w:type="spellEnd"/>
            <w:r w:rsidRPr="008C4F00">
              <w:t xml:space="preserve"> </w:t>
            </w:r>
            <w:proofErr w:type="spellStart"/>
            <w:r w:rsidRPr="008C4F00">
              <w:t>Phinsin</w:t>
            </w:r>
            <w:proofErr w:type="spellEnd"/>
          </w:p>
        </w:tc>
        <w:tc>
          <w:tcPr>
            <w:tcW w:w="1356" w:type="dxa"/>
            <w:shd w:val="clear" w:color="auto" w:fill="auto"/>
            <w:vAlign w:val="bottom"/>
          </w:tcPr>
          <w:p w14:paraId="39F8E3E6" w14:textId="77777777" w:rsidR="008C4F00" w:rsidRPr="008C4F00" w:rsidRDefault="008C4F00" w:rsidP="00141421">
            <w:pPr>
              <w:spacing w:after="0" w:line="240" w:lineRule="auto"/>
              <w:jc w:val="center"/>
              <w:rPr>
                <w:rFonts w:cs="Arial"/>
                <w:b/>
                <w:bCs/>
                <w:lang w:val="en-GB" w:eastAsia="en-GB"/>
              </w:rPr>
            </w:pPr>
          </w:p>
        </w:tc>
        <w:tc>
          <w:tcPr>
            <w:tcW w:w="1356" w:type="dxa"/>
            <w:shd w:val="clear" w:color="auto" w:fill="auto"/>
            <w:vAlign w:val="bottom"/>
          </w:tcPr>
          <w:p w14:paraId="1C4BC998"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 xml:space="preserve">2,419,000 </w:t>
            </w:r>
          </w:p>
        </w:tc>
        <w:tc>
          <w:tcPr>
            <w:tcW w:w="1356" w:type="dxa"/>
            <w:shd w:val="clear" w:color="auto" w:fill="auto"/>
            <w:vAlign w:val="bottom"/>
          </w:tcPr>
          <w:p w14:paraId="22819A4C" w14:textId="77777777" w:rsidR="008C4F00" w:rsidRPr="008C4F00" w:rsidRDefault="008C4F00" w:rsidP="00141421">
            <w:pPr>
              <w:spacing w:after="0" w:line="240" w:lineRule="auto"/>
              <w:jc w:val="right"/>
              <w:rPr>
                <w:rFonts w:cs="Arial"/>
                <w:lang w:val="en-GB" w:eastAsia="en-GB"/>
              </w:rPr>
            </w:pPr>
            <w:r w:rsidRPr="008C4F00">
              <w:rPr>
                <w:rFonts w:cs="Arial"/>
                <w:lang w:val="en-GB" w:eastAsia="en-GB"/>
              </w:rPr>
              <w:t>(1,689,000)</w:t>
            </w:r>
          </w:p>
        </w:tc>
      </w:tr>
      <w:tr w:rsidR="008C4F00" w:rsidRPr="00F62A79" w14:paraId="1F799777" w14:textId="77777777" w:rsidTr="00231F76">
        <w:tblPrEx>
          <w:tblCellMar>
            <w:top w:w="0" w:type="dxa"/>
            <w:bottom w:w="0" w:type="dxa"/>
          </w:tblCellMar>
        </w:tblPrEx>
        <w:tc>
          <w:tcPr>
            <w:tcW w:w="4788" w:type="dxa"/>
            <w:shd w:val="clear" w:color="auto" w:fill="auto"/>
            <w:vAlign w:val="center"/>
          </w:tcPr>
          <w:p w14:paraId="343B10D1" w14:textId="77777777" w:rsidR="008C4F00" w:rsidRPr="008C4F00" w:rsidRDefault="008C4F00" w:rsidP="008C4F00">
            <w:pPr>
              <w:pStyle w:val="TableRowHead"/>
            </w:pPr>
            <w:r w:rsidRPr="008C4F00">
              <w:t xml:space="preserve">Iomlán an </w:t>
            </w:r>
            <w:proofErr w:type="spellStart"/>
            <w:r w:rsidRPr="008C4F00">
              <w:t>Ghnóthachain</w:t>
            </w:r>
            <w:proofErr w:type="spellEnd"/>
            <w:r w:rsidRPr="008C4F00">
              <w:t xml:space="preserve"> Aitheanta/ (</w:t>
            </w:r>
            <w:proofErr w:type="spellStart"/>
            <w:r w:rsidRPr="008C4F00">
              <w:t>Caillteanais</w:t>
            </w:r>
            <w:proofErr w:type="spellEnd"/>
            <w:r w:rsidRPr="008C4F00">
              <w:t>) don bhliain</w:t>
            </w:r>
          </w:p>
        </w:tc>
        <w:tc>
          <w:tcPr>
            <w:tcW w:w="1356" w:type="dxa"/>
            <w:shd w:val="clear" w:color="auto" w:fill="auto"/>
            <w:vAlign w:val="bottom"/>
          </w:tcPr>
          <w:p w14:paraId="5901020F" w14:textId="77777777" w:rsidR="008C4F00" w:rsidRPr="008C4F00" w:rsidRDefault="008C4F00" w:rsidP="00141421">
            <w:pPr>
              <w:spacing w:after="0" w:line="240" w:lineRule="auto"/>
              <w:jc w:val="right"/>
              <w:rPr>
                <w:rFonts w:cs="Arial"/>
                <w:b/>
                <w:bCs/>
                <w:lang w:val="en-GB" w:eastAsia="en-GB"/>
              </w:rPr>
            </w:pPr>
          </w:p>
        </w:tc>
        <w:tc>
          <w:tcPr>
            <w:tcW w:w="1356" w:type="dxa"/>
            <w:shd w:val="clear" w:color="auto" w:fill="auto"/>
            <w:vAlign w:val="bottom"/>
          </w:tcPr>
          <w:p w14:paraId="16B8D504" w14:textId="77777777" w:rsidR="008C4F00" w:rsidRPr="008C4F00" w:rsidRDefault="008C4F00" w:rsidP="00141421">
            <w:pPr>
              <w:spacing w:after="0" w:line="240" w:lineRule="auto"/>
              <w:jc w:val="right"/>
              <w:rPr>
                <w:rFonts w:cs="Arial"/>
                <w:b/>
                <w:bCs/>
                <w:lang w:val="en-GB" w:eastAsia="en-GB"/>
              </w:rPr>
            </w:pPr>
            <w:r w:rsidRPr="008C4F00">
              <w:rPr>
                <w:rFonts w:cs="Arial"/>
                <w:b/>
                <w:bCs/>
                <w:lang w:val="en-GB" w:eastAsia="en-GB"/>
              </w:rPr>
              <w:t xml:space="preserve">115,010 </w:t>
            </w:r>
          </w:p>
        </w:tc>
        <w:tc>
          <w:tcPr>
            <w:tcW w:w="1356" w:type="dxa"/>
            <w:shd w:val="clear" w:color="auto" w:fill="auto"/>
            <w:vAlign w:val="bottom"/>
          </w:tcPr>
          <w:p w14:paraId="4BD0AC94" w14:textId="77777777" w:rsidR="008C4F00" w:rsidRPr="008C4F00" w:rsidRDefault="008C4F00" w:rsidP="00141421">
            <w:pPr>
              <w:spacing w:after="0" w:line="240" w:lineRule="auto"/>
              <w:jc w:val="right"/>
              <w:rPr>
                <w:rFonts w:cs="Arial"/>
                <w:b/>
                <w:bCs/>
                <w:lang w:val="en-GB" w:eastAsia="en-GB"/>
              </w:rPr>
            </w:pPr>
            <w:r w:rsidRPr="008C4F00">
              <w:rPr>
                <w:rFonts w:cs="Arial"/>
                <w:b/>
                <w:bCs/>
                <w:lang w:val="en-GB" w:eastAsia="en-GB"/>
              </w:rPr>
              <w:t>(30,968)</w:t>
            </w:r>
          </w:p>
        </w:tc>
      </w:tr>
    </w:tbl>
    <w:p w14:paraId="16B460B6" w14:textId="77777777" w:rsidR="00141421" w:rsidRDefault="00141421" w:rsidP="00141421">
      <w:pPr>
        <w:tabs>
          <w:tab w:val="left" w:pos="8562"/>
        </w:tabs>
        <w:spacing w:after="0" w:line="240" w:lineRule="auto"/>
        <w:ind w:left="108"/>
        <w:rPr>
          <w:rFonts w:cs="Arial"/>
          <w:sz w:val="28"/>
          <w:szCs w:val="28"/>
          <w:lang w:val="en-GB" w:eastAsia="en-GB"/>
        </w:rPr>
      </w:pPr>
    </w:p>
    <w:p w14:paraId="20EEED9A" w14:textId="77777777" w:rsidR="009E6857" w:rsidRDefault="009E6857" w:rsidP="009E6857">
      <w:proofErr w:type="spellStart"/>
      <w:r w:rsidRPr="00066ADC">
        <w:t>Tagrann</w:t>
      </w:r>
      <w:proofErr w:type="spellEnd"/>
      <w:r w:rsidRPr="00066ADC">
        <w:t xml:space="preserve"> na torthaí don bhliain </w:t>
      </w:r>
      <w:proofErr w:type="spellStart"/>
      <w:r w:rsidRPr="00066ADC">
        <w:t>d'fheidhmiúch</w:t>
      </w:r>
      <w:r>
        <w:t>áin</w:t>
      </w:r>
      <w:proofErr w:type="spellEnd"/>
      <w:r>
        <w:t xml:space="preserve"> </w:t>
      </w:r>
      <w:proofErr w:type="spellStart"/>
      <w:r>
        <w:t>leantacha</w:t>
      </w:r>
      <w:proofErr w:type="spellEnd"/>
      <w:r>
        <w:t>.</w:t>
      </w:r>
    </w:p>
    <w:p w14:paraId="091DEB5D" w14:textId="77777777" w:rsidR="009E6857" w:rsidRDefault="009E6857" w:rsidP="009E6857">
      <w:r w:rsidRPr="00066ADC">
        <w:t xml:space="preserve">Tá an Ráiteas ar Pholasaithe Cuntasaíochta, an Ráiteas ar </w:t>
      </w:r>
      <w:proofErr w:type="spellStart"/>
      <w:r w:rsidRPr="00066ADC">
        <w:t>Shrea</w:t>
      </w:r>
      <w:r>
        <w:t>bhadh</w:t>
      </w:r>
      <w:proofErr w:type="spellEnd"/>
      <w:r>
        <w:t xml:space="preserve"> Airgid, agus Nótaí 1 go 16</w:t>
      </w:r>
      <w:r w:rsidRPr="00066ADC">
        <w:t xml:space="preserve"> ina gcuid de na </w:t>
      </w:r>
      <w:proofErr w:type="spellStart"/>
      <w:r w:rsidRPr="00066ADC">
        <w:t>Ráitis</w:t>
      </w:r>
      <w:proofErr w:type="spellEnd"/>
      <w:r w:rsidRPr="00066ADC">
        <w:t xml:space="preserve"> Airgeadais seo. </w:t>
      </w:r>
    </w:p>
    <w:p w14:paraId="5BDB0E06" w14:textId="77777777" w:rsidR="009E6857" w:rsidRDefault="009E6857" w:rsidP="009E6857">
      <w:r w:rsidRPr="00066ADC">
        <w:t xml:space="preserve">Sínithe: Peter </w:t>
      </w:r>
      <w:proofErr w:type="spellStart"/>
      <w:r w:rsidRPr="00066ADC">
        <w:t>McKevitt</w:t>
      </w:r>
      <w:proofErr w:type="spellEnd"/>
      <w:r w:rsidRPr="00066ADC">
        <w:t xml:space="preserve"> (Cathaoirleach)</w:t>
      </w:r>
    </w:p>
    <w:p w14:paraId="7DB5E1B4" w14:textId="77777777" w:rsidR="009E6857" w:rsidRDefault="009E6857" w:rsidP="009E6857">
      <w:r w:rsidRPr="00066ADC">
        <w:lastRenderedPageBreak/>
        <w:t xml:space="preserve">Sínithe: </w:t>
      </w:r>
      <w:r>
        <w:t xml:space="preserve">Frank </w:t>
      </w:r>
      <w:proofErr w:type="spellStart"/>
      <w:r>
        <w:t>Cuneen</w:t>
      </w:r>
      <w:proofErr w:type="spellEnd"/>
      <w:r>
        <w:t xml:space="preserve"> </w:t>
      </w:r>
      <w:proofErr w:type="gramStart"/>
      <w:r w:rsidRPr="00066ADC">
        <w:t>( Ball</w:t>
      </w:r>
      <w:proofErr w:type="gramEnd"/>
      <w:r w:rsidRPr="00066ADC">
        <w:t xml:space="preserve"> den Údarás)</w:t>
      </w:r>
    </w:p>
    <w:p w14:paraId="45A0BB50" w14:textId="77777777" w:rsidR="009E6857" w:rsidRDefault="009E6857" w:rsidP="009E6857">
      <w:r w:rsidRPr="00066ADC">
        <w:t>Sínithe: Siobhan Barron (Stiúrthóir</w:t>
      </w:r>
      <w:r>
        <w:t>)</w:t>
      </w:r>
    </w:p>
    <w:p w14:paraId="423ECEE5" w14:textId="77777777" w:rsidR="009E6857" w:rsidRDefault="009E6857" w:rsidP="009E6857">
      <w:r>
        <w:t xml:space="preserve">16 </w:t>
      </w:r>
      <w:proofErr w:type="spellStart"/>
      <w:r>
        <w:t>Meithamh</w:t>
      </w:r>
      <w:proofErr w:type="spellEnd"/>
      <w:r>
        <w:t xml:space="preserve"> 2011</w:t>
      </w:r>
      <w:r w:rsidRPr="00066ADC">
        <w:t xml:space="preserve">    </w:t>
      </w:r>
    </w:p>
    <w:p w14:paraId="7E93F111" w14:textId="77777777" w:rsidR="00141421" w:rsidRDefault="00141421" w:rsidP="00B3690F">
      <w:pPr>
        <w:pStyle w:val="Heading2"/>
        <w:rPr>
          <w:lang w:val="en-GB" w:eastAsia="en-GB"/>
        </w:rPr>
      </w:pPr>
      <w:r>
        <w:rPr>
          <w:lang w:val="en-GB" w:eastAsia="en-GB"/>
        </w:rPr>
        <w:br w:type="page"/>
      </w:r>
      <w:bookmarkStart w:id="754" w:name="_Toc300744357"/>
      <w:r w:rsidR="009E6857" w:rsidRPr="00414EB5">
        <w:rPr>
          <w:rFonts w:eastAsia="Arial"/>
        </w:rPr>
        <w:lastRenderedPageBreak/>
        <w:t xml:space="preserve">Clár </w:t>
      </w:r>
      <w:proofErr w:type="spellStart"/>
      <w:r w:rsidR="009E6857" w:rsidRPr="00414EB5">
        <w:rPr>
          <w:rFonts w:eastAsia="Arial"/>
        </w:rPr>
        <w:t>Comhardaithe</w:t>
      </w:r>
      <w:proofErr w:type="spellEnd"/>
      <w:r w:rsidR="009E6857">
        <w:rPr>
          <w:rFonts w:eastAsia="Arial"/>
        </w:rPr>
        <w:t xml:space="preserve"> mar a bhí ar </w:t>
      </w:r>
      <w:proofErr w:type="gramStart"/>
      <w:r w:rsidR="009E6857">
        <w:rPr>
          <w:rFonts w:eastAsia="Arial"/>
        </w:rPr>
        <w:t>an</w:t>
      </w:r>
      <w:proofErr w:type="gramEnd"/>
      <w:r w:rsidR="009E6857">
        <w:rPr>
          <w:rFonts w:eastAsia="Arial"/>
        </w:rPr>
        <w:t xml:space="preserve"> 31 Nollaig 2010</w:t>
      </w:r>
      <w:bookmarkEnd w:id="75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080"/>
        <w:gridCol w:w="1494"/>
        <w:gridCol w:w="138"/>
        <w:gridCol w:w="1356"/>
      </w:tblGrid>
      <w:tr w:rsidR="009E6857" w:rsidRPr="00064183" w14:paraId="3EC96E9E" w14:textId="77777777" w:rsidTr="00231F76">
        <w:tblPrEx>
          <w:tblCellMar>
            <w:top w:w="0" w:type="dxa"/>
            <w:bottom w:w="0" w:type="dxa"/>
          </w:tblCellMar>
        </w:tblPrEx>
        <w:trPr>
          <w:tblHeader/>
        </w:trPr>
        <w:tc>
          <w:tcPr>
            <w:tcW w:w="4788" w:type="dxa"/>
            <w:shd w:val="clear" w:color="auto" w:fill="auto"/>
          </w:tcPr>
          <w:p w14:paraId="0C941D21" w14:textId="77777777" w:rsidR="009E6857" w:rsidRPr="009E6857" w:rsidRDefault="009E6857" w:rsidP="00141421">
            <w:pPr>
              <w:pStyle w:val="TableHead"/>
              <w:jc w:val="right"/>
            </w:pPr>
          </w:p>
        </w:tc>
        <w:tc>
          <w:tcPr>
            <w:tcW w:w="1080" w:type="dxa"/>
            <w:shd w:val="clear" w:color="auto" w:fill="auto"/>
            <w:vAlign w:val="center"/>
          </w:tcPr>
          <w:p w14:paraId="292E2985" w14:textId="77777777" w:rsidR="009E6857" w:rsidRPr="009E6857" w:rsidRDefault="009E6857" w:rsidP="00231F76">
            <w:pPr>
              <w:pStyle w:val="TableHead"/>
              <w:spacing w:line="240" w:lineRule="auto"/>
              <w:jc w:val="right"/>
            </w:pPr>
            <w:r w:rsidRPr="009E6857">
              <w:t>Nótaí</w:t>
            </w:r>
          </w:p>
        </w:tc>
        <w:tc>
          <w:tcPr>
            <w:tcW w:w="1632" w:type="dxa"/>
            <w:gridSpan w:val="2"/>
            <w:shd w:val="clear" w:color="auto" w:fill="auto"/>
          </w:tcPr>
          <w:p w14:paraId="6AFBA56F" w14:textId="77777777" w:rsidR="009E6857" w:rsidRPr="009E6857" w:rsidRDefault="009E6857" w:rsidP="00141421">
            <w:pPr>
              <w:pStyle w:val="TableHead"/>
              <w:jc w:val="right"/>
            </w:pPr>
            <w:r w:rsidRPr="009E6857">
              <w:t>2010</w:t>
            </w:r>
          </w:p>
        </w:tc>
        <w:tc>
          <w:tcPr>
            <w:tcW w:w="1356" w:type="dxa"/>
            <w:shd w:val="clear" w:color="auto" w:fill="auto"/>
          </w:tcPr>
          <w:p w14:paraId="53069686" w14:textId="77777777" w:rsidR="009E6857" w:rsidRPr="009E6857" w:rsidRDefault="009E6857" w:rsidP="00141421">
            <w:pPr>
              <w:pStyle w:val="TableHead"/>
              <w:jc w:val="right"/>
            </w:pPr>
            <w:r w:rsidRPr="009E6857">
              <w:t>2009</w:t>
            </w:r>
          </w:p>
        </w:tc>
      </w:tr>
      <w:tr w:rsidR="00141421" w:rsidRPr="00064183" w14:paraId="5C1C6996" w14:textId="77777777" w:rsidTr="00141421">
        <w:tblPrEx>
          <w:tblCellMar>
            <w:top w:w="0" w:type="dxa"/>
            <w:bottom w:w="0" w:type="dxa"/>
          </w:tblCellMar>
        </w:tblPrEx>
        <w:tc>
          <w:tcPr>
            <w:tcW w:w="4788" w:type="dxa"/>
            <w:shd w:val="clear" w:color="auto" w:fill="auto"/>
          </w:tcPr>
          <w:p w14:paraId="50A5785E" w14:textId="77777777" w:rsidR="00141421" w:rsidRPr="009E6857" w:rsidRDefault="00141421" w:rsidP="00141421">
            <w:pPr>
              <w:pStyle w:val="TableRowHead"/>
            </w:pPr>
          </w:p>
        </w:tc>
        <w:tc>
          <w:tcPr>
            <w:tcW w:w="1080" w:type="dxa"/>
            <w:shd w:val="clear" w:color="auto" w:fill="auto"/>
          </w:tcPr>
          <w:p w14:paraId="7707873C" w14:textId="77777777" w:rsidR="00141421" w:rsidRPr="009E6857" w:rsidRDefault="00141421" w:rsidP="00141421">
            <w:pPr>
              <w:pStyle w:val="TableCell"/>
              <w:jc w:val="right"/>
            </w:pPr>
          </w:p>
        </w:tc>
        <w:tc>
          <w:tcPr>
            <w:tcW w:w="1494" w:type="dxa"/>
            <w:shd w:val="clear" w:color="auto" w:fill="auto"/>
            <w:vAlign w:val="bottom"/>
          </w:tcPr>
          <w:p w14:paraId="76DC07DF" w14:textId="77777777" w:rsidR="00141421" w:rsidRPr="009E6857" w:rsidRDefault="00141421" w:rsidP="00141421">
            <w:pPr>
              <w:spacing w:after="0" w:line="240" w:lineRule="auto"/>
              <w:jc w:val="right"/>
              <w:rPr>
                <w:rFonts w:cs="Arial"/>
                <w:b/>
                <w:bCs/>
                <w:lang w:val="en-GB" w:eastAsia="en-GB"/>
              </w:rPr>
            </w:pPr>
            <w:r w:rsidRPr="009E6857">
              <w:rPr>
                <w:rFonts w:cs="Arial"/>
                <w:b/>
                <w:bCs/>
                <w:lang w:val="en-GB" w:eastAsia="en-GB"/>
              </w:rPr>
              <w:t xml:space="preserve">          €</w:t>
            </w:r>
          </w:p>
        </w:tc>
        <w:tc>
          <w:tcPr>
            <w:tcW w:w="1494" w:type="dxa"/>
            <w:gridSpan w:val="2"/>
            <w:shd w:val="clear" w:color="auto" w:fill="auto"/>
            <w:vAlign w:val="bottom"/>
          </w:tcPr>
          <w:p w14:paraId="7226F89C" w14:textId="77777777" w:rsidR="00141421" w:rsidRPr="009E6857" w:rsidRDefault="00141421" w:rsidP="00141421">
            <w:pPr>
              <w:spacing w:after="0" w:line="240" w:lineRule="auto"/>
              <w:jc w:val="right"/>
              <w:rPr>
                <w:rFonts w:cs="Arial"/>
                <w:b/>
                <w:bCs/>
                <w:lang w:val="en-GB" w:eastAsia="en-GB"/>
              </w:rPr>
            </w:pPr>
            <w:r w:rsidRPr="009E6857">
              <w:rPr>
                <w:rFonts w:cs="Arial"/>
                <w:b/>
                <w:bCs/>
                <w:lang w:val="en-GB" w:eastAsia="en-GB"/>
              </w:rPr>
              <w:t xml:space="preserve">          €</w:t>
            </w:r>
          </w:p>
        </w:tc>
      </w:tr>
      <w:tr w:rsidR="00141421" w:rsidRPr="00064183" w14:paraId="69DFE2D5" w14:textId="77777777" w:rsidTr="00141421">
        <w:tblPrEx>
          <w:tblCellMar>
            <w:top w:w="0" w:type="dxa"/>
            <w:bottom w:w="0" w:type="dxa"/>
          </w:tblCellMar>
        </w:tblPrEx>
        <w:tc>
          <w:tcPr>
            <w:tcW w:w="4788" w:type="dxa"/>
            <w:shd w:val="clear" w:color="auto" w:fill="auto"/>
            <w:vAlign w:val="bottom"/>
          </w:tcPr>
          <w:p w14:paraId="490B9581" w14:textId="77777777" w:rsidR="00141421" w:rsidRPr="009E6857" w:rsidRDefault="009E6857" w:rsidP="009E6857">
            <w:pPr>
              <w:pStyle w:val="TableRowHead"/>
              <w:rPr>
                <w:lang w:val="en-GB" w:eastAsia="en-GB"/>
              </w:rPr>
            </w:pPr>
            <w:proofErr w:type="spellStart"/>
            <w:r w:rsidRPr="009E6857">
              <w:t>Sócmhainní</w:t>
            </w:r>
            <w:proofErr w:type="spellEnd"/>
            <w:r w:rsidRPr="009E6857">
              <w:t xml:space="preserve"> Reatha</w:t>
            </w:r>
          </w:p>
        </w:tc>
        <w:tc>
          <w:tcPr>
            <w:tcW w:w="1080" w:type="dxa"/>
            <w:shd w:val="clear" w:color="auto" w:fill="auto"/>
            <w:vAlign w:val="bottom"/>
          </w:tcPr>
          <w:p w14:paraId="5C7352EC" w14:textId="77777777" w:rsidR="00141421" w:rsidRPr="009E6857" w:rsidRDefault="00141421" w:rsidP="00141421">
            <w:pPr>
              <w:spacing w:after="0" w:line="240" w:lineRule="auto"/>
              <w:jc w:val="center"/>
              <w:rPr>
                <w:rFonts w:cs="Arial"/>
                <w:lang w:val="en-GB" w:eastAsia="en-GB"/>
              </w:rPr>
            </w:pPr>
            <w:r w:rsidRPr="009E6857">
              <w:rPr>
                <w:rFonts w:cs="Arial"/>
                <w:lang w:val="en-GB" w:eastAsia="en-GB"/>
              </w:rPr>
              <w:t>7</w:t>
            </w:r>
          </w:p>
        </w:tc>
        <w:tc>
          <w:tcPr>
            <w:tcW w:w="1494" w:type="dxa"/>
            <w:shd w:val="clear" w:color="auto" w:fill="auto"/>
            <w:vAlign w:val="bottom"/>
          </w:tcPr>
          <w:p w14:paraId="4F411880" w14:textId="77777777" w:rsidR="00141421" w:rsidRPr="009E6857" w:rsidRDefault="00141421" w:rsidP="00141421">
            <w:pPr>
              <w:spacing w:after="0" w:line="240" w:lineRule="auto"/>
              <w:jc w:val="right"/>
              <w:rPr>
                <w:rFonts w:cs="Arial"/>
                <w:lang w:val="en-GB" w:eastAsia="en-GB"/>
              </w:rPr>
            </w:pPr>
            <w:r w:rsidRPr="009E6857">
              <w:rPr>
                <w:rFonts w:cs="Arial"/>
                <w:lang w:val="en-GB" w:eastAsia="en-GB"/>
              </w:rPr>
              <w:t xml:space="preserve">3,111,965 </w:t>
            </w:r>
          </w:p>
        </w:tc>
        <w:tc>
          <w:tcPr>
            <w:tcW w:w="1494" w:type="dxa"/>
            <w:gridSpan w:val="2"/>
            <w:shd w:val="clear" w:color="auto" w:fill="auto"/>
            <w:vAlign w:val="bottom"/>
          </w:tcPr>
          <w:p w14:paraId="0F55CE81" w14:textId="77777777" w:rsidR="00141421" w:rsidRPr="009E6857" w:rsidRDefault="00141421" w:rsidP="00141421">
            <w:pPr>
              <w:spacing w:after="0" w:line="240" w:lineRule="auto"/>
              <w:jc w:val="right"/>
              <w:rPr>
                <w:rFonts w:cs="Arial"/>
                <w:lang w:val="en-GB" w:eastAsia="en-GB"/>
              </w:rPr>
            </w:pPr>
            <w:r w:rsidRPr="009E6857">
              <w:rPr>
                <w:rFonts w:cs="Arial"/>
                <w:lang w:val="en-GB" w:eastAsia="en-GB"/>
              </w:rPr>
              <w:t xml:space="preserve">3,205,216 </w:t>
            </w:r>
          </w:p>
        </w:tc>
      </w:tr>
      <w:tr w:rsidR="00141421" w:rsidRPr="00064183" w14:paraId="2C2A2BA0" w14:textId="77777777" w:rsidTr="00141421">
        <w:tblPrEx>
          <w:tblCellMar>
            <w:top w:w="0" w:type="dxa"/>
            <w:bottom w:w="0" w:type="dxa"/>
          </w:tblCellMar>
        </w:tblPrEx>
        <w:tc>
          <w:tcPr>
            <w:tcW w:w="8856" w:type="dxa"/>
            <w:gridSpan w:val="5"/>
            <w:shd w:val="clear" w:color="auto" w:fill="auto"/>
            <w:vAlign w:val="bottom"/>
          </w:tcPr>
          <w:p w14:paraId="4D0DF984" w14:textId="77777777" w:rsidR="00141421" w:rsidRPr="009E6857" w:rsidRDefault="009E6857" w:rsidP="009E6857">
            <w:pPr>
              <w:pStyle w:val="TableHead"/>
              <w:jc w:val="center"/>
              <w:rPr>
                <w:rFonts w:cs="Arial"/>
                <w:lang w:val="en-GB" w:eastAsia="en-GB"/>
              </w:rPr>
            </w:pPr>
            <w:proofErr w:type="spellStart"/>
            <w:r w:rsidRPr="009E6857">
              <w:t>Sócmhainní</w:t>
            </w:r>
            <w:proofErr w:type="spellEnd"/>
            <w:r w:rsidRPr="009E6857">
              <w:t xml:space="preserve"> Reatha</w:t>
            </w:r>
          </w:p>
        </w:tc>
      </w:tr>
      <w:tr w:rsidR="009E6857" w:rsidRPr="00064183" w14:paraId="5116CB01" w14:textId="77777777" w:rsidTr="00231F76">
        <w:tblPrEx>
          <w:tblCellMar>
            <w:top w:w="0" w:type="dxa"/>
            <w:bottom w:w="0" w:type="dxa"/>
          </w:tblCellMar>
        </w:tblPrEx>
        <w:tc>
          <w:tcPr>
            <w:tcW w:w="4788" w:type="dxa"/>
            <w:shd w:val="clear" w:color="auto" w:fill="auto"/>
            <w:vAlign w:val="center"/>
          </w:tcPr>
          <w:p w14:paraId="68D85777" w14:textId="77777777" w:rsidR="009E6857" w:rsidRPr="009E6857" w:rsidRDefault="009E6857" w:rsidP="009E6857">
            <w:pPr>
              <w:pStyle w:val="TableRowHead"/>
            </w:pPr>
            <w:proofErr w:type="spellStart"/>
            <w:r w:rsidRPr="009E6857">
              <w:t>Féichiúnaithe</w:t>
            </w:r>
            <w:proofErr w:type="spellEnd"/>
            <w:r w:rsidRPr="009E6857">
              <w:t xml:space="preserve"> agus </w:t>
            </w:r>
            <w:proofErr w:type="spellStart"/>
            <w:r w:rsidRPr="009E6857">
              <w:t>Réamhíocaíochtaí</w:t>
            </w:r>
            <w:proofErr w:type="spellEnd"/>
            <w:r w:rsidRPr="009E6857">
              <w:t xml:space="preserve"> </w:t>
            </w:r>
          </w:p>
        </w:tc>
        <w:tc>
          <w:tcPr>
            <w:tcW w:w="1080" w:type="dxa"/>
            <w:shd w:val="clear" w:color="auto" w:fill="auto"/>
            <w:vAlign w:val="bottom"/>
          </w:tcPr>
          <w:p w14:paraId="4EA04EDD"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12</w:t>
            </w:r>
          </w:p>
        </w:tc>
        <w:tc>
          <w:tcPr>
            <w:tcW w:w="1494" w:type="dxa"/>
            <w:shd w:val="clear" w:color="auto" w:fill="auto"/>
            <w:vAlign w:val="bottom"/>
          </w:tcPr>
          <w:p w14:paraId="76FE5DEE"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92,999 </w:t>
            </w:r>
          </w:p>
        </w:tc>
        <w:tc>
          <w:tcPr>
            <w:tcW w:w="1494" w:type="dxa"/>
            <w:gridSpan w:val="2"/>
            <w:shd w:val="clear" w:color="auto" w:fill="auto"/>
            <w:vAlign w:val="bottom"/>
          </w:tcPr>
          <w:p w14:paraId="17667803"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90,424 </w:t>
            </w:r>
          </w:p>
        </w:tc>
      </w:tr>
      <w:tr w:rsidR="009E6857" w:rsidRPr="00064183" w14:paraId="5B80A99A" w14:textId="77777777" w:rsidTr="00231F76">
        <w:tblPrEx>
          <w:tblCellMar>
            <w:top w:w="0" w:type="dxa"/>
            <w:bottom w:w="0" w:type="dxa"/>
          </w:tblCellMar>
        </w:tblPrEx>
        <w:tc>
          <w:tcPr>
            <w:tcW w:w="4788" w:type="dxa"/>
            <w:shd w:val="clear" w:color="auto" w:fill="auto"/>
            <w:vAlign w:val="center"/>
          </w:tcPr>
          <w:p w14:paraId="7276BCE0" w14:textId="77777777" w:rsidR="009E6857" w:rsidRPr="009E6857" w:rsidRDefault="009E6857" w:rsidP="009E6857">
            <w:pPr>
              <w:pStyle w:val="TableRowHead"/>
            </w:pPr>
            <w:r w:rsidRPr="009E6857">
              <w:t xml:space="preserve">Airgead sa </w:t>
            </w:r>
            <w:proofErr w:type="spellStart"/>
            <w:r w:rsidRPr="009E6857">
              <w:t>Bhanc</w:t>
            </w:r>
            <w:proofErr w:type="spellEnd"/>
            <w:r w:rsidRPr="009E6857">
              <w:t xml:space="preserve"> agus ar Láimh </w:t>
            </w:r>
          </w:p>
        </w:tc>
        <w:tc>
          <w:tcPr>
            <w:tcW w:w="1080" w:type="dxa"/>
            <w:shd w:val="clear" w:color="auto" w:fill="auto"/>
            <w:vAlign w:val="bottom"/>
          </w:tcPr>
          <w:p w14:paraId="5038E392"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9(b)</w:t>
            </w:r>
          </w:p>
        </w:tc>
        <w:tc>
          <w:tcPr>
            <w:tcW w:w="1494" w:type="dxa"/>
            <w:shd w:val="clear" w:color="auto" w:fill="auto"/>
            <w:vAlign w:val="bottom"/>
          </w:tcPr>
          <w:p w14:paraId="317F3E2B"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301 </w:t>
            </w:r>
          </w:p>
        </w:tc>
        <w:tc>
          <w:tcPr>
            <w:tcW w:w="1494" w:type="dxa"/>
            <w:gridSpan w:val="2"/>
            <w:shd w:val="clear" w:color="auto" w:fill="auto"/>
            <w:vAlign w:val="bottom"/>
          </w:tcPr>
          <w:p w14:paraId="7980C133"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31,065 </w:t>
            </w:r>
          </w:p>
        </w:tc>
      </w:tr>
      <w:tr w:rsidR="00141421" w:rsidRPr="00064183" w14:paraId="3FEF52C5" w14:textId="77777777" w:rsidTr="00141421">
        <w:tblPrEx>
          <w:tblCellMar>
            <w:top w:w="0" w:type="dxa"/>
            <w:bottom w:w="0" w:type="dxa"/>
          </w:tblCellMar>
        </w:tblPrEx>
        <w:tc>
          <w:tcPr>
            <w:tcW w:w="4788" w:type="dxa"/>
            <w:shd w:val="clear" w:color="auto" w:fill="auto"/>
            <w:vAlign w:val="bottom"/>
          </w:tcPr>
          <w:p w14:paraId="71F75E52" w14:textId="77777777" w:rsidR="00141421" w:rsidRPr="009E6857" w:rsidRDefault="00141421" w:rsidP="00141421">
            <w:pPr>
              <w:spacing w:after="0" w:line="240" w:lineRule="auto"/>
              <w:rPr>
                <w:rFonts w:cs="Arial"/>
                <w:lang w:val="en-GB" w:eastAsia="en-GB"/>
              </w:rPr>
            </w:pPr>
          </w:p>
        </w:tc>
        <w:tc>
          <w:tcPr>
            <w:tcW w:w="1080" w:type="dxa"/>
            <w:shd w:val="clear" w:color="auto" w:fill="auto"/>
            <w:vAlign w:val="bottom"/>
          </w:tcPr>
          <w:p w14:paraId="39EA66C7" w14:textId="77777777" w:rsidR="00141421" w:rsidRPr="009E6857" w:rsidRDefault="00141421" w:rsidP="00141421">
            <w:pPr>
              <w:spacing w:after="0" w:line="240" w:lineRule="auto"/>
              <w:jc w:val="center"/>
              <w:rPr>
                <w:rFonts w:cs="Arial"/>
                <w:lang w:val="en-GB" w:eastAsia="en-GB"/>
              </w:rPr>
            </w:pPr>
          </w:p>
        </w:tc>
        <w:tc>
          <w:tcPr>
            <w:tcW w:w="1494" w:type="dxa"/>
            <w:shd w:val="clear" w:color="auto" w:fill="auto"/>
            <w:vAlign w:val="bottom"/>
          </w:tcPr>
          <w:p w14:paraId="7075A4DA" w14:textId="77777777" w:rsidR="00141421" w:rsidRPr="009E6857" w:rsidRDefault="00141421" w:rsidP="00141421">
            <w:pPr>
              <w:spacing w:after="0" w:line="240" w:lineRule="auto"/>
              <w:jc w:val="right"/>
              <w:rPr>
                <w:rFonts w:cs="Arial"/>
                <w:lang w:val="en-GB" w:eastAsia="en-GB"/>
              </w:rPr>
            </w:pPr>
            <w:r w:rsidRPr="009E6857">
              <w:rPr>
                <w:rFonts w:cs="Arial"/>
                <w:lang w:val="en-GB" w:eastAsia="en-GB"/>
              </w:rPr>
              <w:t xml:space="preserve">93,300 </w:t>
            </w:r>
          </w:p>
        </w:tc>
        <w:tc>
          <w:tcPr>
            <w:tcW w:w="1494" w:type="dxa"/>
            <w:gridSpan w:val="2"/>
            <w:shd w:val="clear" w:color="auto" w:fill="auto"/>
            <w:vAlign w:val="bottom"/>
          </w:tcPr>
          <w:p w14:paraId="6C4220C0" w14:textId="77777777" w:rsidR="00141421" w:rsidRPr="009E6857" w:rsidRDefault="00141421" w:rsidP="00141421">
            <w:pPr>
              <w:spacing w:after="0" w:line="240" w:lineRule="auto"/>
              <w:jc w:val="right"/>
              <w:rPr>
                <w:rFonts w:cs="Arial"/>
                <w:lang w:val="en-GB" w:eastAsia="en-GB"/>
              </w:rPr>
            </w:pPr>
            <w:r w:rsidRPr="009E6857">
              <w:rPr>
                <w:rFonts w:cs="Arial"/>
                <w:lang w:val="en-GB" w:eastAsia="en-GB"/>
              </w:rPr>
              <w:t xml:space="preserve">121,489 </w:t>
            </w:r>
          </w:p>
        </w:tc>
      </w:tr>
      <w:tr w:rsidR="009E6857" w:rsidRPr="00064183" w14:paraId="55B5B950" w14:textId="77777777" w:rsidTr="00231F76">
        <w:tblPrEx>
          <w:tblCellMar>
            <w:top w:w="0" w:type="dxa"/>
            <w:bottom w:w="0" w:type="dxa"/>
          </w:tblCellMar>
        </w:tblPrEx>
        <w:tc>
          <w:tcPr>
            <w:tcW w:w="8856" w:type="dxa"/>
            <w:gridSpan w:val="5"/>
            <w:shd w:val="clear" w:color="auto" w:fill="auto"/>
            <w:vAlign w:val="center"/>
          </w:tcPr>
          <w:p w14:paraId="5B47347E" w14:textId="77777777" w:rsidR="009E6857" w:rsidRPr="009E6857" w:rsidRDefault="009E6857" w:rsidP="009E6857">
            <w:pPr>
              <w:pStyle w:val="TableHead"/>
              <w:jc w:val="center"/>
            </w:pPr>
            <w:proofErr w:type="spellStart"/>
            <w:r w:rsidRPr="009E6857">
              <w:t>Dliteanais</w:t>
            </w:r>
            <w:proofErr w:type="spellEnd"/>
            <w:r w:rsidRPr="009E6857">
              <w:t xml:space="preserve"> Reatha</w:t>
            </w:r>
          </w:p>
        </w:tc>
      </w:tr>
      <w:tr w:rsidR="009E6857" w:rsidRPr="00064183" w14:paraId="7271AA42" w14:textId="77777777" w:rsidTr="00231F76">
        <w:tblPrEx>
          <w:tblCellMar>
            <w:top w:w="0" w:type="dxa"/>
            <w:bottom w:w="0" w:type="dxa"/>
          </w:tblCellMar>
        </w:tblPrEx>
        <w:tc>
          <w:tcPr>
            <w:tcW w:w="4788" w:type="dxa"/>
            <w:shd w:val="clear" w:color="auto" w:fill="auto"/>
            <w:vAlign w:val="center"/>
          </w:tcPr>
          <w:p w14:paraId="37930F59" w14:textId="77777777" w:rsidR="009E6857" w:rsidRPr="009E6857" w:rsidRDefault="009E6857" w:rsidP="009E6857">
            <w:pPr>
              <w:pStyle w:val="TableRowHead"/>
            </w:pPr>
            <w:proofErr w:type="spellStart"/>
            <w:r w:rsidRPr="009E6857">
              <w:t>Creidiúnaithe</w:t>
            </w:r>
            <w:proofErr w:type="spellEnd"/>
            <w:r w:rsidRPr="009E6857">
              <w:t xml:space="preserve"> agus </w:t>
            </w:r>
            <w:proofErr w:type="spellStart"/>
            <w:r w:rsidRPr="009E6857">
              <w:t>Fabhruithe</w:t>
            </w:r>
            <w:proofErr w:type="spellEnd"/>
            <w:r w:rsidRPr="009E6857">
              <w:t xml:space="preserve"> </w:t>
            </w:r>
          </w:p>
        </w:tc>
        <w:tc>
          <w:tcPr>
            <w:tcW w:w="1080" w:type="dxa"/>
            <w:shd w:val="clear" w:color="auto" w:fill="auto"/>
            <w:vAlign w:val="bottom"/>
          </w:tcPr>
          <w:p w14:paraId="1FC0A8A5"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11</w:t>
            </w:r>
          </w:p>
        </w:tc>
        <w:tc>
          <w:tcPr>
            <w:tcW w:w="1494" w:type="dxa"/>
            <w:shd w:val="clear" w:color="auto" w:fill="auto"/>
            <w:vAlign w:val="bottom"/>
          </w:tcPr>
          <w:p w14:paraId="3D127737"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47,280 </w:t>
            </w:r>
          </w:p>
        </w:tc>
        <w:tc>
          <w:tcPr>
            <w:tcW w:w="1494" w:type="dxa"/>
            <w:gridSpan w:val="2"/>
            <w:shd w:val="clear" w:color="auto" w:fill="auto"/>
            <w:vAlign w:val="bottom"/>
          </w:tcPr>
          <w:p w14:paraId="08745871"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190,480 </w:t>
            </w:r>
          </w:p>
        </w:tc>
      </w:tr>
      <w:tr w:rsidR="009E6857" w:rsidRPr="00064183" w14:paraId="70ADCA14" w14:textId="77777777" w:rsidTr="00231F76">
        <w:tblPrEx>
          <w:tblCellMar>
            <w:top w:w="0" w:type="dxa"/>
            <w:bottom w:w="0" w:type="dxa"/>
          </w:tblCellMar>
        </w:tblPrEx>
        <w:tc>
          <w:tcPr>
            <w:tcW w:w="4788" w:type="dxa"/>
            <w:shd w:val="clear" w:color="auto" w:fill="auto"/>
            <w:vAlign w:val="center"/>
          </w:tcPr>
          <w:p w14:paraId="0D9DA38F" w14:textId="77777777" w:rsidR="009E6857" w:rsidRPr="009E6857" w:rsidRDefault="009E6857" w:rsidP="00231F76">
            <w:pPr>
              <w:pStyle w:val="NDATableText"/>
            </w:pPr>
          </w:p>
        </w:tc>
        <w:tc>
          <w:tcPr>
            <w:tcW w:w="1080" w:type="dxa"/>
            <w:shd w:val="clear" w:color="auto" w:fill="auto"/>
            <w:vAlign w:val="bottom"/>
          </w:tcPr>
          <w:p w14:paraId="739868E8"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 xml:space="preserve"> </w:t>
            </w:r>
          </w:p>
        </w:tc>
        <w:tc>
          <w:tcPr>
            <w:tcW w:w="1494" w:type="dxa"/>
            <w:shd w:val="clear" w:color="auto" w:fill="auto"/>
            <w:vAlign w:val="bottom"/>
          </w:tcPr>
          <w:p w14:paraId="38FD82D2"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47,280 </w:t>
            </w:r>
          </w:p>
        </w:tc>
        <w:tc>
          <w:tcPr>
            <w:tcW w:w="1494" w:type="dxa"/>
            <w:gridSpan w:val="2"/>
            <w:shd w:val="clear" w:color="auto" w:fill="auto"/>
            <w:vAlign w:val="bottom"/>
          </w:tcPr>
          <w:p w14:paraId="7090738D"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190,480 </w:t>
            </w:r>
          </w:p>
        </w:tc>
      </w:tr>
      <w:tr w:rsidR="009E6857" w:rsidRPr="00064183" w14:paraId="12E853C0" w14:textId="77777777" w:rsidTr="00231F76">
        <w:tblPrEx>
          <w:tblCellMar>
            <w:top w:w="0" w:type="dxa"/>
            <w:bottom w:w="0" w:type="dxa"/>
          </w:tblCellMar>
        </w:tblPrEx>
        <w:tc>
          <w:tcPr>
            <w:tcW w:w="4788" w:type="dxa"/>
            <w:shd w:val="clear" w:color="auto" w:fill="auto"/>
            <w:vAlign w:val="center"/>
          </w:tcPr>
          <w:p w14:paraId="562E43CC" w14:textId="77777777" w:rsidR="009E6857" w:rsidRPr="009E6857" w:rsidRDefault="009E6857" w:rsidP="009E6857">
            <w:pPr>
              <w:pStyle w:val="TableRowHead"/>
            </w:pPr>
            <w:proofErr w:type="spellStart"/>
            <w:r w:rsidRPr="009E6857">
              <w:t>Sócmhainní</w:t>
            </w:r>
            <w:proofErr w:type="spellEnd"/>
            <w:r w:rsidRPr="009E6857">
              <w:t xml:space="preserve"> </w:t>
            </w:r>
            <w:proofErr w:type="spellStart"/>
            <w:r w:rsidRPr="009E6857">
              <w:t>Glana</w:t>
            </w:r>
            <w:proofErr w:type="spellEnd"/>
            <w:r w:rsidRPr="009E6857">
              <w:t xml:space="preserve"> Reatha</w:t>
            </w:r>
          </w:p>
        </w:tc>
        <w:tc>
          <w:tcPr>
            <w:tcW w:w="1080" w:type="dxa"/>
            <w:shd w:val="clear" w:color="auto" w:fill="auto"/>
            <w:vAlign w:val="bottom"/>
          </w:tcPr>
          <w:p w14:paraId="47EBBD8E"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 xml:space="preserve"> </w:t>
            </w:r>
          </w:p>
        </w:tc>
        <w:tc>
          <w:tcPr>
            <w:tcW w:w="1494" w:type="dxa"/>
            <w:shd w:val="clear" w:color="auto" w:fill="auto"/>
            <w:vAlign w:val="bottom"/>
          </w:tcPr>
          <w:p w14:paraId="39D3BF43"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46,019 </w:t>
            </w:r>
          </w:p>
        </w:tc>
        <w:tc>
          <w:tcPr>
            <w:tcW w:w="1494" w:type="dxa"/>
            <w:gridSpan w:val="2"/>
            <w:shd w:val="clear" w:color="auto" w:fill="auto"/>
            <w:vAlign w:val="bottom"/>
          </w:tcPr>
          <w:p w14:paraId="0B5D3C8B"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(68,991)</w:t>
            </w:r>
          </w:p>
        </w:tc>
      </w:tr>
      <w:tr w:rsidR="009E6857" w:rsidRPr="00064183" w14:paraId="25C7E001" w14:textId="77777777" w:rsidTr="00231F76">
        <w:tblPrEx>
          <w:tblCellMar>
            <w:top w:w="0" w:type="dxa"/>
            <w:bottom w:w="0" w:type="dxa"/>
          </w:tblCellMar>
        </w:tblPrEx>
        <w:tc>
          <w:tcPr>
            <w:tcW w:w="4788" w:type="dxa"/>
            <w:shd w:val="clear" w:color="auto" w:fill="auto"/>
            <w:vAlign w:val="center"/>
          </w:tcPr>
          <w:p w14:paraId="75E1A984" w14:textId="77777777" w:rsidR="009E6857" w:rsidRPr="009E6857" w:rsidRDefault="009E6857" w:rsidP="00231F76">
            <w:pPr>
              <w:pStyle w:val="TableRowHead"/>
            </w:pPr>
            <w:proofErr w:type="spellStart"/>
            <w:r w:rsidRPr="009E6857">
              <w:t>Sóchmhainní</w:t>
            </w:r>
            <w:proofErr w:type="spellEnd"/>
            <w:r w:rsidRPr="009E6857">
              <w:t xml:space="preserve"> Iomlán </w:t>
            </w:r>
            <w:proofErr w:type="spellStart"/>
            <w:r w:rsidRPr="009E6857">
              <w:t>Lúide</w:t>
            </w:r>
            <w:proofErr w:type="spellEnd"/>
          </w:p>
          <w:p w14:paraId="6D3112B4" w14:textId="77777777" w:rsidR="009E6857" w:rsidRPr="009E6857" w:rsidRDefault="009E6857" w:rsidP="009E6857">
            <w:pPr>
              <w:pStyle w:val="TableRowHead"/>
            </w:pPr>
            <w:proofErr w:type="spellStart"/>
            <w:r w:rsidRPr="009E6857">
              <w:t>Dliteanais</w:t>
            </w:r>
            <w:proofErr w:type="spellEnd"/>
            <w:r w:rsidRPr="009E6857">
              <w:t xml:space="preserve"> Reatha Roimh</w:t>
            </w:r>
          </w:p>
          <w:p w14:paraId="0EA77702" w14:textId="77777777" w:rsidR="009E6857" w:rsidRPr="009E6857" w:rsidRDefault="009E6857" w:rsidP="00231F76">
            <w:pPr>
              <w:pStyle w:val="TableRowHead"/>
            </w:pPr>
            <w:proofErr w:type="spellStart"/>
            <w:r w:rsidRPr="009E6857">
              <w:t>Phinsin</w:t>
            </w:r>
            <w:proofErr w:type="spellEnd"/>
          </w:p>
        </w:tc>
        <w:tc>
          <w:tcPr>
            <w:tcW w:w="1080" w:type="dxa"/>
            <w:shd w:val="clear" w:color="auto" w:fill="auto"/>
            <w:vAlign w:val="bottom"/>
          </w:tcPr>
          <w:p w14:paraId="498D45B1" w14:textId="77777777" w:rsidR="009E6857" w:rsidRPr="009E6857" w:rsidRDefault="009E6857" w:rsidP="00141421">
            <w:pPr>
              <w:spacing w:after="0" w:line="240" w:lineRule="auto"/>
              <w:jc w:val="center"/>
              <w:rPr>
                <w:rFonts w:cs="Arial"/>
                <w:lang w:val="en-GB" w:eastAsia="en-GB"/>
              </w:rPr>
            </w:pPr>
          </w:p>
        </w:tc>
        <w:tc>
          <w:tcPr>
            <w:tcW w:w="1494" w:type="dxa"/>
            <w:shd w:val="clear" w:color="auto" w:fill="auto"/>
            <w:vAlign w:val="bottom"/>
          </w:tcPr>
          <w:p w14:paraId="4BB77975"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3,157,985 </w:t>
            </w:r>
          </w:p>
        </w:tc>
        <w:tc>
          <w:tcPr>
            <w:tcW w:w="1494" w:type="dxa"/>
            <w:gridSpan w:val="2"/>
            <w:shd w:val="clear" w:color="auto" w:fill="auto"/>
            <w:vAlign w:val="bottom"/>
          </w:tcPr>
          <w:p w14:paraId="58BB5565"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3,136,225 </w:t>
            </w:r>
          </w:p>
        </w:tc>
      </w:tr>
      <w:tr w:rsidR="009E6857" w:rsidRPr="00064183" w14:paraId="6A3F5F9A" w14:textId="77777777" w:rsidTr="00231F76">
        <w:tblPrEx>
          <w:tblCellMar>
            <w:top w:w="0" w:type="dxa"/>
            <w:bottom w:w="0" w:type="dxa"/>
          </w:tblCellMar>
        </w:tblPrEx>
        <w:tc>
          <w:tcPr>
            <w:tcW w:w="4788" w:type="dxa"/>
            <w:shd w:val="clear" w:color="auto" w:fill="auto"/>
            <w:vAlign w:val="center"/>
          </w:tcPr>
          <w:p w14:paraId="7FE957CF" w14:textId="77777777" w:rsidR="009E6857" w:rsidRPr="009E6857" w:rsidRDefault="009E6857" w:rsidP="009E6857">
            <w:pPr>
              <w:pStyle w:val="TableRowHead"/>
            </w:pPr>
            <w:proofErr w:type="spellStart"/>
            <w:r w:rsidRPr="009E6857">
              <w:t>Sóchmhainn</w:t>
            </w:r>
            <w:proofErr w:type="spellEnd"/>
            <w:r w:rsidRPr="009E6857">
              <w:t xml:space="preserve"> </w:t>
            </w:r>
            <w:proofErr w:type="spellStart"/>
            <w:r w:rsidRPr="009E6857">
              <w:t>Cistíochta</w:t>
            </w:r>
            <w:proofErr w:type="spellEnd"/>
            <w:r w:rsidRPr="009E6857">
              <w:t xml:space="preserve"> </w:t>
            </w:r>
            <w:proofErr w:type="spellStart"/>
            <w:r w:rsidRPr="009E6857">
              <w:t>Iarchurtha</w:t>
            </w:r>
            <w:proofErr w:type="spellEnd"/>
            <w:r w:rsidRPr="009E6857">
              <w:t xml:space="preserve"> do </w:t>
            </w:r>
            <w:proofErr w:type="spellStart"/>
            <w:r w:rsidRPr="009E6857">
              <w:t>Phinsin</w:t>
            </w:r>
            <w:proofErr w:type="spellEnd"/>
          </w:p>
        </w:tc>
        <w:tc>
          <w:tcPr>
            <w:tcW w:w="1080" w:type="dxa"/>
            <w:shd w:val="clear" w:color="auto" w:fill="auto"/>
            <w:vAlign w:val="bottom"/>
          </w:tcPr>
          <w:p w14:paraId="35DA8B0C"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10(d)</w:t>
            </w:r>
          </w:p>
        </w:tc>
        <w:tc>
          <w:tcPr>
            <w:tcW w:w="1494" w:type="dxa"/>
            <w:shd w:val="clear" w:color="auto" w:fill="auto"/>
            <w:vAlign w:val="bottom"/>
          </w:tcPr>
          <w:p w14:paraId="1C15261A"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(17,100,000)</w:t>
            </w:r>
          </w:p>
        </w:tc>
        <w:tc>
          <w:tcPr>
            <w:tcW w:w="1494" w:type="dxa"/>
            <w:gridSpan w:val="2"/>
            <w:shd w:val="clear" w:color="auto" w:fill="auto"/>
            <w:vAlign w:val="bottom"/>
          </w:tcPr>
          <w:p w14:paraId="726365A5"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(18,500,000)</w:t>
            </w:r>
          </w:p>
        </w:tc>
      </w:tr>
      <w:tr w:rsidR="009E6857" w:rsidRPr="00064183" w14:paraId="7E03EA2F" w14:textId="77777777" w:rsidTr="00231F76">
        <w:tblPrEx>
          <w:tblCellMar>
            <w:top w:w="0" w:type="dxa"/>
            <w:bottom w:w="0" w:type="dxa"/>
          </w:tblCellMar>
        </w:tblPrEx>
        <w:tc>
          <w:tcPr>
            <w:tcW w:w="4788" w:type="dxa"/>
            <w:shd w:val="clear" w:color="auto" w:fill="auto"/>
            <w:vAlign w:val="center"/>
          </w:tcPr>
          <w:p w14:paraId="1C43901B" w14:textId="77777777" w:rsidR="009E6857" w:rsidRPr="009E6857" w:rsidRDefault="009E6857" w:rsidP="009E6857">
            <w:pPr>
              <w:pStyle w:val="TableRowHead"/>
            </w:pPr>
            <w:proofErr w:type="spellStart"/>
            <w:r w:rsidRPr="009E6857">
              <w:t>Dliteanais</w:t>
            </w:r>
            <w:proofErr w:type="spellEnd"/>
            <w:r w:rsidRPr="009E6857">
              <w:t xml:space="preserve"> do </w:t>
            </w:r>
            <w:proofErr w:type="spellStart"/>
            <w:r w:rsidRPr="009E6857">
              <w:t>Phinsin</w:t>
            </w:r>
            <w:proofErr w:type="spellEnd"/>
          </w:p>
        </w:tc>
        <w:tc>
          <w:tcPr>
            <w:tcW w:w="1080" w:type="dxa"/>
            <w:shd w:val="clear" w:color="auto" w:fill="auto"/>
            <w:vAlign w:val="bottom"/>
          </w:tcPr>
          <w:p w14:paraId="66FC2AA2"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10(e)</w:t>
            </w:r>
          </w:p>
        </w:tc>
        <w:tc>
          <w:tcPr>
            <w:tcW w:w="1494" w:type="dxa"/>
            <w:shd w:val="clear" w:color="auto" w:fill="auto"/>
            <w:vAlign w:val="bottom"/>
          </w:tcPr>
          <w:p w14:paraId="72FC65FC"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17,100,000 </w:t>
            </w:r>
          </w:p>
        </w:tc>
        <w:tc>
          <w:tcPr>
            <w:tcW w:w="1494" w:type="dxa"/>
            <w:gridSpan w:val="2"/>
            <w:shd w:val="clear" w:color="auto" w:fill="auto"/>
            <w:vAlign w:val="bottom"/>
          </w:tcPr>
          <w:p w14:paraId="57E16C48"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18,500,000 </w:t>
            </w:r>
          </w:p>
        </w:tc>
      </w:tr>
      <w:tr w:rsidR="009E6857" w:rsidRPr="00064183" w14:paraId="48F62DA7" w14:textId="77777777" w:rsidTr="00231F76">
        <w:tblPrEx>
          <w:tblCellMar>
            <w:top w:w="0" w:type="dxa"/>
            <w:bottom w:w="0" w:type="dxa"/>
          </w:tblCellMar>
        </w:tblPrEx>
        <w:tc>
          <w:tcPr>
            <w:tcW w:w="4788" w:type="dxa"/>
            <w:shd w:val="clear" w:color="auto" w:fill="auto"/>
            <w:vAlign w:val="center"/>
          </w:tcPr>
          <w:p w14:paraId="773BF9B8" w14:textId="77777777" w:rsidR="009E6857" w:rsidRPr="009E6857" w:rsidRDefault="009E6857" w:rsidP="00231F76">
            <w:pPr>
              <w:spacing w:after="0"/>
            </w:pPr>
          </w:p>
        </w:tc>
        <w:tc>
          <w:tcPr>
            <w:tcW w:w="1080" w:type="dxa"/>
            <w:shd w:val="clear" w:color="auto" w:fill="auto"/>
            <w:vAlign w:val="bottom"/>
          </w:tcPr>
          <w:p w14:paraId="52E7F05E" w14:textId="77777777" w:rsidR="009E6857" w:rsidRPr="009E6857" w:rsidRDefault="009E6857" w:rsidP="00141421">
            <w:pPr>
              <w:spacing w:after="0" w:line="240" w:lineRule="auto"/>
              <w:jc w:val="center"/>
              <w:rPr>
                <w:rFonts w:cs="Arial"/>
                <w:lang w:val="en-GB" w:eastAsia="en-GB"/>
              </w:rPr>
            </w:pPr>
          </w:p>
        </w:tc>
        <w:tc>
          <w:tcPr>
            <w:tcW w:w="1494" w:type="dxa"/>
            <w:shd w:val="clear" w:color="auto" w:fill="auto"/>
            <w:vAlign w:val="bottom"/>
          </w:tcPr>
          <w:p w14:paraId="26FD2EFA"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3,157,985 </w:t>
            </w:r>
          </w:p>
        </w:tc>
        <w:tc>
          <w:tcPr>
            <w:tcW w:w="1494" w:type="dxa"/>
            <w:gridSpan w:val="2"/>
            <w:shd w:val="clear" w:color="auto" w:fill="auto"/>
            <w:vAlign w:val="bottom"/>
          </w:tcPr>
          <w:p w14:paraId="59FFE4B7"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3,136,225 </w:t>
            </w:r>
          </w:p>
        </w:tc>
      </w:tr>
      <w:tr w:rsidR="009E6857" w:rsidRPr="00064183" w14:paraId="30A2790D" w14:textId="77777777" w:rsidTr="00231F76">
        <w:tblPrEx>
          <w:tblCellMar>
            <w:top w:w="0" w:type="dxa"/>
            <w:bottom w:w="0" w:type="dxa"/>
          </w:tblCellMar>
        </w:tblPrEx>
        <w:tc>
          <w:tcPr>
            <w:tcW w:w="8856" w:type="dxa"/>
            <w:gridSpan w:val="5"/>
            <w:shd w:val="clear" w:color="auto" w:fill="auto"/>
            <w:vAlign w:val="center"/>
          </w:tcPr>
          <w:p w14:paraId="27422C19" w14:textId="77777777" w:rsidR="009E6857" w:rsidRPr="009E6857" w:rsidRDefault="009E6857" w:rsidP="009E6857">
            <w:pPr>
              <w:pStyle w:val="TableHead"/>
              <w:jc w:val="center"/>
            </w:pPr>
            <w:r w:rsidRPr="009E6857">
              <w:t>Léirithe Ag:</w:t>
            </w:r>
          </w:p>
        </w:tc>
      </w:tr>
      <w:tr w:rsidR="009E6857" w:rsidRPr="00064183" w14:paraId="390BEA4B" w14:textId="77777777" w:rsidTr="00231F76">
        <w:tblPrEx>
          <w:tblCellMar>
            <w:top w:w="0" w:type="dxa"/>
            <w:bottom w:w="0" w:type="dxa"/>
          </w:tblCellMar>
        </w:tblPrEx>
        <w:tc>
          <w:tcPr>
            <w:tcW w:w="4788" w:type="dxa"/>
            <w:shd w:val="clear" w:color="auto" w:fill="auto"/>
            <w:vAlign w:val="center"/>
          </w:tcPr>
          <w:p w14:paraId="640AA383" w14:textId="77777777" w:rsidR="009E6857" w:rsidRPr="009E6857" w:rsidRDefault="009E6857" w:rsidP="009E6857">
            <w:pPr>
              <w:pStyle w:val="TableRowHead"/>
            </w:pPr>
            <w:r w:rsidRPr="009E6857">
              <w:t xml:space="preserve">Cuntas </w:t>
            </w:r>
            <w:proofErr w:type="spellStart"/>
            <w:r w:rsidRPr="009E6857">
              <w:t>Caipitil</w:t>
            </w:r>
            <w:proofErr w:type="spellEnd"/>
            <w:r w:rsidRPr="009E6857">
              <w:t xml:space="preserve"> </w:t>
            </w:r>
          </w:p>
        </w:tc>
        <w:tc>
          <w:tcPr>
            <w:tcW w:w="1080" w:type="dxa"/>
            <w:shd w:val="clear" w:color="auto" w:fill="auto"/>
            <w:vAlign w:val="bottom"/>
          </w:tcPr>
          <w:p w14:paraId="072FD6D9" w14:textId="77777777" w:rsidR="009E6857" w:rsidRPr="009E6857" w:rsidRDefault="009E6857" w:rsidP="00141421">
            <w:pPr>
              <w:spacing w:after="0" w:line="240" w:lineRule="auto"/>
              <w:jc w:val="center"/>
              <w:rPr>
                <w:rFonts w:cs="Arial"/>
                <w:lang w:val="en-GB" w:eastAsia="en-GB"/>
              </w:rPr>
            </w:pPr>
            <w:r w:rsidRPr="009E6857">
              <w:rPr>
                <w:rFonts w:cs="Arial"/>
                <w:lang w:val="en-GB" w:eastAsia="en-GB"/>
              </w:rPr>
              <w:t>8</w:t>
            </w:r>
          </w:p>
        </w:tc>
        <w:tc>
          <w:tcPr>
            <w:tcW w:w="1494" w:type="dxa"/>
            <w:shd w:val="clear" w:color="auto" w:fill="auto"/>
            <w:vAlign w:val="bottom"/>
          </w:tcPr>
          <w:p w14:paraId="5151F8C8"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3,111,965 </w:t>
            </w:r>
          </w:p>
        </w:tc>
        <w:tc>
          <w:tcPr>
            <w:tcW w:w="1494" w:type="dxa"/>
            <w:gridSpan w:val="2"/>
            <w:shd w:val="clear" w:color="auto" w:fill="auto"/>
            <w:vAlign w:val="bottom"/>
          </w:tcPr>
          <w:p w14:paraId="50C1E21A"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3,205,216 </w:t>
            </w:r>
          </w:p>
        </w:tc>
      </w:tr>
      <w:tr w:rsidR="009E6857" w:rsidRPr="00064183" w14:paraId="4C310D59" w14:textId="77777777" w:rsidTr="00231F76">
        <w:tblPrEx>
          <w:tblCellMar>
            <w:top w:w="0" w:type="dxa"/>
            <w:bottom w:w="0" w:type="dxa"/>
          </w:tblCellMar>
        </w:tblPrEx>
        <w:tc>
          <w:tcPr>
            <w:tcW w:w="4788" w:type="dxa"/>
            <w:shd w:val="clear" w:color="auto" w:fill="auto"/>
            <w:vAlign w:val="center"/>
          </w:tcPr>
          <w:p w14:paraId="192819D6" w14:textId="77777777" w:rsidR="009E6857" w:rsidRPr="009E6857" w:rsidRDefault="009E6857" w:rsidP="009E6857">
            <w:pPr>
              <w:pStyle w:val="TableRowHead"/>
            </w:pPr>
            <w:proofErr w:type="spellStart"/>
            <w:r w:rsidRPr="009E6857">
              <w:t>Farasbarr</w:t>
            </w:r>
            <w:proofErr w:type="spellEnd"/>
            <w:r w:rsidRPr="009E6857">
              <w:t xml:space="preserve"> / (</w:t>
            </w:r>
            <w:proofErr w:type="gramStart"/>
            <w:r w:rsidRPr="009E6857">
              <w:t>Easnamh)  coinnithe</w:t>
            </w:r>
            <w:proofErr w:type="gramEnd"/>
            <w:r w:rsidRPr="009E6857">
              <w:t xml:space="preserve"> ar an </w:t>
            </w:r>
            <w:proofErr w:type="spellStart"/>
            <w:r w:rsidRPr="009E6857">
              <w:t>gCuntas</w:t>
            </w:r>
            <w:proofErr w:type="spellEnd"/>
            <w:r w:rsidRPr="009E6857">
              <w:t xml:space="preserve"> Ioncaim agus </w:t>
            </w:r>
            <w:proofErr w:type="spellStart"/>
            <w:r w:rsidRPr="009E6857">
              <w:t>Caiteachais</w:t>
            </w:r>
            <w:proofErr w:type="spellEnd"/>
          </w:p>
        </w:tc>
        <w:tc>
          <w:tcPr>
            <w:tcW w:w="1080" w:type="dxa"/>
            <w:shd w:val="clear" w:color="auto" w:fill="auto"/>
            <w:vAlign w:val="bottom"/>
          </w:tcPr>
          <w:p w14:paraId="3273F15F" w14:textId="77777777" w:rsidR="009E6857" w:rsidRPr="009E6857" w:rsidRDefault="009E6857" w:rsidP="00141421">
            <w:pPr>
              <w:spacing w:after="0" w:line="240" w:lineRule="auto"/>
              <w:jc w:val="right"/>
              <w:rPr>
                <w:rFonts w:cs="Arial"/>
                <w:lang w:val="en-GB" w:eastAsia="en-GB"/>
              </w:rPr>
            </w:pPr>
          </w:p>
        </w:tc>
        <w:tc>
          <w:tcPr>
            <w:tcW w:w="1494" w:type="dxa"/>
            <w:shd w:val="clear" w:color="auto" w:fill="auto"/>
            <w:vAlign w:val="bottom"/>
          </w:tcPr>
          <w:p w14:paraId="24FFA00E"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46,019 </w:t>
            </w:r>
          </w:p>
        </w:tc>
        <w:tc>
          <w:tcPr>
            <w:tcW w:w="1494" w:type="dxa"/>
            <w:gridSpan w:val="2"/>
            <w:shd w:val="clear" w:color="auto" w:fill="auto"/>
            <w:vAlign w:val="bottom"/>
          </w:tcPr>
          <w:p w14:paraId="7DAC0B0E"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(68,991)</w:t>
            </w:r>
          </w:p>
        </w:tc>
      </w:tr>
      <w:tr w:rsidR="009E6857" w:rsidRPr="00064183" w14:paraId="7D40788A" w14:textId="77777777" w:rsidTr="00141421">
        <w:tblPrEx>
          <w:tblCellMar>
            <w:top w:w="0" w:type="dxa"/>
            <w:bottom w:w="0" w:type="dxa"/>
          </w:tblCellMar>
        </w:tblPrEx>
        <w:tc>
          <w:tcPr>
            <w:tcW w:w="4788" w:type="dxa"/>
            <w:shd w:val="clear" w:color="auto" w:fill="auto"/>
            <w:vAlign w:val="bottom"/>
          </w:tcPr>
          <w:p w14:paraId="10D9F384" w14:textId="77777777" w:rsidR="009E6857" w:rsidRPr="009E6857" w:rsidRDefault="009E6857" w:rsidP="00141421">
            <w:pPr>
              <w:spacing w:after="0" w:line="240" w:lineRule="auto"/>
              <w:rPr>
                <w:rFonts w:cs="Arial"/>
                <w:lang w:val="en-GB" w:eastAsia="en-GB"/>
              </w:rPr>
            </w:pPr>
          </w:p>
        </w:tc>
        <w:tc>
          <w:tcPr>
            <w:tcW w:w="1080" w:type="dxa"/>
            <w:shd w:val="clear" w:color="auto" w:fill="auto"/>
            <w:vAlign w:val="bottom"/>
          </w:tcPr>
          <w:p w14:paraId="145FBCD0" w14:textId="77777777" w:rsidR="009E6857" w:rsidRPr="009E6857" w:rsidRDefault="009E6857" w:rsidP="00141421">
            <w:pPr>
              <w:spacing w:after="0" w:line="240" w:lineRule="auto"/>
              <w:jc w:val="center"/>
              <w:rPr>
                <w:rFonts w:cs="Arial"/>
                <w:lang w:val="en-GB" w:eastAsia="en-GB"/>
              </w:rPr>
            </w:pPr>
          </w:p>
        </w:tc>
        <w:tc>
          <w:tcPr>
            <w:tcW w:w="1494" w:type="dxa"/>
            <w:shd w:val="clear" w:color="auto" w:fill="auto"/>
            <w:vAlign w:val="bottom"/>
          </w:tcPr>
          <w:p w14:paraId="37DB3155"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3,157,985 </w:t>
            </w:r>
          </w:p>
        </w:tc>
        <w:tc>
          <w:tcPr>
            <w:tcW w:w="1494" w:type="dxa"/>
            <w:gridSpan w:val="2"/>
            <w:shd w:val="clear" w:color="auto" w:fill="auto"/>
            <w:vAlign w:val="bottom"/>
          </w:tcPr>
          <w:p w14:paraId="6F006570" w14:textId="77777777" w:rsidR="009E6857" w:rsidRPr="009E6857" w:rsidRDefault="009E6857" w:rsidP="00141421">
            <w:pPr>
              <w:spacing w:after="0" w:line="240" w:lineRule="auto"/>
              <w:jc w:val="right"/>
              <w:rPr>
                <w:rFonts w:cs="Arial"/>
                <w:lang w:val="en-GB" w:eastAsia="en-GB"/>
              </w:rPr>
            </w:pPr>
            <w:r w:rsidRPr="009E6857">
              <w:rPr>
                <w:rFonts w:cs="Arial"/>
                <w:lang w:val="en-GB" w:eastAsia="en-GB"/>
              </w:rPr>
              <w:t xml:space="preserve">3,136,225 </w:t>
            </w:r>
          </w:p>
        </w:tc>
      </w:tr>
    </w:tbl>
    <w:p w14:paraId="2D5D33E7" w14:textId="77777777" w:rsidR="009E6857" w:rsidRDefault="009E6857" w:rsidP="00141421">
      <w:r>
        <w:br/>
        <w:t xml:space="preserve">Tá an Ráiteas ar Pholasaithe Cuntasaíochta, an Ráiteas ar </w:t>
      </w:r>
      <w:proofErr w:type="spellStart"/>
      <w:r>
        <w:t>Shreabhadh</w:t>
      </w:r>
      <w:proofErr w:type="spellEnd"/>
      <w:r>
        <w:t xml:space="preserve"> Airgid, agus Nótaí 1 go 16 ina gcuid de na </w:t>
      </w:r>
      <w:proofErr w:type="spellStart"/>
      <w:r>
        <w:t>Ráitis</w:t>
      </w:r>
      <w:proofErr w:type="spellEnd"/>
      <w:r>
        <w:t xml:space="preserve"> Airgeadais seo. </w:t>
      </w:r>
    </w:p>
    <w:p w14:paraId="6B9D02CD" w14:textId="77777777" w:rsidR="009E6857" w:rsidRDefault="009E6857" w:rsidP="00141421">
      <w:r w:rsidRPr="00AE1A4E">
        <w:t xml:space="preserve">Sínithe: </w:t>
      </w:r>
      <w:r>
        <w:t xml:space="preserve">Peter </w:t>
      </w:r>
      <w:proofErr w:type="spellStart"/>
      <w:r>
        <w:t>McKevitt</w:t>
      </w:r>
      <w:proofErr w:type="spellEnd"/>
      <w:r>
        <w:t xml:space="preserve"> </w:t>
      </w:r>
      <w:r w:rsidRPr="009050C2">
        <w:t>(</w:t>
      </w:r>
      <w:r w:rsidRPr="00AE1A4E">
        <w:t>Cathaoirleach</w:t>
      </w:r>
      <w:r w:rsidRPr="009050C2">
        <w:t>)</w:t>
      </w:r>
    </w:p>
    <w:p w14:paraId="0181632B" w14:textId="77777777" w:rsidR="009E6857" w:rsidRDefault="009E6857" w:rsidP="00141421">
      <w:r w:rsidRPr="00AE1A4E">
        <w:t xml:space="preserve">Sínithe: </w:t>
      </w:r>
      <w:r>
        <w:t xml:space="preserve">Frank </w:t>
      </w:r>
      <w:proofErr w:type="spellStart"/>
      <w:r>
        <w:t>Cuneen</w:t>
      </w:r>
      <w:proofErr w:type="spellEnd"/>
      <w:r>
        <w:t xml:space="preserve"> </w:t>
      </w:r>
      <w:proofErr w:type="gramStart"/>
      <w:r w:rsidRPr="009050C2">
        <w:t>(</w:t>
      </w:r>
      <w:r w:rsidRPr="00AE1A4E">
        <w:t xml:space="preserve"> Ball</w:t>
      </w:r>
      <w:proofErr w:type="gramEnd"/>
      <w:r w:rsidRPr="00AE1A4E">
        <w:t xml:space="preserve"> den Údarás</w:t>
      </w:r>
      <w:r w:rsidRPr="009050C2">
        <w:t>)</w:t>
      </w:r>
    </w:p>
    <w:p w14:paraId="5BC6234A" w14:textId="77777777" w:rsidR="009E6857" w:rsidRDefault="009E6857" w:rsidP="00141421">
      <w:r w:rsidRPr="00AE1A4E">
        <w:t xml:space="preserve">Sínithe: </w:t>
      </w:r>
      <w:r>
        <w:t xml:space="preserve">Siobhan Barron </w:t>
      </w:r>
      <w:r w:rsidRPr="009050C2">
        <w:t>(</w:t>
      </w:r>
      <w:r w:rsidRPr="00AE1A4E">
        <w:t>Stiúrthóir</w:t>
      </w:r>
      <w:r w:rsidRPr="009050C2">
        <w:t>)</w:t>
      </w:r>
    </w:p>
    <w:p w14:paraId="5B44B057" w14:textId="77777777" w:rsidR="009E6857" w:rsidRDefault="009E6857" w:rsidP="009E6857">
      <w:r>
        <w:t xml:space="preserve">16 </w:t>
      </w:r>
      <w:proofErr w:type="spellStart"/>
      <w:r>
        <w:t>Meithamh</w:t>
      </w:r>
      <w:proofErr w:type="spellEnd"/>
      <w:r>
        <w:t xml:space="preserve"> 2011</w:t>
      </w:r>
      <w:r w:rsidRPr="00066ADC">
        <w:t xml:space="preserve">    </w:t>
      </w:r>
    </w:p>
    <w:p w14:paraId="752DD278" w14:textId="77777777" w:rsidR="00141421" w:rsidRDefault="00141421" w:rsidP="00141421">
      <w:pPr>
        <w:rPr>
          <w:lang w:val="en-GB" w:eastAsia="en-GB"/>
        </w:rPr>
      </w:pPr>
    </w:p>
    <w:p w14:paraId="79F02FC4" w14:textId="77777777" w:rsidR="00141421" w:rsidRPr="00DA26AF" w:rsidRDefault="00141421" w:rsidP="00B3690F">
      <w:pPr>
        <w:pStyle w:val="Heading2"/>
        <w:rPr>
          <w:lang w:val="en-GB" w:eastAsia="en-GB"/>
        </w:rPr>
      </w:pPr>
      <w:r>
        <w:rPr>
          <w:lang w:val="en-GB" w:eastAsia="en-GB"/>
        </w:rPr>
        <w:br w:type="page"/>
      </w:r>
      <w:bookmarkStart w:id="755" w:name="_Toc300744358"/>
      <w:r w:rsidR="009E6857" w:rsidRPr="00414EB5">
        <w:lastRenderedPageBreak/>
        <w:t xml:space="preserve">Ráiteas ar an </w:t>
      </w:r>
      <w:proofErr w:type="spellStart"/>
      <w:r w:rsidR="009E6857" w:rsidRPr="00414EB5">
        <w:t>Sreabhadh</w:t>
      </w:r>
      <w:proofErr w:type="spellEnd"/>
      <w:r w:rsidR="009E6857" w:rsidRPr="00414EB5">
        <w:t xml:space="preserve"> Airgid don bhliain dar chríoch 31 Nollaig 20</w:t>
      </w:r>
      <w:r w:rsidR="009E6857">
        <w:t>10</w:t>
      </w:r>
      <w:bookmarkEnd w:id="755"/>
    </w:p>
    <w:tbl>
      <w:tblPr>
        <w:tblW w:w="9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869"/>
        <w:gridCol w:w="1098"/>
        <w:gridCol w:w="1464"/>
        <w:gridCol w:w="1574"/>
      </w:tblGrid>
      <w:tr w:rsidR="00141421" w:rsidRPr="00DA26AF" w14:paraId="5532B3F1" w14:textId="77777777" w:rsidTr="009E6857">
        <w:tblPrEx>
          <w:tblCellMar>
            <w:top w:w="0" w:type="dxa"/>
            <w:bottom w:w="0" w:type="dxa"/>
          </w:tblCellMar>
        </w:tblPrEx>
        <w:trPr>
          <w:tblHeader/>
        </w:trPr>
        <w:tc>
          <w:tcPr>
            <w:tcW w:w="4869" w:type="dxa"/>
            <w:shd w:val="clear" w:color="auto" w:fill="auto"/>
          </w:tcPr>
          <w:p w14:paraId="0E655AE2" w14:textId="77777777" w:rsidR="00141421" w:rsidRPr="009E6857" w:rsidRDefault="00141421" w:rsidP="00141421">
            <w:pPr>
              <w:pStyle w:val="TableHead"/>
              <w:spacing w:line="240" w:lineRule="auto"/>
              <w:jc w:val="right"/>
            </w:pPr>
          </w:p>
        </w:tc>
        <w:tc>
          <w:tcPr>
            <w:tcW w:w="1098" w:type="dxa"/>
            <w:shd w:val="clear" w:color="auto" w:fill="auto"/>
          </w:tcPr>
          <w:p w14:paraId="615C3A22" w14:textId="77777777" w:rsidR="00141421" w:rsidRPr="009E6857" w:rsidRDefault="009E6857" w:rsidP="00141421">
            <w:pPr>
              <w:pStyle w:val="TableHead"/>
              <w:spacing w:line="240" w:lineRule="auto"/>
              <w:jc w:val="right"/>
            </w:pPr>
            <w:r w:rsidRPr="009E6857">
              <w:t>Nótaí</w:t>
            </w:r>
          </w:p>
        </w:tc>
        <w:tc>
          <w:tcPr>
            <w:tcW w:w="1464" w:type="dxa"/>
            <w:shd w:val="clear" w:color="auto" w:fill="auto"/>
          </w:tcPr>
          <w:p w14:paraId="2A2F26BC" w14:textId="77777777" w:rsidR="00141421" w:rsidRPr="009E6857" w:rsidRDefault="00141421" w:rsidP="00141421">
            <w:pPr>
              <w:pStyle w:val="TableHead"/>
              <w:spacing w:line="240" w:lineRule="auto"/>
              <w:jc w:val="right"/>
            </w:pPr>
            <w:r w:rsidRPr="009E6857">
              <w:t>2010</w:t>
            </w:r>
          </w:p>
        </w:tc>
        <w:tc>
          <w:tcPr>
            <w:tcW w:w="1574" w:type="dxa"/>
            <w:shd w:val="clear" w:color="auto" w:fill="auto"/>
          </w:tcPr>
          <w:p w14:paraId="6DEDC1DA" w14:textId="77777777" w:rsidR="00141421" w:rsidRPr="009E6857" w:rsidRDefault="00141421" w:rsidP="00141421">
            <w:pPr>
              <w:pStyle w:val="TableHead"/>
              <w:spacing w:line="240" w:lineRule="auto"/>
              <w:jc w:val="right"/>
            </w:pPr>
            <w:r w:rsidRPr="009E6857">
              <w:t>2009</w:t>
            </w:r>
          </w:p>
        </w:tc>
      </w:tr>
      <w:tr w:rsidR="00141421" w:rsidRPr="00DA26AF" w14:paraId="7C12B8B6" w14:textId="77777777" w:rsidTr="009E6857">
        <w:tblPrEx>
          <w:tblCellMar>
            <w:top w:w="0" w:type="dxa"/>
            <w:bottom w:w="0" w:type="dxa"/>
          </w:tblCellMar>
        </w:tblPrEx>
        <w:tc>
          <w:tcPr>
            <w:tcW w:w="4869" w:type="dxa"/>
            <w:shd w:val="clear" w:color="auto" w:fill="auto"/>
          </w:tcPr>
          <w:p w14:paraId="152E062F" w14:textId="77777777" w:rsidR="00141421" w:rsidRPr="009E6857" w:rsidRDefault="00141421" w:rsidP="00141421">
            <w:pPr>
              <w:pStyle w:val="TableRowHead"/>
            </w:pPr>
          </w:p>
        </w:tc>
        <w:tc>
          <w:tcPr>
            <w:tcW w:w="1098" w:type="dxa"/>
            <w:shd w:val="clear" w:color="auto" w:fill="auto"/>
          </w:tcPr>
          <w:p w14:paraId="21B0068D" w14:textId="77777777" w:rsidR="00141421" w:rsidRPr="009E6857" w:rsidRDefault="00141421" w:rsidP="00141421">
            <w:pPr>
              <w:pStyle w:val="TableCell"/>
              <w:jc w:val="right"/>
            </w:pPr>
          </w:p>
        </w:tc>
        <w:tc>
          <w:tcPr>
            <w:tcW w:w="1464" w:type="dxa"/>
            <w:shd w:val="clear" w:color="auto" w:fill="auto"/>
            <w:vAlign w:val="bottom"/>
          </w:tcPr>
          <w:p w14:paraId="78F82204" w14:textId="77777777" w:rsidR="00141421" w:rsidRPr="009E6857" w:rsidRDefault="00141421" w:rsidP="00141421">
            <w:pPr>
              <w:spacing w:after="0" w:line="240" w:lineRule="auto"/>
              <w:jc w:val="right"/>
              <w:rPr>
                <w:rFonts w:cs="Arial"/>
                <w:b/>
                <w:bCs/>
                <w:lang w:val="en-GB" w:eastAsia="en-GB"/>
              </w:rPr>
            </w:pPr>
            <w:r w:rsidRPr="009E6857">
              <w:rPr>
                <w:rFonts w:cs="Arial"/>
                <w:b/>
                <w:bCs/>
                <w:lang w:val="en-GB" w:eastAsia="en-GB"/>
              </w:rPr>
              <w:t xml:space="preserve">          €</w:t>
            </w:r>
          </w:p>
        </w:tc>
        <w:tc>
          <w:tcPr>
            <w:tcW w:w="1574" w:type="dxa"/>
            <w:shd w:val="clear" w:color="auto" w:fill="auto"/>
            <w:vAlign w:val="bottom"/>
          </w:tcPr>
          <w:p w14:paraId="623DE8A4" w14:textId="77777777" w:rsidR="00141421" w:rsidRPr="009E6857" w:rsidRDefault="00141421" w:rsidP="00141421">
            <w:pPr>
              <w:spacing w:after="0" w:line="240" w:lineRule="auto"/>
              <w:jc w:val="right"/>
              <w:rPr>
                <w:rFonts w:cs="Arial"/>
                <w:b/>
                <w:bCs/>
                <w:lang w:val="en-GB" w:eastAsia="en-GB"/>
              </w:rPr>
            </w:pPr>
            <w:r w:rsidRPr="009E6857">
              <w:rPr>
                <w:rFonts w:cs="Arial"/>
                <w:b/>
                <w:bCs/>
                <w:lang w:val="en-GB" w:eastAsia="en-GB"/>
              </w:rPr>
              <w:t xml:space="preserve">          €</w:t>
            </w:r>
          </w:p>
        </w:tc>
      </w:tr>
      <w:tr w:rsidR="009E6857" w:rsidRPr="00DA26AF" w14:paraId="5817E730" w14:textId="77777777" w:rsidTr="009E6857">
        <w:tblPrEx>
          <w:tblCellMar>
            <w:top w:w="0" w:type="dxa"/>
            <w:bottom w:w="0" w:type="dxa"/>
          </w:tblCellMar>
        </w:tblPrEx>
        <w:tc>
          <w:tcPr>
            <w:tcW w:w="4869" w:type="dxa"/>
            <w:shd w:val="clear" w:color="auto" w:fill="auto"/>
            <w:vAlign w:val="center"/>
          </w:tcPr>
          <w:p w14:paraId="754515DA" w14:textId="77777777" w:rsidR="009E6857" w:rsidRPr="009E6857" w:rsidRDefault="009E6857" w:rsidP="009E6857">
            <w:pPr>
              <w:pStyle w:val="TableRowHead"/>
            </w:pPr>
            <w:proofErr w:type="spellStart"/>
            <w:r w:rsidRPr="009E6857">
              <w:t>Sreabhadh</w:t>
            </w:r>
            <w:proofErr w:type="spellEnd"/>
            <w:r w:rsidRPr="009E6857">
              <w:t xml:space="preserve"> Airgid </w:t>
            </w:r>
            <w:proofErr w:type="spellStart"/>
            <w:r w:rsidRPr="009E6857">
              <w:t>Eis</w:t>
            </w:r>
            <w:proofErr w:type="spellEnd"/>
            <w:r w:rsidRPr="009E6857">
              <w:t xml:space="preserve">- </w:t>
            </w:r>
            <w:proofErr w:type="spellStart"/>
            <w:r w:rsidRPr="009E6857">
              <w:t>Sreabhadh</w:t>
            </w:r>
            <w:proofErr w:type="spellEnd"/>
            <w:r w:rsidRPr="009E6857">
              <w:t xml:space="preserve"> ó Ghníomhaíochtaí </w:t>
            </w:r>
            <w:proofErr w:type="spellStart"/>
            <w:r w:rsidRPr="009E6857">
              <w:t>Oibriúcháin</w:t>
            </w:r>
            <w:proofErr w:type="spellEnd"/>
            <w:r w:rsidRPr="009E6857">
              <w:t xml:space="preserve"> </w:t>
            </w:r>
          </w:p>
        </w:tc>
        <w:tc>
          <w:tcPr>
            <w:tcW w:w="1098" w:type="dxa"/>
            <w:shd w:val="clear" w:color="auto" w:fill="auto"/>
            <w:vAlign w:val="bottom"/>
          </w:tcPr>
          <w:p w14:paraId="76643039" w14:textId="77777777" w:rsidR="009E6857" w:rsidRPr="009E6857" w:rsidRDefault="009E6857" w:rsidP="00141421">
            <w:pPr>
              <w:spacing w:after="0" w:line="240" w:lineRule="auto"/>
              <w:jc w:val="center"/>
              <w:rPr>
                <w:rFonts w:cs="Arial"/>
                <w:lang w:val="en-GB" w:eastAsia="en-GB"/>
              </w:rPr>
            </w:pPr>
          </w:p>
        </w:tc>
        <w:tc>
          <w:tcPr>
            <w:tcW w:w="1464" w:type="dxa"/>
            <w:shd w:val="clear" w:color="auto" w:fill="auto"/>
            <w:vAlign w:val="bottom"/>
          </w:tcPr>
          <w:p w14:paraId="7C9AE76D" w14:textId="77777777" w:rsidR="009E6857" w:rsidRPr="009E6857" w:rsidRDefault="009E6857" w:rsidP="00141421">
            <w:pPr>
              <w:spacing w:after="0" w:line="240" w:lineRule="auto"/>
              <w:jc w:val="right"/>
              <w:rPr>
                <w:rFonts w:cs="Arial"/>
              </w:rPr>
            </w:pPr>
            <w:r w:rsidRPr="009E6857">
              <w:rPr>
                <w:rFonts w:cs="Arial"/>
              </w:rPr>
              <w:t>(27,036)</w:t>
            </w:r>
          </w:p>
        </w:tc>
        <w:tc>
          <w:tcPr>
            <w:tcW w:w="1574" w:type="dxa"/>
            <w:shd w:val="clear" w:color="auto" w:fill="auto"/>
            <w:vAlign w:val="bottom"/>
          </w:tcPr>
          <w:p w14:paraId="5DAD3004" w14:textId="77777777" w:rsidR="009E6857" w:rsidRPr="009E6857" w:rsidRDefault="009E6857" w:rsidP="00141421">
            <w:pPr>
              <w:spacing w:after="0" w:line="240" w:lineRule="auto"/>
              <w:jc w:val="right"/>
              <w:rPr>
                <w:rFonts w:cs="Arial"/>
              </w:rPr>
            </w:pPr>
            <w:r w:rsidRPr="009E6857">
              <w:rPr>
                <w:rFonts w:cs="Arial"/>
              </w:rPr>
              <w:t>(88,960)</w:t>
            </w:r>
          </w:p>
        </w:tc>
      </w:tr>
      <w:tr w:rsidR="009E6857" w:rsidRPr="00DA26AF" w14:paraId="15A6E414" w14:textId="77777777" w:rsidTr="009E6857">
        <w:tblPrEx>
          <w:tblCellMar>
            <w:top w:w="0" w:type="dxa"/>
            <w:bottom w:w="0" w:type="dxa"/>
          </w:tblCellMar>
        </w:tblPrEx>
        <w:tc>
          <w:tcPr>
            <w:tcW w:w="9005" w:type="dxa"/>
            <w:gridSpan w:val="4"/>
            <w:shd w:val="clear" w:color="auto" w:fill="auto"/>
            <w:vAlign w:val="center"/>
          </w:tcPr>
          <w:p w14:paraId="280CFF32" w14:textId="77777777" w:rsidR="009E6857" w:rsidRPr="009E6857" w:rsidRDefault="009E6857" w:rsidP="009E6857">
            <w:pPr>
              <w:pStyle w:val="TableHead"/>
              <w:jc w:val="center"/>
              <w:rPr>
                <w:bCs/>
              </w:rPr>
            </w:pPr>
            <w:r w:rsidRPr="009E6857">
              <w:t xml:space="preserve">Torthaí Ar </w:t>
            </w:r>
            <w:proofErr w:type="spellStart"/>
            <w:r w:rsidRPr="009E6857">
              <w:t>Infheistíochtaí</w:t>
            </w:r>
            <w:proofErr w:type="spellEnd"/>
            <w:r w:rsidRPr="009E6857">
              <w:t xml:space="preserve"> Agus Ar </w:t>
            </w:r>
            <w:proofErr w:type="spellStart"/>
            <w:r w:rsidRPr="009E6857">
              <w:t>Sheirbhísiú</w:t>
            </w:r>
            <w:proofErr w:type="spellEnd"/>
            <w:r w:rsidRPr="009E6857">
              <w:t xml:space="preserve"> Airgeadais</w:t>
            </w:r>
          </w:p>
        </w:tc>
      </w:tr>
      <w:tr w:rsidR="009E6857" w:rsidRPr="00DA26AF" w14:paraId="5AB9178F" w14:textId="77777777" w:rsidTr="009E6857">
        <w:tblPrEx>
          <w:tblCellMar>
            <w:top w:w="0" w:type="dxa"/>
            <w:bottom w:w="0" w:type="dxa"/>
          </w:tblCellMar>
        </w:tblPrEx>
        <w:tc>
          <w:tcPr>
            <w:tcW w:w="4869" w:type="dxa"/>
            <w:shd w:val="clear" w:color="auto" w:fill="auto"/>
            <w:vAlign w:val="center"/>
          </w:tcPr>
          <w:p w14:paraId="3E888E9C" w14:textId="77777777" w:rsidR="009E6857" w:rsidRPr="009E6857" w:rsidRDefault="009E6857" w:rsidP="009E6857">
            <w:pPr>
              <w:pStyle w:val="TableRowHead"/>
            </w:pPr>
            <w:proofErr w:type="spellStart"/>
            <w:r w:rsidRPr="009E6857">
              <w:t>Ús</w:t>
            </w:r>
            <w:proofErr w:type="spellEnd"/>
            <w:r w:rsidRPr="009E6857">
              <w:t xml:space="preserve"> faighte </w:t>
            </w:r>
          </w:p>
        </w:tc>
        <w:tc>
          <w:tcPr>
            <w:tcW w:w="1098" w:type="dxa"/>
            <w:shd w:val="clear" w:color="auto" w:fill="auto"/>
            <w:vAlign w:val="bottom"/>
          </w:tcPr>
          <w:p w14:paraId="17D3CB1E"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33240C93" w14:textId="77777777" w:rsidR="009E6857" w:rsidRPr="009E6857" w:rsidRDefault="009E6857" w:rsidP="00141421">
            <w:pPr>
              <w:spacing w:after="0" w:line="240" w:lineRule="auto"/>
              <w:jc w:val="right"/>
              <w:rPr>
                <w:rFonts w:cs="Arial"/>
              </w:rPr>
            </w:pPr>
            <w:r w:rsidRPr="009E6857">
              <w:rPr>
                <w:rFonts w:cs="Arial"/>
              </w:rPr>
              <w:t xml:space="preserve">1 </w:t>
            </w:r>
          </w:p>
        </w:tc>
        <w:tc>
          <w:tcPr>
            <w:tcW w:w="1574" w:type="dxa"/>
            <w:shd w:val="clear" w:color="auto" w:fill="auto"/>
            <w:vAlign w:val="bottom"/>
          </w:tcPr>
          <w:p w14:paraId="0903329B" w14:textId="77777777" w:rsidR="009E6857" w:rsidRPr="009E6857" w:rsidRDefault="009E6857" w:rsidP="00141421">
            <w:pPr>
              <w:spacing w:after="0" w:line="240" w:lineRule="auto"/>
              <w:jc w:val="right"/>
              <w:rPr>
                <w:rFonts w:cs="Arial"/>
              </w:rPr>
            </w:pPr>
            <w:r w:rsidRPr="009E6857">
              <w:rPr>
                <w:rFonts w:cs="Arial"/>
              </w:rPr>
              <w:t xml:space="preserve">128 </w:t>
            </w:r>
          </w:p>
        </w:tc>
      </w:tr>
      <w:tr w:rsidR="009E6857" w:rsidRPr="00DA26AF" w14:paraId="2299CD5F" w14:textId="77777777" w:rsidTr="009E6857">
        <w:tblPrEx>
          <w:tblCellMar>
            <w:top w:w="0" w:type="dxa"/>
            <w:bottom w:w="0" w:type="dxa"/>
          </w:tblCellMar>
        </w:tblPrEx>
        <w:tc>
          <w:tcPr>
            <w:tcW w:w="4869" w:type="dxa"/>
            <w:shd w:val="clear" w:color="auto" w:fill="auto"/>
            <w:vAlign w:val="center"/>
          </w:tcPr>
          <w:p w14:paraId="09C9AC15" w14:textId="77777777" w:rsidR="009E6857" w:rsidRPr="009E6857" w:rsidRDefault="009E6857" w:rsidP="009E6857">
            <w:pPr>
              <w:pStyle w:val="TableRowHead"/>
            </w:pPr>
            <w:r w:rsidRPr="009E6857">
              <w:t xml:space="preserve">Torthaí Glan Ar </w:t>
            </w:r>
            <w:proofErr w:type="spellStart"/>
            <w:r w:rsidRPr="009E6857">
              <w:t>Infheistíochtaí</w:t>
            </w:r>
            <w:proofErr w:type="spellEnd"/>
            <w:r w:rsidRPr="009E6857">
              <w:t xml:space="preserve"> Agus Ar </w:t>
            </w:r>
            <w:proofErr w:type="spellStart"/>
            <w:r w:rsidRPr="009E6857">
              <w:t>Sheirbhísiú</w:t>
            </w:r>
            <w:proofErr w:type="spellEnd"/>
            <w:r w:rsidRPr="009E6857">
              <w:t xml:space="preserve"> Airgeadais </w:t>
            </w:r>
          </w:p>
        </w:tc>
        <w:tc>
          <w:tcPr>
            <w:tcW w:w="1098" w:type="dxa"/>
            <w:shd w:val="clear" w:color="auto" w:fill="auto"/>
            <w:vAlign w:val="bottom"/>
          </w:tcPr>
          <w:p w14:paraId="18DB6105"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3325C9EB" w14:textId="77777777" w:rsidR="009E6857" w:rsidRPr="009E6857" w:rsidRDefault="009E6857" w:rsidP="00141421">
            <w:pPr>
              <w:spacing w:after="0" w:line="240" w:lineRule="auto"/>
              <w:jc w:val="right"/>
              <w:rPr>
                <w:rFonts w:cs="Arial"/>
              </w:rPr>
            </w:pPr>
            <w:r w:rsidRPr="009E6857">
              <w:rPr>
                <w:rFonts w:cs="Arial"/>
              </w:rPr>
              <w:t xml:space="preserve">1 </w:t>
            </w:r>
          </w:p>
        </w:tc>
        <w:tc>
          <w:tcPr>
            <w:tcW w:w="1574" w:type="dxa"/>
            <w:shd w:val="clear" w:color="auto" w:fill="auto"/>
            <w:vAlign w:val="bottom"/>
          </w:tcPr>
          <w:p w14:paraId="4BC012B0" w14:textId="77777777" w:rsidR="009E6857" w:rsidRPr="009E6857" w:rsidRDefault="009E6857" w:rsidP="00141421">
            <w:pPr>
              <w:spacing w:after="0" w:line="240" w:lineRule="auto"/>
              <w:jc w:val="right"/>
              <w:rPr>
                <w:rFonts w:cs="Arial"/>
              </w:rPr>
            </w:pPr>
            <w:r w:rsidRPr="009E6857">
              <w:rPr>
                <w:rFonts w:cs="Arial"/>
              </w:rPr>
              <w:t xml:space="preserve">128 </w:t>
            </w:r>
          </w:p>
        </w:tc>
      </w:tr>
      <w:tr w:rsidR="009E6857" w:rsidRPr="00DA26AF" w14:paraId="1DC72121" w14:textId="77777777" w:rsidTr="009E6857">
        <w:tblPrEx>
          <w:tblCellMar>
            <w:top w:w="0" w:type="dxa"/>
            <w:bottom w:w="0" w:type="dxa"/>
          </w:tblCellMar>
        </w:tblPrEx>
        <w:tc>
          <w:tcPr>
            <w:tcW w:w="9005" w:type="dxa"/>
            <w:gridSpan w:val="4"/>
            <w:shd w:val="clear" w:color="auto" w:fill="auto"/>
            <w:vAlign w:val="center"/>
          </w:tcPr>
          <w:p w14:paraId="01686A6A" w14:textId="77777777" w:rsidR="009E6857" w:rsidRPr="009E6857" w:rsidRDefault="009E6857" w:rsidP="009E6857">
            <w:pPr>
              <w:pStyle w:val="TableHead"/>
              <w:jc w:val="center"/>
              <w:rPr>
                <w:bCs/>
              </w:rPr>
            </w:pPr>
            <w:proofErr w:type="spellStart"/>
            <w:r w:rsidRPr="009E6857">
              <w:t>Gníomhaíochtaí</w:t>
            </w:r>
            <w:proofErr w:type="spellEnd"/>
            <w:r w:rsidRPr="009E6857">
              <w:t xml:space="preserve"> </w:t>
            </w:r>
            <w:proofErr w:type="spellStart"/>
            <w:r w:rsidRPr="009E6857">
              <w:t>Infheistíochta</w:t>
            </w:r>
            <w:proofErr w:type="spellEnd"/>
          </w:p>
        </w:tc>
      </w:tr>
      <w:tr w:rsidR="009E6857" w:rsidRPr="00DA26AF" w14:paraId="4DF9D1D9" w14:textId="77777777" w:rsidTr="009E6857">
        <w:tblPrEx>
          <w:tblCellMar>
            <w:top w:w="0" w:type="dxa"/>
            <w:bottom w:w="0" w:type="dxa"/>
          </w:tblCellMar>
        </w:tblPrEx>
        <w:tc>
          <w:tcPr>
            <w:tcW w:w="4869" w:type="dxa"/>
            <w:shd w:val="clear" w:color="auto" w:fill="auto"/>
            <w:vAlign w:val="center"/>
          </w:tcPr>
          <w:p w14:paraId="7B4EA070" w14:textId="77777777" w:rsidR="009E6857" w:rsidRPr="009E6857" w:rsidRDefault="009E6857" w:rsidP="009E6857">
            <w:pPr>
              <w:pStyle w:val="TableRowHead"/>
            </w:pPr>
            <w:r w:rsidRPr="009E6857">
              <w:t xml:space="preserve">Ceannach </w:t>
            </w:r>
            <w:proofErr w:type="spellStart"/>
            <w:r w:rsidRPr="009E6857">
              <w:t>sóchmhainní</w:t>
            </w:r>
            <w:proofErr w:type="spellEnd"/>
            <w:r w:rsidRPr="009E6857">
              <w:t xml:space="preserve"> seasta</w:t>
            </w:r>
          </w:p>
        </w:tc>
        <w:tc>
          <w:tcPr>
            <w:tcW w:w="1098" w:type="dxa"/>
            <w:shd w:val="clear" w:color="auto" w:fill="auto"/>
            <w:vAlign w:val="bottom"/>
          </w:tcPr>
          <w:p w14:paraId="126DEFE6"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1E990886" w14:textId="77777777" w:rsidR="009E6857" w:rsidRPr="009E6857" w:rsidRDefault="009E6857" w:rsidP="00141421">
            <w:pPr>
              <w:spacing w:after="0" w:line="240" w:lineRule="auto"/>
              <w:jc w:val="right"/>
              <w:rPr>
                <w:rFonts w:cs="Arial"/>
              </w:rPr>
            </w:pPr>
            <w:r w:rsidRPr="009E6857">
              <w:rPr>
                <w:rFonts w:cs="Arial"/>
              </w:rPr>
              <w:t>(3,729)</w:t>
            </w:r>
          </w:p>
        </w:tc>
        <w:tc>
          <w:tcPr>
            <w:tcW w:w="1574" w:type="dxa"/>
            <w:shd w:val="clear" w:color="auto" w:fill="auto"/>
            <w:vAlign w:val="bottom"/>
          </w:tcPr>
          <w:p w14:paraId="6FE8B878" w14:textId="77777777" w:rsidR="009E6857" w:rsidRPr="009E6857" w:rsidRDefault="009E6857" w:rsidP="00141421">
            <w:pPr>
              <w:spacing w:after="0" w:line="240" w:lineRule="auto"/>
              <w:jc w:val="right"/>
              <w:rPr>
                <w:rFonts w:cs="Arial"/>
              </w:rPr>
            </w:pPr>
            <w:r w:rsidRPr="009E6857">
              <w:rPr>
                <w:rFonts w:cs="Arial"/>
              </w:rPr>
              <w:t>(1,825)</w:t>
            </w:r>
          </w:p>
        </w:tc>
      </w:tr>
      <w:tr w:rsidR="009E6857" w:rsidRPr="00DA26AF" w14:paraId="7214E4AA" w14:textId="77777777" w:rsidTr="009E6857">
        <w:tblPrEx>
          <w:tblCellMar>
            <w:top w:w="0" w:type="dxa"/>
            <w:bottom w:w="0" w:type="dxa"/>
          </w:tblCellMar>
        </w:tblPrEx>
        <w:tc>
          <w:tcPr>
            <w:tcW w:w="4869" w:type="dxa"/>
            <w:shd w:val="clear" w:color="auto" w:fill="auto"/>
            <w:vAlign w:val="center"/>
          </w:tcPr>
          <w:p w14:paraId="03F44E39" w14:textId="77777777" w:rsidR="009E6857" w:rsidRPr="009E6857" w:rsidRDefault="009E6857" w:rsidP="009E6857">
            <w:pPr>
              <w:pStyle w:val="TableRowHead"/>
            </w:pPr>
            <w:proofErr w:type="spellStart"/>
            <w:r w:rsidRPr="009E6857">
              <w:t>Diúscairt</w:t>
            </w:r>
            <w:proofErr w:type="spellEnd"/>
            <w:r w:rsidRPr="009E6857">
              <w:t xml:space="preserve"> </w:t>
            </w:r>
            <w:proofErr w:type="spellStart"/>
            <w:r w:rsidRPr="009E6857">
              <w:t>shóchmhainní</w:t>
            </w:r>
            <w:proofErr w:type="spellEnd"/>
            <w:r w:rsidRPr="009E6857">
              <w:t xml:space="preserve"> seasta </w:t>
            </w:r>
          </w:p>
        </w:tc>
        <w:tc>
          <w:tcPr>
            <w:tcW w:w="1098" w:type="dxa"/>
            <w:shd w:val="clear" w:color="auto" w:fill="auto"/>
            <w:vAlign w:val="bottom"/>
          </w:tcPr>
          <w:p w14:paraId="4E6992C2"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43300334" w14:textId="77777777" w:rsidR="009E6857" w:rsidRPr="009E6857" w:rsidRDefault="009E6857" w:rsidP="00141421">
            <w:pPr>
              <w:spacing w:after="0" w:line="240" w:lineRule="auto"/>
              <w:jc w:val="right"/>
              <w:rPr>
                <w:rFonts w:cs="Arial"/>
              </w:rPr>
            </w:pPr>
            <w:r w:rsidRPr="009E6857">
              <w:rPr>
                <w:rFonts w:cs="Arial"/>
              </w:rPr>
              <w:t xml:space="preserve">0 </w:t>
            </w:r>
          </w:p>
        </w:tc>
        <w:tc>
          <w:tcPr>
            <w:tcW w:w="1574" w:type="dxa"/>
            <w:shd w:val="clear" w:color="auto" w:fill="auto"/>
            <w:vAlign w:val="bottom"/>
          </w:tcPr>
          <w:p w14:paraId="23F7BCDB" w14:textId="77777777" w:rsidR="009E6857" w:rsidRPr="009E6857" w:rsidRDefault="009E6857" w:rsidP="00141421">
            <w:pPr>
              <w:spacing w:after="0" w:line="240" w:lineRule="auto"/>
              <w:jc w:val="right"/>
              <w:rPr>
                <w:rFonts w:cs="Arial"/>
              </w:rPr>
            </w:pPr>
            <w:r w:rsidRPr="009E6857">
              <w:rPr>
                <w:rFonts w:cs="Arial"/>
              </w:rPr>
              <w:t xml:space="preserve">0 </w:t>
            </w:r>
          </w:p>
        </w:tc>
      </w:tr>
      <w:tr w:rsidR="009E6857" w:rsidRPr="00DA26AF" w14:paraId="39EA8FD3" w14:textId="77777777" w:rsidTr="009E6857">
        <w:tblPrEx>
          <w:tblCellMar>
            <w:top w:w="0" w:type="dxa"/>
            <w:bottom w:w="0" w:type="dxa"/>
          </w:tblCellMar>
        </w:tblPrEx>
        <w:tc>
          <w:tcPr>
            <w:tcW w:w="4869" w:type="dxa"/>
            <w:shd w:val="clear" w:color="auto" w:fill="auto"/>
            <w:vAlign w:val="center"/>
          </w:tcPr>
          <w:p w14:paraId="2695360F" w14:textId="77777777" w:rsidR="009E6857" w:rsidRPr="009E6857" w:rsidRDefault="009E6857" w:rsidP="009E6857">
            <w:pPr>
              <w:pStyle w:val="TableRowHead"/>
            </w:pPr>
            <w:proofErr w:type="spellStart"/>
            <w:r w:rsidRPr="009E6857">
              <w:t>Eis-sreabhadh</w:t>
            </w:r>
            <w:proofErr w:type="spellEnd"/>
            <w:r w:rsidRPr="009E6857">
              <w:t xml:space="preserve"> glan airgid ó ghníomhaíochtaí </w:t>
            </w:r>
            <w:proofErr w:type="spellStart"/>
            <w:r w:rsidRPr="009E6857">
              <w:t>infheistíochta</w:t>
            </w:r>
            <w:proofErr w:type="spellEnd"/>
          </w:p>
        </w:tc>
        <w:tc>
          <w:tcPr>
            <w:tcW w:w="1098" w:type="dxa"/>
            <w:shd w:val="clear" w:color="auto" w:fill="auto"/>
            <w:vAlign w:val="bottom"/>
          </w:tcPr>
          <w:p w14:paraId="4547B14B"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6A696DE6" w14:textId="77777777" w:rsidR="009E6857" w:rsidRPr="009E6857" w:rsidRDefault="009E6857" w:rsidP="00141421">
            <w:pPr>
              <w:spacing w:after="0" w:line="240" w:lineRule="auto"/>
              <w:jc w:val="right"/>
              <w:rPr>
                <w:rFonts w:cs="Arial"/>
              </w:rPr>
            </w:pPr>
            <w:r w:rsidRPr="009E6857">
              <w:rPr>
                <w:rFonts w:cs="Arial"/>
              </w:rPr>
              <w:t>(3,729)</w:t>
            </w:r>
          </w:p>
        </w:tc>
        <w:tc>
          <w:tcPr>
            <w:tcW w:w="1574" w:type="dxa"/>
            <w:shd w:val="clear" w:color="auto" w:fill="auto"/>
            <w:vAlign w:val="bottom"/>
          </w:tcPr>
          <w:p w14:paraId="69AA00B8" w14:textId="77777777" w:rsidR="009E6857" w:rsidRPr="009E6857" w:rsidRDefault="009E6857" w:rsidP="00141421">
            <w:pPr>
              <w:spacing w:after="0" w:line="240" w:lineRule="auto"/>
              <w:jc w:val="right"/>
              <w:rPr>
                <w:rFonts w:cs="Arial"/>
              </w:rPr>
            </w:pPr>
            <w:r w:rsidRPr="009E6857">
              <w:rPr>
                <w:rFonts w:cs="Arial"/>
              </w:rPr>
              <w:t>(1,825)</w:t>
            </w:r>
          </w:p>
        </w:tc>
      </w:tr>
      <w:tr w:rsidR="009E6857" w:rsidRPr="00DA26AF" w14:paraId="710A7E11" w14:textId="77777777" w:rsidTr="009E6857">
        <w:tblPrEx>
          <w:tblCellMar>
            <w:top w:w="0" w:type="dxa"/>
            <w:bottom w:w="0" w:type="dxa"/>
          </w:tblCellMar>
        </w:tblPrEx>
        <w:tc>
          <w:tcPr>
            <w:tcW w:w="4869" w:type="dxa"/>
            <w:shd w:val="clear" w:color="auto" w:fill="auto"/>
            <w:vAlign w:val="center"/>
          </w:tcPr>
          <w:p w14:paraId="769C6A97" w14:textId="77777777" w:rsidR="009E6857" w:rsidRPr="009E6857" w:rsidRDefault="009E6857" w:rsidP="009E6857">
            <w:pPr>
              <w:pStyle w:val="TableRowHead"/>
            </w:pPr>
            <w:r w:rsidRPr="009E6857">
              <w:t xml:space="preserve">Laghdú ar Airgead sa </w:t>
            </w:r>
            <w:proofErr w:type="spellStart"/>
            <w:r w:rsidRPr="009E6857">
              <w:t>Bhanc</w:t>
            </w:r>
            <w:proofErr w:type="spellEnd"/>
            <w:r w:rsidRPr="009E6857">
              <w:t xml:space="preserve"> agus ar láimh</w:t>
            </w:r>
          </w:p>
        </w:tc>
        <w:tc>
          <w:tcPr>
            <w:tcW w:w="1098" w:type="dxa"/>
            <w:shd w:val="clear" w:color="auto" w:fill="auto"/>
            <w:vAlign w:val="bottom"/>
          </w:tcPr>
          <w:p w14:paraId="69B213FF" w14:textId="77777777" w:rsidR="009E6857" w:rsidRPr="009E6857" w:rsidRDefault="009E6857" w:rsidP="00141421">
            <w:pPr>
              <w:spacing w:after="0" w:line="240" w:lineRule="auto"/>
              <w:jc w:val="right"/>
              <w:rPr>
                <w:rFonts w:cs="Arial"/>
                <w:lang w:val="en-GB" w:eastAsia="en-GB"/>
              </w:rPr>
            </w:pPr>
          </w:p>
        </w:tc>
        <w:tc>
          <w:tcPr>
            <w:tcW w:w="1464" w:type="dxa"/>
            <w:shd w:val="clear" w:color="auto" w:fill="auto"/>
            <w:vAlign w:val="bottom"/>
          </w:tcPr>
          <w:p w14:paraId="6FB60243" w14:textId="77777777" w:rsidR="009E6857" w:rsidRPr="009E6857" w:rsidRDefault="009E6857" w:rsidP="00141421">
            <w:pPr>
              <w:spacing w:after="0" w:line="240" w:lineRule="auto"/>
              <w:jc w:val="right"/>
              <w:rPr>
                <w:rFonts w:cs="Arial"/>
              </w:rPr>
            </w:pPr>
            <w:r w:rsidRPr="009E6857">
              <w:rPr>
                <w:rFonts w:cs="Arial"/>
              </w:rPr>
              <w:t>(30,764)</w:t>
            </w:r>
          </w:p>
        </w:tc>
        <w:tc>
          <w:tcPr>
            <w:tcW w:w="1574" w:type="dxa"/>
            <w:shd w:val="clear" w:color="auto" w:fill="auto"/>
            <w:vAlign w:val="bottom"/>
          </w:tcPr>
          <w:p w14:paraId="3481C25F" w14:textId="77777777" w:rsidR="009E6857" w:rsidRPr="009E6857" w:rsidRDefault="009E6857" w:rsidP="00141421">
            <w:pPr>
              <w:spacing w:after="0" w:line="240" w:lineRule="auto"/>
              <w:jc w:val="right"/>
              <w:rPr>
                <w:rFonts w:cs="Arial"/>
              </w:rPr>
            </w:pPr>
            <w:r w:rsidRPr="009E6857">
              <w:rPr>
                <w:rFonts w:cs="Arial"/>
              </w:rPr>
              <w:t>(90,657)</w:t>
            </w:r>
          </w:p>
        </w:tc>
      </w:tr>
    </w:tbl>
    <w:p w14:paraId="3A933DEC" w14:textId="77777777" w:rsidR="00141421" w:rsidRDefault="00141421" w:rsidP="00141421">
      <w:pPr>
        <w:spacing w:after="0" w:line="240" w:lineRule="auto"/>
        <w:rPr>
          <w:rFonts w:cs="Arial"/>
          <w:lang w:val="en-GB" w:eastAsia="en-GB"/>
        </w:rPr>
      </w:pPr>
    </w:p>
    <w:p w14:paraId="3DBB685E" w14:textId="77777777" w:rsidR="009F4573" w:rsidRDefault="009F4573" w:rsidP="009F4573">
      <w:r w:rsidRPr="00A2483F">
        <w:t xml:space="preserve">Tá an Ráiteas ar Pholasaithe Cuntasaíochta, an Ráiteas ar </w:t>
      </w:r>
      <w:proofErr w:type="spellStart"/>
      <w:r w:rsidRPr="00A2483F">
        <w:t>Shrea</w:t>
      </w:r>
      <w:r>
        <w:t>bhadh</w:t>
      </w:r>
      <w:proofErr w:type="spellEnd"/>
      <w:r>
        <w:t xml:space="preserve"> Airgid, agus Nótaí 1 go 16</w:t>
      </w:r>
      <w:r w:rsidRPr="00A2483F">
        <w:t xml:space="preserve"> ina gcu</w:t>
      </w:r>
      <w:r>
        <w:t xml:space="preserve">id de na </w:t>
      </w:r>
      <w:proofErr w:type="spellStart"/>
      <w:r>
        <w:t>Ráitis</w:t>
      </w:r>
      <w:proofErr w:type="spellEnd"/>
      <w:r>
        <w:t xml:space="preserve"> Airgeadais seo.</w:t>
      </w:r>
    </w:p>
    <w:p w14:paraId="599FABA0" w14:textId="77777777" w:rsidR="009F4573" w:rsidRPr="00A2483F" w:rsidRDefault="009F4573" w:rsidP="009F4573">
      <w:r w:rsidRPr="00A2483F">
        <w:t xml:space="preserve">Sínithe: Peter </w:t>
      </w:r>
      <w:proofErr w:type="spellStart"/>
      <w:r w:rsidRPr="00A2483F">
        <w:t>McKevitt</w:t>
      </w:r>
      <w:proofErr w:type="spellEnd"/>
      <w:r w:rsidRPr="00A2483F">
        <w:t xml:space="preserve"> (Cathaoirleach)</w:t>
      </w:r>
    </w:p>
    <w:p w14:paraId="5D87EBEB" w14:textId="77777777" w:rsidR="009F4573" w:rsidRDefault="009F4573" w:rsidP="009F4573">
      <w:r w:rsidRPr="00A2483F">
        <w:t xml:space="preserve">Sínithe: </w:t>
      </w:r>
      <w:r>
        <w:t xml:space="preserve">Frank </w:t>
      </w:r>
      <w:proofErr w:type="spellStart"/>
      <w:r>
        <w:t>Cuneen</w:t>
      </w:r>
      <w:proofErr w:type="spellEnd"/>
      <w:r>
        <w:t xml:space="preserve"> </w:t>
      </w:r>
      <w:proofErr w:type="gramStart"/>
      <w:r w:rsidRPr="00A2483F">
        <w:t>( Ball</w:t>
      </w:r>
      <w:proofErr w:type="gramEnd"/>
      <w:r w:rsidRPr="00A2483F">
        <w:t xml:space="preserve"> den Údarás)</w:t>
      </w:r>
    </w:p>
    <w:p w14:paraId="42728B8F" w14:textId="77777777" w:rsidR="009F4573" w:rsidRDefault="009F4573" w:rsidP="009F4573">
      <w:r w:rsidRPr="00A2483F">
        <w:t>Sínithe: Siobhan Barron (Stiúrthóir)</w:t>
      </w:r>
    </w:p>
    <w:p w14:paraId="3F60CA16" w14:textId="77777777" w:rsidR="009F4573" w:rsidRDefault="009F4573" w:rsidP="009F4573">
      <w:r>
        <w:t xml:space="preserve">16 </w:t>
      </w:r>
      <w:proofErr w:type="spellStart"/>
      <w:r>
        <w:t>Meithamh</w:t>
      </w:r>
      <w:proofErr w:type="spellEnd"/>
      <w:r>
        <w:t xml:space="preserve"> 2011</w:t>
      </w:r>
      <w:r w:rsidRPr="00066ADC">
        <w:t xml:space="preserve">    </w:t>
      </w:r>
    </w:p>
    <w:p w14:paraId="7F357F5C" w14:textId="77777777" w:rsidR="00141421" w:rsidRDefault="00141421" w:rsidP="00141421">
      <w:pPr>
        <w:pStyle w:val="Heading2"/>
      </w:pPr>
      <w:r>
        <w:rPr>
          <w:lang w:val="en-GB" w:eastAsia="en-GB"/>
        </w:rPr>
        <w:br w:type="page"/>
      </w:r>
      <w:bookmarkStart w:id="756" w:name="_Toc299362643"/>
      <w:bookmarkStart w:id="757" w:name="_Toc300742248"/>
      <w:bookmarkStart w:id="758" w:name="_Toc300743000"/>
      <w:bookmarkStart w:id="759" w:name="_Toc300744359"/>
      <w:proofErr w:type="spellStart"/>
      <w:r w:rsidR="009F4573" w:rsidRPr="00A2483F">
        <w:lastRenderedPageBreak/>
        <w:t>NótaÍ</w:t>
      </w:r>
      <w:proofErr w:type="spellEnd"/>
      <w:r w:rsidR="009F4573" w:rsidRPr="00A2483F">
        <w:t xml:space="preserve"> ar na </w:t>
      </w:r>
      <w:proofErr w:type="spellStart"/>
      <w:r w:rsidR="009F4573" w:rsidRPr="00A2483F">
        <w:t>Ráitis</w:t>
      </w:r>
      <w:proofErr w:type="spellEnd"/>
      <w:r w:rsidR="009F4573" w:rsidRPr="00A2483F">
        <w:t xml:space="preserve"> Airgeadais don bhliain dar chríoch 31ú Nollaig 20</w:t>
      </w:r>
      <w:r w:rsidR="009F4573">
        <w:t>10</w:t>
      </w:r>
      <w:bookmarkEnd w:id="756"/>
      <w:bookmarkEnd w:id="757"/>
      <w:bookmarkEnd w:id="758"/>
      <w:bookmarkEnd w:id="759"/>
    </w:p>
    <w:p w14:paraId="4263F6AA" w14:textId="77777777" w:rsidR="009F4573" w:rsidRDefault="00067058" w:rsidP="00067058">
      <w:pPr>
        <w:pStyle w:val="Heading3"/>
      </w:pPr>
      <w:r>
        <w:t xml:space="preserve">1. </w:t>
      </w:r>
      <w:proofErr w:type="spellStart"/>
      <w:r w:rsidR="009F4573" w:rsidRPr="00A2483F">
        <w:t>Clúdaíonn</w:t>
      </w:r>
      <w:proofErr w:type="spellEnd"/>
      <w:r w:rsidR="009F4573" w:rsidRPr="00A2483F">
        <w:t xml:space="preserve"> na </w:t>
      </w:r>
      <w:proofErr w:type="spellStart"/>
      <w:r w:rsidR="009F4573" w:rsidRPr="00A2483F">
        <w:t>Ráitis</w:t>
      </w:r>
      <w:proofErr w:type="spellEnd"/>
      <w:r w:rsidR="009F4573" w:rsidRPr="00A2483F">
        <w:t xml:space="preserve"> Airgeadais seo an bhl</w:t>
      </w:r>
      <w:r w:rsidR="009F4573">
        <w:t>iain dar chríoch 31ú Nollaig 2010</w:t>
      </w:r>
    </w:p>
    <w:p w14:paraId="0FFAB68C" w14:textId="77777777" w:rsidR="00141421" w:rsidRDefault="00141421" w:rsidP="00067058">
      <w:pPr>
        <w:pStyle w:val="TableTitle"/>
        <w:keepLines/>
        <w:widowControl w:val="0"/>
        <w:jc w:val="left"/>
      </w:pPr>
      <w:proofErr w:type="gramStart"/>
      <w:r w:rsidRPr="00F868E5">
        <w:rPr>
          <w:bCs/>
          <w:lang w:val="en-GB"/>
        </w:rPr>
        <w:t>2 .</w:t>
      </w:r>
      <w:proofErr w:type="gramEnd"/>
      <w:r w:rsidRPr="00F868E5">
        <w:rPr>
          <w:bCs/>
          <w:lang w:val="en-GB"/>
        </w:rPr>
        <w:t xml:space="preserve"> Income</w:t>
      </w: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141421" w:rsidRPr="00F868E5" w14:paraId="168B61F7" w14:textId="77777777" w:rsidTr="00141421">
        <w:tblPrEx>
          <w:tblCellMar>
            <w:top w:w="0" w:type="dxa"/>
            <w:bottom w:w="0" w:type="dxa"/>
          </w:tblCellMar>
        </w:tblPrEx>
        <w:trPr>
          <w:tblHeader/>
        </w:trPr>
        <w:tc>
          <w:tcPr>
            <w:tcW w:w="5868" w:type="dxa"/>
            <w:tcBorders>
              <w:top w:val="single" w:sz="6" w:space="0" w:color="000000"/>
              <w:left w:val="single" w:sz="6" w:space="0" w:color="000000"/>
              <w:bottom w:val="single" w:sz="6" w:space="0" w:color="000000"/>
            </w:tcBorders>
            <w:shd w:val="clear" w:color="auto" w:fill="auto"/>
          </w:tcPr>
          <w:p w14:paraId="2039C3B8" w14:textId="77777777" w:rsidR="00141421" w:rsidRPr="009F4573" w:rsidRDefault="00141421" w:rsidP="00067058">
            <w:pPr>
              <w:pStyle w:val="TableHead"/>
              <w:keepNext/>
              <w:keepLines/>
              <w:widowControl w:val="0"/>
              <w:jc w:val="right"/>
            </w:pPr>
          </w:p>
        </w:tc>
        <w:tc>
          <w:tcPr>
            <w:tcW w:w="1494" w:type="dxa"/>
            <w:tcBorders>
              <w:top w:val="single" w:sz="6" w:space="0" w:color="000000"/>
              <w:bottom w:val="single" w:sz="6" w:space="0" w:color="000000"/>
            </w:tcBorders>
            <w:shd w:val="clear" w:color="auto" w:fill="auto"/>
          </w:tcPr>
          <w:p w14:paraId="63163FC9" w14:textId="77777777" w:rsidR="00141421" w:rsidRPr="009F4573" w:rsidRDefault="00141421" w:rsidP="00067058">
            <w:pPr>
              <w:pStyle w:val="TableHead"/>
              <w:keepNext/>
              <w:keepLines/>
              <w:widowControl w:val="0"/>
              <w:spacing w:line="240" w:lineRule="auto"/>
              <w:jc w:val="right"/>
            </w:pPr>
            <w:r w:rsidRPr="009F4573">
              <w:t>2010</w:t>
            </w:r>
          </w:p>
        </w:tc>
        <w:tc>
          <w:tcPr>
            <w:tcW w:w="1494" w:type="dxa"/>
            <w:tcBorders>
              <w:top w:val="single" w:sz="6" w:space="0" w:color="000000"/>
              <w:bottom w:val="single" w:sz="6" w:space="0" w:color="000000"/>
              <w:right w:val="single" w:sz="6" w:space="0" w:color="000000"/>
            </w:tcBorders>
            <w:shd w:val="clear" w:color="auto" w:fill="auto"/>
          </w:tcPr>
          <w:p w14:paraId="6799E8F8" w14:textId="77777777" w:rsidR="00141421" w:rsidRPr="009F4573" w:rsidRDefault="00141421" w:rsidP="00067058">
            <w:pPr>
              <w:pStyle w:val="TableHead"/>
              <w:keepNext/>
              <w:keepLines/>
              <w:widowControl w:val="0"/>
              <w:spacing w:line="240" w:lineRule="auto"/>
              <w:jc w:val="right"/>
            </w:pPr>
            <w:r w:rsidRPr="009F4573">
              <w:t>2009</w:t>
            </w:r>
          </w:p>
        </w:tc>
      </w:tr>
      <w:tr w:rsidR="00141421" w:rsidRPr="00F868E5" w14:paraId="0DB4AC2D"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tcPr>
          <w:p w14:paraId="7C39FB79" w14:textId="77777777" w:rsidR="00141421" w:rsidRPr="009F4573" w:rsidRDefault="00141421" w:rsidP="00067058">
            <w:pPr>
              <w:pStyle w:val="TableRowHead"/>
              <w:keepLines/>
              <w:widowControl w:val="0"/>
            </w:pPr>
          </w:p>
        </w:tc>
        <w:tc>
          <w:tcPr>
            <w:tcW w:w="1494" w:type="dxa"/>
            <w:tcBorders>
              <w:top w:val="single" w:sz="6" w:space="0" w:color="000000"/>
              <w:bottom w:val="single" w:sz="6" w:space="0" w:color="000000"/>
            </w:tcBorders>
            <w:shd w:val="clear" w:color="auto" w:fill="auto"/>
            <w:vAlign w:val="bottom"/>
          </w:tcPr>
          <w:p w14:paraId="57713A61" w14:textId="77777777" w:rsidR="00141421" w:rsidRPr="009F4573" w:rsidRDefault="00141421" w:rsidP="00067058">
            <w:pPr>
              <w:keepNext/>
              <w:keepLines/>
              <w:widowControl w:val="0"/>
              <w:spacing w:after="0" w:line="240" w:lineRule="auto"/>
              <w:jc w:val="right"/>
              <w:rPr>
                <w:rFonts w:cs="Arial"/>
                <w:b/>
                <w:bCs/>
                <w:lang w:val="en-GB" w:eastAsia="en-GB"/>
              </w:rPr>
            </w:pPr>
            <w:r w:rsidRPr="009F4573">
              <w:rPr>
                <w:rFonts w:cs="Arial"/>
                <w:b/>
                <w:bCs/>
                <w:lang w:val="en-GB" w:eastAsia="en-GB"/>
              </w:rPr>
              <w:t xml:space="preserve">          €</w:t>
            </w:r>
          </w:p>
        </w:tc>
        <w:tc>
          <w:tcPr>
            <w:tcW w:w="1494" w:type="dxa"/>
            <w:tcBorders>
              <w:top w:val="single" w:sz="6" w:space="0" w:color="000000"/>
              <w:bottom w:val="single" w:sz="6" w:space="0" w:color="000000"/>
              <w:right w:val="single" w:sz="6" w:space="0" w:color="000000"/>
            </w:tcBorders>
            <w:shd w:val="clear" w:color="auto" w:fill="auto"/>
            <w:vAlign w:val="bottom"/>
          </w:tcPr>
          <w:p w14:paraId="2DD98AF5" w14:textId="77777777" w:rsidR="00141421" w:rsidRPr="009F4573" w:rsidRDefault="00141421" w:rsidP="00067058">
            <w:pPr>
              <w:keepNext/>
              <w:keepLines/>
              <w:widowControl w:val="0"/>
              <w:spacing w:after="0" w:line="240" w:lineRule="auto"/>
              <w:jc w:val="right"/>
              <w:rPr>
                <w:rFonts w:cs="Arial"/>
                <w:b/>
                <w:bCs/>
                <w:lang w:val="en-GB" w:eastAsia="en-GB"/>
              </w:rPr>
            </w:pPr>
            <w:r w:rsidRPr="009F4573">
              <w:rPr>
                <w:rFonts w:cs="Arial"/>
                <w:b/>
                <w:bCs/>
                <w:lang w:val="en-GB" w:eastAsia="en-GB"/>
              </w:rPr>
              <w:t xml:space="preserve">          €</w:t>
            </w:r>
          </w:p>
        </w:tc>
      </w:tr>
      <w:tr w:rsidR="00141421" w:rsidRPr="00F868E5" w14:paraId="516BA033" w14:textId="77777777" w:rsidTr="00141421">
        <w:tblPrEx>
          <w:tblCellMar>
            <w:top w:w="0" w:type="dxa"/>
            <w:bottom w:w="0" w:type="dxa"/>
          </w:tblCellMar>
        </w:tblPrEx>
        <w:tc>
          <w:tcPr>
            <w:tcW w:w="8856" w:type="dxa"/>
            <w:gridSpan w:val="3"/>
            <w:tcBorders>
              <w:top w:val="single" w:sz="6" w:space="0" w:color="000000"/>
              <w:left w:val="single" w:sz="6" w:space="0" w:color="000000"/>
              <w:bottom w:val="single" w:sz="6" w:space="0" w:color="000000"/>
              <w:right w:val="single" w:sz="6" w:space="0" w:color="000000"/>
            </w:tcBorders>
            <w:shd w:val="clear" w:color="auto" w:fill="auto"/>
          </w:tcPr>
          <w:p w14:paraId="673E05A6" w14:textId="77777777" w:rsidR="00141421" w:rsidRPr="009F4573" w:rsidRDefault="009F4573" w:rsidP="00067058">
            <w:pPr>
              <w:pStyle w:val="TableHead"/>
              <w:keepNext/>
              <w:keepLines/>
              <w:widowControl w:val="0"/>
              <w:jc w:val="center"/>
            </w:pPr>
            <w:r w:rsidRPr="009F4573">
              <w:t>2 (a) Ioncam Deontais</w:t>
            </w:r>
          </w:p>
        </w:tc>
      </w:tr>
      <w:tr w:rsidR="00141421" w:rsidRPr="00F868E5" w14:paraId="288062F8"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bottom"/>
          </w:tcPr>
          <w:p w14:paraId="28ED97C6" w14:textId="77777777" w:rsidR="009F4573" w:rsidRPr="009F4573" w:rsidRDefault="009F4573" w:rsidP="00067058">
            <w:pPr>
              <w:pStyle w:val="TableRowHead"/>
              <w:keepLines/>
              <w:widowControl w:val="0"/>
            </w:pPr>
            <w:r w:rsidRPr="009F4573">
              <w:t>An méid a íoc an Roinn Dlí agus Cirt,</w:t>
            </w:r>
          </w:p>
          <w:p w14:paraId="3DE45934" w14:textId="77777777" w:rsidR="00141421" w:rsidRPr="009F4573" w:rsidRDefault="009F4573" w:rsidP="00067058">
            <w:pPr>
              <w:pStyle w:val="TableRowHead"/>
              <w:keepLines/>
              <w:widowControl w:val="0"/>
              <w:rPr>
                <w:lang w:val="en-GB" w:eastAsia="en-GB"/>
              </w:rPr>
            </w:pPr>
            <w:proofErr w:type="spellStart"/>
            <w:r w:rsidRPr="009F4573">
              <w:t>Comhionannais</w:t>
            </w:r>
            <w:proofErr w:type="spellEnd"/>
            <w:r w:rsidRPr="009F4573">
              <w:t xml:space="preserve"> agus Athchóirithe Dlí thar ceann</w:t>
            </w:r>
            <w:r w:rsidRPr="009F4573">
              <w:rPr>
                <w:rFonts w:eastAsia="SimSun"/>
              </w:rPr>
              <w:t xml:space="preserve"> ÚNM</w:t>
            </w:r>
          </w:p>
        </w:tc>
        <w:tc>
          <w:tcPr>
            <w:tcW w:w="1494" w:type="dxa"/>
            <w:tcBorders>
              <w:top w:val="single" w:sz="6" w:space="0" w:color="000000"/>
              <w:bottom w:val="single" w:sz="6" w:space="0" w:color="000000"/>
            </w:tcBorders>
            <w:shd w:val="clear" w:color="auto" w:fill="auto"/>
            <w:vAlign w:val="bottom"/>
          </w:tcPr>
          <w:p w14:paraId="7C3EE44C"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1,561,795 </w:t>
            </w:r>
          </w:p>
        </w:tc>
        <w:tc>
          <w:tcPr>
            <w:tcW w:w="1494" w:type="dxa"/>
            <w:tcBorders>
              <w:top w:val="single" w:sz="6" w:space="0" w:color="000000"/>
              <w:bottom w:val="single" w:sz="6" w:space="0" w:color="000000"/>
              <w:right w:val="single" w:sz="6" w:space="0" w:color="000000"/>
            </w:tcBorders>
            <w:shd w:val="clear" w:color="auto" w:fill="auto"/>
            <w:vAlign w:val="bottom"/>
          </w:tcPr>
          <w:p w14:paraId="13C93198"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4,362,964 </w:t>
            </w:r>
          </w:p>
        </w:tc>
      </w:tr>
      <w:tr w:rsidR="00141421" w:rsidRPr="00F868E5" w14:paraId="39D9AF55"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bottom"/>
          </w:tcPr>
          <w:p w14:paraId="60619A42" w14:textId="77777777" w:rsidR="00141421" w:rsidRPr="009F4573" w:rsidRDefault="009F4573" w:rsidP="00067058">
            <w:pPr>
              <w:pStyle w:val="TableRowHead"/>
              <w:keepLines/>
              <w:widowControl w:val="0"/>
              <w:rPr>
                <w:lang w:val="en-GB" w:eastAsia="en-GB"/>
              </w:rPr>
            </w:pPr>
            <w:r w:rsidRPr="009F4573">
              <w:t xml:space="preserve">An méid a íoc </w:t>
            </w:r>
            <w:r w:rsidRPr="009F4573">
              <w:rPr>
                <w:rFonts w:eastAsia="SimSun"/>
              </w:rPr>
              <w:t xml:space="preserve">ÚNM </w:t>
            </w:r>
            <w:r w:rsidRPr="009F4573">
              <w:t>don Roinn (A i A)</w:t>
            </w:r>
          </w:p>
        </w:tc>
        <w:tc>
          <w:tcPr>
            <w:tcW w:w="1494" w:type="dxa"/>
            <w:tcBorders>
              <w:top w:val="single" w:sz="6" w:space="0" w:color="000000"/>
              <w:bottom w:val="single" w:sz="6" w:space="0" w:color="000000"/>
            </w:tcBorders>
            <w:shd w:val="clear" w:color="auto" w:fill="auto"/>
            <w:vAlign w:val="bottom"/>
          </w:tcPr>
          <w:p w14:paraId="1B67D1D6"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(36,070)</w:t>
            </w:r>
          </w:p>
        </w:tc>
        <w:tc>
          <w:tcPr>
            <w:tcW w:w="1494" w:type="dxa"/>
            <w:tcBorders>
              <w:top w:val="single" w:sz="6" w:space="0" w:color="000000"/>
              <w:bottom w:val="single" w:sz="6" w:space="0" w:color="000000"/>
              <w:right w:val="single" w:sz="6" w:space="0" w:color="000000"/>
            </w:tcBorders>
            <w:shd w:val="clear" w:color="auto" w:fill="auto"/>
            <w:vAlign w:val="bottom"/>
          </w:tcPr>
          <w:p w14:paraId="78E9BBE1"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(207,388)</w:t>
            </w:r>
          </w:p>
        </w:tc>
      </w:tr>
      <w:tr w:rsidR="00141421" w:rsidRPr="00F868E5" w14:paraId="4580D9CC"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bottom"/>
          </w:tcPr>
          <w:p w14:paraId="6F282ECF" w14:textId="77777777" w:rsidR="00141421" w:rsidRPr="009F4573" w:rsidRDefault="009F4573" w:rsidP="00067058">
            <w:pPr>
              <w:pStyle w:val="TableRowHead"/>
              <w:keepLines/>
              <w:widowControl w:val="0"/>
              <w:rPr>
                <w:lang w:val="en-GB" w:eastAsia="en-GB"/>
              </w:rPr>
            </w:pPr>
            <w:r w:rsidRPr="009F4573">
              <w:t xml:space="preserve"> An méid a íoc </w:t>
            </w:r>
            <w:r w:rsidRPr="009F4573">
              <w:rPr>
                <w:rFonts w:eastAsia="SimSun"/>
              </w:rPr>
              <w:t xml:space="preserve">ÚNM </w:t>
            </w:r>
            <w:r w:rsidRPr="009F4573">
              <w:t xml:space="preserve">don Roinn </w:t>
            </w:r>
            <w:proofErr w:type="spellStart"/>
            <w:r w:rsidRPr="009F4573">
              <w:rPr>
                <w:lang w:val="en-GB" w:eastAsia="en-GB"/>
              </w:rPr>
              <w:t>Gn</w:t>
            </w:r>
            <w:r w:rsidRPr="009F4573">
              <w:t>óthaí</w:t>
            </w:r>
            <w:proofErr w:type="spellEnd"/>
            <w:r w:rsidRPr="009F4573">
              <w:t xml:space="preserve"> Poiblí, </w:t>
            </w:r>
            <w:proofErr w:type="spellStart"/>
            <w:r w:rsidRPr="009F4573">
              <w:t>Comhionannais</w:t>
            </w:r>
            <w:proofErr w:type="spellEnd"/>
            <w:r w:rsidRPr="009F4573">
              <w:t xml:space="preserve"> agus Gaeltachta</w:t>
            </w:r>
          </w:p>
        </w:tc>
        <w:tc>
          <w:tcPr>
            <w:tcW w:w="1494" w:type="dxa"/>
            <w:tcBorders>
              <w:top w:val="single" w:sz="6" w:space="0" w:color="000000"/>
              <w:bottom w:val="single" w:sz="6" w:space="0" w:color="000000"/>
            </w:tcBorders>
            <w:shd w:val="clear" w:color="auto" w:fill="auto"/>
            <w:vAlign w:val="bottom"/>
          </w:tcPr>
          <w:p w14:paraId="7398C0B8"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2,288,851 </w:t>
            </w:r>
          </w:p>
        </w:tc>
        <w:tc>
          <w:tcPr>
            <w:tcW w:w="1494" w:type="dxa"/>
            <w:tcBorders>
              <w:top w:val="single" w:sz="6" w:space="0" w:color="000000"/>
              <w:bottom w:val="single" w:sz="6" w:space="0" w:color="000000"/>
              <w:right w:val="single" w:sz="6" w:space="0" w:color="000000"/>
            </w:tcBorders>
            <w:shd w:val="clear" w:color="auto" w:fill="auto"/>
            <w:vAlign w:val="bottom"/>
          </w:tcPr>
          <w:p w14:paraId="4626470F"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0 </w:t>
            </w:r>
          </w:p>
        </w:tc>
      </w:tr>
      <w:tr w:rsidR="00141421" w:rsidRPr="00F868E5" w14:paraId="38B58D53"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bottom"/>
          </w:tcPr>
          <w:p w14:paraId="7B304EA8" w14:textId="77777777" w:rsidR="00141421" w:rsidRPr="009F4573" w:rsidRDefault="00141421" w:rsidP="00067058">
            <w:pPr>
              <w:keepNext/>
              <w:keepLines/>
              <w:widowControl w:val="0"/>
              <w:spacing w:after="0" w:line="240" w:lineRule="auto"/>
              <w:rPr>
                <w:rFonts w:cs="Arial"/>
                <w:lang w:val="en-GB" w:eastAsia="en-GB"/>
              </w:rPr>
            </w:pPr>
          </w:p>
        </w:tc>
        <w:tc>
          <w:tcPr>
            <w:tcW w:w="1494" w:type="dxa"/>
            <w:tcBorders>
              <w:top w:val="single" w:sz="6" w:space="0" w:color="000000"/>
              <w:bottom w:val="single" w:sz="6" w:space="0" w:color="000000"/>
            </w:tcBorders>
            <w:shd w:val="clear" w:color="auto" w:fill="auto"/>
            <w:vAlign w:val="bottom"/>
          </w:tcPr>
          <w:p w14:paraId="07468449"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3,814,576 </w:t>
            </w:r>
          </w:p>
        </w:tc>
        <w:tc>
          <w:tcPr>
            <w:tcW w:w="1494" w:type="dxa"/>
            <w:tcBorders>
              <w:top w:val="single" w:sz="6" w:space="0" w:color="000000"/>
              <w:bottom w:val="single" w:sz="6" w:space="0" w:color="000000"/>
              <w:right w:val="single" w:sz="6" w:space="0" w:color="000000"/>
            </w:tcBorders>
            <w:shd w:val="clear" w:color="auto" w:fill="auto"/>
            <w:vAlign w:val="bottom"/>
          </w:tcPr>
          <w:p w14:paraId="374DA4BC"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4,155,576 </w:t>
            </w:r>
          </w:p>
        </w:tc>
      </w:tr>
      <w:tr w:rsidR="00141421" w:rsidRPr="00F868E5" w14:paraId="754AAE0C" w14:textId="77777777" w:rsidTr="00141421">
        <w:tblPrEx>
          <w:tblCellMar>
            <w:top w:w="0" w:type="dxa"/>
            <w:bottom w:w="0" w:type="dxa"/>
          </w:tblCellMar>
        </w:tblPrEx>
        <w:tc>
          <w:tcPr>
            <w:tcW w:w="8856" w:type="dxa"/>
            <w:gridSpan w:val="3"/>
            <w:tcBorders>
              <w:top w:val="single" w:sz="6" w:space="0" w:color="000000"/>
              <w:left w:val="single" w:sz="6" w:space="0" w:color="000000"/>
              <w:bottom w:val="single" w:sz="6" w:space="0" w:color="000000"/>
              <w:right w:val="single" w:sz="6" w:space="0" w:color="000000"/>
            </w:tcBorders>
            <w:shd w:val="clear" w:color="auto" w:fill="auto"/>
          </w:tcPr>
          <w:p w14:paraId="27FB7881" w14:textId="77777777" w:rsidR="00141421" w:rsidRPr="009F4573" w:rsidRDefault="009F4573" w:rsidP="00067058">
            <w:pPr>
              <w:pStyle w:val="TableHead"/>
              <w:keepNext/>
              <w:keepLines/>
              <w:widowControl w:val="0"/>
              <w:jc w:val="center"/>
            </w:pPr>
            <w:r w:rsidRPr="009F4573">
              <w:t>2 (b) Ioncam Eile</w:t>
            </w:r>
          </w:p>
        </w:tc>
      </w:tr>
      <w:tr w:rsidR="009F4573" w:rsidRPr="00F868E5" w14:paraId="72649524"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4D04039C" w14:textId="77777777" w:rsidR="009F4573" w:rsidRPr="009F4573" w:rsidRDefault="009F4573" w:rsidP="00067058">
            <w:pPr>
              <w:pStyle w:val="TableRowHead"/>
              <w:keepLines/>
              <w:widowControl w:val="0"/>
            </w:pPr>
            <w:proofErr w:type="spellStart"/>
            <w:r w:rsidRPr="009F4573">
              <w:t>Tionscadal</w:t>
            </w:r>
            <w:proofErr w:type="spellEnd"/>
            <w:r w:rsidRPr="009F4573">
              <w:t xml:space="preserve"> TSME </w:t>
            </w:r>
            <w:proofErr w:type="spellStart"/>
            <w:r w:rsidRPr="009F4573">
              <w:t>Cistithe</w:t>
            </w:r>
            <w:proofErr w:type="spellEnd"/>
            <w:r w:rsidRPr="009F4573">
              <w:t xml:space="preserve"> ag an AE</w:t>
            </w:r>
          </w:p>
        </w:tc>
        <w:tc>
          <w:tcPr>
            <w:tcW w:w="1494" w:type="dxa"/>
            <w:tcBorders>
              <w:top w:val="single" w:sz="6" w:space="0" w:color="000000"/>
              <w:bottom w:val="single" w:sz="6" w:space="0" w:color="000000"/>
            </w:tcBorders>
            <w:shd w:val="clear" w:color="auto" w:fill="auto"/>
            <w:vAlign w:val="bottom"/>
          </w:tcPr>
          <w:p w14:paraId="2E0B5E40"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0 </w:t>
            </w:r>
          </w:p>
        </w:tc>
        <w:tc>
          <w:tcPr>
            <w:tcW w:w="1494" w:type="dxa"/>
            <w:tcBorders>
              <w:top w:val="single" w:sz="6" w:space="0" w:color="000000"/>
              <w:bottom w:val="single" w:sz="6" w:space="0" w:color="000000"/>
              <w:right w:val="single" w:sz="6" w:space="0" w:color="000000"/>
            </w:tcBorders>
            <w:shd w:val="clear" w:color="auto" w:fill="auto"/>
            <w:vAlign w:val="bottom"/>
          </w:tcPr>
          <w:p w14:paraId="052B8A48"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71,570 </w:t>
            </w:r>
          </w:p>
        </w:tc>
      </w:tr>
      <w:tr w:rsidR="009F4573" w:rsidRPr="00F868E5" w14:paraId="328BDC14"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17BA6DA2" w14:textId="77777777" w:rsidR="009F4573" w:rsidRPr="009F4573" w:rsidRDefault="009F4573" w:rsidP="00067058">
            <w:pPr>
              <w:pStyle w:val="TableRowHead"/>
              <w:keepLines/>
              <w:widowControl w:val="0"/>
            </w:pPr>
            <w:proofErr w:type="spellStart"/>
            <w:r w:rsidRPr="009F4573">
              <w:t>Ús</w:t>
            </w:r>
            <w:proofErr w:type="spellEnd"/>
            <w:r w:rsidRPr="009F4573">
              <w:t xml:space="preserve"> Bainc</w:t>
            </w:r>
          </w:p>
        </w:tc>
        <w:tc>
          <w:tcPr>
            <w:tcW w:w="1494" w:type="dxa"/>
            <w:tcBorders>
              <w:top w:val="single" w:sz="6" w:space="0" w:color="000000"/>
              <w:bottom w:val="single" w:sz="6" w:space="0" w:color="000000"/>
            </w:tcBorders>
            <w:shd w:val="clear" w:color="auto" w:fill="auto"/>
            <w:vAlign w:val="bottom"/>
          </w:tcPr>
          <w:p w14:paraId="660C9486"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0 </w:t>
            </w:r>
          </w:p>
        </w:tc>
        <w:tc>
          <w:tcPr>
            <w:tcW w:w="1494" w:type="dxa"/>
            <w:tcBorders>
              <w:top w:val="single" w:sz="6" w:space="0" w:color="000000"/>
              <w:bottom w:val="single" w:sz="6" w:space="0" w:color="000000"/>
              <w:right w:val="single" w:sz="6" w:space="0" w:color="000000"/>
            </w:tcBorders>
            <w:shd w:val="clear" w:color="auto" w:fill="auto"/>
            <w:vAlign w:val="bottom"/>
          </w:tcPr>
          <w:p w14:paraId="0BAACD1F"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14,860 </w:t>
            </w:r>
          </w:p>
        </w:tc>
      </w:tr>
      <w:tr w:rsidR="009F4573" w:rsidRPr="00F868E5" w14:paraId="06B1ADEC"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3A86BF7C" w14:textId="77777777" w:rsidR="009F4573" w:rsidRPr="009F4573" w:rsidRDefault="009F4573" w:rsidP="00067058">
            <w:pPr>
              <w:pStyle w:val="TableRowHead"/>
              <w:keepLines/>
              <w:widowControl w:val="0"/>
            </w:pPr>
            <w:proofErr w:type="spellStart"/>
            <w:r w:rsidRPr="009F4573">
              <w:t>Fáltais</w:t>
            </w:r>
            <w:proofErr w:type="spellEnd"/>
            <w:r w:rsidRPr="009F4573">
              <w:t xml:space="preserve"> SSGT</w:t>
            </w:r>
          </w:p>
        </w:tc>
        <w:tc>
          <w:tcPr>
            <w:tcW w:w="1494" w:type="dxa"/>
            <w:tcBorders>
              <w:top w:val="single" w:sz="6" w:space="0" w:color="000000"/>
              <w:bottom w:val="single" w:sz="6" w:space="0" w:color="000000"/>
            </w:tcBorders>
            <w:shd w:val="clear" w:color="auto" w:fill="auto"/>
            <w:vAlign w:val="bottom"/>
          </w:tcPr>
          <w:p w14:paraId="5E6CD82E"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1 </w:t>
            </w:r>
          </w:p>
        </w:tc>
        <w:tc>
          <w:tcPr>
            <w:tcW w:w="1494" w:type="dxa"/>
            <w:tcBorders>
              <w:top w:val="single" w:sz="6" w:space="0" w:color="000000"/>
              <w:bottom w:val="single" w:sz="6" w:space="0" w:color="000000"/>
              <w:right w:val="single" w:sz="6" w:space="0" w:color="000000"/>
            </w:tcBorders>
            <w:shd w:val="clear" w:color="auto" w:fill="auto"/>
            <w:vAlign w:val="bottom"/>
          </w:tcPr>
          <w:p w14:paraId="10AE3847"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128 </w:t>
            </w:r>
          </w:p>
        </w:tc>
      </w:tr>
      <w:tr w:rsidR="009F4573" w:rsidRPr="00F868E5" w14:paraId="20BA0464"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6969FE10" w14:textId="77777777" w:rsidR="009F4573" w:rsidRPr="009F4573" w:rsidRDefault="009F4573" w:rsidP="00067058">
            <w:pPr>
              <w:pStyle w:val="TableRowHead"/>
              <w:keepLines/>
              <w:widowControl w:val="0"/>
            </w:pPr>
            <w:r w:rsidRPr="009F4573">
              <w:t>Cíos agus Seirbhísí</w:t>
            </w:r>
          </w:p>
        </w:tc>
        <w:tc>
          <w:tcPr>
            <w:tcW w:w="1494" w:type="dxa"/>
            <w:tcBorders>
              <w:top w:val="single" w:sz="6" w:space="0" w:color="000000"/>
              <w:bottom w:val="single" w:sz="6" w:space="0" w:color="000000"/>
            </w:tcBorders>
            <w:shd w:val="clear" w:color="auto" w:fill="auto"/>
            <w:vAlign w:val="bottom"/>
          </w:tcPr>
          <w:p w14:paraId="2244A905"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17,470 </w:t>
            </w:r>
          </w:p>
        </w:tc>
        <w:tc>
          <w:tcPr>
            <w:tcW w:w="1494" w:type="dxa"/>
            <w:tcBorders>
              <w:top w:val="single" w:sz="6" w:space="0" w:color="000000"/>
              <w:bottom w:val="single" w:sz="6" w:space="0" w:color="000000"/>
              <w:right w:val="single" w:sz="6" w:space="0" w:color="000000"/>
            </w:tcBorders>
            <w:shd w:val="clear" w:color="auto" w:fill="auto"/>
            <w:vAlign w:val="bottom"/>
          </w:tcPr>
          <w:p w14:paraId="3F14EC4C"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9,133 </w:t>
            </w:r>
          </w:p>
        </w:tc>
      </w:tr>
      <w:tr w:rsidR="009F4573" w:rsidRPr="00F868E5" w14:paraId="23210E76"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1B472F92" w14:textId="77777777" w:rsidR="009F4573" w:rsidRPr="009F4573" w:rsidRDefault="009F4573" w:rsidP="00067058">
            <w:pPr>
              <w:pStyle w:val="TableRowHead"/>
              <w:keepLines/>
              <w:widowControl w:val="0"/>
            </w:pPr>
            <w:r w:rsidRPr="009F4573">
              <w:t>Éagsúil</w:t>
            </w:r>
          </w:p>
        </w:tc>
        <w:tc>
          <w:tcPr>
            <w:tcW w:w="1494" w:type="dxa"/>
            <w:tcBorders>
              <w:top w:val="single" w:sz="6" w:space="0" w:color="000000"/>
              <w:bottom w:val="single" w:sz="6" w:space="0" w:color="000000"/>
            </w:tcBorders>
            <w:shd w:val="clear" w:color="auto" w:fill="auto"/>
            <w:vAlign w:val="bottom"/>
          </w:tcPr>
          <w:p w14:paraId="14F8B335"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0 </w:t>
            </w:r>
          </w:p>
        </w:tc>
        <w:tc>
          <w:tcPr>
            <w:tcW w:w="1494" w:type="dxa"/>
            <w:tcBorders>
              <w:top w:val="single" w:sz="6" w:space="0" w:color="000000"/>
              <w:bottom w:val="single" w:sz="6" w:space="0" w:color="000000"/>
              <w:right w:val="single" w:sz="6" w:space="0" w:color="000000"/>
            </w:tcBorders>
            <w:shd w:val="clear" w:color="auto" w:fill="auto"/>
            <w:vAlign w:val="bottom"/>
          </w:tcPr>
          <w:p w14:paraId="23FFB074"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41,921 </w:t>
            </w:r>
          </w:p>
        </w:tc>
      </w:tr>
      <w:tr w:rsidR="009F4573" w:rsidRPr="00F868E5" w14:paraId="786FBC3A" w14:textId="77777777" w:rsidTr="00231F76">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center"/>
          </w:tcPr>
          <w:p w14:paraId="463480CF" w14:textId="77777777" w:rsidR="009F4573" w:rsidRPr="009F4573" w:rsidRDefault="009F4573" w:rsidP="00067058">
            <w:pPr>
              <w:pStyle w:val="TableRowHead"/>
              <w:keepLines/>
              <w:widowControl w:val="0"/>
            </w:pPr>
            <w:proofErr w:type="spellStart"/>
            <w:r w:rsidRPr="009F4573">
              <w:t>Tionscadal</w:t>
            </w:r>
            <w:proofErr w:type="spellEnd"/>
            <w:r w:rsidRPr="009F4573">
              <w:t xml:space="preserve"> TSME </w:t>
            </w:r>
            <w:proofErr w:type="spellStart"/>
            <w:r w:rsidRPr="009F4573">
              <w:t>Cistithe</w:t>
            </w:r>
            <w:proofErr w:type="spellEnd"/>
            <w:r w:rsidRPr="009F4573">
              <w:t xml:space="preserve"> ag an AE</w:t>
            </w:r>
          </w:p>
        </w:tc>
        <w:tc>
          <w:tcPr>
            <w:tcW w:w="1494" w:type="dxa"/>
            <w:tcBorders>
              <w:top w:val="single" w:sz="6" w:space="0" w:color="000000"/>
              <w:bottom w:val="single" w:sz="6" w:space="0" w:color="000000"/>
            </w:tcBorders>
            <w:shd w:val="clear" w:color="auto" w:fill="auto"/>
            <w:vAlign w:val="bottom"/>
          </w:tcPr>
          <w:p w14:paraId="673E6B06"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2,684 </w:t>
            </w:r>
          </w:p>
        </w:tc>
        <w:tc>
          <w:tcPr>
            <w:tcW w:w="1494" w:type="dxa"/>
            <w:tcBorders>
              <w:top w:val="single" w:sz="6" w:space="0" w:color="000000"/>
              <w:bottom w:val="single" w:sz="6" w:space="0" w:color="000000"/>
              <w:right w:val="single" w:sz="6" w:space="0" w:color="000000"/>
            </w:tcBorders>
            <w:shd w:val="clear" w:color="auto" w:fill="auto"/>
            <w:vAlign w:val="bottom"/>
          </w:tcPr>
          <w:p w14:paraId="609CBF9C" w14:textId="77777777" w:rsidR="009F4573" w:rsidRPr="009F4573" w:rsidRDefault="009F4573" w:rsidP="00067058">
            <w:pPr>
              <w:keepNext/>
              <w:keepLines/>
              <w:widowControl w:val="0"/>
              <w:spacing w:after="0" w:line="240" w:lineRule="auto"/>
              <w:jc w:val="right"/>
              <w:rPr>
                <w:rFonts w:cs="Arial"/>
                <w:lang w:val="en-GB" w:eastAsia="en-GB"/>
              </w:rPr>
            </w:pPr>
            <w:r w:rsidRPr="009F4573">
              <w:rPr>
                <w:rFonts w:cs="Arial"/>
                <w:lang w:val="en-GB" w:eastAsia="en-GB"/>
              </w:rPr>
              <w:t xml:space="preserve">2,715 </w:t>
            </w:r>
          </w:p>
        </w:tc>
      </w:tr>
      <w:tr w:rsidR="00141421" w:rsidRPr="00F868E5" w14:paraId="334F68E2" w14:textId="77777777" w:rsidTr="00141421">
        <w:tblPrEx>
          <w:tblCellMar>
            <w:top w:w="0" w:type="dxa"/>
            <w:bottom w:w="0" w:type="dxa"/>
          </w:tblCellMar>
        </w:tblPrEx>
        <w:tc>
          <w:tcPr>
            <w:tcW w:w="5868" w:type="dxa"/>
            <w:tcBorders>
              <w:top w:val="single" w:sz="6" w:space="0" w:color="000000"/>
              <w:left w:val="single" w:sz="6" w:space="0" w:color="000000"/>
              <w:bottom w:val="single" w:sz="6" w:space="0" w:color="000000"/>
            </w:tcBorders>
            <w:shd w:val="clear" w:color="auto" w:fill="auto"/>
            <w:vAlign w:val="bottom"/>
          </w:tcPr>
          <w:p w14:paraId="7195073C" w14:textId="77777777" w:rsidR="00141421" w:rsidRPr="009F4573" w:rsidRDefault="00141421" w:rsidP="00067058">
            <w:pPr>
              <w:keepNext/>
              <w:keepLines/>
              <w:widowControl w:val="0"/>
              <w:spacing w:after="0" w:line="240" w:lineRule="auto"/>
              <w:rPr>
                <w:rFonts w:cs="Arial"/>
                <w:lang w:val="en-GB" w:eastAsia="en-GB"/>
              </w:rPr>
            </w:pPr>
          </w:p>
        </w:tc>
        <w:tc>
          <w:tcPr>
            <w:tcW w:w="1494" w:type="dxa"/>
            <w:tcBorders>
              <w:top w:val="single" w:sz="6" w:space="0" w:color="000000"/>
              <w:bottom w:val="single" w:sz="6" w:space="0" w:color="000000"/>
            </w:tcBorders>
            <w:shd w:val="clear" w:color="auto" w:fill="auto"/>
            <w:vAlign w:val="bottom"/>
          </w:tcPr>
          <w:p w14:paraId="7D4386E6"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20,155 </w:t>
            </w:r>
          </w:p>
        </w:tc>
        <w:tc>
          <w:tcPr>
            <w:tcW w:w="1494" w:type="dxa"/>
            <w:tcBorders>
              <w:top w:val="single" w:sz="6" w:space="0" w:color="000000"/>
              <w:bottom w:val="single" w:sz="6" w:space="0" w:color="000000"/>
              <w:right w:val="single" w:sz="6" w:space="0" w:color="000000"/>
            </w:tcBorders>
            <w:shd w:val="clear" w:color="auto" w:fill="auto"/>
            <w:vAlign w:val="bottom"/>
          </w:tcPr>
          <w:p w14:paraId="229B1A5F" w14:textId="77777777" w:rsidR="00141421" w:rsidRPr="009F4573" w:rsidRDefault="00141421" w:rsidP="00067058">
            <w:pPr>
              <w:keepNext/>
              <w:keepLines/>
              <w:widowControl w:val="0"/>
              <w:spacing w:after="0" w:line="240" w:lineRule="auto"/>
              <w:jc w:val="right"/>
              <w:rPr>
                <w:rFonts w:cs="Arial"/>
                <w:lang w:val="en-GB" w:eastAsia="en-GB"/>
              </w:rPr>
            </w:pPr>
            <w:r w:rsidRPr="009F4573">
              <w:rPr>
                <w:rFonts w:cs="Arial"/>
                <w:lang w:val="en-GB" w:eastAsia="en-GB"/>
              </w:rPr>
              <w:t xml:space="preserve">140,327 </w:t>
            </w:r>
          </w:p>
        </w:tc>
      </w:tr>
    </w:tbl>
    <w:p w14:paraId="08776CB0" w14:textId="77777777" w:rsidR="00141421" w:rsidRDefault="00141421" w:rsidP="00067058">
      <w:pPr>
        <w:pStyle w:val="TableTitle"/>
        <w:keepLines/>
        <w:widowControl w:val="0"/>
        <w:jc w:val="left"/>
      </w:pPr>
      <w:r>
        <w:rPr>
          <w:bCs/>
          <w:lang w:val="en-GB"/>
        </w:rPr>
        <w:t>3. Projects a</w:t>
      </w:r>
      <w:r w:rsidRPr="00F868E5">
        <w:rPr>
          <w:bCs/>
          <w:lang w:val="en-GB"/>
        </w:rPr>
        <w:t>nd Commissioned Work</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141421" w:rsidRPr="00F868E5" w14:paraId="058583A0" w14:textId="77777777" w:rsidTr="0013007A">
        <w:tblPrEx>
          <w:tblCellMar>
            <w:top w:w="0" w:type="dxa"/>
            <w:bottom w:w="0" w:type="dxa"/>
          </w:tblCellMar>
        </w:tblPrEx>
        <w:trPr>
          <w:tblHeader/>
        </w:trPr>
        <w:tc>
          <w:tcPr>
            <w:tcW w:w="5868" w:type="dxa"/>
            <w:shd w:val="clear" w:color="auto" w:fill="auto"/>
          </w:tcPr>
          <w:p w14:paraId="68915375" w14:textId="77777777" w:rsidR="00141421" w:rsidRPr="00F868E5" w:rsidRDefault="00141421" w:rsidP="00067058">
            <w:pPr>
              <w:pStyle w:val="TableHead"/>
              <w:keepNext/>
              <w:keepLines/>
              <w:widowControl w:val="0"/>
              <w:jc w:val="right"/>
            </w:pPr>
          </w:p>
        </w:tc>
        <w:tc>
          <w:tcPr>
            <w:tcW w:w="1494" w:type="dxa"/>
            <w:shd w:val="clear" w:color="auto" w:fill="auto"/>
          </w:tcPr>
          <w:p w14:paraId="2A3BA033" w14:textId="77777777" w:rsidR="00141421" w:rsidRPr="00F868E5" w:rsidRDefault="00141421" w:rsidP="00067058">
            <w:pPr>
              <w:pStyle w:val="TableHead"/>
              <w:keepNext/>
              <w:keepLines/>
              <w:widowControl w:val="0"/>
              <w:spacing w:line="240" w:lineRule="auto"/>
              <w:jc w:val="right"/>
            </w:pPr>
            <w:r w:rsidRPr="00F868E5">
              <w:t>2010</w:t>
            </w:r>
          </w:p>
        </w:tc>
        <w:tc>
          <w:tcPr>
            <w:tcW w:w="1494" w:type="dxa"/>
            <w:shd w:val="clear" w:color="auto" w:fill="auto"/>
          </w:tcPr>
          <w:p w14:paraId="4C7D7F32" w14:textId="77777777" w:rsidR="00141421" w:rsidRPr="00F868E5" w:rsidRDefault="00141421" w:rsidP="00067058">
            <w:pPr>
              <w:pStyle w:val="TableHead"/>
              <w:keepNext/>
              <w:keepLines/>
              <w:widowControl w:val="0"/>
              <w:spacing w:line="240" w:lineRule="auto"/>
              <w:jc w:val="right"/>
            </w:pPr>
            <w:r w:rsidRPr="00F868E5">
              <w:t>2009</w:t>
            </w:r>
          </w:p>
        </w:tc>
      </w:tr>
      <w:tr w:rsidR="00141421" w:rsidRPr="00F868E5" w14:paraId="49ABE0F3" w14:textId="77777777" w:rsidTr="0013007A">
        <w:tblPrEx>
          <w:tblCellMar>
            <w:top w:w="0" w:type="dxa"/>
            <w:bottom w:w="0" w:type="dxa"/>
          </w:tblCellMar>
        </w:tblPrEx>
        <w:trPr>
          <w:tblHeader/>
        </w:trPr>
        <w:tc>
          <w:tcPr>
            <w:tcW w:w="5868" w:type="dxa"/>
            <w:shd w:val="clear" w:color="auto" w:fill="auto"/>
          </w:tcPr>
          <w:p w14:paraId="6E173829" w14:textId="77777777" w:rsidR="00141421" w:rsidRPr="00F868E5" w:rsidRDefault="00141421" w:rsidP="00067058">
            <w:pPr>
              <w:pStyle w:val="TableRowHead"/>
              <w:keepLines/>
              <w:widowControl w:val="0"/>
            </w:pPr>
          </w:p>
        </w:tc>
        <w:tc>
          <w:tcPr>
            <w:tcW w:w="1494" w:type="dxa"/>
            <w:shd w:val="clear" w:color="auto" w:fill="auto"/>
            <w:vAlign w:val="bottom"/>
          </w:tcPr>
          <w:p w14:paraId="0BD26F17" w14:textId="77777777" w:rsidR="00141421" w:rsidRPr="00F868E5" w:rsidRDefault="00141421" w:rsidP="00067058">
            <w:pPr>
              <w:keepNext/>
              <w:keepLines/>
              <w:widowControl w:val="0"/>
              <w:spacing w:after="0" w:line="240" w:lineRule="auto"/>
              <w:jc w:val="right"/>
              <w:rPr>
                <w:rFonts w:cs="Arial"/>
                <w:b/>
                <w:bCs/>
                <w:lang w:val="en-GB" w:eastAsia="en-GB"/>
              </w:rPr>
            </w:pPr>
            <w:r w:rsidRPr="00F868E5">
              <w:rPr>
                <w:rFonts w:cs="Arial"/>
                <w:b/>
                <w:bCs/>
                <w:lang w:val="en-GB" w:eastAsia="en-GB"/>
              </w:rPr>
              <w:t xml:space="preserve">          €</w:t>
            </w:r>
          </w:p>
        </w:tc>
        <w:tc>
          <w:tcPr>
            <w:tcW w:w="1494" w:type="dxa"/>
            <w:shd w:val="clear" w:color="auto" w:fill="auto"/>
            <w:vAlign w:val="bottom"/>
          </w:tcPr>
          <w:p w14:paraId="22FC71F1" w14:textId="77777777" w:rsidR="00141421" w:rsidRPr="00F868E5" w:rsidRDefault="00141421" w:rsidP="00067058">
            <w:pPr>
              <w:keepNext/>
              <w:keepLines/>
              <w:widowControl w:val="0"/>
              <w:spacing w:after="0" w:line="240" w:lineRule="auto"/>
              <w:jc w:val="right"/>
              <w:rPr>
                <w:rFonts w:cs="Arial"/>
                <w:b/>
                <w:bCs/>
                <w:lang w:val="en-GB" w:eastAsia="en-GB"/>
              </w:rPr>
            </w:pPr>
            <w:r w:rsidRPr="00F868E5">
              <w:rPr>
                <w:rFonts w:cs="Arial"/>
                <w:b/>
                <w:bCs/>
                <w:lang w:val="en-GB" w:eastAsia="en-GB"/>
              </w:rPr>
              <w:t xml:space="preserve">          €</w:t>
            </w:r>
          </w:p>
        </w:tc>
      </w:tr>
      <w:tr w:rsidR="00141421" w:rsidRPr="00F868E5" w14:paraId="5ADA32CD" w14:textId="77777777" w:rsidTr="0013007A">
        <w:tblPrEx>
          <w:tblCellMar>
            <w:top w:w="0" w:type="dxa"/>
            <w:bottom w:w="0" w:type="dxa"/>
          </w:tblCellMar>
        </w:tblPrEx>
        <w:trPr>
          <w:tblHeader/>
        </w:trPr>
        <w:tc>
          <w:tcPr>
            <w:tcW w:w="5868" w:type="dxa"/>
            <w:shd w:val="clear" w:color="auto" w:fill="auto"/>
            <w:vAlign w:val="bottom"/>
          </w:tcPr>
          <w:p w14:paraId="61E19F2B" w14:textId="77777777" w:rsidR="00141421" w:rsidRPr="009B47EA" w:rsidRDefault="00192956" w:rsidP="00067058">
            <w:pPr>
              <w:pStyle w:val="TableRowHead"/>
              <w:keepLines/>
              <w:widowControl w:val="0"/>
              <w:rPr>
                <w:lang w:val="en-GB" w:eastAsia="en-GB"/>
              </w:rPr>
            </w:pPr>
            <w:r w:rsidRPr="009B47EA">
              <w:t xml:space="preserve">Scéim </w:t>
            </w:r>
            <w:proofErr w:type="spellStart"/>
            <w:r w:rsidRPr="009B47EA">
              <w:t>Dámhachtana</w:t>
            </w:r>
            <w:proofErr w:type="spellEnd"/>
            <w:r w:rsidRPr="009B47EA">
              <w:t xml:space="preserve"> um </w:t>
            </w:r>
            <w:proofErr w:type="spellStart"/>
            <w:r w:rsidRPr="009B47EA">
              <w:t>Sármhaitheas</w:t>
            </w:r>
            <w:proofErr w:type="spellEnd"/>
            <w:r w:rsidRPr="009B47EA">
              <w:t xml:space="preserve"> trí </w:t>
            </w:r>
            <w:proofErr w:type="spellStart"/>
            <w:r w:rsidRPr="009B47EA">
              <w:t>Inrochtaineacht</w:t>
            </w:r>
            <w:proofErr w:type="spellEnd"/>
          </w:p>
        </w:tc>
        <w:tc>
          <w:tcPr>
            <w:tcW w:w="1494" w:type="dxa"/>
            <w:shd w:val="clear" w:color="auto" w:fill="auto"/>
            <w:vAlign w:val="bottom"/>
          </w:tcPr>
          <w:p w14:paraId="27A42D1C"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74,320 </w:t>
            </w:r>
          </w:p>
        </w:tc>
        <w:tc>
          <w:tcPr>
            <w:tcW w:w="1494" w:type="dxa"/>
            <w:shd w:val="clear" w:color="auto" w:fill="auto"/>
            <w:vAlign w:val="bottom"/>
          </w:tcPr>
          <w:p w14:paraId="606341A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10,319 </w:t>
            </w:r>
          </w:p>
        </w:tc>
      </w:tr>
      <w:tr w:rsidR="00141421" w:rsidRPr="00F868E5" w14:paraId="060D50F2" w14:textId="77777777" w:rsidTr="0013007A">
        <w:tblPrEx>
          <w:tblCellMar>
            <w:top w:w="0" w:type="dxa"/>
            <w:bottom w:w="0" w:type="dxa"/>
          </w:tblCellMar>
        </w:tblPrEx>
        <w:trPr>
          <w:tblHeader/>
        </w:trPr>
        <w:tc>
          <w:tcPr>
            <w:tcW w:w="5868" w:type="dxa"/>
            <w:shd w:val="clear" w:color="auto" w:fill="auto"/>
            <w:vAlign w:val="bottom"/>
          </w:tcPr>
          <w:p w14:paraId="7FDBD6D5" w14:textId="77777777" w:rsidR="00141421" w:rsidRPr="009B47EA" w:rsidRDefault="00192956" w:rsidP="00067058">
            <w:pPr>
              <w:pStyle w:val="TableRowHead"/>
              <w:keepLines/>
              <w:widowControl w:val="0"/>
              <w:rPr>
                <w:lang w:val="en-GB" w:eastAsia="en-GB"/>
              </w:rPr>
            </w:pPr>
            <w:r w:rsidRPr="009B47EA">
              <w:t>Ábhair Nua - Leabharlann</w:t>
            </w:r>
          </w:p>
        </w:tc>
        <w:tc>
          <w:tcPr>
            <w:tcW w:w="1494" w:type="dxa"/>
            <w:shd w:val="clear" w:color="auto" w:fill="auto"/>
            <w:vAlign w:val="bottom"/>
          </w:tcPr>
          <w:p w14:paraId="2FCDACF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55,821 </w:t>
            </w:r>
          </w:p>
        </w:tc>
        <w:tc>
          <w:tcPr>
            <w:tcW w:w="1494" w:type="dxa"/>
            <w:shd w:val="clear" w:color="auto" w:fill="auto"/>
            <w:vAlign w:val="bottom"/>
          </w:tcPr>
          <w:p w14:paraId="0070E4FC"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42,115 </w:t>
            </w:r>
          </w:p>
        </w:tc>
      </w:tr>
      <w:tr w:rsidR="00141421" w:rsidRPr="00F868E5" w14:paraId="02156C4F" w14:textId="77777777" w:rsidTr="0013007A">
        <w:tblPrEx>
          <w:tblCellMar>
            <w:top w:w="0" w:type="dxa"/>
            <w:bottom w:w="0" w:type="dxa"/>
          </w:tblCellMar>
        </w:tblPrEx>
        <w:trPr>
          <w:tblHeader/>
        </w:trPr>
        <w:tc>
          <w:tcPr>
            <w:tcW w:w="5868" w:type="dxa"/>
            <w:shd w:val="clear" w:color="auto" w:fill="auto"/>
            <w:vAlign w:val="bottom"/>
          </w:tcPr>
          <w:p w14:paraId="47E70CA3" w14:textId="77777777" w:rsidR="00141421" w:rsidRPr="009B47EA" w:rsidRDefault="00192956" w:rsidP="00067058">
            <w:pPr>
              <w:pStyle w:val="TableRowHead"/>
              <w:keepLines/>
              <w:widowControl w:val="0"/>
              <w:rPr>
                <w:lang w:val="en-GB" w:eastAsia="en-GB"/>
              </w:rPr>
            </w:pPr>
            <w:proofErr w:type="spellStart"/>
            <w:r w:rsidRPr="009B47EA">
              <w:t>Ríomhfhoghlaim</w:t>
            </w:r>
            <w:proofErr w:type="spellEnd"/>
          </w:p>
        </w:tc>
        <w:tc>
          <w:tcPr>
            <w:tcW w:w="1494" w:type="dxa"/>
            <w:shd w:val="clear" w:color="auto" w:fill="auto"/>
            <w:vAlign w:val="bottom"/>
          </w:tcPr>
          <w:p w14:paraId="05DC9B7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48,402 </w:t>
            </w:r>
          </w:p>
        </w:tc>
        <w:tc>
          <w:tcPr>
            <w:tcW w:w="1494" w:type="dxa"/>
            <w:shd w:val="clear" w:color="auto" w:fill="auto"/>
            <w:vAlign w:val="bottom"/>
          </w:tcPr>
          <w:p w14:paraId="7B4430E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348 </w:t>
            </w:r>
          </w:p>
        </w:tc>
      </w:tr>
      <w:tr w:rsidR="00141421" w:rsidRPr="00F868E5" w14:paraId="16C6EA29" w14:textId="77777777" w:rsidTr="0013007A">
        <w:tblPrEx>
          <w:tblCellMar>
            <w:top w:w="0" w:type="dxa"/>
            <w:bottom w:w="0" w:type="dxa"/>
          </w:tblCellMar>
        </w:tblPrEx>
        <w:trPr>
          <w:tblHeader/>
        </w:trPr>
        <w:tc>
          <w:tcPr>
            <w:tcW w:w="5868" w:type="dxa"/>
            <w:shd w:val="clear" w:color="auto" w:fill="auto"/>
            <w:vAlign w:val="bottom"/>
          </w:tcPr>
          <w:p w14:paraId="0AE8CA60" w14:textId="77777777" w:rsidR="00141421" w:rsidRPr="009B47EA" w:rsidRDefault="00594740" w:rsidP="00067058">
            <w:pPr>
              <w:pStyle w:val="TableRowHead"/>
              <w:keepLines/>
              <w:widowControl w:val="0"/>
              <w:rPr>
                <w:lang w:val="en-GB" w:eastAsia="en-GB"/>
              </w:rPr>
            </w:pPr>
            <w:r>
              <w:rPr>
                <w:rFonts w:cs="Arial"/>
                <w:lang w:val="en-GB" w:eastAsia="en-GB"/>
              </w:rPr>
              <w:t xml:space="preserve">Tuairisc ar </w:t>
            </w:r>
            <w:proofErr w:type="spellStart"/>
            <w:r>
              <w:rPr>
                <w:rFonts w:cs="Arial"/>
                <w:lang w:val="en-GB" w:eastAsia="en-GB"/>
              </w:rPr>
              <w:t>thuairimí</w:t>
            </w:r>
            <w:proofErr w:type="spellEnd"/>
            <w:r>
              <w:rPr>
                <w:rFonts w:cs="Arial"/>
                <w:lang w:val="en-GB" w:eastAsia="en-GB"/>
              </w:rPr>
              <w:t xml:space="preserve"> daoine aonair faoi </w:t>
            </w:r>
            <w:proofErr w:type="spellStart"/>
            <w:r>
              <w:rPr>
                <w:rFonts w:cs="Arial"/>
                <w:lang w:val="en-GB" w:eastAsia="en-GB"/>
              </w:rPr>
              <w:t>mhíchumas</w:t>
            </w:r>
            <w:proofErr w:type="spellEnd"/>
            <w:r>
              <w:rPr>
                <w:rFonts w:cs="Arial"/>
                <w:lang w:val="en-GB" w:eastAsia="en-GB"/>
              </w:rPr>
              <w:t xml:space="preserve"> a cuireadh le chéile trí ghrúpaí </w:t>
            </w:r>
            <w:proofErr w:type="spellStart"/>
            <w:r>
              <w:rPr>
                <w:rFonts w:cs="Arial"/>
                <w:lang w:val="en-GB" w:eastAsia="en-GB"/>
              </w:rPr>
              <w:t>fócais</w:t>
            </w:r>
            <w:proofErr w:type="spellEnd"/>
            <w:r>
              <w:rPr>
                <w:rFonts w:cs="Arial"/>
                <w:lang w:val="en-GB" w:eastAsia="en-GB"/>
              </w:rPr>
              <w:t xml:space="preserve"> maidir le </w:t>
            </w:r>
            <w:proofErr w:type="spellStart"/>
            <w:r>
              <w:rPr>
                <w:rFonts w:cs="Arial"/>
                <w:lang w:val="en-GB" w:eastAsia="en-GB"/>
              </w:rPr>
              <w:t>conaí</w:t>
            </w:r>
            <w:proofErr w:type="spellEnd"/>
            <w:r>
              <w:rPr>
                <w:rFonts w:cs="Arial"/>
                <w:lang w:val="en-GB" w:eastAsia="en-GB"/>
              </w:rPr>
              <w:t xml:space="preserve"> neamhspleách/pobail</w:t>
            </w:r>
          </w:p>
        </w:tc>
        <w:tc>
          <w:tcPr>
            <w:tcW w:w="1494" w:type="dxa"/>
            <w:shd w:val="clear" w:color="auto" w:fill="auto"/>
            <w:vAlign w:val="bottom"/>
          </w:tcPr>
          <w:p w14:paraId="1FA876C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42,750 </w:t>
            </w:r>
          </w:p>
        </w:tc>
        <w:tc>
          <w:tcPr>
            <w:tcW w:w="1494" w:type="dxa"/>
            <w:shd w:val="clear" w:color="auto" w:fill="auto"/>
            <w:vAlign w:val="bottom"/>
          </w:tcPr>
          <w:p w14:paraId="1CE1A01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558644B1" w14:textId="77777777" w:rsidTr="0013007A">
        <w:tblPrEx>
          <w:tblCellMar>
            <w:top w:w="0" w:type="dxa"/>
            <w:bottom w:w="0" w:type="dxa"/>
          </w:tblCellMar>
        </w:tblPrEx>
        <w:trPr>
          <w:tblHeader/>
        </w:trPr>
        <w:tc>
          <w:tcPr>
            <w:tcW w:w="5868" w:type="dxa"/>
            <w:shd w:val="clear" w:color="auto" w:fill="auto"/>
            <w:vAlign w:val="bottom"/>
          </w:tcPr>
          <w:p w14:paraId="6811DC47" w14:textId="77777777" w:rsidR="00141421" w:rsidRPr="009B47EA" w:rsidRDefault="00192956" w:rsidP="00067058">
            <w:pPr>
              <w:pStyle w:val="TableRowHead"/>
              <w:keepLines/>
              <w:widowControl w:val="0"/>
              <w:rPr>
                <w:lang w:val="en-GB" w:eastAsia="en-GB"/>
              </w:rPr>
            </w:pPr>
            <w:r w:rsidRPr="009B47EA">
              <w:t>Dúshlán 24 uair</w:t>
            </w:r>
          </w:p>
        </w:tc>
        <w:tc>
          <w:tcPr>
            <w:tcW w:w="1494" w:type="dxa"/>
            <w:shd w:val="clear" w:color="auto" w:fill="auto"/>
            <w:vAlign w:val="bottom"/>
          </w:tcPr>
          <w:p w14:paraId="103C8CE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32,778 </w:t>
            </w:r>
          </w:p>
        </w:tc>
        <w:tc>
          <w:tcPr>
            <w:tcW w:w="1494" w:type="dxa"/>
            <w:shd w:val="clear" w:color="auto" w:fill="auto"/>
            <w:vAlign w:val="bottom"/>
          </w:tcPr>
          <w:p w14:paraId="7DF5B0A2"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20,892 </w:t>
            </w:r>
          </w:p>
        </w:tc>
      </w:tr>
      <w:tr w:rsidR="00141421" w:rsidRPr="00F868E5" w14:paraId="6573507C" w14:textId="77777777" w:rsidTr="0013007A">
        <w:tblPrEx>
          <w:tblCellMar>
            <w:top w:w="0" w:type="dxa"/>
            <w:bottom w:w="0" w:type="dxa"/>
          </w:tblCellMar>
        </w:tblPrEx>
        <w:trPr>
          <w:tblHeader/>
        </w:trPr>
        <w:tc>
          <w:tcPr>
            <w:tcW w:w="5868" w:type="dxa"/>
            <w:shd w:val="clear" w:color="auto" w:fill="auto"/>
            <w:vAlign w:val="bottom"/>
          </w:tcPr>
          <w:p w14:paraId="1B060E4C" w14:textId="77777777" w:rsidR="00141421" w:rsidRPr="009B47EA" w:rsidRDefault="00192956" w:rsidP="00067058">
            <w:pPr>
              <w:pStyle w:val="TableRowHead"/>
              <w:keepLines/>
              <w:widowControl w:val="0"/>
              <w:rPr>
                <w:lang w:val="en-GB" w:eastAsia="en-GB"/>
              </w:rPr>
            </w:pPr>
            <w:proofErr w:type="spellStart"/>
            <w:r w:rsidRPr="009B47EA">
              <w:t>Taighte</w:t>
            </w:r>
            <w:proofErr w:type="spellEnd"/>
            <w:r w:rsidRPr="009B47EA">
              <w:t xml:space="preserve"> re maoiniú don PWD</w:t>
            </w:r>
          </w:p>
        </w:tc>
        <w:tc>
          <w:tcPr>
            <w:tcW w:w="1494" w:type="dxa"/>
            <w:shd w:val="clear" w:color="auto" w:fill="auto"/>
            <w:vAlign w:val="bottom"/>
          </w:tcPr>
          <w:p w14:paraId="525F44D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21,152 </w:t>
            </w:r>
          </w:p>
        </w:tc>
        <w:tc>
          <w:tcPr>
            <w:tcW w:w="1494" w:type="dxa"/>
            <w:shd w:val="clear" w:color="auto" w:fill="auto"/>
            <w:vAlign w:val="bottom"/>
          </w:tcPr>
          <w:p w14:paraId="2BE0ADA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24,236 </w:t>
            </w:r>
          </w:p>
        </w:tc>
      </w:tr>
      <w:tr w:rsidR="00141421" w:rsidRPr="00F868E5" w14:paraId="68E0405B" w14:textId="77777777" w:rsidTr="0013007A">
        <w:tblPrEx>
          <w:tblCellMar>
            <w:top w:w="0" w:type="dxa"/>
            <w:bottom w:w="0" w:type="dxa"/>
          </w:tblCellMar>
        </w:tblPrEx>
        <w:trPr>
          <w:tblHeader/>
        </w:trPr>
        <w:tc>
          <w:tcPr>
            <w:tcW w:w="5868" w:type="dxa"/>
            <w:shd w:val="clear" w:color="auto" w:fill="auto"/>
            <w:vAlign w:val="bottom"/>
          </w:tcPr>
          <w:p w14:paraId="13E39D4F" w14:textId="77777777" w:rsidR="00141421" w:rsidRPr="009B47EA" w:rsidRDefault="00BE059D" w:rsidP="00067058">
            <w:pPr>
              <w:pStyle w:val="TableRowHead"/>
              <w:keepLines/>
              <w:widowControl w:val="0"/>
              <w:rPr>
                <w:lang w:val="en-GB" w:eastAsia="en-GB"/>
              </w:rPr>
            </w:pPr>
            <w:r w:rsidRPr="00D2792E">
              <w:rPr>
                <w:rFonts w:cs="Arial"/>
                <w:lang w:val="en-US" w:eastAsia="en-GB"/>
              </w:rPr>
              <w:t xml:space="preserve">Teilifís </w:t>
            </w:r>
            <w:proofErr w:type="spellStart"/>
            <w:r w:rsidRPr="00D2792E">
              <w:rPr>
                <w:rFonts w:cs="Arial"/>
                <w:lang w:val="en-US" w:eastAsia="en-GB"/>
              </w:rPr>
              <w:t>Trastíre</w:t>
            </w:r>
            <w:proofErr w:type="spellEnd"/>
            <w:r w:rsidRPr="00D2792E">
              <w:rPr>
                <w:rFonts w:cs="Arial"/>
                <w:lang w:val="en-US" w:eastAsia="en-GB"/>
              </w:rPr>
              <w:t xml:space="preserve"> </w:t>
            </w:r>
            <w:proofErr w:type="spellStart"/>
            <w:r w:rsidRPr="00D2792E">
              <w:rPr>
                <w:rFonts w:cs="Arial"/>
                <w:lang w:val="en-US" w:eastAsia="en-GB"/>
              </w:rPr>
              <w:t>Dhigiteach</w:t>
            </w:r>
            <w:proofErr w:type="spellEnd"/>
          </w:p>
        </w:tc>
        <w:tc>
          <w:tcPr>
            <w:tcW w:w="1494" w:type="dxa"/>
            <w:shd w:val="clear" w:color="auto" w:fill="auto"/>
            <w:vAlign w:val="bottom"/>
          </w:tcPr>
          <w:p w14:paraId="1E16A7A2"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20,500 </w:t>
            </w:r>
          </w:p>
        </w:tc>
        <w:tc>
          <w:tcPr>
            <w:tcW w:w="1494" w:type="dxa"/>
            <w:shd w:val="clear" w:color="auto" w:fill="auto"/>
            <w:vAlign w:val="bottom"/>
          </w:tcPr>
          <w:p w14:paraId="6629B3B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071DE1D0" w14:textId="77777777" w:rsidTr="0013007A">
        <w:tblPrEx>
          <w:tblCellMar>
            <w:top w:w="0" w:type="dxa"/>
            <w:bottom w:w="0" w:type="dxa"/>
          </w:tblCellMar>
        </w:tblPrEx>
        <w:trPr>
          <w:tblHeader/>
        </w:trPr>
        <w:tc>
          <w:tcPr>
            <w:tcW w:w="5868" w:type="dxa"/>
            <w:shd w:val="clear" w:color="auto" w:fill="auto"/>
            <w:vAlign w:val="bottom"/>
          </w:tcPr>
          <w:p w14:paraId="7E11CAD5" w14:textId="77777777" w:rsidR="00141421" w:rsidRPr="009B47EA" w:rsidRDefault="00192956" w:rsidP="00067058">
            <w:pPr>
              <w:pStyle w:val="TableRowHead"/>
              <w:keepLines/>
              <w:widowControl w:val="0"/>
              <w:rPr>
                <w:lang w:val="en-GB" w:eastAsia="en-GB"/>
              </w:rPr>
            </w:pPr>
            <w:r w:rsidRPr="009B47EA">
              <w:t>Tógáil do gach aon duine</w:t>
            </w:r>
          </w:p>
        </w:tc>
        <w:tc>
          <w:tcPr>
            <w:tcW w:w="1494" w:type="dxa"/>
            <w:shd w:val="clear" w:color="auto" w:fill="auto"/>
            <w:vAlign w:val="bottom"/>
          </w:tcPr>
          <w:p w14:paraId="0B9F3D2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19,887 </w:t>
            </w:r>
          </w:p>
        </w:tc>
        <w:tc>
          <w:tcPr>
            <w:tcW w:w="1494" w:type="dxa"/>
            <w:shd w:val="clear" w:color="auto" w:fill="auto"/>
            <w:vAlign w:val="bottom"/>
          </w:tcPr>
          <w:p w14:paraId="76FA9B1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28,535 </w:t>
            </w:r>
          </w:p>
        </w:tc>
      </w:tr>
      <w:tr w:rsidR="00141421" w:rsidRPr="00F868E5" w14:paraId="03ABEA74" w14:textId="77777777" w:rsidTr="0013007A">
        <w:tblPrEx>
          <w:tblCellMar>
            <w:top w:w="0" w:type="dxa"/>
            <w:bottom w:w="0" w:type="dxa"/>
          </w:tblCellMar>
        </w:tblPrEx>
        <w:trPr>
          <w:tblHeader/>
        </w:trPr>
        <w:tc>
          <w:tcPr>
            <w:tcW w:w="5868" w:type="dxa"/>
            <w:shd w:val="clear" w:color="auto" w:fill="auto"/>
            <w:vAlign w:val="bottom"/>
          </w:tcPr>
          <w:p w14:paraId="206C8B42" w14:textId="77777777" w:rsidR="00141421" w:rsidRPr="009B47EA" w:rsidRDefault="00192956" w:rsidP="00067058">
            <w:pPr>
              <w:pStyle w:val="TableRowHead"/>
              <w:keepLines/>
              <w:widowControl w:val="0"/>
              <w:rPr>
                <w:lang w:val="en-GB" w:eastAsia="en-GB"/>
              </w:rPr>
            </w:pPr>
            <w:r w:rsidRPr="009B47EA">
              <w:t xml:space="preserve">Comhdháil um Thaighde </w:t>
            </w:r>
            <w:proofErr w:type="spellStart"/>
            <w:r w:rsidRPr="009B47EA">
              <w:t>Míchumais</w:t>
            </w:r>
            <w:proofErr w:type="spellEnd"/>
          </w:p>
        </w:tc>
        <w:tc>
          <w:tcPr>
            <w:tcW w:w="1494" w:type="dxa"/>
            <w:shd w:val="clear" w:color="auto" w:fill="auto"/>
            <w:vAlign w:val="bottom"/>
          </w:tcPr>
          <w:p w14:paraId="7F271A4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19,402 </w:t>
            </w:r>
          </w:p>
        </w:tc>
        <w:tc>
          <w:tcPr>
            <w:tcW w:w="1494" w:type="dxa"/>
            <w:shd w:val="clear" w:color="auto" w:fill="auto"/>
            <w:vAlign w:val="bottom"/>
          </w:tcPr>
          <w:p w14:paraId="1A27CB3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23,874 </w:t>
            </w:r>
          </w:p>
        </w:tc>
      </w:tr>
      <w:tr w:rsidR="00141421" w:rsidRPr="00F868E5" w14:paraId="7EEC78B0" w14:textId="77777777" w:rsidTr="0013007A">
        <w:tblPrEx>
          <w:tblCellMar>
            <w:top w:w="0" w:type="dxa"/>
            <w:bottom w:w="0" w:type="dxa"/>
          </w:tblCellMar>
        </w:tblPrEx>
        <w:trPr>
          <w:tblHeader/>
        </w:trPr>
        <w:tc>
          <w:tcPr>
            <w:tcW w:w="5868" w:type="dxa"/>
            <w:shd w:val="clear" w:color="auto" w:fill="auto"/>
            <w:vAlign w:val="bottom"/>
          </w:tcPr>
          <w:p w14:paraId="754E2613" w14:textId="77777777" w:rsidR="00141421" w:rsidRPr="009B47EA" w:rsidRDefault="00192956" w:rsidP="00067058">
            <w:pPr>
              <w:pStyle w:val="TableRowHead"/>
              <w:keepLines/>
              <w:widowControl w:val="0"/>
              <w:rPr>
                <w:lang w:val="en-GB" w:eastAsia="en-GB"/>
              </w:rPr>
            </w:pPr>
            <w:r w:rsidRPr="009B47EA">
              <w:t xml:space="preserve">Taighde sna seirbhísí sláinte do mhná faoi </w:t>
            </w:r>
            <w:proofErr w:type="spellStart"/>
            <w:r w:rsidRPr="009B47EA">
              <w:t>mhíchumais</w:t>
            </w:r>
            <w:proofErr w:type="spellEnd"/>
            <w:r w:rsidRPr="009B47EA">
              <w:t xml:space="preserve"> atá ag iompar clainne</w:t>
            </w:r>
          </w:p>
        </w:tc>
        <w:tc>
          <w:tcPr>
            <w:tcW w:w="1494" w:type="dxa"/>
            <w:shd w:val="clear" w:color="auto" w:fill="auto"/>
            <w:vAlign w:val="bottom"/>
          </w:tcPr>
          <w:p w14:paraId="5217A11C"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17,081 </w:t>
            </w:r>
          </w:p>
        </w:tc>
        <w:tc>
          <w:tcPr>
            <w:tcW w:w="1494" w:type="dxa"/>
            <w:shd w:val="clear" w:color="auto" w:fill="auto"/>
            <w:vAlign w:val="bottom"/>
          </w:tcPr>
          <w:p w14:paraId="6F8C92E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39,983 </w:t>
            </w:r>
          </w:p>
        </w:tc>
      </w:tr>
      <w:tr w:rsidR="00141421" w:rsidRPr="00F868E5" w14:paraId="03B88ABB" w14:textId="77777777" w:rsidTr="0013007A">
        <w:tblPrEx>
          <w:tblCellMar>
            <w:top w:w="0" w:type="dxa"/>
            <w:bottom w:w="0" w:type="dxa"/>
          </w:tblCellMar>
        </w:tblPrEx>
        <w:trPr>
          <w:tblHeader/>
        </w:trPr>
        <w:tc>
          <w:tcPr>
            <w:tcW w:w="5868" w:type="dxa"/>
            <w:shd w:val="clear" w:color="auto" w:fill="auto"/>
            <w:vAlign w:val="bottom"/>
          </w:tcPr>
          <w:p w14:paraId="50DEF0F2" w14:textId="77777777" w:rsidR="00141421" w:rsidRPr="009B47EA" w:rsidRDefault="00192956" w:rsidP="00067058">
            <w:pPr>
              <w:pStyle w:val="TableRowHead"/>
              <w:keepLines/>
              <w:widowControl w:val="0"/>
              <w:rPr>
                <w:lang w:val="en-GB" w:eastAsia="en-GB"/>
              </w:rPr>
            </w:pPr>
            <w:r w:rsidRPr="009B47EA">
              <w:t xml:space="preserve">Drochíde </w:t>
            </w:r>
            <w:proofErr w:type="spellStart"/>
            <w:r w:rsidRPr="009B47EA">
              <w:t>tionscadal</w:t>
            </w:r>
            <w:proofErr w:type="spellEnd"/>
          </w:p>
        </w:tc>
        <w:tc>
          <w:tcPr>
            <w:tcW w:w="1494" w:type="dxa"/>
            <w:shd w:val="clear" w:color="auto" w:fill="auto"/>
            <w:vAlign w:val="bottom"/>
          </w:tcPr>
          <w:p w14:paraId="13CE5B3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12,960 </w:t>
            </w:r>
          </w:p>
        </w:tc>
        <w:tc>
          <w:tcPr>
            <w:tcW w:w="1494" w:type="dxa"/>
            <w:shd w:val="clear" w:color="auto" w:fill="auto"/>
            <w:vAlign w:val="bottom"/>
          </w:tcPr>
          <w:p w14:paraId="6E8F1F8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35,074 </w:t>
            </w:r>
          </w:p>
        </w:tc>
      </w:tr>
      <w:tr w:rsidR="00141421" w:rsidRPr="00F868E5" w14:paraId="794DDC18" w14:textId="77777777" w:rsidTr="0013007A">
        <w:tblPrEx>
          <w:tblCellMar>
            <w:top w:w="0" w:type="dxa"/>
            <w:bottom w:w="0" w:type="dxa"/>
          </w:tblCellMar>
        </w:tblPrEx>
        <w:trPr>
          <w:tblHeader/>
        </w:trPr>
        <w:tc>
          <w:tcPr>
            <w:tcW w:w="5868" w:type="dxa"/>
            <w:shd w:val="clear" w:color="auto" w:fill="auto"/>
            <w:vAlign w:val="bottom"/>
          </w:tcPr>
          <w:p w14:paraId="59AEECF1" w14:textId="77777777" w:rsidR="00141421" w:rsidRPr="009B47EA" w:rsidRDefault="00BE059D" w:rsidP="00067058">
            <w:pPr>
              <w:pStyle w:val="TableRowHead"/>
              <w:keepLines/>
              <w:widowControl w:val="0"/>
              <w:rPr>
                <w:highlight w:val="yellow"/>
                <w:lang w:val="en-GB" w:eastAsia="en-GB"/>
              </w:rPr>
            </w:pPr>
            <w:proofErr w:type="spellStart"/>
            <w:r>
              <w:rPr>
                <w:rFonts w:cs="Arial"/>
                <w:lang w:val="en-GB" w:eastAsia="en-GB"/>
              </w:rPr>
              <w:t>Meonta</w:t>
            </w:r>
            <w:proofErr w:type="spellEnd"/>
            <w:r>
              <w:rPr>
                <w:rFonts w:cs="Arial"/>
                <w:lang w:val="en-GB" w:eastAsia="en-GB"/>
              </w:rPr>
              <w:t xml:space="preserve"> taighde i leith </w:t>
            </w:r>
            <w:proofErr w:type="spellStart"/>
            <w:r>
              <w:rPr>
                <w:rFonts w:cs="Arial"/>
                <w:lang w:val="en-GB" w:eastAsia="en-GB"/>
              </w:rPr>
              <w:t>Meabhairshláinte</w:t>
            </w:r>
            <w:proofErr w:type="spellEnd"/>
          </w:p>
        </w:tc>
        <w:tc>
          <w:tcPr>
            <w:tcW w:w="1494" w:type="dxa"/>
            <w:shd w:val="clear" w:color="auto" w:fill="auto"/>
            <w:vAlign w:val="bottom"/>
          </w:tcPr>
          <w:p w14:paraId="26C4BE8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12,750 </w:t>
            </w:r>
          </w:p>
        </w:tc>
        <w:tc>
          <w:tcPr>
            <w:tcW w:w="1494" w:type="dxa"/>
            <w:shd w:val="clear" w:color="auto" w:fill="auto"/>
            <w:vAlign w:val="bottom"/>
          </w:tcPr>
          <w:p w14:paraId="64CF21B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3B180DEB" w14:textId="77777777" w:rsidTr="0013007A">
        <w:tblPrEx>
          <w:tblCellMar>
            <w:top w:w="0" w:type="dxa"/>
            <w:bottom w:w="0" w:type="dxa"/>
          </w:tblCellMar>
        </w:tblPrEx>
        <w:trPr>
          <w:tblHeader/>
        </w:trPr>
        <w:tc>
          <w:tcPr>
            <w:tcW w:w="5868" w:type="dxa"/>
            <w:shd w:val="clear" w:color="auto" w:fill="auto"/>
            <w:vAlign w:val="bottom"/>
          </w:tcPr>
          <w:p w14:paraId="3B018AC4" w14:textId="77777777" w:rsidR="00141421" w:rsidRPr="009B47EA" w:rsidRDefault="00BE059D" w:rsidP="00067058">
            <w:pPr>
              <w:pStyle w:val="TableRowHead"/>
              <w:keepLines/>
              <w:widowControl w:val="0"/>
              <w:rPr>
                <w:highlight w:val="yellow"/>
                <w:lang w:val="en-GB" w:eastAsia="en-GB"/>
              </w:rPr>
            </w:pPr>
            <w:proofErr w:type="spellStart"/>
            <w:r>
              <w:rPr>
                <w:rFonts w:cs="Arial"/>
                <w:lang w:val="en-GB" w:eastAsia="en-GB"/>
              </w:rPr>
              <w:t>Nuashonruithe</w:t>
            </w:r>
            <w:proofErr w:type="spellEnd"/>
            <w:r>
              <w:rPr>
                <w:rFonts w:cs="Arial"/>
                <w:lang w:val="en-GB" w:eastAsia="en-GB"/>
              </w:rPr>
              <w:t xml:space="preserve"> a bhaineann le h</w:t>
            </w:r>
            <w:r>
              <w:t>A</w:t>
            </w:r>
            <w:proofErr w:type="spellStart"/>
            <w:r w:rsidRPr="00D2792E">
              <w:rPr>
                <w:rFonts w:cs="Arial"/>
                <w:lang w:val="en-GB" w:eastAsia="en-GB"/>
              </w:rPr>
              <w:t>slonnú</w:t>
            </w:r>
            <w:proofErr w:type="spellEnd"/>
          </w:p>
        </w:tc>
        <w:tc>
          <w:tcPr>
            <w:tcW w:w="1494" w:type="dxa"/>
            <w:shd w:val="clear" w:color="auto" w:fill="auto"/>
            <w:vAlign w:val="bottom"/>
          </w:tcPr>
          <w:p w14:paraId="4535596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12,596 </w:t>
            </w:r>
          </w:p>
        </w:tc>
        <w:tc>
          <w:tcPr>
            <w:tcW w:w="1494" w:type="dxa"/>
            <w:shd w:val="clear" w:color="auto" w:fill="auto"/>
            <w:vAlign w:val="bottom"/>
          </w:tcPr>
          <w:p w14:paraId="2AB3498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44F058EC" w14:textId="77777777" w:rsidTr="0013007A">
        <w:tblPrEx>
          <w:tblCellMar>
            <w:top w:w="0" w:type="dxa"/>
            <w:bottom w:w="0" w:type="dxa"/>
          </w:tblCellMar>
        </w:tblPrEx>
        <w:trPr>
          <w:tblHeader/>
        </w:trPr>
        <w:tc>
          <w:tcPr>
            <w:tcW w:w="5868" w:type="dxa"/>
            <w:shd w:val="clear" w:color="auto" w:fill="auto"/>
            <w:vAlign w:val="bottom"/>
          </w:tcPr>
          <w:p w14:paraId="24DAB65B" w14:textId="77777777" w:rsidR="00141421" w:rsidRPr="009B47EA" w:rsidRDefault="00192956" w:rsidP="00067058">
            <w:pPr>
              <w:pStyle w:val="TableRowHead"/>
              <w:keepLines/>
              <w:widowControl w:val="0"/>
              <w:rPr>
                <w:lang w:val="en-GB" w:eastAsia="en-GB"/>
              </w:rPr>
            </w:pPr>
            <w:r w:rsidRPr="009B47EA">
              <w:t xml:space="preserve">Leabhar </w:t>
            </w:r>
            <w:proofErr w:type="spellStart"/>
            <w:r w:rsidRPr="009B47EA">
              <w:t>míchumais</w:t>
            </w:r>
            <w:proofErr w:type="spellEnd"/>
          </w:p>
        </w:tc>
        <w:tc>
          <w:tcPr>
            <w:tcW w:w="1494" w:type="dxa"/>
            <w:shd w:val="clear" w:color="auto" w:fill="auto"/>
            <w:vAlign w:val="bottom"/>
          </w:tcPr>
          <w:p w14:paraId="75928D8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11,314 </w:t>
            </w:r>
          </w:p>
        </w:tc>
        <w:tc>
          <w:tcPr>
            <w:tcW w:w="1494" w:type="dxa"/>
            <w:shd w:val="clear" w:color="auto" w:fill="auto"/>
            <w:vAlign w:val="bottom"/>
          </w:tcPr>
          <w:p w14:paraId="124D9240"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14,580 </w:t>
            </w:r>
          </w:p>
        </w:tc>
      </w:tr>
      <w:tr w:rsidR="00141421" w:rsidRPr="00F868E5" w14:paraId="720F6D36" w14:textId="77777777" w:rsidTr="0013007A">
        <w:tblPrEx>
          <w:tblCellMar>
            <w:top w:w="0" w:type="dxa"/>
            <w:bottom w:w="0" w:type="dxa"/>
          </w:tblCellMar>
        </w:tblPrEx>
        <w:trPr>
          <w:tblHeader/>
        </w:trPr>
        <w:tc>
          <w:tcPr>
            <w:tcW w:w="5868" w:type="dxa"/>
            <w:shd w:val="clear" w:color="auto" w:fill="auto"/>
            <w:vAlign w:val="bottom"/>
          </w:tcPr>
          <w:p w14:paraId="53902E00" w14:textId="77777777" w:rsidR="00141421" w:rsidRPr="009B47EA" w:rsidRDefault="00BE059D" w:rsidP="00067058">
            <w:pPr>
              <w:pStyle w:val="TableRowHead"/>
              <w:keepLines/>
              <w:widowControl w:val="0"/>
              <w:rPr>
                <w:lang w:val="en-GB" w:eastAsia="en-GB"/>
              </w:rPr>
            </w:pPr>
            <w:r>
              <w:rPr>
                <w:rFonts w:cs="Arial"/>
                <w:lang w:val="en-GB" w:eastAsia="en-GB"/>
              </w:rPr>
              <w:t xml:space="preserve">An </w:t>
            </w:r>
            <w:proofErr w:type="spellStart"/>
            <w:r>
              <w:rPr>
                <w:rFonts w:cs="Arial"/>
                <w:lang w:val="en-GB" w:eastAsia="en-GB"/>
              </w:rPr>
              <w:t>Tionscadal</w:t>
            </w:r>
            <w:proofErr w:type="spellEnd"/>
            <w:r w:rsidRPr="000337EF">
              <w:rPr>
                <w:rFonts w:cs="Arial"/>
                <w:lang w:val="en-GB" w:eastAsia="en-GB"/>
              </w:rPr>
              <w:t xml:space="preserve"> Need to Knowledge</w:t>
            </w:r>
          </w:p>
        </w:tc>
        <w:tc>
          <w:tcPr>
            <w:tcW w:w="1494" w:type="dxa"/>
            <w:shd w:val="clear" w:color="auto" w:fill="auto"/>
            <w:vAlign w:val="bottom"/>
          </w:tcPr>
          <w:p w14:paraId="5D418EC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10,000 </w:t>
            </w:r>
          </w:p>
        </w:tc>
        <w:tc>
          <w:tcPr>
            <w:tcW w:w="1494" w:type="dxa"/>
            <w:shd w:val="clear" w:color="auto" w:fill="auto"/>
            <w:vAlign w:val="bottom"/>
          </w:tcPr>
          <w:p w14:paraId="370FBE97"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3C3615DC" w14:textId="77777777" w:rsidTr="0013007A">
        <w:tblPrEx>
          <w:tblCellMar>
            <w:top w:w="0" w:type="dxa"/>
            <w:bottom w:w="0" w:type="dxa"/>
          </w:tblCellMar>
        </w:tblPrEx>
        <w:trPr>
          <w:tblHeader/>
        </w:trPr>
        <w:tc>
          <w:tcPr>
            <w:tcW w:w="5868" w:type="dxa"/>
            <w:shd w:val="clear" w:color="auto" w:fill="auto"/>
            <w:vAlign w:val="bottom"/>
          </w:tcPr>
          <w:p w14:paraId="54DD9FF6" w14:textId="77777777" w:rsidR="00141421" w:rsidRPr="009B47EA" w:rsidRDefault="00BE059D" w:rsidP="00067058">
            <w:pPr>
              <w:pStyle w:val="TableRowHead"/>
              <w:keepLines/>
              <w:widowControl w:val="0"/>
              <w:rPr>
                <w:highlight w:val="yellow"/>
                <w:lang w:val="en-GB" w:eastAsia="en-GB"/>
              </w:rPr>
            </w:pPr>
            <w:r>
              <w:rPr>
                <w:rFonts w:cs="Arial"/>
                <w:lang w:val="en-GB" w:eastAsia="en-GB"/>
              </w:rPr>
              <w:t xml:space="preserve">UD sa cheardlann </w:t>
            </w:r>
            <w:r>
              <w:rPr>
                <w:rFonts w:cs="Arial"/>
                <w:lang w:val="en-US" w:eastAsia="en-GB"/>
              </w:rPr>
              <w:t>Reachtaíochta N</w:t>
            </w:r>
            <w:r w:rsidRPr="00D2792E">
              <w:rPr>
                <w:rFonts w:cs="Arial"/>
                <w:lang w:val="en-US" w:eastAsia="en-GB"/>
              </w:rPr>
              <w:t>áisiúnta</w:t>
            </w:r>
          </w:p>
        </w:tc>
        <w:tc>
          <w:tcPr>
            <w:tcW w:w="1494" w:type="dxa"/>
            <w:shd w:val="clear" w:color="auto" w:fill="auto"/>
            <w:vAlign w:val="bottom"/>
          </w:tcPr>
          <w:p w14:paraId="554E773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9,685 </w:t>
            </w:r>
          </w:p>
        </w:tc>
        <w:tc>
          <w:tcPr>
            <w:tcW w:w="1494" w:type="dxa"/>
            <w:shd w:val="clear" w:color="auto" w:fill="auto"/>
            <w:vAlign w:val="bottom"/>
          </w:tcPr>
          <w:p w14:paraId="3E401A1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4213183F" w14:textId="77777777" w:rsidTr="0013007A">
        <w:tblPrEx>
          <w:tblCellMar>
            <w:top w:w="0" w:type="dxa"/>
            <w:bottom w:w="0" w:type="dxa"/>
          </w:tblCellMar>
        </w:tblPrEx>
        <w:trPr>
          <w:tblHeader/>
        </w:trPr>
        <w:tc>
          <w:tcPr>
            <w:tcW w:w="5868" w:type="dxa"/>
            <w:shd w:val="clear" w:color="auto" w:fill="auto"/>
            <w:vAlign w:val="bottom"/>
          </w:tcPr>
          <w:p w14:paraId="01F17E87" w14:textId="77777777" w:rsidR="00141421" w:rsidRPr="009B47EA" w:rsidRDefault="00522033" w:rsidP="00067058">
            <w:pPr>
              <w:pStyle w:val="TableRowHead"/>
              <w:keepLines/>
              <w:widowControl w:val="0"/>
              <w:rPr>
                <w:highlight w:val="yellow"/>
                <w:lang w:val="en-GB" w:eastAsia="en-GB"/>
              </w:rPr>
            </w:pPr>
            <w:r w:rsidRPr="009B47EA">
              <w:t>Scéim le Taighde a chur chun cinn</w:t>
            </w:r>
          </w:p>
        </w:tc>
        <w:tc>
          <w:tcPr>
            <w:tcW w:w="1494" w:type="dxa"/>
            <w:shd w:val="clear" w:color="auto" w:fill="auto"/>
            <w:vAlign w:val="bottom"/>
          </w:tcPr>
          <w:p w14:paraId="288FC03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8,318 </w:t>
            </w:r>
          </w:p>
        </w:tc>
        <w:tc>
          <w:tcPr>
            <w:tcW w:w="1494" w:type="dxa"/>
            <w:shd w:val="clear" w:color="auto" w:fill="auto"/>
            <w:vAlign w:val="bottom"/>
          </w:tcPr>
          <w:p w14:paraId="2DCD8FD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19,141 </w:t>
            </w:r>
          </w:p>
        </w:tc>
      </w:tr>
      <w:tr w:rsidR="00141421" w:rsidRPr="00F868E5" w14:paraId="1D2DD75B" w14:textId="77777777" w:rsidTr="0013007A">
        <w:tblPrEx>
          <w:tblCellMar>
            <w:top w:w="0" w:type="dxa"/>
            <w:bottom w:w="0" w:type="dxa"/>
          </w:tblCellMar>
        </w:tblPrEx>
        <w:trPr>
          <w:tblHeader/>
        </w:trPr>
        <w:tc>
          <w:tcPr>
            <w:tcW w:w="5868" w:type="dxa"/>
            <w:shd w:val="clear" w:color="auto" w:fill="auto"/>
            <w:vAlign w:val="bottom"/>
          </w:tcPr>
          <w:p w14:paraId="71960220" w14:textId="77777777" w:rsidR="00141421" w:rsidRPr="009B47EA" w:rsidRDefault="00522033" w:rsidP="00067058">
            <w:pPr>
              <w:pStyle w:val="TableRowHead"/>
              <w:keepLines/>
              <w:widowControl w:val="0"/>
              <w:rPr>
                <w:lang w:val="en-GB" w:eastAsia="en-GB"/>
              </w:rPr>
            </w:pPr>
            <w:proofErr w:type="spellStart"/>
            <w:r w:rsidRPr="009B47EA">
              <w:t>Scoláireachtaí</w:t>
            </w:r>
            <w:proofErr w:type="spellEnd"/>
          </w:p>
        </w:tc>
        <w:tc>
          <w:tcPr>
            <w:tcW w:w="1494" w:type="dxa"/>
            <w:shd w:val="clear" w:color="auto" w:fill="auto"/>
            <w:vAlign w:val="bottom"/>
          </w:tcPr>
          <w:p w14:paraId="22DC6C47"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5,802 </w:t>
            </w:r>
          </w:p>
        </w:tc>
        <w:tc>
          <w:tcPr>
            <w:tcW w:w="1494" w:type="dxa"/>
            <w:shd w:val="clear" w:color="auto" w:fill="auto"/>
            <w:vAlign w:val="bottom"/>
          </w:tcPr>
          <w:p w14:paraId="7D32B3E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5BFDA27D" w14:textId="77777777" w:rsidTr="0013007A">
        <w:tblPrEx>
          <w:tblCellMar>
            <w:top w:w="0" w:type="dxa"/>
            <w:bottom w:w="0" w:type="dxa"/>
          </w:tblCellMar>
        </w:tblPrEx>
        <w:trPr>
          <w:tblHeader/>
        </w:trPr>
        <w:tc>
          <w:tcPr>
            <w:tcW w:w="5868" w:type="dxa"/>
            <w:shd w:val="clear" w:color="auto" w:fill="auto"/>
            <w:vAlign w:val="bottom"/>
          </w:tcPr>
          <w:p w14:paraId="02AB7788" w14:textId="77777777" w:rsidR="00141421" w:rsidRPr="009B47EA" w:rsidRDefault="00BE059D" w:rsidP="00067058">
            <w:pPr>
              <w:pStyle w:val="TableRowHead"/>
              <w:keepLines/>
              <w:widowControl w:val="0"/>
              <w:rPr>
                <w:highlight w:val="yellow"/>
                <w:lang w:val="en-GB" w:eastAsia="en-GB"/>
              </w:rPr>
            </w:pPr>
            <w:r>
              <w:rPr>
                <w:rFonts w:cs="Arial"/>
                <w:b w:val="0"/>
                <w:lang w:val="en-US" w:eastAsia="en-GB"/>
              </w:rPr>
              <w:t>S</w:t>
            </w:r>
            <w:r w:rsidRPr="004C0B0B">
              <w:rPr>
                <w:rFonts w:cs="Arial"/>
                <w:b w:val="0"/>
                <w:lang w:val="en-US" w:eastAsia="en-GB"/>
              </w:rPr>
              <w:t>eimineár</w:t>
            </w:r>
            <w:r>
              <w:rPr>
                <w:rFonts w:cs="Arial"/>
                <w:b w:val="0"/>
                <w:lang w:val="en-US" w:eastAsia="en-GB"/>
              </w:rPr>
              <w:t xml:space="preserve"> faoi Spás Roinnte &amp; Páipéar Beartais</w:t>
            </w:r>
          </w:p>
        </w:tc>
        <w:tc>
          <w:tcPr>
            <w:tcW w:w="1494" w:type="dxa"/>
            <w:shd w:val="clear" w:color="auto" w:fill="auto"/>
            <w:vAlign w:val="bottom"/>
          </w:tcPr>
          <w:p w14:paraId="07155C1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4,930 </w:t>
            </w:r>
          </w:p>
        </w:tc>
        <w:tc>
          <w:tcPr>
            <w:tcW w:w="1494" w:type="dxa"/>
            <w:shd w:val="clear" w:color="auto" w:fill="auto"/>
            <w:vAlign w:val="bottom"/>
          </w:tcPr>
          <w:p w14:paraId="597AEDB2"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45415BC7" w14:textId="77777777" w:rsidTr="0013007A">
        <w:tblPrEx>
          <w:tblCellMar>
            <w:top w:w="0" w:type="dxa"/>
            <w:bottom w:w="0" w:type="dxa"/>
          </w:tblCellMar>
        </w:tblPrEx>
        <w:trPr>
          <w:tblHeader/>
        </w:trPr>
        <w:tc>
          <w:tcPr>
            <w:tcW w:w="5868" w:type="dxa"/>
            <w:shd w:val="clear" w:color="auto" w:fill="auto"/>
            <w:vAlign w:val="bottom"/>
          </w:tcPr>
          <w:p w14:paraId="2C4F885A" w14:textId="77777777" w:rsidR="00141421" w:rsidRPr="009B47EA" w:rsidRDefault="00BE059D" w:rsidP="00067058">
            <w:pPr>
              <w:pStyle w:val="TableRowHead"/>
              <w:keepLines/>
              <w:widowControl w:val="0"/>
              <w:rPr>
                <w:highlight w:val="yellow"/>
                <w:lang w:val="en-GB" w:eastAsia="en-GB"/>
              </w:rPr>
            </w:pPr>
            <w:proofErr w:type="spellStart"/>
            <w:r>
              <w:rPr>
                <w:rFonts w:cs="Arial"/>
                <w:b w:val="0"/>
                <w:lang w:val="en-GB" w:eastAsia="en-GB"/>
              </w:rPr>
              <w:t>Tionscadal</w:t>
            </w:r>
            <w:proofErr w:type="spellEnd"/>
            <w:r>
              <w:rPr>
                <w:rFonts w:cs="Arial"/>
                <w:b w:val="0"/>
                <w:lang w:val="en-GB" w:eastAsia="en-GB"/>
              </w:rPr>
              <w:t xml:space="preserve"> Cumarsáide</w:t>
            </w:r>
          </w:p>
        </w:tc>
        <w:tc>
          <w:tcPr>
            <w:tcW w:w="1494" w:type="dxa"/>
            <w:shd w:val="clear" w:color="auto" w:fill="auto"/>
            <w:vAlign w:val="bottom"/>
          </w:tcPr>
          <w:p w14:paraId="022EB09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4,254 </w:t>
            </w:r>
          </w:p>
        </w:tc>
        <w:tc>
          <w:tcPr>
            <w:tcW w:w="1494" w:type="dxa"/>
            <w:shd w:val="clear" w:color="auto" w:fill="auto"/>
            <w:vAlign w:val="bottom"/>
          </w:tcPr>
          <w:p w14:paraId="5439B77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0DD08526" w14:textId="77777777" w:rsidTr="0013007A">
        <w:tblPrEx>
          <w:tblCellMar>
            <w:top w:w="0" w:type="dxa"/>
            <w:bottom w:w="0" w:type="dxa"/>
          </w:tblCellMar>
        </w:tblPrEx>
        <w:trPr>
          <w:tblHeader/>
        </w:trPr>
        <w:tc>
          <w:tcPr>
            <w:tcW w:w="5868" w:type="dxa"/>
            <w:shd w:val="clear" w:color="auto" w:fill="auto"/>
            <w:vAlign w:val="bottom"/>
          </w:tcPr>
          <w:p w14:paraId="776ACD90" w14:textId="77777777" w:rsidR="00141421" w:rsidRPr="009B47EA" w:rsidRDefault="00522033" w:rsidP="00067058">
            <w:pPr>
              <w:pStyle w:val="TableRowHead"/>
              <w:keepLines/>
              <w:widowControl w:val="0"/>
              <w:rPr>
                <w:lang w:val="en-GB" w:eastAsia="en-GB"/>
              </w:rPr>
            </w:pPr>
            <w:r w:rsidRPr="009B47EA">
              <w:t>Seimineár Tógáil do gach aon duine</w:t>
            </w:r>
          </w:p>
        </w:tc>
        <w:tc>
          <w:tcPr>
            <w:tcW w:w="1494" w:type="dxa"/>
            <w:shd w:val="clear" w:color="auto" w:fill="auto"/>
            <w:vAlign w:val="bottom"/>
          </w:tcPr>
          <w:p w14:paraId="575CF93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3,956 </w:t>
            </w:r>
          </w:p>
        </w:tc>
        <w:tc>
          <w:tcPr>
            <w:tcW w:w="1494" w:type="dxa"/>
            <w:shd w:val="clear" w:color="auto" w:fill="auto"/>
            <w:vAlign w:val="bottom"/>
          </w:tcPr>
          <w:p w14:paraId="24D155A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7,945 </w:t>
            </w:r>
          </w:p>
        </w:tc>
      </w:tr>
      <w:tr w:rsidR="00141421" w:rsidRPr="00F868E5" w14:paraId="39813047" w14:textId="77777777" w:rsidTr="0013007A">
        <w:tblPrEx>
          <w:tblCellMar>
            <w:top w:w="0" w:type="dxa"/>
            <w:bottom w:w="0" w:type="dxa"/>
          </w:tblCellMar>
        </w:tblPrEx>
        <w:trPr>
          <w:tblHeader/>
        </w:trPr>
        <w:tc>
          <w:tcPr>
            <w:tcW w:w="5868" w:type="dxa"/>
            <w:shd w:val="clear" w:color="auto" w:fill="auto"/>
            <w:vAlign w:val="bottom"/>
          </w:tcPr>
          <w:p w14:paraId="1390B83B" w14:textId="77777777" w:rsidR="00141421" w:rsidRPr="009B47EA" w:rsidRDefault="00522033" w:rsidP="00067058">
            <w:pPr>
              <w:pStyle w:val="TableRowHead"/>
              <w:keepLines/>
              <w:widowControl w:val="0"/>
              <w:rPr>
                <w:lang w:val="en-GB" w:eastAsia="en-GB"/>
              </w:rPr>
            </w:pPr>
            <w:r w:rsidRPr="009B47EA">
              <w:t>Tuarascáil Bhliantúil ÚNM</w:t>
            </w:r>
          </w:p>
        </w:tc>
        <w:tc>
          <w:tcPr>
            <w:tcW w:w="1494" w:type="dxa"/>
            <w:shd w:val="clear" w:color="auto" w:fill="auto"/>
            <w:vAlign w:val="bottom"/>
          </w:tcPr>
          <w:p w14:paraId="31F8767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3,688 </w:t>
            </w:r>
          </w:p>
        </w:tc>
        <w:tc>
          <w:tcPr>
            <w:tcW w:w="1494" w:type="dxa"/>
            <w:shd w:val="clear" w:color="auto" w:fill="auto"/>
            <w:vAlign w:val="bottom"/>
          </w:tcPr>
          <w:p w14:paraId="23E59490"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5,120 </w:t>
            </w:r>
          </w:p>
        </w:tc>
      </w:tr>
      <w:tr w:rsidR="00141421" w:rsidRPr="00F868E5" w14:paraId="68A6E950" w14:textId="77777777" w:rsidTr="0013007A">
        <w:tblPrEx>
          <w:tblCellMar>
            <w:top w:w="0" w:type="dxa"/>
            <w:bottom w:w="0" w:type="dxa"/>
          </w:tblCellMar>
        </w:tblPrEx>
        <w:trPr>
          <w:tblHeader/>
        </w:trPr>
        <w:tc>
          <w:tcPr>
            <w:tcW w:w="5868" w:type="dxa"/>
            <w:shd w:val="clear" w:color="auto" w:fill="auto"/>
            <w:vAlign w:val="bottom"/>
          </w:tcPr>
          <w:p w14:paraId="2C25F713" w14:textId="77777777" w:rsidR="00141421" w:rsidRPr="009B47EA" w:rsidRDefault="00522033" w:rsidP="00067058">
            <w:pPr>
              <w:pStyle w:val="TableRowHead"/>
              <w:keepLines/>
              <w:widowControl w:val="0"/>
              <w:rPr>
                <w:lang w:val="en-GB" w:eastAsia="en-GB"/>
              </w:rPr>
            </w:pPr>
            <w:r w:rsidRPr="009B47EA">
              <w:t>Forbairt Curaclaim</w:t>
            </w:r>
          </w:p>
        </w:tc>
        <w:tc>
          <w:tcPr>
            <w:tcW w:w="1494" w:type="dxa"/>
            <w:shd w:val="clear" w:color="auto" w:fill="auto"/>
            <w:vAlign w:val="bottom"/>
          </w:tcPr>
          <w:p w14:paraId="4784613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3,303 </w:t>
            </w:r>
          </w:p>
        </w:tc>
        <w:tc>
          <w:tcPr>
            <w:tcW w:w="1494" w:type="dxa"/>
            <w:shd w:val="clear" w:color="auto" w:fill="auto"/>
            <w:vAlign w:val="bottom"/>
          </w:tcPr>
          <w:p w14:paraId="3C92D94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14,580 </w:t>
            </w:r>
          </w:p>
        </w:tc>
      </w:tr>
      <w:tr w:rsidR="00141421" w:rsidRPr="00F868E5" w14:paraId="6B7101FB" w14:textId="77777777" w:rsidTr="0013007A">
        <w:tblPrEx>
          <w:tblCellMar>
            <w:top w:w="0" w:type="dxa"/>
            <w:bottom w:w="0" w:type="dxa"/>
          </w:tblCellMar>
        </w:tblPrEx>
        <w:trPr>
          <w:tblHeader/>
        </w:trPr>
        <w:tc>
          <w:tcPr>
            <w:tcW w:w="5868" w:type="dxa"/>
            <w:shd w:val="clear" w:color="auto" w:fill="auto"/>
            <w:vAlign w:val="bottom"/>
          </w:tcPr>
          <w:p w14:paraId="66517E72" w14:textId="77777777" w:rsidR="00522033" w:rsidRPr="009B47EA" w:rsidRDefault="00522033" w:rsidP="00067058">
            <w:pPr>
              <w:pStyle w:val="TableRowHead"/>
              <w:keepLines/>
              <w:widowControl w:val="0"/>
            </w:pPr>
            <w:r w:rsidRPr="009B47EA">
              <w:t xml:space="preserve">Athbhreithniú ar </w:t>
            </w:r>
            <w:proofErr w:type="spellStart"/>
            <w:r w:rsidRPr="009B47EA">
              <w:t>Rialacháin</w:t>
            </w:r>
            <w:proofErr w:type="spellEnd"/>
            <w:r w:rsidRPr="009B47EA">
              <w:t xml:space="preserve"> Inmheánacha</w:t>
            </w:r>
          </w:p>
          <w:p w14:paraId="5F6CDA31" w14:textId="77777777" w:rsidR="00141421" w:rsidRPr="009B47EA" w:rsidRDefault="00522033" w:rsidP="00067058">
            <w:pPr>
              <w:pStyle w:val="TableRowHead"/>
              <w:keepLines/>
              <w:widowControl w:val="0"/>
              <w:rPr>
                <w:lang w:val="en-GB" w:eastAsia="en-GB"/>
              </w:rPr>
            </w:pPr>
            <w:r w:rsidRPr="009B47EA">
              <w:t>Airgeadais</w:t>
            </w:r>
          </w:p>
        </w:tc>
        <w:tc>
          <w:tcPr>
            <w:tcW w:w="1494" w:type="dxa"/>
            <w:shd w:val="clear" w:color="auto" w:fill="auto"/>
            <w:vAlign w:val="bottom"/>
          </w:tcPr>
          <w:p w14:paraId="6DFB708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3,279 </w:t>
            </w:r>
          </w:p>
        </w:tc>
        <w:tc>
          <w:tcPr>
            <w:tcW w:w="1494" w:type="dxa"/>
            <w:shd w:val="clear" w:color="auto" w:fill="auto"/>
            <w:vAlign w:val="bottom"/>
          </w:tcPr>
          <w:p w14:paraId="6218C60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4,739 </w:t>
            </w:r>
          </w:p>
        </w:tc>
      </w:tr>
      <w:tr w:rsidR="00141421" w:rsidRPr="00F868E5" w14:paraId="3A48A059" w14:textId="77777777" w:rsidTr="0013007A">
        <w:tblPrEx>
          <w:tblCellMar>
            <w:top w:w="0" w:type="dxa"/>
            <w:bottom w:w="0" w:type="dxa"/>
          </w:tblCellMar>
        </w:tblPrEx>
        <w:trPr>
          <w:tblHeader/>
        </w:trPr>
        <w:tc>
          <w:tcPr>
            <w:tcW w:w="5868" w:type="dxa"/>
            <w:shd w:val="clear" w:color="auto" w:fill="auto"/>
            <w:vAlign w:val="bottom"/>
          </w:tcPr>
          <w:p w14:paraId="6965F06B" w14:textId="77777777" w:rsidR="00141421" w:rsidRPr="00BE059D" w:rsidRDefault="00BE059D" w:rsidP="00067058">
            <w:pPr>
              <w:pStyle w:val="TableRowHead"/>
              <w:keepLines/>
              <w:widowControl w:val="0"/>
              <w:rPr>
                <w:highlight w:val="yellow"/>
                <w:lang w:val="en-GB" w:eastAsia="en-GB"/>
              </w:rPr>
            </w:pPr>
            <w:r w:rsidRPr="00BE059D">
              <w:rPr>
                <w:rFonts w:cs="Arial"/>
                <w:lang w:val="en-GB" w:eastAsia="en-GB"/>
              </w:rPr>
              <w:t xml:space="preserve">Treoirlínte ar </w:t>
            </w:r>
            <w:proofErr w:type="spellStart"/>
            <w:r w:rsidRPr="00BE059D">
              <w:rPr>
                <w:rFonts w:cs="Arial"/>
                <w:lang w:val="en-US" w:eastAsia="en-GB"/>
              </w:rPr>
              <w:t>Chomhchomhairle</w:t>
            </w:r>
            <w:proofErr w:type="spellEnd"/>
            <w:r w:rsidRPr="00BE059D">
              <w:rPr>
                <w:rFonts w:cs="Arial"/>
                <w:lang w:val="en-US" w:eastAsia="en-GB"/>
              </w:rPr>
              <w:t xml:space="preserve"> </w:t>
            </w:r>
            <w:proofErr w:type="spellStart"/>
            <w:r w:rsidRPr="00BE059D">
              <w:rPr>
                <w:rFonts w:cs="Arial"/>
                <w:lang w:val="en-US" w:eastAsia="en-GB"/>
              </w:rPr>
              <w:t>Toirchis</w:t>
            </w:r>
            <w:proofErr w:type="spellEnd"/>
            <w:r w:rsidRPr="00BE059D">
              <w:rPr>
                <w:rFonts w:cs="Arial"/>
                <w:lang w:val="en-US" w:eastAsia="en-GB"/>
              </w:rPr>
              <w:t xml:space="preserve"> </w:t>
            </w:r>
            <w:proofErr w:type="spellStart"/>
            <w:r w:rsidRPr="00BE059D">
              <w:rPr>
                <w:rFonts w:cs="Arial"/>
                <w:lang w:val="en-US" w:eastAsia="en-GB"/>
              </w:rPr>
              <w:t>Ghéarchéime</w:t>
            </w:r>
            <w:proofErr w:type="spellEnd"/>
          </w:p>
        </w:tc>
        <w:tc>
          <w:tcPr>
            <w:tcW w:w="1494" w:type="dxa"/>
            <w:shd w:val="clear" w:color="auto" w:fill="auto"/>
            <w:vAlign w:val="bottom"/>
          </w:tcPr>
          <w:p w14:paraId="06C52AF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2,439 </w:t>
            </w:r>
          </w:p>
        </w:tc>
        <w:tc>
          <w:tcPr>
            <w:tcW w:w="1494" w:type="dxa"/>
            <w:shd w:val="clear" w:color="auto" w:fill="auto"/>
            <w:vAlign w:val="bottom"/>
          </w:tcPr>
          <w:p w14:paraId="550EF7E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7B16EE0F" w14:textId="77777777" w:rsidTr="0013007A">
        <w:tblPrEx>
          <w:tblCellMar>
            <w:top w:w="0" w:type="dxa"/>
            <w:bottom w:w="0" w:type="dxa"/>
          </w:tblCellMar>
        </w:tblPrEx>
        <w:trPr>
          <w:tblHeader/>
        </w:trPr>
        <w:tc>
          <w:tcPr>
            <w:tcW w:w="5868" w:type="dxa"/>
            <w:shd w:val="clear" w:color="auto" w:fill="auto"/>
            <w:vAlign w:val="bottom"/>
          </w:tcPr>
          <w:p w14:paraId="0F3C4ADB" w14:textId="77777777" w:rsidR="00141421" w:rsidRPr="00BE059D" w:rsidRDefault="00BE059D" w:rsidP="00067058">
            <w:pPr>
              <w:pStyle w:val="TableRowHead"/>
              <w:keepLines/>
              <w:widowControl w:val="0"/>
              <w:rPr>
                <w:highlight w:val="yellow"/>
                <w:lang w:val="en-GB" w:eastAsia="en-GB"/>
              </w:rPr>
            </w:pPr>
            <w:r w:rsidRPr="00BE059D">
              <w:rPr>
                <w:rFonts w:cs="Arial"/>
                <w:lang w:val="en-GB" w:eastAsia="en-GB"/>
              </w:rPr>
              <w:t>Fógraíocht CEUD</w:t>
            </w:r>
          </w:p>
        </w:tc>
        <w:tc>
          <w:tcPr>
            <w:tcW w:w="1494" w:type="dxa"/>
            <w:shd w:val="clear" w:color="auto" w:fill="auto"/>
            <w:vAlign w:val="bottom"/>
          </w:tcPr>
          <w:p w14:paraId="171062D7"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2,420 </w:t>
            </w:r>
          </w:p>
        </w:tc>
        <w:tc>
          <w:tcPr>
            <w:tcW w:w="1494" w:type="dxa"/>
            <w:shd w:val="clear" w:color="auto" w:fill="auto"/>
            <w:vAlign w:val="bottom"/>
          </w:tcPr>
          <w:p w14:paraId="6AAC9D2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58269473" w14:textId="77777777" w:rsidTr="0013007A">
        <w:tblPrEx>
          <w:tblCellMar>
            <w:top w:w="0" w:type="dxa"/>
            <w:bottom w:w="0" w:type="dxa"/>
          </w:tblCellMar>
        </w:tblPrEx>
        <w:trPr>
          <w:tblHeader/>
        </w:trPr>
        <w:tc>
          <w:tcPr>
            <w:tcW w:w="5868" w:type="dxa"/>
            <w:shd w:val="clear" w:color="auto" w:fill="auto"/>
            <w:vAlign w:val="bottom"/>
          </w:tcPr>
          <w:p w14:paraId="39B7BB6C" w14:textId="77777777" w:rsidR="00522033" w:rsidRPr="009B47EA" w:rsidRDefault="00522033" w:rsidP="00067058">
            <w:pPr>
              <w:pStyle w:val="TableRowHead"/>
              <w:keepLines/>
              <w:widowControl w:val="0"/>
            </w:pPr>
            <w:r w:rsidRPr="009B47EA">
              <w:t>Ábhair Faisnéise, Cuid V den Acht</w:t>
            </w:r>
          </w:p>
          <w:p w14:paraId="589DEF61" w14:textId="77777777" w:rsidR="00141421" w:rsidRPr="009B47EA" w:rsidRDefault="00522033" w:rsidP="00067058">
            <w:pPr>
              <w:pStyle w:val="TableRowHead"/>
              <w:keepLines/>
              <w:widowControl w:val="0"/>
              <w:rPr>
                <w:lang w:val="en-GB" w:eastAsia="en-GB"/>
              </w:rPr>
            </w:pPr>
            <w:proofErr w:type="spellStart"/>
            <w:r w:rsidRPr="009B47EA">
              <w:t>Míchumais</w:t>
            </w:r>
            <w:proofErr w:type="spellEnd"/>
          </w:p>
        </w:tc>
        <w:tc>
          <w:tcPr>
            <w:tcW w:w="1494" w:type="dxa"/>
            <w:shd w:val="clear" w:color="auto" w:fill="auto"/>
            <w:vAlign w:val="bottom"/>
          </w:tcPr>
          <w:p w14:paraId="3DF5519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2,287 </w:t>
            </w:r>
          </w:p>
        </w:tc>
        <w:tc>
          <w:tcPr>
            <w:tcW w:w="1494" w:type="dxa"/>
            <w:shd w:val="clear" w:color="auto" w:fill="auto"/>
            <w:vAlign w:val="bottom"/>
          </w:tcPr>
          <w:p w14:paraId="07475F7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6,777 </w:t>
            </w:r>
          </w:p>
        </w:tc>
      </w:tr>
      <w:tr w:rsidR="00141421" w:rsidRPr="00F868E5" w14:paraId="6FD908E2" w14:textId="77777777" w:rsidTr="0013007A">
        <w:tblPrEx>
          <w:tblCellMar>
            <w:top w:w="0" w:type="dxa"/>
            <w:bottom w:w="0" w:type="dxa"/>
          </w:tblCellMar>
        </w:tblPrEx>
        <w:trPr>
          <w:tblHeader/>
        </w:trPr>
        <w:tc>
          <w:tcPr>
            <w:tcW w:w="5868" w:type="dxa"/>
            <w:shd w:val="clear" w:color="auto" w:fill="auto"/>
            <w:vAlign w:val="bottom"/>
          </w:tcPr>
          <w:p w14:paraId="5B19E468" w14:textId="77777777" w:rsidR="00141421" w:rsidRPr="009B47EA" w:rsidRDefault="00BE059D" w:rsidP="00067058">
            <w:pPr>
              <w:pStyle w:val="TableRowHead"/>
              <w:keepLines/>
              <w:widowControl w:val="0"/>
              <w:rPr>
                <w:highlight w:val="yellow"/>
                <w:lang w:val="en-GB" w:eastAsia="en-GB"/>
              </w:rPr>
            </w:pPr>
            <w:r>
              <w:rPr>
                <w:rFonts w:cs="Arial"/>
                <w:noProof/>
              </w:rPr>
              <w:t>Treoir meánscoileanna</w:t>
            </w:r>
          </w:p>
        </w:tc>
        <w:tc>
          <w:tcPr>
            <w:tcW w:w="1494" w:type="dxa"/>
            <w:shd w:val="clear" w:color="auto" w:fill="auto"/>
            <w:vAlign w:val="bottom"/>
          </w:tcPr>
          <w:p w14:paraId="0B5C417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1,758 </w:t>
            </w:r>
          </w:p>
        </w:tc>
        <w:tc>
          <w:tcPr>
            <w:tcW w:w="1494" w:type="dxa"/>
            <w:shd w:val="clear" w:color="auto" w:fill="auto"/>
            <w:vAlign w:val="bottom"/>
          </w:tcPr>
          <w:p w14:paraId="6D47A02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11515822" w14:textId="77777777" w:rsidTr="0013007A">
        <w:tblPrEx>
          <w:tblCellMar>
            <w:top w:w="0" w:type="dxa"/>
            <w:bottom w:w="0" w:type="dxa"/>
          </w:tblCellMar>
        </w:tblPrEx>
        <w:trPr>
          <w:tblHeader/>
        </w:trPr>
        <w:tc>
          <w:tcPr>
            <w:tcW w:w="5868" w:type="dxa"/>
            <w:shd w:val="clear" w:color="auto" w:fill="auto"/>
            <w:vAlign w:val="bottom"/>
          </w:tcPr>
          <w:p w14:paraId="7436AFD3" w14:textId="77777777" w:rsidR="00141421" w:rsidRPr="009B47EA" w:rsidRDefault="00BE059D" w:rsidP="00067058">
            <w:pPr>
              <w:pStyle w:val="TableRowHead"/>
              <w:keepLines/>
              <w:widowControl w:val="0"/>
              <w:rPr>
                <w:highlight w:val="yellow"/>
                <w:lang w:val="en-GB" w:eastAsia="en-GB"/>
              </w:rPr>
            </w:pPr>
            <w:r>
              <w:rPr>
                <w:rFonts w:cs="Arial"/>
                <w:noProof/>
              </w:rPr>
              <w:t>Fógraíocht NDA</w:t>
            </w:r>
          </w:p>
        </w:tc>
        <w:tc>
          <w:tcPr>
            <w:tcW w:w="1494" w:type="dxa"/>
            <w:shd w:val="clear" w:color="auto" w:fill="auto"/>
            <w:vAlign w:val="bottom"/>
          </w:tcPr>
          <w:p w14:paraId="710416E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1,453 </w:t>
            </w:r>
          </w:p>
        </w:tc>
        <w:tc>
          <w:tcPr>
            <w:tcW w:w="1494" w:type="dxa"/>
            <w:shd w:val="clear" w:color="auto" w:fill="auto"/>
            <w:vAlign w:val="bottom"/>
          </w:tcPr>
          <w:p w14:paraId="44EE9ED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0EE11A02" w14:textId="77777777" w:rsidTr="0013007A">
        <w:tblPrEx>
          <w:tblCellMar>
            <w:top w:w="0" w:type="dxa"/>
            <w:bottom w:w="0" w:type="dxa"/>
          </w:tblCellMar>
        </w:tblPrEx>
        <w:trPr>
          <w:tblHeader/>
        </w:trPr>
        <w:tc>
          <w:tcPr>
            <w:tcW w:w="5868" w:type="dxa"/>
            <w:shd w:val="clear" w:color="auto" w:fill="auto"/>
            <w:vAlign w:val="bottom"/>
          </w:tcPr>
          <w:p w14:paraId="78AECDA4" w14:textId="77777777" w:rsidR="00522033" w:rsidRPr="009B47EA" w:rsidRDefault="00522033" w:rsidP="00067058">
            <w:pPr>
              <w:pStyle w:val="TableRowHead"/>
              <w:keepLines/>
              <w:widowControl w:val="0"/>
            </w:pPr>
            <w:r w:rsidRPr="009B47EA">
              <w:t xml:space="preserve">Monatóireacht ar Fheidhmiú na </w:t>
            </w:r>
            <w:proofErr w:type="spellStart"/>
            <w:r w:rsidRPr="009B47EA">
              <w:t>gCód</w:t>
            </w:r>
            <w:proofErr w:type="spellEnd"/>
          </w:p>
          <w:p w14:paraId="6513FCBE" w14:textId="77777777" w:rsidR="00141421" w:rsidRPr="009B47EA" w:rsidRDefault="00522033" w:rsidP="00067058">
            <w:pPr>
              <w:pStyle w:val="TableRowHead"/>
              <w:keepLines/>
              <w:widowControl w:val="0"/>
              <w:rPr>
                <w:lang w:val="en-GB" w:eastAsia="en-GB"/>
              </w:rPr>
            </w:pPr>
            <w:proofErr w:type="spellStart"/>
            <w:r w:rsidRPr="009B47EA">
              <w:t>Cleachtas</w:t>
            </w:r>
            <w:proofErr w:type="spellEnd"/>
          </w:p>
        </w:tc>
        <w:tc>
          <w:tcPr>
            <w:tcW w:w="1494" w:type="dxa"/>
            <w:shd w:val="clear" w:color="auto" w:fill="auto"/>
            <w:vAlign w:val="bottom"/>
          </w:tcPr>
          <w:p w14:paraId="4AD4021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318 </w:t>
            </w:r>
          </w:p>
        </w:tc>
        <w:tc>
          <w:tcPr>
            <w:tcW w:w="1494" w:type="dxa"/>
            <w:shd w:val="clear" w:color="auto" w:fill="auto"/>
            <w:vAlign w:val="bottom"/>
          </w:tcPr>
          <w:p w14:paraId="4260992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1,393 </w:t>
            </w:r>
          </w:p>
        </w:tc>
      </w:tr>
      <w:tr w:rsidR="00141421" w:rsidRPr="00F868E5" w14:paraId="7C84044A" w14:textId="77777777" w:rsidTr="0013007A">
        <w:tblPrEx>
          <w:tblCellMar>
            <w:top w:w="0" w:type="dxa"/>
            <w:bottom w:w="0" w:type="dxa"/>
          </w:tblCellMar>
        </w:tblPrEx>
        <w:trPr>
          <w:tblHeader/>
        </w:trPr>
        <w:tc>
          <w:tcPr>
            <w:tcW w:w="5868" w:type="dxa"/>
            <w:shd w:val="clear" w:color="auto" w:fill="auto"/>
            <w:vAlign w:val="bottom"/>
          </w:tcPr>
          <w:p w14:paraId="6CAF7D37" w14:textId="77777777" w:rsidR="00141421" w:rsidRPr="009B47EA" w:rsidRDefault="00BE059D" w:rsidP="00067058">
            <w:pPr>
              <w:pStyle w:val="TableRowHead"/>
              <w:keepLines/>
              <w:widowControl w:val="0"/>
              <w:rPr>
                <w:highlight w:val="yellow"/>
                <w:lang w:val="en-GB" w:eastAsia="en-GB"/>
              </w:rPr>
            </w:pPr>
            <w:r>
              <w:rPr>
                <w:rFonts w:cs="Arial"/>
                <w:noProof/>
              </w:rPr>
              <w:t>Comhchomhairle Idirnáisiúnta A</w:t>
            </w:r>
            <w:r w:rsidRPr="00684F1A">
              <w:rPr>
                <w:rFonts w:cs="Arial"/>
                <w:noProof/>
                <w:lang w:val="ga-IE"/>
              </w:rPr>
              <w:t>thshlánaithe</w:t>
            </w:r>
          </w:p>
        </w:tc>
        <w:tc>
          <w:tcPr>
            <w:tcW w:w="1494" w:type="dxa"/>
            <w:shd w:val="clear" w:color="auto" w:fill="auto"/>
            <w:vAlign w:val="bottom"/>
          </w:tcPr>
          <w:p w14:paraId="2363938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196 </w:t>
            </w:r>
          </w:p>
        </w:tc>
        <w:tc>
          <w:tcPr>
            <w:tcW w:w="1494" w:type="dxa"/>
            <w:shd w:val="clear" w:color="auto" w:fill="auto"/>
            <w:vAlign w:val="bottom"/>
          </w:tcPr>
          <w:p w14:paraId="3E2069B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2742700A" w14:textId="77777777" w:rsidTr="0013007A">
        <w:tblPrEx>
          <w:tblCellMar>
            <w:top w:w="0" w:type="dxa"/>
            <w:bottom w:w="0" w:type="dxa"/>
          </w:tblCellMar>
        </w:tblPrEx>
        <w:trPr>
          <w:tblHeader/>
        </w:trPr>
        <w:tc>
          <w:tcPr>
            <w:tcW w:w="5868" w:type="dxa"/>
            <w:shd w:val="clear" w:color="auto" w:fill="auto"/>
            <w:vAlign w:val="bottom"/>
          </w:tcPr>
          <w:p w14:paraId="6FA58C48" w14:textId="77777777" w:rsidR="00141421" w:rsidRPr="009B47EA" w:rsidRDefault="00BE059D" w:rsidP="00067058">
            <w:pPr>
              <w:pStyle w:val="TableRowHead"/>
              <w:keepLines/>
              <w:widowControl w:val="0"/>
              <w:rPr>
                <w:highlight w:val="yellow"/>
                <w:lang w:val="en-GB" w:eastAsia="en-GB"/>
              </w:rPr>
            </w:pPr>
            <w:r>
              <w:rPr>
                <w:rFonts w:cs="Arial"/>
                <w:noProof/>
              </w:rPr>
              <w:t xml:space="preserve">Treoir ar Dhearadh </w:t>
            </w:r>
            <w:r w:rsidRPr="00684F1A">
              <w:rPr>
                <w:rFonts w:cs="Arial"/>
                <w:noProof/>
                <w:lang w:val="en-US"/>
              </w:rPr>
              <w:t>Uilíoch</w:t>
            </w:r>
            <w:r>
              <w:rPr>
                <w:rFonts w:cs="Arial"/>
                <w:noProof/>
                <w:lang w:val="en-US"/>
              </w:rPr>
              <w:t xml:space="preserve"> d’Údaráis Áitiúla</w:t>
            </w:r>
          </w:p>
        </w:tc>
        <w:tc>
          <w:tcPr>
            <w:tcW w:w="1494" w:type="dxa"/>
            <w:shd w:val="clear" w:color="auto" w:fill="auto"/>
            <w:vAlign w:val="bottom"/>
          </w:tcPr>
          <w:p w14:paraId="3D039AAC"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64 </w:t>
            </w:r>
          </w:p>
        </w:tc>
        <w:tc>
          <w:tcPr>
            <w:tcW w:w="1494" w:type="dxa"/>
            <w:shd w:val="clear" w:color="auto" w:fill="auto"/>
            <w:vAlign w:val="bottom"/>
          </w:tcPr>
          <w:p w14:paraId="4E517D5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r>
      <w:tr w:rsidR="00141421" w:rsidRPr="00F868E5" w14:paraId="1DE6321E" w14:textId="77777777" w:rsidTr="0013007A">
        <w:tblPrEx>
          <w:tblCellMar>
            <w:top w:w="0" w:type="dxa"/>
            <w:bottom w:w="0" w:type="dxa"/>
          </w:tblCellMar>
        </w:tblPrEx>
        <w:trPr>
          <w:tblHeader/>
        </w:trPr>
        <w:tc>
          <w:tcPr>
            <w:tcW w:w="5868" w:type="dxa"/>
            <w:shd w:val="clear" w:color="auto" w:fill="auto"/>
            <w:vAlign w:val="bottom"/>
          </w:tcPr>
          <w:p w14:paraId="3AD0E5A8" w14:textId="77777777" w:rsidR="00141421" w:rsidRPr="009B47EA" w:rsidRDefault="00522033" w:rsidP="00067058">
            <w:pPr>
              <w:pStyle w:val="TableRowHead"/>
              <w:keepLines/>
              <w:widowControl w:val="0"/>
              <w:rPr>
                <w:lang w:val="en-GB" w:eastAsia="en-GB"/>
              </w:rPr>
            </w:pPr>
            <w:proofErr w:type="spellStart"/>
            <w:r w:rsidRPr="009B47EA">
              <w:t>Táscairí</w:t>
            </w:r>
            <w:proofErr w:type="spellEnd"/>
            <w:r w:rsidRPr="009B47EA">
              <w:t xml:space="preserve"> NDS um </w:t>
            </w:r>
            <w:proofErr w:type="spellStart"/>
            <w:r w:rsidRPr="009B47EA">
              <w:t>Módúil</w:t>
            </w:r>
            <w:proofErr w:type="spellEnd"/>
            <w:r w:rsidRPr="009B47EA">
              <w:t xml:space="preserve"> Suirbhéireachta</w:t>
            </w:r>
          </w:p>
        </w:tc>
        <w:tc>
          <w:tcPr>
            <w:tcW w:w="1494" w:type="dxa"/>
            <w:shd w:val="clear" w:color="auto" w:fill="auto"/>
            <w:vAlign w:val="bottom"/>
          </w:tcPr>
          <w:p w14:paraId="7B07367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5EC09A2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19,773 </w:t>
            </w:r>
          </w:p>
        </w:tc>
      </w:tr>
      <w:tr w:rsidR="00141421" w:rsidRPr="00F868E5" w14:paraId="2BDE4175" w14:textId="77777777" w:rsidTr="0013007A">
        <w:tblPrEx>
          <w:tblCellMar>
            <w:top w:w="0" w:type="dxa"/>
            <w:bottom w:w="0" w:type="dxa"/>
          </w:tblCellMar>
        </w:tblPrEx>
        <w:trPr>
          <w:tblHeader/>
        </w:trPr>
        <w:tc>
          <w:tcPr>
            <w:tcW w:w="5868" w:type="dxa"/>
            <w:shd w:val="clear" w:color="auto" w:fill="auto"/>
            <w:vAlign w:val="bottom"/>
          </w:tcPr>
          <w:p w14:paraId="231D76FA" w14:textId="77777777" w:rsidR="00141421" w:rsidRPr="009B47EA" w:rsidRDefault="00522033" w:rsidP="00067058">
            <w:pPr>
              <w:pStyle w:val="TableRowHead"/>
              <w:keepLines/>
              <w:widowControl w:val="0"/>
              <w:rPr>
                <w:lang w:val="en-GB" w:eastAsia="en-GB"/>
              </w:rPr>
            </w:pPr>
            <w:r w:rsidRPr="009B47EA">
              <w:t xml:space="preserve">Plean </w:t>
            </w:r>
            <w:proofErr w:type="spellStart"/>
            <w:r w:rsidRPr="009B47EA">
              <w:t>Straitéiseach</w:t>
            </w:r>
            <w:proofErr w:type="spellEnd"/>
            <w:r w:rsidRPr="009B47EA">
              <w:t xml:space="preserve">  </w:t>
            </w:r>
          </w:p>
        </w:tc>
        <w:tc>
          <w:tcPr>
            <w:tcW w:w="1494" w:type="dxa"/>
            <w:shd w:val="clear" w:color="auto" w:fill="auto"/>
            <w:vAlign w:val="bottom"/>
          </w:tcPr>
          <w:p w14:paraId="3C6A12A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C59CB6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16,085 </w:t>
            </w:r>
          </w:p>
        </w:tc>
      </w:tr>
      <w:tr w:rsidR="00141421" w:rsidRPr="00F868E5" w14:paraId="71972CFB" w14:textId="77777777" w:rsidTr="0013007A">
        <w:tblPrEx>
          <w:tblCellMar>
            <w:top w:w="0" w:type="dxa"/>
            <w:bottom w:w="0" w:type="dxa"/>
          </w:tblCellMar>
        </w:tblPrEx>
        <w:trPr>
          <w:tblHeader/>
        </w:trPr>
        <w:tc>
          <w:tcPr>
            <w:tcW w:w="5868" w:type="dxa"/>
            <w:shd w:val="clear" w:color="auto" w:fill="auto"/>
            <w:vAlign w:val="bottom"/>
          </w:tcPr>
          <w:p w14:paraId="08820112" w14:textId="77777777" w:rsidR="00141421" w:rsidRPr="009B47EA" w:rsidRDefault="00522033" w:rsidP="00067058">
            <w:pPr>
              <w:pStyle w:val="TableRowHead"/>
              <w:keepLines/>
              <w:widowControl w:val="0"/>
              <w:rPr>
                <w:lang w:val="en-GB" w:eastAsia="en-GB"/>
              </w:rPr>
            </w:pPr>
            <w:r w:rsidRPr="009B47EA">
              <w:t xml:space="preserve">Treoirlínte </w:t>
            </w:r>
            <w:proofErr w:type="spellStart"/>
            <w:r w:rsidRPr="009B47EA">
              <w:t>d’Oibritheoirí</w:t>
            </w:r>
            <w:proofErr w:type="spellEnd"/>
            <w:r w:rsidRPr="009B47EA">
              <w:t xml:space="preserve"> Iompair </w:t>
            </w:r>
            <w:proofErr w:type="spellStart"/>
            <w:r w:rsidRPr="009B47EA">
              <w:t>Mhara</w:t>
            </w:r>
            <w:proofErr w:type="spellEnd"/>
          </w:p>
        </w:tc>
        <w:tc>
          <w:tcPr>
            <w:tcW w:w="1494" w:type="dxa"/>
            <w:shd w:val="clear" w:color="auto" w:fill="auto"/>
            <w:vAlign w:val="bottom"/>
          </w:tcPr>
          <w:p w14:paraId="7E6FC1A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2065847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15,366 </w:t>
            </w:r>
          </w:p>
        </w:tc>
      </w:tr>
      <w:tr w:rsidR="00141421" w:rsidRPr="00F868E5" w14:paraId="095BA4A4" w14:textId="77777777" w:rsidTr="0013007A">
        <w:tblPrEx>
          <w:tblCellMar>
            <w:top w:w="0" w:type="dxa"/>
            <w:bottom w:w="0" w:type="dxa"/>
          </w:tblCellMar>
        </w:tblPrEx>
        <w:trPr>
          <w:tblHeader/>
        </w:trPr>
        <w:tc>
          <w:tcPr>
            <w:tcW w:w="5868" w:type="dxa"/>
            <w:shd w:val="clear" w:color="auto" w:fill="auto"/>
            <w:vAlign w:val="bottom"/>
          </w:tcPr>
          <w:p w14:paraId="4FA58707" w14:textId="77777777" w:rsidR="00141421" w:rsidRPr="009B47EA" w:rsidRDefault="00522033" w:rsidP="00067058">
            <w:pPr>
              <w:pStyle w:val="TableRowHead"/>
              <w:keepLines/>
              <w:widowControl w:val="0"/>
              <w:rPr>
                <w:lang w:val="en-GB" w:eastAsia="en-GB"/>
              </w:rPr>
            </w:pPr>
            <w:r w:rsidRPr="009B47EA">
              <w:t>Maireachtáil sa phobal</w:t>
            </w:r>
          </w:p>
        </w:tc>
        <w:tc>
          <w:tcPr>
            <w:tcW w:w="1494" w:type="dxa"/>
            <w:shd w:val="clear" w:color="auto" w:fill="auto"/>
            <w:vAlign w:val="bottom"/>
          </w:tcPr>
          <w:p w14:paraId="1C39FC7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77977B2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12,017 </w:t>
            </w:r>
          </w:p>
        </w:tc>
      </w:tr>
      <w:tr w:rsidR="00141421" w:rsidRPr="00F868E5" w14:paraId="2CD0A1E1" w14:textId="77777777" w:rsidTr="0013007A">
        <w:tblPrEx>
          <w:tblCellMar>
            <w:top w:w="0" w:type="dxa"/>
            <w:bottom w:w="0" w:type="dxa"/>
          </w:tblCellMar>
        </w:tblPrEx>
        <w:trPr>
          <w:tblHeader/>
        </w:trPr>
        <w:tc>
          <w:tcPr>
            <w:tcW w:w="5868" w:type="dxa"/>
            <w:shd w:val="clear" w:color="auto" w:fill="auto"/>
            <w:vAlign w:val="bottom"/>
          </w:tcPr>
          <w:p w14:paraId="1BC7E09A" w14:textId="77777777" w:rsidR="00141421" w:rsidRPr="009B47EA" w:rsidRDefault="00522033" w:rsidP="00067058">
            <w:pPr>
              <w:pStyle w:val="TableRowHead"/>
              <w:keepLines/>
              <w:widowControl w:val="0"/>
              <w:rPr>
                <w:lang w:val="en-GB" w:eastAsia="en-GB"/>
              </w:rPr>
            </w:pPr>
            <w:proofErr w:type="spellStart"/>
            <w:r w:rsidRPr="009B47EA">
              <w:lastRenderedPageBreak/>
              <w:t>Dearadh</w:t>
            </w:r>
            <w:proofErr w:type="spellEnd"/>
            <w:r w:rsidRPr="009B47EA">
              <w:t xml:space="preserve"> </w:t>
            </w:r>
            <w:proofErr w:type="spellStart"/>
            <w:r w:rsidRPr="009B47EA">
              <w:t>Uilíoch</w:t>
            </w:r>
            <w:proofErr w:type="spellEnd"/>
            <w:r w:rsidRPr="009B47EA">
              <w:t xml:space="preserve"> Uirbeach</w:t>
            </w:r>
          </w:p>
        </w:tc>
        <w:tc>
          <w:tcPr>
            <w:tcW w:w="1494" w:type="dxa"/>
            <w:shd w:val="clear" w:color="auto" w:fill="auto"/>
            <w:vAlign w:val="bottom"/>
          </w:tcPr>
          <w:p w14:paraId="5E003030"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8457CC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9,875 </w:t>
            </w:r>
          </w:p>
        </w:tc>
      </w:tr>
      <w:tr w:rsidR="00141421" w:rsidRPr="00F868E5" w14:paraId="457673DD" w14:textId="77777777" w:rsidTr="0013007A">
        <w:tblPrEx>
          <w:tblCellMar>
            <w:top w:w="0" w:type="dxa"/>
            <w:bottom w:w="0" w:type="dxa"/>
          </w:tblCellMar>
        </w:tblPrEx>
        <w:trPr>
          <w:tblHeader/>
        </w:trPr>
        <w:tc>
          <w:tcPr>
            <w:tcW w:w="5868" w:type="dxa"/>
            <w:shd w:val="clear" w:color="auto" w:fill="auto"/>
            <w:vAlign w:val="bottom"/>
          </w:tcPr>
          <w:p w14:paraId="5ADF086F" w14:textId="77777777" w:rsidR="00141421" w:rsidRPr="009B47EA" w:rsidRDefault="00522033" w:rsidP="00067058">
            <w:pPr>
              <w:pStyle w:val="TableRowHead"/>
              <w:keepLines/>
              <w:widowControl w:val="0"/>
              <w:rPr>
                <w:lang w:val="en-GB" w:eastAsia="en-GB"/>
              </w:rPr>
            </w:pPr>
            <w:proofErr w:type="spellStart"/>
            <w:r w:rsidRPr="009B47EA">
              <w:t>Dearadh</w:t>
            </w:r>
            <w:proofErr w:type="spellEnd"/>
            <w:r w:rsidRPr="009B47EA">
              <w:t xml:space="preserve"> Ar Shuíomh Gréasáin CEUD</w:t>
            </w:r>
          </w:p>
        </w:tc>
        <w:tc>
          <w:tcPr>
            <w:tcW w:w="1494" w:type="dxa"/>
            <w:shd w:val="clear" w:color="auto" w:fill="auto"/>
            <w:vAlign w:val="bottom"/>
          </w:tcPr>
          <w:p w14:paraId="3953600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E98580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9,401 </w:t>
            </w:r>
          </w:p>
        </w:tc>
      </w:tr>
      <w:tr w:rsidR="00141421" w:rsidRPr="00F868E5" w14:paraId="16B6A7DB" w14:textId="77777777" w:rsidTr="0013007A">
        <w:tblPrEx>
          <w:tblCellMar>
            <w:top w:w="0" w:type="dxa"/>
            <w:bottom w:w="0" w:type="dxa"/>
          </w:tblCellMar>
        </w:tblPrEx>
        <w:trPr>
          <w:tblHeader/>
        </w:trPr>
        <w:tc>
          <w:tcPr>
            <w:tcW w:w="5868" w:type="dxa"/>
            <w:shd w:val="clear" w:color="auto" w:fill="auto"/>
            <w:vAlign w:val="bottom"/>
          </w:tcPr>
          <w:p w14:paraId="6C47C544" w14:textId="77777777" w:rsidR="00141421" w:rsidRPr="009B47EA" w:rsidRDefault="00522033" w:rsidP="00067058">
            <w:pPr>
              <w:pStyle w:val="TableRowHead"/>
              <w:keepLines/>
              <w:widowControl w:val="0"/>
              <w:rPr>
                <w:lang w:val="en-GB" w:eastAsia="en-GB"/>
              </w:rPr>
            </w:pPr>
            <w:r w:rsidRPr="009B47EA">
              <w:t>Treoirlínte um Choinneáil Postanna</w:t>
            </w:r>
          </w:p>
        </w:tc>
        <w:tc>
          <w:tcPr>
            <w:tcW w:w="1494" w:type="dxa"/>
            <w:shd w:val="clear" w:color="auto" w:fill="auto"/>
            <w:vAlign w:val="bottom"/>
          </w:tcPr>
          <w:p w14:paraId="1867B5B2"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5DB2280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8,103 </w:t>
            </w:r>
          </w:p>
        </w:tc>
      </w:tr>
      <w:tr w:rsidR="00141421" w:rsidRPr="00F868E5" w14:paraId="1AD31EBA" w14:textId="77777777" w:rsidTr="0013007A">
        <w:tblPrEx>
          <w:tblCellMar>
            <w:top w:w="0" w:type="dxa"/>
            <w:bottom w:w="0" w:type="dxa"/>
          </w:tblCellMar>
        </w:tblPrEx>
        <w:trPr>
          <w:tblHeader/>
        </w:trPr>
        <w:tc>
          <w:tcPr>
            <w:tcW w:w="5868" w:type="dxa"/>
            <w:shd w:val="clear" w:color="auto" w:fill="auto"/>
            <w:vAlign w:val="bottom"/>
          </w:tcPr>
          <w:p w14:paraId="78523414" w14:textId="77777777" w:rsidR="00141421" w:rsidRPr="009B47EA" w:rsidRDefault="00522033" w:rsidP="00067058">
            <w:pPr>
              <w:pStyle w:val="TableRowHead"/>
              <w:keepLines/>
              <w:widowControl w:val="0"/>
              <w:rPr>
                <w:lang w:val="en-GB" w:eastAsia="en-GB"/>
              </w:rPr>
            </w:pPr>
            <w:r w:rsidRPr="009B47EA">
              <w:t xml:space="preserve">Léiriú ar dhaoine faoi </w:t>
            </w:r>
            <w:proofErr w:type="spellStart"/>
            <w:r w:rsidRPr="009B47EA">
              <w:t>mhíchumas</w:t>
            </w:r>
            <w:proofErr w:type="spellEnd"/>
            <w:r w:rsidRPr="009B47EA">
              <w:t xml:space="preserve"> sna meáin</w:t>
            </w:r>
          </w:p>
        </w:tc>
        <w:tc>
          <w:tcPr>
            <w:tcW w:w="1494" w:type="dxa"/>
            <w:shd w:val="clear" w:color="auto" w:fill="auto"/>
            <w:vAlign w:val="bottom"/>
          </w:tcPr>
          <w:p w14:paraId="04A4D3F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2643F0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6,549 </w:t>
            </w:r>
          </w:p>
        </w:tc>
      </w:tr>
      <w:tr w:rsidR="00141421" w:rsidRPr="00F868E5" w14:paraId="604F5EFD" w14:textId="77777777" w:rsidTr="0013007A">
        <w:tblPrEx>
          <w:tblCellMar>
            <w:top w:w="0" w:type="dxa"/>
            <w:bottom w:w="0" w:type="dxa"/>
          </w:tblCellMar>
        </w:tblPrEx>
        <w:trPr>
          <w:tblHeader/>
        </w:trPr>
        <w:tc>
          <w:tcPr>
            <w:tcW w:w="5868" w:type="dxa"/>
            <w:shd w:val="clear" w:color="auto" w:fill="auto"/>
            <w:vAlign w:val="bottom"/>
          </w:tcPr>
          <w:p w14:paraId="304E92F9" w14:textId="77777777" w:rsidR="00141421" w:rsidRPr="009B47EA" w:rsidRDefault="00522033" w:rsidP="00067058">
            <w:pPr>
              <w:pStyle w:val="TableRowHead"/>
              <w:keepLines/>
              <w:widowControl w:val="0"/>
              <w:rPr>
                <w:lang w:val="en-GB" w:eastAsia="en-GB"/>
              </w:rPr>
            </w:pPr>
            <w:proofErr w:type="spellStart"/>
            <w:r w:rsidRPr="009B47EA">
              <w:t>Sicíatracht</w:t>
            </w:r>
            <w:proofErr w:type="spellEnd"/>
            <w:r w:rsidRPr="009B47EA">
              <w:t xml:space="preserve"> Chultúrtha RPS</w:t>
            </w:r>
          </w:p>
        </w:tc>
        <w:tc>
          <w:tcPr>
            <w:tcW w:w="1494" w:type="dxa"/>
            <w:shd w:val="clear" w:color="auto" w:fill="auto"/>
            <w:vAlign w:val="bottom"/>
          </w:tcPr>
          <w:p w14:paraId="5169264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9EE9177"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6,250 </w:t>
            </w:r>
          </w:p>
        </w:tc>
      </w:tr>
      <w:tr w:rsidR="00141421" w:rsidRPr="00F868E5" w14:paraId="7C419B2B" w14:textId="77777777" w:rsidTr="0013007A">
        <w:tblPrEx>
          <w:tblCellMar>
            <w:top w:w="0" w:type="dxa"/>
            <w:bottom w:w="0" w:type="dxa"/>
          </w:tblCellMar>
        </w:tblPrEx>
        <w:trPr>
          <w:tblHeader/>
        </w:trPr>
        <w:tc>
          <w:tcPr>
            <w:tcW w:w="5868" w:type="dxa"/>
            <w:shd w:val="clear" w:color="auto" w:fill="auto"/>
            <w:vAlign w:val="bottom"/>
          </w:tcPr>
          <w:p w14:paraId="5FFC0B2A" w14:textId="77777777" w:rsidR="00522033" w:rsidRPr="009B47EA" w:rsidRDefault="00522033" w:rsidP="00067058">
            <w:pPr>
              <w:pStyle w:val="TableRowHead"/>
              <w:keepLines/>
              <w:widowControl w:val="0"/>
            </w:pPr>
            <w:r w:rsidRPr="009B47EA">
              <w:t>Athbhreithniú litríochta ar Mhná agus</w:t>
            </w:r>
          </w:p>
          <w:p w14:paraId="634542BE" w14:textId="77777777" w:rsidR="00141421" w:rsidRPr="009B47EA" w:rsidRDefault="00522033" w:rsidP="00067058">
            <w:pPr>
              <w:pStyle w:val="TableRowHead"/>
              <w:keepLines/>
              <w:widowControl w:val="0"/>
              <w:rPr>
                <w:lang w:val="en-GB" w:eastAsia="en-GB"/>
              </w:rPr>
            </w:pPr>
            <w:proofErr w:type="spellStart"/>
            <w:r w:rsidRPr="009B47EA">
              <w:t>Mhíchumas</w:t>
            </w:r>
            <w:proofErr w:type="spellEnd"/>
          </w:p>
        </w:tc>
        <w:tc>
          <w:tcPr>
            <w:tcW w:w="1494" w:type="dxa"/>
            <w:shd w:val="clear" w:color="auto" w:fill="auto"/>
            <w:vAlign w:val="bottom"/>
          </w:tcPr>
          <w:p w14:paraId="731E4FD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6CEA86C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5,237 </w:t>
            </w:r>
          </w:p>
        </w:tc>
      </w:tr>
      <w:tr w:rsidR="00141421" w:rsidRPr="00F868E5" w14:paraId="3C1AAA9B" w14:textId="77777777" w:rsidTr="0013007A">
        <w:tblPrEx>
          <w:tblCellMar>
            <w:top w:w="0" w:type="dxa"/>
            <w:bottom w:w="0" w:type="dxa"/>
          </w:tblCellMar>
        </w:tblPrEx>
        <w:trPr>
          <w:tblHeader/>
        </w:trPr>
        <w:tc>
          <w:tcPr>
            <w:tcW w:w="5868" w:type="dxa"/>
            <w:shd w:val="clear" w:color="auto" w:fill="auto"/>
            <w:vAlign w:val="bottom"/>
          </w:tcPr>
          <w:p w14:paraId="7BEAABD7" w14:textId="77777777" w:rsidR="009B47EA" w:rsidRPr="009B47EA" w:rsidRDefault="009B47EA" w:rsidP="00067058">
            <w:pPr>
              <w:pStyle w:val="TableRowHead"/>
              <w:keepLines/>
              <w:widowControl w:val="0"/>
            </w:pPr>
            <w:r w:rsidRPr="009B47EA">
              <w:t>Costais ÚNM ar Thomhas Sláinte agus</w:t>
            </w:r>
          </w:p>
          <w:p w14:paraId="74CF549C" w14:textId="77777777" w:rsidR="00141421" w:rsidRPr="009B47EA" w:rsidRDefault="009B47EA" w:rsidP="00067058">
            <w:pPr>
              <w:pStyle w:val="TableRowHead"/>
              <w:keepLines/>
              <w:widowControl w:val="0"/>
              <w:rPr>
                <w:lang w:val="en-GB" w:eastAsia="en-GB"/>
              </w:rPr>
            </w:pPr>
            <w:proofErr w:type="spellStart"/>
            <w:r w:rsidRPr="009B47EA">
              <w:t>Míchumais</w:t>
            </w:r>
            <w:proofErr w:type="spellEnd"/>
            <w:r w:rsidRPr="009B47EA">
              <w:t xml:space="preserve"> san Eoraip EDS</w:t>
            </w:r>
          </w:p>
        </w:tc>
        <w:tc>
          <w:tcPr>
            <w:tcW w:w="1494" w:type="dxa"/>
            <w:shd w:val="clear" w:color="auto" w:fill="auto"/>
            <w:vAlign w:val="bottom"/>
          </w:tcPr>
          <w:p w14:paraId="50EDC81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D2268C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5,041 </w:t>
            </w:r>
          </w:p>
        </w:tc>
      </w:tr>
      <w:tr w:rsidR="00141421" w:rsidRPr="00F868E5" w14:paraId="6EAA69B7" w14:textId="77777777" w:rsidTr="0013007A">
        <w:tblPrEx>
          <w:tblCellMar>
            <w:top w:w="0" w:type="dxa"/>
            <w:bottom w:w="0" w:type="dxa"/>
          </w:tblCellMar>
        </w:tblPrEx>
        <w:trPr>
          <w:tblHeader/>
        </w:trPr>
        <w:tc>
          <w:tcPr>
            <w:tcW w:w="5868" w:type="dxa"/>
            <w:shd w:val="clear" w:color="auto" w:fill="auto"/>
            <w:vAlign w:val="bottom"/>
          </w:tcPr>
          <w:p w14:paraId="660FD000" w14:textId="77777777" w:rsidR="00141421" w:rsidRPr="009B47EA" w:rsidRDefault="009B47EA" w:rsidP="00067058">
            <w:pPr>
              <w:pStyle w:val="TableRowHead"/>
              <w:keepLines/>
              <w:widowControl w:val="0"/>
              <w:rPr>
                <w:lang w:val="en-GB" w:eastAsia="en-GB"/>
              </w:rPr>
            </w:pPr>
            <w:r w:rsidRPr="009B47EA">
              <w:t xml:space="preserve">Comhdháil ar </w:t>
            </w:r>
            <w:proofErr w:type="spellStart"/>
            <w:r w:rsidRPr="009B47EA">
              <w:t>Inniúlacht</w:t>
            </w:r>
            <w:proofErr w:type="spellEnd"/>
            <w:r w:rsidRPr="009B47EA">
              <w:t xml:space="preserve"> </w:t>
            </w:r>
            <w:proofErr w:type="spellStart"/>
            <w:r w:rsidRPr="009B47EA">
              <w:t>Meabhrach</w:t>
            </w:r>
            <w:proofErr w:type="spellEnd"/>
          </w:p>
        </w:tc>
        <w:tc>
          <w:tcPr>
            <w:tcW w:w="1494" w:type="dxa"/>
            <w:shd w:val="clear" w:color="auto" w:fill="auto"/>
            <w:vAlign w:val="bottom"/>
          </w:tcPr>
          <w:p w14:paraId="07AB8C1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5B29D3A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4,987 </w:t>
            </w:r>
          </w:p>
        </w:tc>
      </w:tr>
      <w:tr w:rsidR="00141421" w:rsidRPr="00F868E5" w14:paraId="28937EB9" w14:textId="77777777" w:rsidTr="0013007A">
        <w:tblPrEx>
          <w:tblCellMar>
            <w:top w:w="0" w:type="dxa"/>
            <w:bottom w:w="0" w:type="dxa"/>
          </w:tblCellMar>
        </w:tblPrEx>
        <w:trPr>
          <w:tblHeader/>
        </w:trPr>
        <w:tc>
          <w:tcPr>
            <w:tcW w:w="5868" w:type="dxa"/>
            <w:shd w:val="clear" w:color="auto" w:fill="auto"/>
            <w:vAlign w:val="bottom"/>
          </w:tcPr>
          <w:p w14:paraId="1AA67177" w14:textId="77777777" w:rsidR="00141421" w:rsidRPr="009B47EA" w:rsidRDefault="009B47EA" w:rsidP="00067058">
            <w:pPr>
              <w:pStyle w:val="TableRowHead"/>
              <w:keepLines/>
              <w:widowControl w:val="0"/>
              <w:rPr>
                <w:lang w:val="en-GB" w:eastAsia="en-GB"/>
              </w:rPr>
            </w:pPr>
            <w:proofErr w:type="spellStart"/>
            <w:r w:rsidRPr="009B47EA">
              <w:t>Comdháil</w:t>
            </w:r>
            <w:proofErr w:type="spellEnd"/>
            <w:r w:rsidRPr="009B47EA">
              <w:t xml:space="preserve"> </w:t>
            </w:r>
            <w:proofErr w:type="spellStart"/>
            <w:r w:rsidRPr="009B47EA">
              <w:t>d’Oifigigh</w:t>
            </w:r>
            <w:proofErr w:type="spellEnd"/>
            <w:r w:rsidRPr="009B47EA">
              <w:t xml:space="preserve"> </w:t>
            </w:r>
            <w:proofErr w:type="spellStart"/>
            <w:r w:rsidRPr="009B47EA">
              <w:t>Rochtana</w:t>
            </w:r>
            <w:proofErr w:type="spellEnd"/>
          </w:p>
        </w:tc>
        <w:tc>
          <w:tcPr>
            <w:tcW w:w="1494" w:type="dxa"/>
            <w:shd w:val="clear" w:color="auto" w:fill="auto"/>
            <w:vAlign w:val="bottom"/>
          </w:tcPr>
          <w:p w14:paraId="7E5BAFED"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1E79252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3,875 </w:t>
            </w:r>
          </w:p>
        </w:tc>
      </w:tr>
      <w:tr w:rsidR="00141421" w:rsidRPr="00F868E5" w14:paraId="35CF6CFB" w14:textId="77777777" w:rsidTr="0013007A">
        <w:tblPrEx>
          <w:tblCellMar>
            <w:top w:w="0" w:type="dxa"/>
            <w:bottom w:w="0" w:type="dxa"/>
          </w:tblCellMar>
        </w:tblPrEx>
        <w:trPr>
          <w:tblHeader/>
        </w:trPr>
        <w:tc>
          <w:tcPr>
            <w:tcW w:w="5868" w:type="dxa"/>
            <w:shd w:val="clear" w:color="auto" w:fill="auto"/>
            <w:vAlign w:val="bottom"/>
          </w:tcPr>
          <w:p w14:paraId="3D71371B" w14:textId="77777777" w:rsidR="00141421" w:rsidRPr="009B47EA" w:rsidRDefault="009B47EA" w:rsidP="00067058">
            <w:pPr>
              <w:pStyle w:val="TableRowHead"/>
              <w:keepLines/>
              <w:widowControl w:val="0"/>
              <w:rPr>
                <w:lang w:val="en-GB" w:eastAsia="en-GB"/>
              </w:rPr>
            </w:pPr>
            <w:r w:rsidRPr="009B47EA">
              <w:t xml:space="preserve">Taighde ar </w:t>
            </w:r>
            <w:proofErr w:type="spellStart"/>
            <w:r w:rsidRPr="009B47EA">
              <w:t>Eitic</w:t>
            </w:r>
            <w:proofErr w:type="spellEnd"/>
            <w:r w:rsidRPr="009B47EA">
              <w:t xml:space="preserve"> Thaighde  </w:t>
            </w:r>
          </w:p>
        </w:tc>
        <w:tc>
          <w:tcPr>
            <w:tcW w:w="1494" w:type="dxa"/>
            <w:shd w:val="clear" w:color="auto" w:fill="auto"/>
            <w:vAlign w:val="bottom"/>
          </w:tcPr>
          <w:p w14:paraId="3B5BCD9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BEBF2D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1,474 </w:t>
            </w:r>
          </w:p>
        </w:tc>
      </w:tr>
      <w:tr w:rsidR="00141421" w:rsidRPr="00F868E5" w14:paraId="7DFD112B" w14:textId="77777777" w:rsidTr="0013007A">
        <w:tblPrEx>
          <w:tblCellMar>
            <w:top w:w="0" w:type="dxa"/>
            <w:bottom w:w="0" w:type="dxa"/>
          </w:tblCellMar>
        </w:tblPrEx>
        <w:trPr>
          <w:tblHeader/>
        </w:trPr>
        <w:tc>
          <w:tcPr>
            <w:tcW w:w="5868" w:type="dxa"/>
            <w:shd w:val="clear" w:color="auto" w:fill="auto"/>
            <w:vAlign w:val="bottom"/>
          </w:tcPr>
          <w:p w14:paraId="7194BB56" w14:textId="77777777" w:rsidR="00141421" w:rsidRPr="009B47EA" w:rsidRDefault="009B47EA" w:rsidP="00067058">
            <w:pPr>
              <w:pStyle w:val="TableRowHead"/>
              <w:keepLines/>
              <w:widowControl w:val="0"/>
              <w:rPr>
                <w:lang w:val="en-GB" w:eastAsia="en-GB"/>
              </w:rPr>
            </w:pPr>
            <w:r w:rsidRPr="009B47EA">
              <w:t xml:space="preserve">Comhdháil </w:t>
            </w:r>
            <w:proofErr w:type="spellStart"/>
            <w:r w:rsidRPr="009B47EA">
              <w:t>Fhaireachlann</w:t>
            </w:r>
            <w:proofErr w:type="spellEnd"/>
            <w:r w:rsidRPr="009B47EA">
              <w:t xml:space="preserve"> na hEorpa</w:t>
            </w:r>
          </w:p>
        </w:tc>
        <w:tc>
          <w:tcPr>
            <w:tcW w:w="1494" w:type="dxa"/>
            <w:shd w:val="clear" w:color="auto" w:fill="auto"/>
            <w:vAlign w:val="bottom"/>
          </w:tcPr>
          <w:p w14:paraId="71E3D07E"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BC2748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1,344 </w:t>
            </w:r>
          </w:p>
        </w:tc>
      </w:tr>
      <w:tr w:rsidR="00141421" w:rsidRPr="00F868E5" w14:paraId="6237AB82" w14:textId="77777777" w:rsidTr="0013007A">
        <w:tblPrEx>
          <w:tblCellMar>
            <w:top w:w="0" w:type="dxa"/>
            <w:bottom w:w="0" w:type="dxa"/>
          </w:tblCellMar>
        </w:tblPrEx>
        <w:trPr>
          <w:tblHeader/>
        </w:trPr>
        <w:tc>
          <w:tcPr>
            <w:tcW w:w="5868" w:type="dxa"/>
            <w:shd w:val="clear" w:color="auto" w:fill="auto"/>
            <w:vAlign w:val="bottom"/>
          </w:tcPr>
          <w:p w14:paraId="70888C50" w14:textId="77777777" w:rsidR="00141421" w:rsidRPr="009B47EA" w:rsidRDefault="009B47EA" w:rsidP="00067058">
            <w:pPr>
              <w:pStyle w:val="TableRowHead"/>
              <w:keepLines/>
              <w:widowControl w:val="0"/>
              <w:rPr>
                <w:lang w:val="en-GB" w:eastAsia="en-GB"/>
              </w:rPr>
            </w:pPr>
            <w:r w:rsidRPr="009B47EA">
              <w:t xml:space="preserve">Seimineár </w:t>
            </w:r>
            <w:proofErr w:type="spellStart"/>
            <w:r w:rsidRPr="009B47EA">
              <w:t>Fála</w:t>
            </w:r>
            <w:proofErr w:type="spellEnd"/>
            <w:r w:rsidRPr="009B47EA">
              <w:t xml:space="preserve"> ICT</w:t>
            </w:r>
          </w:p>
        </w:tc>
        <w:tc>
          <w:tcPr>
            <w:tcW w:w="1494" w:type="dxa"/>
            <w:shd w:val="clear" w:color="auto" w:fill="auto"/>
            <w:vAlign w:val="bottom"/>
          </w:tcPr>
          <w:p w14:paraId="417BD64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6D7DC9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1,094 </w:t>
            </w:r>
          </w:p>
        </w:tc>
      </w:tr>
      <w:tr w:rsidR="00141421" w:rsidRPr="00F868E5" w14:paraId="4EEEBC9D" w14:textId="77777777" w:rsidTr="0013007A">
        <w:tblPrEx>
          <w:tblCellMar>
            <w:top w:w="0" w:type="dxa"/>
            <w:bottom w:w="0" w:type="dxa"/>
          </w:tblCellMar>
        </w:tblPrEx>
        <w:trPr>
          <w:tblHeader/>
        </w:trPr>
        <w:tc>
          <w:tcPr>
            <w:tcW w:w="5868" w:type="dxa"/>
            <w:shd w:val="clear" w:color="auto" w:fill="auto"/>
            <w:vAlign w:val="bottom"/>
          </w:tcPr>
          <w:p w14:paraId="0CBB7BB6" w14:textId="77777777" w:rsidR="00141421" w:rsidRPr="009B47EA" w:rsidRDefault="009B47EA" w:rsidP="00067058">
            <w:pPr>
              <w:pStyle w:val="TableRowHead"/>
              <w:keepLines/>
              <w:widowControl w:val="0"/>
              <w:rPr>
                <w:lang w:val="en-GB" w:eastAsia="en-GB"/>
              </w:rPr>
            </w:pPr>
            <w:r w:rsidRPr="009B47EA">
              <w:t xml:space="preserve">Tithíocht </w:t>
            </w:r>
            <w:proofErr w:type="spellStart"/>
            <w:r w:rsidRPr="009B47EA">
              <w:t>Inoiriúnaithe</w:t>
            </w:r>
            <w:proofErr w:type="spellEnd"/>
            <w:r w:rsidRPr="009B47EA">
              <w:t xml:space="preserve"> Saoil</w:t>
            </w:r>
          </w:p>
        </w:tc>
        <w:tc>
          <w:tcPr>
            <w:tcW w:w="1494" w:type="dxa"/>
            <w:shd w:val="clear" w:color="auto" w:fill="auto"/>
            <w:vAlign w:val="bottom"/>
          </w:tcPr>
          <w:p w14:paraId="0F85B4A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17706C12"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833 </w:t>
            </w:r>
          </w:p>
        </w:tc>
      </w:tr>
      <w:tr w:rsidR="00141421" w:rsidRPr="00F868E5" w14:paraId="67E0D7F4" w14:textId="77777777" w:rsidTr="0013007A">
        <w:tblPrEx>
          <w:tblCellMar>
            <w:top w:w="0" w:type="dxa"/>
            <w:bottom w:w="0" w:type="dxa"/>
          </w:tblCellMar>
        </w:tblPrEx>
        <w:trPr>
          <w:tblHeader/>
        </w:trPr>
        <w:tc>
          <w:tcPr>
            <w:tcW w:w="5868" w:type="dxa"/>
            <w:shd w:val="clear" w:color="auto" w:fill="auto"/>
            <w:vAlign w:val="bottom"/>
          </w:tcPr>
          <w:p w14:paraId="37C6B737" w14:textId="77777777" w:rsidR="00141421" w:rsidRPr="009B47EA" w:rsidRDefault="009B47EA" w:rsidP="00067058">
            <w:pPr>
              <w:pStyle w:val="TableRowHead"/>
              <w:keepLines/>
              <w:widowControl w:val="0"/>
              <w:rPr>
                <w:lang w:val="en-GB" w:eastAsia="en-GB"/>
              </w:rPr>
            </w:pPr>
            <w:proofErr w:type="spellStart"/>
            <w:r w:rsidRPr="009B47EA">
              <w:t>Tiontú</w:t>
            </w:r>
            <w:proofErr w:type="spellEnd"/>
            <w:r w:rsidRPr="009B47EA">
              <w:t xml:space="preserve"> Ar Shuíomh Gréasáin HTML  </w:t>
            </w:r>
          </w:p>
        </w:tc>
        <w:tc>
          <w:tcPr>
            <w:tcW w:w="1494" w:type="dxa"/>
            <w:shd w:val="clear" w:color="auto" w:fill="auto"/>
            <w:vAlign w:val="bottom"/>
          </w:tcPr>
          <w:p w14:paraId="5D6F8D3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1B88BDAA"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798 </w:t>
            </w:r>
          </w:p>
        </w:tc>
      </w:tr>
      <w:tr w:rsidR="00141421" w:rsidRPr="00F868E5" w14:paraId="0308B32C" w14:textId="77777777" w:rsidTr="0013007A">
        <w:tblPrEx>
          <w:tblCellMar>
            <w:top w:w="0" w:type="dxa"/>
            <w:bottom w:w="0" w:type="dxa"/>
          </w:tblCellMar>
        </w:tblPrEx>
        <w:trPr>
          <w:tblHeader/>
        </w:trPr>
        <w:tc>
          <w:tcPr>
            <w:tcW w:w="5868" w:type="dxa"/>
            <w:shd w:val="clear" w:color="auto" w:fill="auto"/>
            <w:vAlign w:val="bottom"/>
          </w:tcPr>
          <w:p w14:paraId="37C9AA7F" w14:textId="77777777" w:rsidR="00141421" w:rsidRPr="009B47EA" w:rsidRDefault="009B47EA" w:rsidP="00067058">
            <w:pPr>
              <w:pStyle w:val="TableRowHead"/>
              <w:keepLines/>
              <w:widowControl w:val="0"/>
              <w:rPr>
                <w:lang w:val="en-GB" w:eastAsia="en-GB"/>
              </w:rPr>
            </w:pPr>
            <w:r w:rsidRPr="009B47EA">
              <w:t xml:space="preserve">Comhdháil An Lárionad </w:t>
            </w:r>
            <w:proofErr w:type="spellStart"/>
            <w:r w:rsidRPr="009B47EA">
              <w:t>Foirfeachta</w:t>
            </w:r>
            <w:proofErr w:type="spellEnd"/>
            <w:r w:rsidRPr="009B47EA">
              <w:t xml:space="preserve"> i </w:t>
            </w:r>
            <w:proofErr w:type="spellStart"/>
            <w:r w:rsidRPr="009B47EA">
              <w:t>nDearadh</w:t>
            </w:r>
            <w:proofErr w:type="spellEnd"/>
            <w:r w:rsidRPr="009B47EA">
              <w:t xml:space="preserve"> </w:t>
            </w:r>
            <w:proofErr w:type="spellStart"/>
            <w:r w:rsidRPr="009B47EA">
              <w:t>Uilíoch</w:t>
            </w:r>
            <w:proofErr w:type="spellEnd"/>
          </w:p>
        </w:tc>
        <w:tc>
          <w:tcPr>
            <w:tcW w:w="1494" w:type="dxa"/>
            <w:shd w:val="clear" w:color="auto" w:fill="auto"/>
            <w:vAlign w:val="bottom"/>
          </w:tcPr>
          <w:p w14:paraId="4E9E917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343F7F70"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619 </w:t>
            </w:r>
          </w:p>
        </w:tc>
      </w:tr>
      <w:tr w:rsidR="00141421" w:rsidRPr="00F868E5" w14:paraId="69DE1DAD" w14:textId="77777777" w:rsidTr="0013007A">
        <w:tblPrEx>
          <w:tblCellMar>
            <w:top w:w="0" w:type="dxa"/>
            <w:bottom w:w="0" w:type="dxa"/>
          </w:tblCellMar>
        </w:tblPrEx>
        <w:trPr>
          <w:tblHeader/>
        </w:trPr>
        <w:tc>
          <w:tcPr>
            <w:tcW w:w="5868" w:type="dxa"/>
            <w:shd w:val="clear" w:color="auto" w:fill="auto"/>
            <w:vAlign w:val="bottom"/>
          </w:tcPr>
          <w:p w14:paraId="7FCE5D65" w14:textId="77777777" w:rsidR="00141421" w:rsidRPr="009B47EA" w:rsidRDefault="009B47EA" w:rsidP="00067058">
            <w:pPr>
              <w:pStyle w:val="TableRowHead"/>
              <w:keepLines/>
              <w:widowControl w:val="0"/>
              <w:rPr>
                <w:lang w:val="en-GB" w:eastAsia="en-GB"/>
              </w:rPr>
            </w:pPr>
            <w:proofErr w:type="spellStart"/>
            <w:r w:rsidRPr="009B47EA">
              <w:t>Inlíon</w:t>
            </w:r>
            <w:proofErr w:type="spellEnd"/>
            <w:r w:rsidRPr="009B47EA">
              <w:t xml:space="preserve"> ETA</w:t>
            </w:r>
          </w:p>
        </w:tc>
        <w:tc>
          <w:tcPr>
            <w:tcW w:w="1494" w:type="dxa"/>
            <w:shd w:val="clear" w:color="auto" w:fill="auto"/>
            <w:vAlign w:val="bottom"/>
          </w:tcPr>
          <w:p w14:paraId="2AE1F7A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39E6E4A3"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474 </w:t>
            </w:r>
          </w:p>
        </w:tc>
      </w:tr>
      <w:tr w:rsidR="00141421" w:rsidRPr="00F868E5" w14:paraId="0C48791F" w14:textId="77777777" w:rsidTr="0013007A">
        <w:tblPrEx>
          <w:tblCellMar>
            <w:top w:w="0" w:type="dxa"/>
            <w:bottom w:w="0" w:type="dxa"/>
          </w:tblCellMar>
        </w:tblPrEx>
        <w:trPr>
          <w:tblHeader/>
        </w:trPr>
        <w:tc>
          <w:tcPr>
            <w:tcW w:w="5868" w:type="dxa"/>
            <w:shd w:val="clear" w:color="auto" w:fill="auto"/>
            <w:vAlign w:val="bottom"/>
          </w:tcPr>
          <w:p w14:paraId="0925553C" w14:textId="77777777" w:rsidR="00141421" w:rsidRPr="009B47EA" w:rsidRDefault="009B47EA" w:rsidP="00067058">
            <w:pPr>
              <w:pStyle w:val="TableRowHead"/>
              <w:keepLines/>
              <w:widowControl w:val="0"/>
              <w:rPr>
                <w:lang w:val="en-GB" w:eastAsia="en-GB"/>
              </w:rPr>
            </w:pPr>
            <w:r w:rsidRPr="009B47EA">
              <w:t xml:space="preserve">An Coiste Comhairle </w:t>
            </w:r>
            <w:proofErr w:type="spellStart"/>
            <w:r w:rsidRPr="009B47EA">
              <w:t>Meabhairshláinte</w:t>
            </w:r>
            <w:proofErr w:type="spellEnd"/>
          </w:p>
        </w:tc>
        <w:tc>
          <w:tcPr>
            <w:tcW w:w="1494" w:type="dxa"/>
            <w:shd w:val="clear" w:color="auto" w:fill="auto"/>
            <w:vAlign w:val="bottom"/>
          </w:tcPr>
          <w:p w14:paraId="78439B0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549FA9F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413 </w:t>
            </w:r>
          </w:p>
        </w:tc>
      </w:tr>
      <w:tr w:rsidR="00141421" w:rsidRPr="00F868E5" w14:paraId="5EBFDA85" w14:textId="77777777" w:rsidTr="0013007A">
        <w:tblPrEx>
          <w:tblCellMar>
            <w:top w:w="0" w:type="dxa"/>
            <w:bottom w:w="0" w:type="dxa"/>
          </w:tblCellMar>
        </w:tblPrEx>
        <w:trPr>
          <w:tblHeader/>
        </w:trPr>
        <w:tc>
          <w:tcPr>
            <w:tcW w:w="5868" w:type="dxa"/>
            <w:shd w:val="clear" w:color="auto" w:fill="auto"/>
            <w:vAlign w:val="bottom"/>
          </w:tcPr>
          <w:p w14:paraId="535B4E90" w14:textId="77777777" w:rsidR="00141421" w:rsidRPr="009B47EA" w:rsidRDefault="009B47EA" w:rsidP="00067058">
            <w:pPr>
              <w:pStyle w:val="TableRowHead"/>
              <w:keepLines/>
              <w:widowControl w:val="0"/>
              <w:rPr>
                <w:lang w:val="en-GB" w:eastAsia="en-GB"/>
              </w:rPr>
            </w:pPr>
            <w:proofErr w:type="spellStart"/>
            <w:r w:rsidRPr="009B47EA">
              <w:t>Tacaíochtaí</w:t>
            </w:r>
            <w:proofErr w:type="spellEnd"/>
            <w:r w:rsidRPr="009B47EA">
              <w:t xml:space="preserve"> Oifigeach </w:t>
            </w:r>
            <w:proofErr w:type="spellStart"/>
            <w:r w:rsidRPr="009B47EA">
              <w:t>Rochtana</w:t>
            </w:r>
            <w:proofErr w:type="spellEnd"/>
          </w:p>
        </w:tc>
        <w:tc>
          <w:tcPr>
            <w:tcW w:w="1494" w:type="dxa"/>
            <w:shd w:val="clear" w:color="auto" w:fill="auto"/>
            <w:vAlign w:val="bottom"/>
          </w:tcPr>
          <w:p w14:paraId="70E1BBE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1EF2AC1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401 </w:t>
            </w:r>
          </w:p>
        </w:tc>
      </w:tr>
      <w:tr w:rsidR="00141421" w:rsidRPr="00F868E5" w14:paraId="3A975A90" w14:textId="77777777" w:rsidTr="0013007A">
        <w:tblPrEx>
          <w:tblCellMar>
            <w:top w:w="0" w:type="dxa"/>
            <w:bottom w:w="0" w:type="dxa"/>
          </w:tblCellMar>
        </w:tblPrEx>
        <w:trPr>
          <w:tblHeader/>
        </w:trPr>
        <w:tc>
          <w:tcPr>
            <w:tcW w:w="5868" w:type="dxa"/>
            <w:shd w:val="clear" w:color="auto" w:fill="auto"/>
            <w:vAlign w:val="bottom"/>
          </w:tcPr>
          <w:p w14:paraId="012F1210" w14:textId="77777777" w:rsidR="00141421" w:rsidRPr="009B47EA" w:rsidRDefault="009B47EA" w:rsidP="00067058">
            <w:pPr>
              <w:pStyle w:val="TableRowHead"/>
              <w:keepLines/>
              <w:widowControl w:val="0"/>
              <w:rPr>
                <w:lang w:val="en-GB" w:eastAsia="en-GB"/>
              </w:rPr>
            </w:pPr>
            <w:r w:rsidRPr="009B47EA">
              <w:t>Seoladh Foilseachán Chomhairle na hEorpa</w:t>
            </w:r>
          </w:p>
        </w:tc>
        <w:tc>
          <w:tcPr>
            <w:tcW w:w="1494" w:type="dxa"/>
            <w:shd w:val="clear" w:color="auto" w:fill="auto"/>
            <w:vAlign w:val="bottom"/>
          </w:tcPr>
          <w:p w14:paraId="05D498F4"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7FC7167"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365 </w:t>
            </w:r>
          </w:p>
        </w:tc>
      </w:tr>
      <w:tr w:rsidR="00141421" w:rsidRPr="00F868E5" w14:paraId="4894740D" w14:textId="77777777" w:rsidTr="0013007A">
        <w:tblPrEx>
          <w:tblCellMar>
            <w:top w:w="0" w:type="dxa"/>
            <w:bottom w:w="0" w:type="dxa"/>
          </w:tblCellMar>
        </w:tblPrEx>
        <w:trPr>
          <w:tblHeader/>
        </w:trPr>
        <w:tc>
          <w:tcPr>
            <w:tcW w:w="5868" w:type="dxa"/>
            <w:shd w:val="clear" w:color="auto" w:fill="auto"/>
            <w:vAlign w:val="bottom"/>
          </w:tcPr>
          <w:p w14:paraId="5B7A0E3E" w14:textId="77777777" w:rsidR="00141421" w:rsidRPr="009B47EA" w:rsidRDefault="009B47EA" w:rsidP="00067058">
            <w:pPr>
              <w:pStyle w:val="TableRowHead"/>
              <w:keepLines/>
              <w:widowControl w:val="0"/>
              <w:rPr>
                <w:lang w:val="en-GB" w:eastAsia="en-GB"/>
              </w:rPr>
            </w:pPr>
            <w:r w:rsidRPr="009B47EA">
              <w:t>Ceardlann Cárta Cliste</w:t>
            </w:r>
          </w:p>
        </w:tc>
        <w:tc>
          <w:tcPr>
            <w:tcW w:w="1494" w:type="dxa"/>
            <w:shd w:val="clear" w:color="auto" w:fill="auto"/>
            <w:vAlign w:val="bottom"/>
          </w:tcPr>
          <w:p w14:paraId="748148BF"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1ED0BAA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290 </w:t>
            </w:r>
          </w:p>
        </w:tc>
      </w:tr>
      <w:tr w:rsidR="00141421" w:rsidRPr="00F868E5" w14:paraId="57002EB9" w14:textId="77777777" w:rsidTr="0013007A">
        <w:tblPrEx>
          <w:tblCellMar>
            <w:top w:w="0" w:type="dxa"/>
            <w:bottom w:w="0" w:type="dxa"/>
          </w:tblCellMar>
        </w:tblPrEx>
        <w:trPr>
          <w:tblHeader/>
        </w:trPr>
        <w:tc>
          <w:tcPr>
            <w:tcW w:w="5868" w:type="dxa"/>
            <w:shd w:val="clear" w:color="auto" w:fill="auto"/>
            <w:vAlign w:val="bottom"/>
          </w:tcPr>
          <w:p w14:paraId="0234EE18" w14:textId="77777777" w:rsidR="00141421" w:rsidRPr="009B47EA" w:rsidRDefault="009B47EA" w:rsidP="00067058">
            <w:pPr>
              <w:pStyle w:val="TableRowHead"/>
              <w:keepLines/>
              <w:widowControl w:val="0"/>
              <w:rPr>
                <w:lang w:val="en-GB" w:eastAsia="en-GB"/>
              </w:rPr>
            </w:pPr>
            <w:r w:rsidRPr="009B47EA">
              <w:t>Comhdháil Seimineár NA</w:t>
            </w:r>
          </w:p>
        </w:tc>
        <w:tc>
          <w:tcPr>
            <w:tcW w:w="1494" w:type="dxa"/>
            <w:shd w:val="clear" w:color="auto" w:fill="auto"/>
            <w:vAlign w:val="bottom"/>
          </w:tcPr>
          <w:p w14:paraId="439EBA41"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3B5C178C"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287 </w:t>
            </w:r>
          </w:p>
        </w:tc>
      </w:tr>
      <w:tr w:rsidR="00141421" w:rsidRPr="00F868E5" w14:paraId="3D082BF0" w14:textId="77777777" w:rsidTr="0013007A">
        <w:tblPrEx>
          <w:tblCellMar>
            <w:top w:w="0" w:type="dxa"/>
            <w:bottom w:w="0" w:type="dxa"/>
          </w:tblCellMar>
        </w:tblPrEx>
        <w:trPr>
          <w:tblHeader/>
        </w:trPr>
        <w:tc>
          <w:tcPr>
            <w:tcW w:w="5868" w:type="dxa"/>
            <w:shd w:val="clear" w:color="auto" w:fill="auto"/>
            <w:vAlign w:val="bottom"/>
          </w:tcPr>
          <w:p w14:paraId="3D0D5962" w14:textId="77777777" w:rsidR="009B47EA" w:rsidRPr="009B47EA" w:rsidRDefault="009B47EA" w:rsidP="00067058">
            <w:pPr>
              <w:pStyle w:val="TableRowHead"/>
              <w:keepLines/>
              <w:widowControl w:val="0"/>
            </w:pPr>
            <w:r w:rsidRPr="009B47EA">
              <w:t>Dúshlán a thabhairt do Dhearcadh ar</w:t>
            </w:r>
          </w:p>
          <w:p w14:paraId="442AC6D7" w14:textId="77777777" w:rsidR="00141421" w:rsidRPr="009B47EA" w:rsidRDefault="009B47EA" w:rsidP="00067058">
            <w:pPr>
              <w:pStyle w:val="TableRowHead"/>
              <w:keepLines/>
              <w:widowControl w:val="0"/>
              <w:rPr>
                <w:lang w:val="en-GB" w:eastAsia="en-GB"/>
              </w:rPr>
            </w:pPr>
            <w:r w:rsidRPr="009B47EA">
              <w:t xml:space="preserve">Fheachtas </w:t>
            </w:r>
            <w:proofErr w:type="spellStart"/>
            <w:r w:rsidRPr="009B47EA">
              <w:t>Fógraíochta</w:t>
            </w:r>
            <w:proofErr w:type="spellEnd"/>
            <w:r w:rsidRPr="009B47EA">
              <w:t xml:space="preserve"> Sláinte Mheabhrach</w:t>
            </w:r>
          </w:p>
        </w:tc>
        <w:tc>
          <w:tcPr>
            <w:tcW w:w="1494" w:type="dxa"/>
            <w:shd w:val="clear" w:color="auto" w:fill="auto"/>
            <w:vAlign w:val="bottom"/>
          </w:tcPr>
          <w:p w14:paraId="381AEF7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7C615509"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(22)</w:t>
            </w:r>
          </w:p>
        </w:tc>
      </w:tr>
      <w:tr w:rsidR="00141421" w:rsidRPr="00F868E5" w14:paraId="249BD51A" w14:textId="77777777" w:rsidTr="0013007A">
        <w:tblPrEx>
          <w:tblCellMar>
            <w:top w:w="0" w:type="dxa"/>
            <w:bottom w:w="0" w:type="dxa"/>
          </w:tblCellMar>
        </w:tblPrEx>
        <w:trPr>
          <w:tblHeader/>
        </w:trPr>
        <w:tc>
          <w:tcPr>
            <w:tcW w:w="5868" w:type="dxa"/>
            <w:shd w:val="clear" w:color="auto" w:fill="auto"/>
            <w:vAlign w:val="bottom"/>
          </w:tcPr>
          <w:p w14:paraId="7D8A5ECA" w14:textId="77777777" w:rsidR="00141421" w:rsidRPr="009B47EA" w:rsidRDefault="009B47EA" w:rsidP="00067058">
            <w:pPr>
              <w:pStyle w:val="TableRowHead"/>
              <w:keepLines/>
              <w:widowControl w:val="0"/>
              <w:rPr>
                <w:lang w:val="en-GB" w:eastAsia="en-GB"/>
              </w:rPr>
            </w:pPr>
            <w:proofErr w:type="gramStart"/>
            <w:r w:rsidRPr="009B47EA">
              <w:t xml:space="preserve">BNA  </w:t>
            </w:r>
            <w:proofErr w:type="spellStart"/>
            <w:r w:rsidRPr="009B47EA">
              <w:t>Scoláireachtaí</w:t>
            </w:r>
            <w:proofErr w:type="spellEnd"/>
            <w:proofErr w:type="gramEnd"/>
          </w:p>
        </w:tc>
        <w:tc>
          <w:tcPr>
            <w:tcW w:w="1494" w:type="dxa"/>
            <w:shd w:val="clear" w:color="auto" w:fill="auto"/>
            <w:vAlign w:val="bottom"/>
          </w:tcPr>
          <w:p w14:paraId="40636BF6"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0 </w:t>
            </w:r>
          </w:p>
        </w:tc>
        <w:tc>
          <w:tcPr>
            <w:tcW w:w="1494" w:type="dxa"/>
            <w:shd w:val="clear" w:color="auto" w:fill="auto"/>
            <w:vAlign w:val="bottom"/>
          </w:tcPr>
          <w:p w14:paraId="41318A85"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(14,484)</w:t>
            </w:r>
          </w:p>
        </w:tc>
      </w:tr>
      <w:tr w:rsidR="00141421" w:rsidRPr="00F868E5" w14:paraId="1899AB54" w14:textId="77777777" w:rsidTr="0013007A">
        <w:tblPrEx>
          <w:tblCellMar>
            <w:top w:w="0" w:type="dxa"/>
            <w:bottom w:w="0" w:type="dxa"/>
          </w:tblCellMar>
        </w:tblPrEx>
        <w:trPr>
          <w:tblHeader/>
        </w:trPr>
        <w:tc>
          <w:tcPr>
            <w:tcW w:w="5868" w:type="dxa"/>
            <w:shd w:val="clear" w:color="auto" w:fill="auto"/>
            <w:vAlign w:val="bottom"/>
          </w:tcPr>
          <w:p w14:paraId="094B168C" w14:textId="77777777" w:rsidR="009B47EA" w:rsidRPr="009B47EA" w:rsidRDefault="009B47EA" w:rsidP="00067058">
            <w:pPr>
              <w:pStyle w:val="TableRowHead"/>
              <w:keepLines/>
              <w:widowControl w:val="0"/>
            </w:pPr>
            <w:r w:rsidRPr="009B47EA">
              <w:t xml:space="preserve">Foilsiú ar </w:t>
            </w:r>
            <w:proofErr w:type="spellStart"/>
            <w:r w:rsidRPr="009B47EA">
              <w:t>Threoirlínte</w:t>
            </w:r>
            <w:proofErr w:type="spellEnd"/>
            <w:r w:rsidRPr="009B47EA">
              <w:t xml:space="preserve"> Sláinte agus</w:t>
            </w:r>
          </w:p>
          <w:p w14:paraId="20ACB302" w14:textId="77777777" w:rsidR="00141421" w:rsidRPr="009B47EA" w:rsidRDefault="009B47EA" w:rsidP="00067058">
            <w:pPr>
              <w:pStyle w:val="TableRowHead"/>
              <w:keepLines/>
              <w:widowControl w:val="0"/>
              <w:rPr>
                <w:lang w:val="en-GB" w:eastAsia="en-GB"/>
              </w:rPr>
            </w:pPr>
            <w:proofErr w:type="spellStart"/>
            <w:r w:rsidRPr="009B47EA">
              <w:t>Sábháilteachta</w:t>
            </w:r>
            <w:proofErr w:type="spellEnd"/>
            <w:r w:rsidRPr="009B47EA">
              <w:t xml:space="preserve"> </w:t>
            </w:r>
            <w:proofErr w:type="spellStart"/>
            <w:r w:rsidRPr="009B47EA">
              <w:t>d'Egress</w:t>
            </w:r>
            <w:proofErr w:type="spellEnd"/>
          </w:p>
        </w:tc>
        <w:tc>
          <w:tcPr>
            <w:tcW w:w="1494" w:type="dxa"/>
            <w:shd w:val="clear" w:color="auto" w:fill="auto"/>
            <w:vAlign w:val="bottom"/>
          </w:tcPr>
          <w:p w14:paraId="1C5C0568"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(1,000)</w:t>
            </w:r>
          </w:p>
        </w:tc>
        <w:tc>
          <w:tcPr>
            <w:tcW w:w="1494" w:type="dxa"/>
            <w:shd w:val="clear" w:color="auto" w:fill="auto"/>
            <w:vAlign w:val="bottom"/>
          </w:tcPr>
          <w:p w14:paraId="11482AAB" w14:textId="77777777" w:rsidR="00141421" w:rsidRPr="00F868E5" w:rsidRDefault="00141421" w:rsidP="00067058">
            <w:pPr>
              <w:keepNext/>
              <w:keepLines/>
              <w:widowControl w:val="0"/>
              <w:spacing w:after="0" w:line="240" w:lineRule="auto"/>
              <w:jc w:val="right"/>
              <w:rPr>
                <w:rFonts w:cs="Arial"/>
                <w:lang w:val="en-GB" w:eastAsia="en-GB"/>
              </w:rPr>
            </w:pPr>
            <w:r w:rsidRPr="00F868E5">
              <w:rPr>
                <w:rFonts w:cs="Arial"/>
                <w:lang w:val="en-GB" w:eastAsia="en-GB"/>
              </w:rPr>
              <w:t xml:space="preserve">5,980 </w:t>
            </w:r>
          </w:p>
        </w:tc>
      </w:tr>
      <w:tr w:rsidR="00141421" w:rsidRPr="00F868E5" w14:paraId="5ABBF89E" w14:textId="77777777" w:rsidTr="0013007A">
        <w:tblPrEx>
          <w:tblCellMar>
            <w:top w:w="0" w:type="dxa"/>
            <w:bottom w:w="0" w:type="dxa"/>
          </w:tblCellMar>
        </w:tblPrEx>
        <w:trPr>
          <w:tblHeader/>
        </w:trPr>
        <w:tc>
          <w:tcPr>
            <w:tcW w:w="5868" w:type="dxa"/>
            <w:shd w:val="clear" w:color="auto" w:fill="auto"/>
            <w:vAlign w:val="bottom"/>
          </w:tcPr>
          <w:p w14:paraId="5A4E7AC0" w14:textId="77777777" w:rsidR="00141421" w:rsidRPr="009B47EA" w:rsidRDefault="00141421" w:rsidP="00067058">
            <w:pPr>
              <w:pStyle w:val="TableRowHead"/>
              <w:keepLines/>
              <w:widowControl w:val="0"/>
              <w:rPr>
                <w:rFonts w:cs="Arial"/>
                <w:lang w:val="en-GB" w:eastAsia="en-GB"/>
              </w:rPr>
            </w:pPr>
          </w:p>
        </w:tc>
        <w:tc>
          <w:tcPr>
            <w:tcW w:w="1494" w:type="dxa"/>
            <w:shd w:val="clear" w:color="auto" w:fill="auto"/>
            <w:vAlign w:val="bottom"/>
          </w:tcPr>
          <w:p w14:paraId="0FC7EB4C" w14:textId="77777777" w:rsidR="00141421" w:rsidRPr="009912D3" w:rsidRDefault="00141421" w:rsidP="00067058">
            <w:pPr>
              <w:keepNext/>
              <w:keepLines/>
              <w:widowControl w:val="0"/>
              <w:spacing w:after="0" w:line="240" w:lineRule="auto"/>
              <w:jc w:val="right"/>
              <w:rPr>
                <w:rFonts w:cs="Arial"/>
                <w:b/>
                <w:lang w:val="en-GB" w:eastAsia="en-GB"/>
              </w:rPr>
            </w:pPr>
            <w:r w:rsidRPr="009912D3">
              <w:rPr>
                <w:rFonts w:cs="Arial"/>
                <w:b/>
                <w:lang w:val="en-GB" w:eastAsia="en-GB"/>
              </w:rPr>
              <w:t xml:space="preserve">468,863 </w:t>
            </w:r>
          </w:p>
        </w:tc>
        <w:tc>
          <w:tcPr>
            <w:tcW w:w="1494" w:type="dxa"/>
            <w:shd w:val="clear" w:color="auto" w:fill="auto"/>
            <w:vAlign w:val="bottom"/>
          </w:tcPr>
          <w:p w14:paraId="039A8A65" w14:textId="77777777" w:rsidR="00141421" w:rsidRPr="009912D3" w:rsidRDefault="00141421" w:rsidP="00067058">
            <w:pPr>
              <w:keepNext/>
              <w:keepLines/>
              <w:widowControl w:val="0"/>
              <w:spacing w:after="0" w:line="240" w:lineRule="auto"/>
              <w:jc w:val="right"/>
              <w:rPr>
                <w:rFonts w:cs="Arial"/>
                <w:b/>
                <w:lang w:val="en-GB" w:eastAsia="en-GB"/>
              </w:rPr>
            </w:pPr>
            <w:r w:rsidRPr="009912D3">
              <w:rPr>
                <w:rFonts w:cs="Arial"/>
                <w:b/>
                <w:lang w:val="en-GB" w:eastAsia="en-GB"/>
              </w:rPr>
              <w:t xml:space="preserve">422,076 </w:t>
            </w:r>
          </w:p>
        </w:tc>
      </w:tr>
    </w:tbl>
    <w:p w14:paraId="783D9A84" w14:textId="77777777" w:rsidR="00141421" w:rsidRDefault="009B47EA" w:rsidP="00141421">
      <w:pPr>
        <w:pStyle w:val="TableTitle"/>
        <w:jc w:val="left"/>
      </w:pPr>
      <w:r>
        <w:t xml:space="preserve">4. Costais </w:t>
      </w:r>
      <w:proofErr w:type="spellStart"/>
      <w:r>
        <w:t>Phárolla</w:t>
      </w:r>
      <w:proofErr w:type="spellEnd"/>
    </w:p>
    <w:tbl>
      <w:tblPr>
        <w:tblW w:w="8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5"/>
        <w:gridCol w:w="1494"/>
        <w:gridCol w:w="1494"/>
      </w:tblGrid>
      <w:tr w:rsidR="00141421" w:rsidRPr="00C31B12" w14:paraId="20892404" w14:textId="77777777" w:rsidTr="00141421">
        <w:tblPrEx>
          <w:tblCellMar>
            <w:top w:w="0" w:type="dxa"/>
            <w:bottom w:w="0" w:type="dxa"/>
          </w:tblCellMar>
        </w:tblPrEx>
        <w:trPr>
          <w:tblHeader/>
        </w:trPr>
        <w:tc>
          <w:tcPr>
            <w:tcW w:w="5865" w:type="dxa"/>
            <w:shd w:val="clear" w:color="auto" w:fill="auto"/>
          </w:tcPr>
          <w:p w14:paraId="6E5DA0FA" w14:textId="77777777" w:rsidR="00141421" w:rsidRPr="00C31B12" w:rsidRDefault="00141421" w:rsidP="00141421">
            <w:pPr>
              <w:pStyle w:val="TableHead"/>
              <w:jc w:val="right"/>
            </w:pPr>
          </w:p>
        </w:tc>
        <w:tc>
          <w:tcPr>
            <w:tcW w:w="1494" w:type="dxa"/>
            <w:shd w:val="clear" w:color="auto" w:fill="auto"/>
          </w:tcPr>
          <w:p w14:paraId="18F58DBC" w14:textId="77777777" w:rsidR="00141421" w:rsidRPr="00F868E5" w:rsidRDefault="00141421" w:rsidP="00141421">
            <w:pPr>
              <w:pStyle w:val="TableHead"/>
              <w:spacing w:line="240" w:lineRule="auto"/>
              <w:jc w:val="right"/>
            </w:pPr>
            <w:r w:rsidRPr="00F868E5">
              <w:t>2010</w:t>
            </w:r>
          </w:p>
        </w:tc>
        <w:tc>
          <w:tcPr>
            <w:tcW w:w="1494" w:type="dxa"/>
            <w:shd w:val="clear" w:color="auto" w:fill="auto"/>
          </w:tcPr>
          <w:p w14:paraId="1F4B22F7" w14:textId="77777777" w:rsidR="00141421" w:rsidRPr="00F868E5" w:rsidRDefault="00141421" w:rsidP="00141421">
            <w:pPr>
              <w:pStyle w:val="TableHead"/>
              <w:spacing w:line="240" w:lineRule="auto"/>
              <w:jc w:val="right"/>
            </w:pPr>
            <w:r w:rsidRPr="00F868E5">
              <w:t>2009</w:t>
            </w:r>
          </w:p>
        </w:tc>
      </w:tr>
      <w:tr w:rsidR="00141421" w:rsidRPr="00C31B12" w14:paraId="0EFAD797" w14:textId="77777777" w:rsidTr="00141421">
        <w:tblPrEx>
          <w:tblCellMar>
            <w:top w:w="0" w:type="dxa"/>
            <w:bottom w:w="0" w:type="dxa"/>
          </w:tblCellMar>
        </w:tblPrEx>
        <w:tc>
          <w:tcPr>
            <w:tcW w:w="5865" w:type="dxa"/>
            <w:shd w:val="clear" w:color="auto" w:fill="auto"/>
          </w:tcPr>
          <w:p w14:paraId="48376F77" w14:textId="77777777" w:rsidR="00141421" w:rsidRPr="00C31B12" w:rsidRDefault="00141421" w:rsidP="00141421">
            <w:pPr>
              <w:pStyle w:val="TableRowHead"/>
            </w:pPr>
          </w:p>
        </w:tc>
        <w:tc>
          <w:tcPr>
            <w:tcW w:w="1494" w:type="dxa"/>
            <w:shd w:val="clear" w:color="auto" w:fill="auto"/>
            <w:vAlign w:val="bottom"/>
          </w:tcPr>
          <w:p w14:paraId="11BC030C" w14:textId="77777777" w:rsidR="00141421" w:rsidRPr="00F868E5" w:rsidRDefault="00141421" w:rsidP="00141421">
            <w:pPr>
              <w:spacing w:after="0" w:line="240" w:lineRule="auto"/>
              <w:jc w:val="right"/>
              <w:rPr>
                <w:rFonts w:cs="Arial"/>
                <w:b/>
                <w:bCs/>
                <w:lang w:val="en-GB" w:eastAsia="en-GB"/>
              </w:rPr>
            </w:pPr>
            <w:r w:rsidRPr="00F868E5">
              <w:rPr>
                <w:rFonts w:cs="Arial"/>
                <w:b/>
                <w:bCs/>
                <w:lang w:val="en-GB" w:eastAsia="en-GB"/>
              </w:rPr>
              <w:t xml:space="preserve">          €</w:t>
            </w:r>
          </w:p>
        </w:tc>
        <w:tc>
          <w:tcPr>
            <w:tcW w:w="1494" w:type="dxa"/>
            <w:shd w:val="clear" w:color="auto" w:fill="auto"/>
            <w:vAlign w:val="bottom"/>
          </w:tcPr>
          <w:p w14:paraId="74CD9C87" w14:textId="77777777" w:rsidR="00141421" w:rsidRPr="00F868E5" w:rsidRDefault="00141421" w:rsidP="00141421">
            <w:pPr>
              <w:spacing w:after="0" w:line="240" w:lineRule="auto"/>
              <w:jc w:val="right"/>
              <w:rPr>
                <w:rFonts w:cs="Arial"/>
                <w:b/>
                <w:bCs/>
                <w:lang w:val="en-GB" w:eastAsia="en-GB"/>
              </w:rPr>
            </w:pPr>
            <w:r w:rsidRPr="00F868E5">
              <w:rPr>
                <w:rFonts w:cs="Arial"/>
                <w:b/>
                <w:bCs/>
                <w:lang w:val="en-GB" w:eastAsia="en-GB"/>
              </w:rPr>
              <w:t xml:space="preserve">          €</w:t>
            </w:r>
          </w:p>
        </w:tc>
      </w:tr>
      <w:tr w:rsidR="009B47EA" w:rsidRPr="00C31B12" w14:paraId="5ADE3E6A" w14:textId="77777777" w:rsidTr="00231F76">
        <w:tblPrEx>
          <w:tblCellMar>
            <w:top w:w="0" w:type="dxa"/>
            <w:bottom w:w="0" w:type="dxa"/>
          </w:tblCellMar>
        </w:tblPrEx>
        <w:tc>
          <w:tcPr>
            <w:tcW w:w="5865" w:type="dxa"/>
            <w:shd w:val="clear" w:color="auto" w:fill="auto"/>
            <w:vAlign w:val="center"/>
          </w:tcPr>
          <w:p w14:paraId="482D68BD" w14:textId="77777777" w:rsidR="009B47EA" w:rsidRPr="009B47EA" w:rsidRDefault="009B47EA" w:rsidP="009B47EA">
            <w:pPr>
              <w:pStyle w:val="TableRowHead"/>
            </w:pPr>
            <w:r w:rsidRPr="009B47EA">
              <w:t>Pá Foirne ÚNM</w:t>
            </w:r>
          </w:p>
        </w:tc>
        <w:tc>
          <w:tcPr>
            <w:tcW w:w="1494" w:type="dxa"/>
            <w:shd w:val="clear" w:color="auto" w:fill="auto"/>
            <w:vAlign w:val="bottom"/>
          </w:tcPr>
          <w:p w14:paraId="1117ECEF"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2,230,067 </w:t>
            </w:r>
          </w:p>
        </w:tc>
        <w:tc>
          <w:tcPr>
            <w:tcW w:w="1494" w:type="dxa"/>
            <w:shd w:val="clear" w:color="auto" w:fill="auto"/>
            <w:vAlign w:val="bottom"/>
          </w:tcPr>
          <w:p w14:paraId="5DE9513B"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2,445,132 </w:t>
            </w:r>
          </w:p>
        </w:tc>
      </w:tr>
      <w:tr w:rsidR="009B47EA" w:rsidRPr="00C31B12" w14:paraId="45221938" w14:textId="77777777" w:rsidTr="00231F76">
        <w:tblPrEx>
          <w:tblCellMar>
            <w:top w:w="0" w:type="dxa"/>
            <w:bottom w:w="0" w:type="dxa"/>
          </w:tblCellMar>
        </w:tblPrEx>
        <w:tc>
          <w:tcPr>
            <w:tcW w:w="5865" w:type="dxa"/>
            <w:shd w:val="clear" w:color="auto" w:fill="auto"/>
            <w:vAlign w:val="center"/>
          </w:tcPr>
          <w:p w14:paraId="1B0D5DA0" w14:textId="77777777" w:rsidR="009B47EA" w:rsidRPr="009B47EA" w:rsidRDefault="009B47EA" w:rsidP="009B47EA">
            <w:pPr>
              <w:pStyle w:val="TableRowHead"/>
            </w:pPr>
            <w:r w:rsidRPr="009B47EA">
              <w:t xml:space="preserve">Foireann </w:t>
            </w:r>
            <w:proofErr w:type="spellStart"/>
            <w:r w:rsidRPr="009B47EA">
              <w:t>Ghníomhaireachta</w:t>
            </w:r>
            <w:proofErr w:type="spellEnd"/>
          </w:p>
        </w:tc>
        <w:tc>
          <w:tcPr>
            <w:tcW w:w="1494" w:type="dxa"/>
            <w:shd w:val="clear" w:color="auto" w:fill="auto"/>
            <w:vAlign w:val="bottom"/>
          </w:tcPr>
          <w:p w14:paraId="6ACD72ED"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5,471 </w:t>
            </w:r>
          </w:p>
        </w:tc>
        <w:tc>
          <w:tcPr>
            <w:tcW w:w="1494" w:type="dxa"/>
            <w:shd w:val="clear" w:color="auto" w:fill="auto"/>
            <w:vAlign w:val="bottom"/>
          </w:tcPr>
          <w:p w14:paraId="66BEE9F4"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54,695 </w:t>
            </w:r>
          </w:p>
        </w:tc>
      </w:tr>
      <w:tr w:rsidR="009B47EA" w:rsidRPr="00C31B12" w14:paraId="57EACD16" w14:textId="77777777" w:rsidTr="00231F76">
        <w:tblPrEx>
          <w:tblCellMar>
            <w:top w:w="0" w:type="dxa"/>
            <w:bottom w:w="0" w:type="dxa"/>
          </w:tblCellMar>
        </w:tblPrEx>
        <w:tc>
          <w:tcPr>
            <w:tcW w:w="5865" w:type="dxa"/>
            <w:shd w:val="clear" w:color="auto" w:fill="auto"/>
            <w:vAlign w:val="center"/>
          </w:tcPr>
          <w:p w14:paraId="482E628B" w14:textId="77777777" w:rsidR="009B47EA" w:rsidRPr="009B47EA" w:rsidRDefault="009B47EA" w:rsidP="009B47EA">
            <w:pPr>
              <w:pStyle w:val="TableRowHead"/>
            </w:pPr>
            <w:r w:rsidRPr="009B47EA">
              <w:t xml:space="preserve">Pá Foirne na Seirbhíse Náisiúnta </w:t>
            </w:r>
            <w:proofErr w:type="spellStart"/>
            <w:r w:rsidRPr="009B47EA">
              <w:t>Síceolaíochta</w:t>
            </w:r>
            <w:proofErr w:type="spellEnd"/>
            <w:r w:rsidRPr="009B47EA">
              <w:t xml:space="preserve"> Oideachais</w:t>
            </w:r>
          </w:p>
        </w:tc>
        <w:tc>
          <w:tcPr>
            <w:tcW w:w="1494" w:type="dxa"/>
            <w:shd w:val="clear" w:color="auto" w:fill="auto"/>
            <w:vAlign w:val="bottom"/>
          </w:tcPr>
          <w:p w14:paraId="3687493C"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0 </w:t>
            </w:r>
          </w:p>
        </w:tc>
        <w:tc>
          <w:tcPr>
            <w:tcW w:w="1494" w:type="dxa"/>
            <w:shd w:val="clear" w:color="auto" w:fill="auto"/>
            <w:vAlign w:val="bottom"/>
          </w:tcPr>
          <w:p w14:paraId="7F115B5C" w14:textId="77777777" w:rsidR="009B47EA" w:rsidRPr="00C31B12" w:rsidRDefault="009B47EA" w:rsidP="00141421">
            <w:pPr>
              <w:spacing w:after="0" w:line="240" w:lineRule="auto"/>
              <w:jc w:val="right"/>
              <w:rPr>
                <w:rFonts w:cs="Arial"/>
                <w:lang w:val="en-GB" w:eastAsia="en-GB"/>
              </w:rPr>
            </w:pPr>
            <w:r w:rsidRPr="00C31B12">
              <w:rPr>
                <w:rFonts w:cs="Arial"/>
                <w:lang w:val="en-GB" w:eastAsia="en-GB"/>
              </w:rPr>
              <w:t xml:space="preserve">30,320 </w:t>
            </w:r>
          </w:p>
        </w:tc>
      </w:tr>
      <w:tr w:rsidR="00141421" w:rsidRPr="00C31B12" w14:paraId="4EC24AB3" w14:textId="77777777" w:rsidTr="00141421">
        <w:tblPrEx>
          <w:tblCellMar>
            <w:top w:w="0" w:type="dxa"/>
            <w:bottom w:w="0" w:type="dxa"/>
          </w:tblCellMar>
        </w:tblPrEx>
        <w:tc>
          <w:tcPr>
            <w:tcW w:w="5865" w:type="dxa"/>
            <w:shd w:val="clear" w:color="auto" w:fill="auto"/>
          </w:tcPr>
          <w:p w14:paraId="65CA97C9" w14:textId="77777777" w:rsidR="00141421" w:rsidRPr="00C31B12" w:rsidRDefault="00141421" w:rsidP="00141421">
            <w:pPr>
              <w:pStyle w:val="TableRowHead"/>
            </w:pPr>
          </w:p>
        </w:tc>
        <w:tc>
          <w:tcPr>
            <w:tcW w:w="1494" w:type="dxa"/>
            <w:shd w:val="clear" w:color="auto" w:fill="auto"/>
            <w:vAlign w:val="bottom"/>
          </w:tcPr>
          <w:p w14:paraId="282DEF36" w14:textId="77777777" w:rsidR="00141421" w:rsidRPr="009912D3" w:rsidRDefault="00141421" w:rsidP="00141421">
            <w:pPr>
              <w:spacing w:after="0" w:line="240" w:lineRule="auto"/>
              <w:jc w:val="right"/>
              <w:rPr>
                <w:rFonts w:cs="Arial"/>
                <w:b/>
                <w:lang w:val="en-GB" w:eastAsia="en-GB"/>
              </w:rPr>
            </w:pPr>
            <w:r w:rsidRPr="009912D3">
              <w:rPr>
                <w:rFonts w:cs="Arial"/>
                <w:b/>
                <w:lang w:val="en-GB" w:eastAsia="en-GB"/>
              </w:rPr>
              <w:t xml:space="preserve">2,235,538 </w:t>
            </w:r>
          </w:p>
        </w:tc>
        <w:tc>
          <w:tcPr>
            <w:tcW w:w="1494" w:type="dxa"/>
            <w:shd w:val="clear" w:color="auto" w:fill="auto"/>
            <w:vAlign w:val="bottom"/>
          </w:tcPr>
          <w:p w14:paraId="053EA165" w14:textId="77777777" w:rsidR="00141421" w:rsidRPr="009912D3" w:rsidRDefault="00141421" w:rsidP="00141421">
            <w:pPr>
              <w:spacing w:after="0" w:line="240" w:lineRule="auto"/>
              <w:jc w:val="right"/>
              <w:rPr>
                <w:rFonts w:cs="Arial"/>
                <w:b/>
                <w:lang w:val="en-GB" w:eastAsia="en-GB"/>
              </w:rPr>
            </w:pPr>
            <w:r w:rsidRPr="009912D3">
              <w:rPr>
                <w:rFonts w:cs="Arial"/>
                <w:b/>
                <w:lang w:val="en-GB" w:eastAsia="en-GB"/>
              </w:rPr>
              <w:t xml:space="preserve">2,530,147 </w:t>
            </w:r>
          </w:p>
        </w:tc>
      </w:tr>
    </w:tbl>
    <w:p w14:paraId="0EB898E9" w14:textId="77777777" w:rsidR="00067058" w:rsidRDefault="00067058" w:rsidP="009B47EA">
      <w:pPr>
        <w:spacing w:after="0"/>
      </w:pPr>
    </w:p>
    <w:p w14:paraId="5ACEDAFD" w14:textId="77777777" w:rsidR="009B47EA" w:rsidRDefault="001371C0" w:rsidP="009B47EA">
      <w:pPr>
        <w:spacing w:after="0"/>
      </w:pPr>
      <w:r>
        <w:t>36</w:t>
      </w:r>
      <w:r w:rsidR="009B47EA">
        <w:t xml:space="preserve"> an</w:t>
      </w:r>
      <w:r w:rsidR="009B47EA">
        <w:rPr>
          <w:color w:val="FF0000"/>
        </w:rPr>
        <w:t xml:space="preserve"> </w:t>
      </w:r>
      <w:proofErr w:type="spellStart"/>
      <w:r w:rsidR="009B47EA" w:rsidRPr="00414EB5">
        <w:t>melíon</w:t>
      </w:r>
      <w:proofErr w:type="spellEnd"/>
      <w:r w:rsidR="009B47EA" w:rsidRPr="00414EB5">
        <w:t xml:space="preserve"> a</w:t>
      </w:r>
      <w:r w:rsidR="009B47EA">
        <w:t xml:space="preserve"> bhí fostaithe ag </w:t>
      </w:r>
      <w:r>
        <w:t>an Údarás i rith na bliana (2009:</w:t>
      </w:r>
      <w:r w:rsidR="009B47EA">
        <w:t>3</w:t>
      </w:r>
      <w:r>
        <w:t>8</w:t>
      </w:r>
      <w:r w:rsidR="009B47EA">
        <w:t>)</w:t>
      </w:r>
    </w:p>
    <w:p w14:paraId="4CB40C87" w14:textId="77777777" w:rsidR="001371C0" w:rsidRDefault="001371C0" w:rsidP="001371C0">
      <w:pPr>
        <w:spacing w:after="0"/>
        <w:rPr>
          <w:b/>
        </w:rPr>
      </w:pPr>
    </w:p>
    <w:p w14:paraId="3251711C" w14:textId="77777777" w:rsidR="001371C0" w:rsidRPr="00650289" w:rsidRDefault="001371C0" w:rsidP="001371C0">
      <w:pPr>
        <w:spacing w:after="0"/>
        <w:rPr>
          <w:b/>
        </w:rPr>
      </w:pPr>
      <w:r w:rsidRPr="00650289">
        <w:rPr>
          <w:b/>
        </w:rPr>
        <w:t xml:space="preserve">Luach Saothair an </w:t>
      </w:r>
      <w:proofErr w:type="spellStart"/>
      <w:r w:rsidRPr="00650289">
        <w:rPr>
          <w:b/>
        </w:rPr>
        <w:t>Stiúrthóra</w:t>
      </w:r>
      <w:proofErr w:type="spellEnd"/>
      <w:r w:rsidRPr="00650289">
        <w:rPr>
          <w:b/>
        </w:rPr>
        <w:t xml:space="preserve"> </w:t>
      </w:r>
    </w:p>
    <w:p w14:paraId="796CFF62" w14:textId="77777777" w:rsidR="001371C0" w:rsidRDefault="00594740" w:rsidP="00594740">
      <w:r w:rsidRPr="00594740">
        <w:rPr>
          <w:lang w:val="en-GB" w:eastAsia="en-GB"/>
        </w:rPr>
        <w:t xml:space="preserve">In 2010 </w:t>
      </w:r>
      <w:proofErr w:type="spellStart"/>
      <w:r w:rsidRPr="00594740">
        <w:rPr>
          <w:lang w:val="en-GB" w:eastAsia="en-GB"/>
        </w:rPr>
        <w:t>íocadh</w:t>
      </w:r>
      <w:proofErr w:type="spellEnd"/>
      <w:r w:rsidRPr="00594740">
        <w:rPr>
          <w:lang w:val="en-GB" w:eastAsia="en-GB"/>
        </w:rPr>
        <w:t xml:space="preserve"> </w:t>
      </w:r>
      <w:proofErr w:type="spellStart"/>
      <w:r w:rsidRPr="00594740">
        <w:rPr>
          <w:lang w:val="en-GB" w:eastAsia="en-GB"/>
        </w:rPr>
        <w:t>tuarastal</w:t>
      </w:r>
      <w:proofErr w:type="spellEnd"/>
      <w:r w:rsidRPr="00594740">
        <w:rPr>
          <w:lang w:val="en-GB" w:eastAsia="en-GB"/>
        </w:rPr>
        <w:t xml:space="preserve"> €98,054 (2009: €97,559) leis an Stiúrthóir chomh maith le </w:t>
      </w:r>
      <w:proofErr w:type="spellStart"/>
      <w:r w:rsidRPr="00594740">
        <w:rPr>
          <w:lang w:val="en-GB" w:eastAsia="en-GB"/>
        </w:rPr>
        <w:t>riaráistí</w:t>
      </w:r>
      <w:proofErr w:type="spellEnd"/>
      <w:r w:rsidRPr="00594740">
        <w:rPr>
          <w:lang w:val="en-GB" w:eastAsia="en-GB"/>
        </w:rPr>
        <w:t xml:space="preserve"> €5,035 ar Scála </w:t>
      </w:r>
      <w:proofErr w:type="spellStart"/>
      <w:r w:rsidRPr="00594740">
        <w:rPr>
          <w:lang w:val="en-GB" w:eastAsia="en-GB"/>
        </w:rPr>
        <w:t>Phríomhoifigeach</w:t>
      </w:r>
      <w:proofErr w:type="spellEnd"/>
      <w:r w:rsidRPr="00594740">
        <w:rPr>
          <w:lang w:val="en-GB" w:eastAsia="en-GB"/>
        </w:rPr>
        <w:t xml:space="preserve"> na </w:t>
      </w:r>
      <w:r w:rsidRPr="00594740">
        <w:rPr>
          <w:lang w:val="en-US" w:eastAsia="en-GB"/>
        </w:rPr>
        <w:t xml:space="preserve">Státseirbhíse. Tharla na </w:t>
      </w:r>
      <w:proofErr w:type="spellStart"/>
      <w:r w:rsidRPr="00594740">
        <w:rPr>
          <w:lang w:val="en-US" w:eastAsia="en-GB"/>
        </w:rPr>
        <w:t>riaráistí</w:t>
      </w:r>
      <w:proofErr w:type="spellEnd"/>
      <w:r w:rsidRPr="00594740">
        <w:rPr>
          <w:lang w:val="en-US" w:eastAsia="en-GB"/>
        </w:rPr>
        <w:t xml:space="preserve"> a </w:t>
      </w:r>
      <w:proofErr w:type="spellStart"/>
      <w:r w:rsidRPr="00594740">
        <w:rPr>
          <w:lang w:val="en-US" w:eastAsia="en-GB"/>
        </w:rPr>
        <w:t>íocadh</w:t>
      </w:r>
      <w:proofErr w:type="spellEnd"/>
      <w:r w:rsidRPr="00594740">
        <w:rPr>
          <w:lang w:val="en-US" w:eastAsia="en-GB"/>
        </w:rPr>
        <w:t xml:space="preserve"> in 2010, a </w:t>
      </w:r>
      <w:r w:rsidRPr="00594740">
        <w:rPr>
          <w:lang w:val="en-US" w:eastAsia="en-GB"/>
        </w:rPr>
        <w:lastRenderedPageBreak/>
        <w:t xml:space="preserve">bhaineann leis an </w:t>
      </w:r>
      <w:proofErr w:type="spellStart"/>
      <w:r w:rsidRPr="00594740">
        <w:rPr>
          <w:lang w:val="en-US" w:eastAsia="en-GB"/>
        </w:rPr>
        <w:t>nGrád</w:t>
      </w:r>
      <w:proofErr w:type="spellEnd"/>
      <w:r w:rsidRPr="00594740">
        <w:rPr>
          <w:lang w:val="en-US" w:eastAsia="en-GB"/>
        </w:rPr>
        <w:t xml:space="preserve">, de bharr </w:t>
      </w:r>
      <w:proofErr w:type="spellStart"/>
      <w:r w:rsidRPr="00594740">
        <w:rPr>
          <w:lang w:val="en-US" w:eastAsia="en-GB"/>
        </w:rPr>
        <w:t>gnátharduithe</w:t>
      </w:r>
      <w:proofErr w:type="spellEnd"/>
      <w:r w:rsidRPr="00594740">
        <w:rPr>
          <w:lang w:val="en-US" w:eastAsia="en-GB"/>
        </w:rPr>
        <w:t xml:space="preserve"> babhtaí a bhí dlite faoi alt 27.17 de I </w:t>
      </w:r>
      <w:proofErr w:type="spellStart"/>
      <w:r w:rsidRPr="00594740">
        <w:rPr>
          <w:lang w:val="en-US" w:eastAsia="en-GB"/>
        </w:rPr>
        <w:t>dTreo</w:t>
      </w:r>
      <w:proofErr w:type="spellEnd"/>
      <w:r w:rsidRPr="00594740">
        <w:rPr>
          <w:lang w:val="en-US" w:eastAsia="en-GB"/>
        </w:rPr>
        <w:t xml:space="preserve"> 2016 i Márta agus i Meán Fómhair 2008 agus </w:t>
      </w:r>
      <w:proofErr w:type="spellStart"/>
      <w:r w:rsidRPr="00594740">
        <w:rPr>
          <w:lang w:val="en-US" w:eastAsia="en-GB"/>
        </w:rPr>
        <w:t>breisíocaíocht</w:t>
      </w:r>
      <w:proofErr w:type="spellEnd"/>
      <w:r w:rsidRPr="00594740">
        <w:rPr>
          <w:lang w:val="en-US" w:eastAsia="en-GB"/>
        </w:rPr>
        <w:t xml:space="preserve"> a bhí dlite in 2009.</w:t>
      </w:r>
      <w:r>
        <w:rPr>
          <w:lang w:val="en-US" w:eastAsia="en-GB"/>
        </w:rPr>
        <w:t xml:space="preserve"> </w:t>
      </w:r>
      <w:r w:rsidR="001371C0" w:rsidRPr="008553C7">
        <w:t xml:space="preserve">Ní </w:t>
      </w:r>
      <w:proofErr w:type="spellStart"/>
      <w:r w:rsidR="001371C0" w:rsidRPr="008553C7">
        <w:t>dhearnadh</w:t>
      </w:r>
      <w:proofErr w:type="spellEnd"/>
      <w:r w:rsidR="001371C0" w:rsidRPr="008553C7">
        <w:t xml:space="preserve"> aon íocaíocht eile i rith na bliana ar an Stiúrthóir i nádúr na pá. Is é an Stiúrthóir ina</w:t>
      </w:r>
      <w:r w:rsidR="001371C0">
        <w:t xml:space="preserve"> </w:t>
      </w:r>
      <w:r w:rsidR="001371C0" w:rsidRPr="008553C7">
        <w:t xml:space="preserve">bhall de scéim </w:t>
      </w:r>
      <w:proofErr w:type="spellStart"/>
      <w:r w:rsidR="001371C0" w:rsidRPr="008553C7">
        <w:t>sochair</w:t>
      </w:r>
      <w:proofErr w:type="spellEnd"/>
      <w:r w:rsidR="001371C0" w:rsidRPr="008553C7">
        <w:t xml:space="preserve"> </w:t>
      </w:r>
      <w:proofErr w:type="spellStart"/>
      <w:r w:rsidR="001371C0" w:rsidRPr="008553C7">
        <w:t>sainmhínithe</w:t>
      </w:r>
      <w:proofErr w:type="spellEnd"/>
      <w:r w:rsidR="001371C0" w:rsidRPr="008553C7">
        <w:t xml:space="preserve"> </w:t>
      </w:r>
      <w:proofErr w:type="spellStart"/>
      <w:r w:rsidR="001371C0" w:rsidRPr="008553C7">
        <w:t>neamh-mhaoinithe</w:t>
      </w:r>
      <w:proofErr w:type="spellEnd"/>
      <w:r w:rsidR="001371C0" w:rsidRPr="008553C7">
        <w:t xml:space="preserve"> san earnáil</w:t>
      </w:r>
      <w:r w:rsidR="001371C0">
        <w:t xml:space="preserve"> </w:t>
      </w:r>
      <w:r w:rsidR="001371C0" w:rsidRPr="008553C7">
        <w:t xml:space="preserve">phoiblí agus nach bhfuil a cuid </w:t>
      </w:r>
      <w:proofErr w:type="spellStart"/>
      <w:r w:rsidR="001371C0" w:rsidRPr="008553C7">
        <w:t>teidlíochtaí</w:t>
      </w:r>
      <w:proofErr w:type="spellEnd"/>
      <w:r w:rsidR="001371C0" w:rsidRPr="008553C7">
        <w:t xml:space="preserve"> níos faide ná na </w:t>
      </w:r>
      <w:proofErr w:type="spellStart"/>
      <w:r w:rsidR="001371C0" w:rsidRPr="008553C7">
        <w:t>teidlíochtaí</w:t>
      </w:r>
      <w:proofErr w:type="spellEnd"/>
      <w:r w:rsidR="001371C0" w:rsidRPr="008553C7">
        <w:t xml:space="preserve"> </w:t>
      </w:r>
      <w:proofErr w:type="spellStart"/>
      <w:r w:rsidR="001371C0" w:rsidRPr="008553C7">
        <w:t>caighdeánacha</w:t>
      </w:r>
      <w:proofErr w:type="spellEnd"/>
      <w:r w:rsidR="001371C0" w:rsidRPr="008553C7">
        <w:t xml:space="preserve"> ar fáil faoin scéim den sórt sin.</w:t>
      </w:r>
    </w:p>
    <w:p w14:paraId="658E45FD" w14:textId="77777777" w:rsidR="00141421" w:rsidRDefault="00141421" w:rsidP="009B47EA">
      <w:pPr>
        <w:pStyle w:val="TableTitle"/>
        <w:jc w:val="left"/>
      </w:pPr>
      <w:r w:rsidRPr="00891E3A">
        <w:rPr>
          <w:bCs/>
          <w:lang w:val="en-GB"/>
        </w:rPr>
        <w:t>5.</w:t>
      </w:r>
      <w:r w:rsidR="001371C0">
        <w:t xml:space="preserve"> Costais Riaracháin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1260"/>
        <w:gridCol w:w="1440"/>
        <w:gridCol w:w="1368"/>
      </w:tblGrid>
      <w:tr w:rsidR="00141421" w:rsidRPr="00891E3A" w14:paraId="20A334B7" w14:textId="77777777" w:rsidTr="00141421">
        <w:tblPrEx>
          <w:tblCellMar>
            <w:top w:w="0" w:type="dxa"/>
            <w:bottom w:w="0" w:type="dxa"/>
          </w:tblCellMar>
        </w:tblPrEx>
        <w:trPr>
          <w:tblHeader/>
        </w:trPr>
        <w:tc>
          <w:tcPr>
            <w:tcW w:w="4788" w:type="dxa"/>
            <w:shd w:val="clear" w:color="auto" w:fill="auto"/>
          </w:tcPr>
          <w:p w14:paraId="1E1FF0A0" w14:textId="77777777" w:rsidR="00141421" w:rsidRPr="00891E3A" w:rsidRDefault="00141421" w:rsidP="00067058">
            <w:pPr>
              <w:pStyle w:val="TableHead"/>
              <w:keepLines/>
              <w:widowControl w:val="0"/>
              <w:jc w:val="right"/>
            </w:pPr>
          </w:p>
        </w:tc>
        <w:tc>
          <w:tcPr>
            <w:tcW w:w="1260" w:type="dxa"/>
            <w:shd w:val="clear" w:color="auto" w:fill="auto"/>
          </w:tcPr>
          <w:p w14:paraId="4A5EEB50" w14:textId="77777777" w:rsidR="00141421" w:rsidRPr="001371C0" w:rsidRDefault="001371C0" w:rsidP="00067058">
            <w:pPr>
              <w:pStyle w:val="TableHead"/>
              <w:keepLines/>
              <w:widowControl w:val="0"/>
              <w:spacing w:line="240" w:lineRule="auto"/>
              <w:jc w:val="right"/>
            </w:pPr>
            <w:r w:rsidRPr="001371C0">
              <w:t>Nótaí</w:t>
            </w:r>
          </w:p>
        </w:tc>
        <w:tc>
          <w:tcPr>
            <w:tcW w:w="1440" w:type="dxa"/>
            <w:shd w:val="clear" w:color="auto" w:fill="auto"/>
          </w:tcPr>
          <w:p w14:paraId="367636F4" w14:textId="77777777" w:rsidR="00141421" w:rsidRPr="001371C0" w:rsidRDefault="00141421" w:rsidP="00067058">
            <w:pPr>
              <w:pStyle w:val="TableHead"/>
              <w:keepLines/>
              <w:widowControl w:val="0"/>
              <w:spacing w:line="240" w:lineRule="auto"/>
              <w:jc w:val="right"/>
            </w:pPr>
            <w:r w:rsidRPr="001371C0">
              <w:t>2010</w:t>
            </w:r>
          </w:p>
        </w:tc>
        <w:tc>
          <w:tcPr>
            <w:tcW w:w="1368" w:type="dxa"/>
            <w:shd w:val="clear" w:color="auto" w:fill="auto"/>
          </w:tcPr>
          <w:p w14:paraId="7026EEC7" w14:textId="77777777" w:rsidR="00141421" w:rsidRPr="001371C0" w:rsidRDefault="00141421" w:rsidP="00067058">
            <w:pPr>
              <w:pStyle w:val="TableHead"/>
              <w:keepLines/>
              <w:widowControl w:val="0"/>
              <w:spacing w:line="240" w:lineRule="auto"/>
              <w:jc w:val="right"/>
            </w:pPr>
            <w:r w:rsidRPr="001371C0">
              <w:t>2009</w:t>
            </w:r>
          </w:p>
        </w:tc>
      </w:tr>
      <w:tr w:rsidR="00141421" w:rsidRPr="00891E3A" w14:paraId="60412EA5" w14:textId="77777777" w:rsidTr="00141421">
        <w:tblPrEx>
          <w:tblCellMar>
            <w:top w:w="0" w:type="dxa"/>
            <w:bottom w:w="0" w:type="dxa"/>
          </w:tblCellMar>
        </w:tblPrEx>
        <w:tc>
          <w:tcPr>
            <w:tcW w:w="4788" w:type="dxa"/>
            <w:shd w:val="clear" w:color="auto" w:fill="auto"/>
          </w:tcPr>
          <w:p w14:paraId="302A2407" w14:textId="77777777" w:rsidR="00141421" w:rsidRPr="00891E3A" w:rsidRDefault="00141421" w:rsidP="00067058">
            <w:pPr>
              <w:pStyle w:val="TableRowHead"/>
              <w:keepNext w:val="0"/>
              <w:keepLines/>
              <w:widowControl w:val="0"/>
            </w:pPr>
          </w:p>
        </w:tc>
        <w:tc>
          <w:tcPr>
            <w:tcW w:w="1260" w:type="dxa"/>
            <w:shd w:val="clear" w:color="auto" w:fill="auto"/>
          </w:tcPr>
          <w:p w14:paraId="5BB4E853" w14:textId="77777777" w:rsidR="00141421" w:rsidRPr="00490F84" w:rsidRDefault="00141421" w:rsidP="00067058">
            <w:pPr>
              <w:pStyle w:val="TableCell"/>
              <w:keepLines/>
              <w:widowControl w:val="0"/>
              <w:jc w:val="right"/>
            </w:pPr>
          </w:p>
        </w:tc>
        <w:tc>
          <w:tcPr>
            <w:tcW w:w="1440" w:type="dxa"/>
            <w:shd w:val="clear" w:color="auto" w:fill="auto"/>
            <w:vAlign w:val="bottom"/>
          </w:tcPr>
          <w:p w14:paraId="46419271" w14:textId="77777777" w:rsidR="00141421" w:rsidRPr="00490F84" w:rsidRDefault="00141421" w:rsidP="00067058">
            <w:pPr>
              <w:keepLines/>
              <w:widowControl w:val="0"/>
              <w:spacing w:after="0" w:line="240" w:lineRule="auto"/>
              <w:jc w:val="right"/>
              <w:rPr>
                <w:rFonts w:cs="Arial"/>
                <w:b/>
                <w:bCs/>
                <w:lang w:val="en-GB" w:eastAsia="en-GB"/>
              </w:rPr>
            </w:pPr>
            <w:r w:rsidRPr="00490F84">
              <w:rPr>
                <w:rFonts w:cs="Arial"/>
                <w:b/>
                <w:bCs/>
                <w:lang w:val="en-GB" w:eastAsia="en-GB"/>
              </w:rPr>
              <w:t xml:space="preserve">          €</w:t>
            </w:r>
          </w:p>
        </w:tc>
        <w:tc>
          <w:tcPr>
            <w:tcW w:w="1368" w:type="dxa"/>
            <w:shd w:val="clear" w:color="auto" w:fill="auto"/>
            <w:vAlign w:val="bottom"/>
          </w:tcPr>
          <w:p w14:paraId="5C9BCE2B" w14:textId="77777777" w:rsidR="00141421" w:rsidRPr="00490F84" w:rsidRDefault="00141421" w:rsidP="00067058">
            <w:pPr>
              <w:keepLines/>
              <w:widowControl w:val="0"/>
              <w:spacing w:after="0" w:line="240" w:lineRule="auto"/>
              <w:jc w:val="right"/>
              <w:rPr>
                <w:rFonts w:cs="Arial"/>
                <w:b/>
                <w:bCs/>
                <w:lang w:val="en-GB" w:eastAsia="en-GB"/>
              </w:rPr>
            </w:pPr>
            <w:r w:rsidRPr="00490F84">
              <w:rPr>
                <w:rFonts w:cs="Arial"/>
                <w:b/>
                <w:bCs/>
                <w:lang w:val="en-GB" w:eastAsia="en-GB"/>
              </w:rPr>
              <w:t xml:space="preserve">          €</w:t>
            </w:r>
          </w:p>
        </w:tc>
      </w:tr>
      <w:tr w:rsidR="001371C0" w:rsidRPr="00891E3A" w14:paraId="48BC96DB" w14:textId="77777777" w:rsidTr="00231F76">
        <w:tblPrEx>
          <w:tblCellMar>
            <w:top w:w="0" w:type="dxa"/>
            <w:bottom w:w="0" w:type="dxa"/>
          </w:tblCellMar>
        </w:tblPrEx>
        <w:tc>
          <w:tcPr>
            <w:tcW w:w="4788" w:type="dxa"/>
            <w:shd w:val="clear" w:color="auto" w:fill="auto"/>
            <w:vAlign w:val="center"/>
          </w:tcPr>
          <w:p w14:paraId="3FA766C7" w14:textId="77777777" w:rsidR="001371C0" w:rsidRPr="001371C0" w:rsidRDefault="001371C0" w:rsidP="00067058">
            <w:pPr>
              <w:pStyle w:val="TableRowHead"/>
              <w:keepNext w:val="0"/>
              <w:keepLines/>
              <w:widowControl w:val="0"/>
            </w:pPr>
            <w:r w:rsidRPr="001371C0">
              <w:t>Taisteal</w:t>
            </w:r>
          </w:p>
        </w:tc>
        <w:tc>
          <w:tcPr>
            <w:tcW w:w="1260" w:type="dxa"/>
            <w:shd w:val="clear" w:color="auto" w:fill="auto"/>
            <w:vAlign w:val="bottom"/>
          </w:tcPr>
          <w:p w14:paraId="141EBD48"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7A50369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28,612</w:t>
            </w:r>
          </w:p>
        </w:tc>
        <w:tc>
          <w:tcPr>
            <w:tcW w:w="1368" w:type="dxa"/>
            <w:shd w:val="clear" w:color="auto" w:fill="auto"/>
            <w:vAlign w:val="bottom"/>
          </w:tcPr>
          <w:p w14:paraId="724B2AF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32,140</w:t>
            </w:r>
          </w:p>
        </w:tc>
      </w:tr>
      <w:tr w:rsidR="001371C0" w:rsidRPr="00891E3A" w14:paraId="24816896" w14:textId="77777777" w:rsidTr="00231F76">
        <w:tblPrEx>
          <w:tblCellMar>
            <w:top w:w="0" w:type="dxa"/>
            <w:bottom w:w="0" w:type="dxa"/>
          </w:tblCellMar>
        </w:tblPrEx>
        <w:tc>
          <w:tcPr>
            <w:tcW w:w="4788" w:type="dxa"/>
            <w:shd w:val="clear" w:color="auto" w:fill="auto"/>
            <w:vAlign w:val="center"/>
          </w:tcPr>
          <w:p w14:paraId="05F427E7" w14:textId="77777777" w:rsidR="001371C0" w:rsidRPr="001371C0" w:rsidRDefault="001371C0" w:rsidP="00067058">
            <w:pPr>
              <w:pStyle w:val="TableRowHead"/>
              <w:keepNext w:val="0"/>
              <w:keepLines/>
              <w:widowControl w:val="0"/>
            </w:pPr>
            <w:r w:rsidRPr="001371C0">
              <w:t>Traenáil</w:t>
            </w:r>
          </w:p>
        </w:tc>
        <w:tc>
          <w:tcPr>
            <w:tcW w:w="1260" w:type="dxa"/>
            <w:shd w:val="clear" w:color="auto" w:fill="auto"/>
            <w:vAlign w:val="bottom"/>
          </w:tcPr>
          <w:p w14:paraId="02AB8251"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08B31626"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17,331</w:t>
            </w:r>
          </w:p>
        </w:tc>
        <w:tc>
          <w:tcPr>
            <w:tcW w:w="1368" w:type="dxa"/>
            <w:shd w:val="clear" w:color="auto" w:fill="auto"/>
            <w:vAlign w:val="bottom"/>
          </w:tcPr>
          <w:p w14:paraId="5965768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39,511</w:t>
            </w:r>
          </w:p>
        </w:tc>
      </w:tr>
      <w:tr w:rsidR="001371C0" w:rsidRPr="00891E3A" w14:paraId="52BD24FE" w14:textId="77777777" w:rsidTr="00231F76">
        <w:tblPrEx>
          <w:tblCellMar>
            <w:top w:w="0" w:type="dxa"/>
            <w:bottom w:w="0" w:type="dxa"/>
          </w:tblCellMar>
        </w:tblPrEx>
        <w:tc>
          <w:tcPr>
            <w:tcW w:w="4788" w:type="dxa"/>
            <w:shd w:val="clear" w:color="auto" w:fill="auto"/>
            <w:vAlign w:val="center"/>
          </w:tcPr>
          <w:p w14:paraId="13961298" w14:textId="77777777" w:rsidR="001371C0" w:rsidRPr="001371C0" w:rsidRDefault="001371C0" w:rsidP="00067058">
            <w:pPr>
              <w:pStyle w:val="TableRowHead"/>
              <w:keepNext w:val="0"/>
              <w:keepLines/>
              <w:widowControl w:val="0"/>
            </w:pPr>
            <w:r w:rsidRPr="001371C0">
              <w:t>Táillí Comhdhála/ Seimineár</w:t>
            </w:r>
          </w:p>
        </w:tc>
        <w:tc>
          <w:tcPr>
            <w:tcW w:w="1260" w:type="dxa"/>
            <w:shd w:val="clear" w:color="auto" w:fill="auto"/>
            <w:vAlign w:val="bottom"/>
          </w:tcPr>
          <w:p w14:paraId="7F540B5C" w14:textId="77777777" w:rsidR="001371C0" w:rsidRPr="00891E3A" w:rsidRDefault="001371C0" w:rsidP="00067058">
            <w:pPr>
              <w:keepLines/>
              <w:widowControl w:val="0"/>
              <w:spacing w:after="0" w:line="240" w:lineRule="auto"/>
              <w:jc w:val="right"/>
              <w:rPr>
                <w:rFonts w:cs="Arial"/>
                <w:lang w:val="en-GB" w:eastAsia="en-GB"/>
              </w:rPr>
            </w:pPr>
          </w:p>
        </w:tc>
        <w:tc>
          <w:tcPr>
            <w:tcW w:w="1440" w:type="dxa"/>
            <w:shd w:val="clear" w:color="auto" w:fill="auto"/>
            <w:vAlign w:val="bottom"/>
          </w:tcPr>
          <w:p w14:paraId="5644C6D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6,707</w:t>
            </w:r>
          </w:p>
        </w:tc>
        <w:tc>
          <w:tcPr>
            <w:tcW w:w="1368" w:type="dxa"/>
            <w:shd w:val="clear" w:color="auto" w:fill="auto"/>
            <w:vAlign w:val="bottom"/>
          </w:tcPr>
          <w:p w14:paraId="278C76F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6,576</w:t>
            </w:r>
          </w:p>
        </w:tc>
      </w:tr>
      <w:tr w:rsidR="001371C0" w:rsidRPr="00891E3A" w14:paraId="091A8CAF" w14:textId="77777777" w:rsidTr="00231F76">
        <w:tblPrEx>
          <w:tblCellMar>
            <w:top w:w="0" w:type="dxa"/>
            <w:bottom w:w="0" w:type="dxa"/>
          </w:tblCellMar>
        </w:tblPrEx>
        <w:tc>
          <w:tcPr>
            <w:tcW w:w="4788" w:type="dxa"/>
            <w:shd w:val="clear" w:color="auto" w:fill="auto"/>
            <w:vAlign w:val="center"/>
          </w:tcPr>
          <w:p w14:paraId="3D410BC0" w14:textId="77777777" w:rsidR="001371C0" w:rsidRPr="001371C0" w:rsidRDefault="001371C0" w:rsidP="00067058">
            <w:pPr>
              <w:pStyle w:val="TableRowHead"/>
              <w:keepNext w:val="0"/>
              <w:keepLines/>
              <w:widowControl w:val="0"/>
            </w:pPr>
            <w:r w:rsidRPr="001371C0">
              <w:t>Earcaíocht</w:t>
            </w:r>
          </w:p>
        </w:tc>
        <w:tc>
          <w:tcPr>
            <w:tcW w:w="1260" w:type="dxa"/>
            <w:shd w:val="clear" w:color="auto" w:fill="auto"/>
            <w:vAlign w:val="bottom"/>
          </w:tcPr>
          <w:p w14:paraId="036C98AC"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7829C2BE"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7520DF11"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6,756</w:t>
            </w:r>
          </w:p>
        </w:tc>
      </w:tr>
      <w:tr w:rsidR="001371C0" w:rsidRPr="00891E3A" w14:paraId="396E3C7D" w14:textId="77777777" w:rsidTr="00231F76">
        <w:tblPrEx>
          <w:tblCellMar>
            <w:top w:w="0" w:type="dxa"/>
            <w:bottom w:w="0" w:type="dxa"/>
          </w:tblCellMar>
        </w:tblPrEx>
        <w:tc>
          <w:tcPr>
            <w:tcW w:w="4788" w:type="dxa"/>
            <w:shd w:val="clear" w:color="auto" w:fill="auto"/>
            <w:vAlign w:val="center"/>
          </w:tcPr>
          <w:p w14:paraId="5A93D2A4" w14:textId="77777777" w:rsidR="001371C0" w:rsidRPr="001371C0" w:rsidRDefault="001371C0" w:rsidP="00067058">
            <w:pPr>
              <w:pStyle w:val="TableRowHead"/>
              <w:keepNext w:val="0"/>
              <w:keepLines/>
              <w:widowControl w:val="0"/>
            </w:pPr>
            <w:r w:rsidRPr="001371C0">
              <w:t>Táillí agus Costais an Údaráis</w:t>
            </w:r>
          </w:p>
        </w:tc>
        <w:tc>
          <w:tcPr>
            <w:tcW w:w="1260" w:type="dxa"/>
            <w:shd w:val="clear" w:color="auto" w:fill="auto"/>
            <w:vAlign w:val="bottom"/>
          </w:tcPr>
          <w:p w14:paraId="7404B8D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w:t>
            </w:r>
          </w:p>
        </w:tc>
        <w:tc>
          <w:tcPr>
            <w:tcW w:w="1440" w:type="dxa"/>
            <w:shd w:val="clear" w:color="auto" w:fill="auto"/>
            <w:vAlign w:val="bottom"/>
          </w:tcPr>
          <w:p w14:paraId="7433F315"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70,736</w:t>
            </w:r>
          </w:p>
        </w:tc>
        <w:tc>
          <w:tcPr>
            <w:tcW w:w="1368" w:type="dxa"/>
            <w:shd w:val="clear" w:color="auto" w:fill="auto"/>
            <w:vAlign w:val="bottom"/>
          </w:tcPr>
          <w:p w14:paraId="08016AE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55,056</w:t>
            </w:r>
          </w:p>
        </w:tc>
      </w:tr>
      <w:tr w:rsidR="001371C0" w:rsidRPr="00891E3A" w14:paraId="2B5777F0" w14:textId="77777777" w:rsidTr="00231F76">
        <w:tblPrEx>
          <w:tblCellMar>
            <w:top w:w="0" w:type="dxa"/>
            <w:bottom w:w="0" w:type="dxa"/>
          </w:tblCellMar>
        </w:tblPrEx>
        <w:tc>
          <w:tcPr>
            <w:tcW w:w="4788" w:type="dxa"/>
            <w:shd w:val="clear" w:color="auto" w:fill="auto"/>
            <w:vAlign w:val="center"/>
          </w:tcPr>
          <w:p w14:paraId="55135FD3" w14:textId="77777777" w:rsidR="001371C0" w:rsidRPr="001371C0" w:rsidRDefault="001371C0" w:rsidP="00067058">
            <w:pPr>
              <w:pStyle w:val="TableRowHead"/>
              <w:keepNext w:val="0"/>
              <w:keepLines/>
              <w:widowControl w:val="0"/>
            </w:pPr>
            <w:proofErr w:type="spellStart"/>
            <w:r w:rsidRPr="001371C0">
              <w:t>Táille</w:t>
            </w:r>
            <w:proofErr w:type="spellEnd"/>
            <w:r w:rsidRPr="001371C0">
              <w:t xml:space="preserve"> </w:t>
            </w:r>
            <w:proofErr w:type="spellStart"/>
            <w:r w:rsidRPr="001371C0">
              <w:t>Iniúchóireachta</w:t>
            </w:r>
            <w:proofErr w:type="spellEnd"/>
          </w:p>
        </w:tc>
        <w:tc>
          <w:tcPr>
            <w:tcW w:w="1260" w:type="dxa"/>
            <w:shd w:val="clear" w:color="auto" w:fill="auto"/>
            <w:vAlign w:val="bottom"/>
          </w:tcPr>
          <w:p w14:paraId="63500861"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105E4C3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18,620</w:t>
            </w:r>
          </w:p>
        </w:tc>
        <w:tc>
          <w:tcPr>
            <w:tcW w:w="1368" w:type="dxa"/>
            <w:shd w:val="clear" w:color="auto" w:fill="auto"/>
            <w:vAlign w:val="bottom"/>
          </w:tcPr>
          <w:p w14:paraId="0C9E2E00"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23,000</w:t>
            </w:r>
          </w:p>
        </w:tc>
      </w:tr>
      <w:tr w:rsidR="001371C0" w:rsidRPr="00891E3A" w14:paraId="6EC2A3E4" w14:textId="77777777" w:rsidTr="00231F76">
        <w:tblPrEx>
          <w:tblCellMar>
            <w:top w:w="0" w:type="dxa"/>
            <w:bottom w:w="0" w:type="dxa"/>
          </w:tblCellMar>
        </w:tblPrEx>
        <w:tc>
          <w:tcPr>
            <w:tcW w:w="4788" w:type="dxa"/>
            <w:shd w:val="clear" w:color="auto" w:fill="auto"/>
            <w:vAlign w:val="center"/>
          </w:tcPr>
          <w:p w14:paraId="55A10608" w14:textId="77777777" w:rsidR="001371C0" w:rsidRPr="001371C0" w:rsidRDefault="001371C0" w:rsidP="00067058">
            <w:pPr>
              <w:pStyle w:val="TableRowHead"/>
              <w:keepNext w:val="0"/>
              <w:keepLines/>
              <w:widowControl w:val="0"/>
            </w:pPr>
            <w:proofErr w:type="spellStart"/>
            <w:r w:rsidRPr="001371C0">
              <w:t>Ús</w:t>
            </w:r>
            <w:proofErr w:type="spellEnd"/>
            <w:r w:rsidRPr="001371C0">
              <w:t xml:space="preserve"> /Táillí Bainc</w:t>
            </w:r>
          </w:p>
        </w:tc>
        <w:tc>
          <w:tcPr>
            <w:tcW w:w="1260" w:type="dxa"/>
            <w:shd w:val="clear" w:color="auto" w:fill="auto"/>
            <w:vAlign w:val="bottom"/>
          </w:tcPr>
          <w:p w14:paraId="1D714490"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1D60121F"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497</w:t>
            </w:r>
          </w:p>
        </w:tc>
        <w:tc>
          <w:tcPr>
            <w:tcW w:w="1368" w:type="dxa"/>
            <w:shd w:val="clear" w:color="auto" w:fill="auto"/>
            <w:vAlign w:val="bottom"/>
          </w:tcPr>
          <w:p w14:paraId="09A3DF85"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595</w:t>
            </w:r>
          </w:p>
        </w:tc>
      </w:tr>
      <w:tr w:rsidR="001371C0" w:rsidRPr="00891E3A" w14:paraId="075B1678" w14:textId="77777777" w:rsidTr="00231F76">
        <w:tblPrEx>
          <w:tblCellMar>
            <w:top w:w="0" w:type="dxa"/>
            <w:bottom w:w="0" w:type="dxa"/>
          </w:tblCellMar>
        </w:tblPrEx>
        <w:tc>
          <w:tcPr>
            <w:tcW w:w="4788" w:type="dxa"/>
            <w:shd w:val="clear" w:color="auto" w:fill="auto"/>
            <w:vAlign w:val="center"/>
          </w:tcPr>
          <w:p w14:paraId="3C1652F8" w14:textId="77777777" w:rsidR="001371C0" w:rsidRPr="001371C0" w:rsidRDefault="001371C0" w:rsidP="00067058">
            <w:pPr>
              <w:pStyle w:val="TableRowHead"/>
              <w:keepNext w:val="0"/>
              <w:keepLines/>
              <w:widowControl w:val="0"/>
            </w:pPr>
            <w:proofErr w:type="spellStart"/>
            <w:r w:rsidRPr="001371C0">
              <w:t>Ceaintín</w:t>
            </w:r>
            <w:proofErr w:type="spellEnd"/>
            <w:r w:rsidRPr="001371C0">
              <w:t>/béilí</w:t>
            </w:r>
          </w:p>
        </w:tc>
        <w:tc>
          <w:tcPr>
            <w:tcW w:w="1260" w:type="dxa"/>
            <w:shd w:val="clear" w:color="auto" w:fill="auto"/>
            <w:vAlign w:val="bottom"/>
          </w:tcPr>
          <w:p w14:paraId="3F79D8B9"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407C08E0"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80,654</w:t>
            </w:r>
          </w:p>
        </w:tc>
        <w:tc>
          <w:tcPr>
            <w:tcW w:w="1368" w:type="dxa"/>
            <w:shd w:val="clear" w:color="auto" w:fill="auto"/>
            <w:vAlign w:val="bottom"/>
          </w:tcPr>
          <w:p w14:paraId="716D40C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103,201</w:t>
            </w:r>
          </w:p>
        </w:tc>
      </w:tr>
      <w:tr w:rsidR="001371C0" w:rsidRPr="00891E3A" w14:paraId="5CC2127E" w14:textId="77777777" w:rsidTr="00231F76">
        <w:tblPrEx>
          <w:tblCellMar>
            <w:top w:w="0" w:type="dxa"/>
            <w:bottom w:w="0" w:type="dxa"/>
          </w:tblCellMar>
        </w:tblPrEx>
        <w:tc>
          <w:tcPr>
            <w:tcW w:w="4788" w:type="dxa"/>
            <w:shd w:val="clear" w:color="auto" w:fill="auto"/>
            <w:vAlign w:val="center"/>
          </w:tcPr>
          <w:p w14:paraId="4C79BCF4" w14:textId="77777777" w:rsidR="001371C0" w:rsidRPr="001371C0" w:rsidRDefault="001371C0" w:rsidP="00067058">
            <w:pPr>
              <w:pStyle w:val="TableRowHead"/>
              <w:keepNext w:val="0"/>
              <w:keepLines/>
              <w:widowControl w:val="0"/>
            </w:pPr>
            <w:r w:rsidRPr="001371C0">
              <w:t xml:space="preserve">Glanadh / </w:t>
            </w:r>
            <w:proofErr w:type="spellStart"/>
            <w:r w:rsidRPr="001371C0">
              <w:t>tíos</w:t>
            </w:r>
            <w:proofErr w:type="spellEnd"/>
          </w:p>
        </w:tc>
        <w:tc>
          <w:tcPr>
            <w:tcW w:w="1260" w:type="dxa"/>
            <w:shd w:val="clear" w:color="auto" w:fill="auto"/>
            <w:vAlign w:val="bottom"/>
          </w:tcPr>
          <w:p w14:paraId="7552C1CA"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02E16AD5"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50,508</w:t>
            </w:r>
          </w:p>
        </w:tc>
        <w:tc>
          <w:tcPr>
            <w:tcW w:w="1368" w:type="dxa"/>
            <w:shd w:val="clear" w:color="auto" w:fill="auto"/>
            <w:vAlign w:val="bottom"/>
          </w:tcPr>
          <w:p w14:paraId="1CCC180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59,701</w:t>
            </w:r>
          </w:p>
        </w:tc>
      </w:tr>
      <w:tr w:rsidR="001371C0" w:rsidRPr="00891E3A" w14:paraId="6EBAFBDE" w14:textId="77777777" w:rsidTr="00231F76">
        <w:tblPrEx>
          <w:tblCellMar>
            <w:top w:w="0" w:type="dxa"/>
            <w:bottom w:w="0" w:type="dxa"/>
          </w:tblCellMar>
        </w:tblPrEx>
        <w:tc>
          <w:tcPr>
            <w:tcW w:w="4788" w:type="dxa"/>
            <w:shd w:val="clear" w:color="auto" w:fill="auto"/>
            <w:vAlign w:val="center"/>
          </w:tcPr>
          <w:p w14:paraId="1C4C4FBB" w14:textId="77777777" w:rsidR="001371C0" w:rsidRPr="001371C0" w:rsidRDefault="001371C0" w:rsidP="00067058">
            <w:pPr>
              <w:pStyle w:val="TableRowHead"/>
              <w:keepNext w:val="0"/>
              <w:keepLines/>
              <w:widowControl w:val="0"/>
            </w:pPr>
            <w:r w:rsidRPr="001371C0">
              <w:t>Bogearraí ríomhaireachta</w:t>
            </w:r>
          </w:p>
          <w:p w14:paraId="369B7840" w14:textId="77777777" w:rsidR="001371C0" w:rsidRPr="001371C0" w:rsidRDefault="001371C0" w:rsidP="00067058">
            <w:pPr>
              <w:pStyle w:val="TableRowHead"/>
              <w:keepNext w:val="0"/>
              <w:keepLines/>
              <w:widowControl w:val="0"/>
            </w:pPr>
            <w:proofErr w:type="spellStart"/>
            <w:r w:rsidRPr="001371C0">
              <w:t>Neamhchaipitil</w:t>
            </w:r>
            <w:proofErr w:type="spellEnd"/>
          </w:p>
        </w:tc>
        <w:tc>
          <w:tcPr>
            <w:tcW w:w="1260" w:type="dxa"/>
            <w:shd w:val="clear" w:color="auto" w:fill="auto"/>
            <w:vAlign w:val="bottom"/>
          </w:tcPr>
          <w:p w14:paraId="0560F563" w14:textId="77777777" w:rsidR="001371C0" w:rsidRPr="00891E3A" w:rsidRDefault="001371C0" w:rsidP="00067058">
            <w:pPr>
              <w:keepLines/>
              <w:widowControl w:val="0"/>
              <w:spacing w:after="0" w:line="240" w:lineRule="auto"/>
              <w:jc w:val="right"/>
              <w:rPr>
                <w:rFonts w:cs="Arial"/>
                <w:lang w:val="en-GB" w:eastAsia="en-GB"/>
              </w:rPr>
            </w:pPr>
          </w:p>
        </w:tc>
        <w:tc>
          <w:tcPr>
            <w:tcW w:w="1440" w:type="dxa"/>
            <w:shd w:val="clear" w:color="auto" w:fill="auto"/>
            <w:vAlign w:val="bottom"/>
          </w:tcPr>
          <w:p w14:paraId="73B28B0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15,763</w:t>
            </w:r>
          </w:p>
        </w:tc>
        <w:tc>
          <w:tcPr>
            <w:tcW w:w="1368" w:type="dxa"/>
            <w:shd w:val="clear" w:color="auto" w:fill="auto"/>
            <w:vAlign w:val="bottom"/>
          </w:tcPr>
          <w:p w14:paraId="238CE1B1"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23,036</w:t>
            </w:r>
          </w:p>
        </w:tc>
      </w:tr>
      <w:tr w:rsidR="001371C0" w:rsidRPr="00891E3A" w14:paraId="31B0F548" w14:textId="77777777" w:rsidTr="00231F76">
        <w:tblPrEx>
          <w:tblCellMar>
            <w:top w:w="0" w:type="dxa"/>
            <w:bottom w:w="0" w:type="dxa"/>
          </w:tblCellMar>
        </w:tblPrEx>
        <w:tc>
          <w:tcPr>
            <w:tcW w:w="4788" w:type="dxa"/>
            <w:shd w:val="clear" w:color="auto" w:fill="auto"/>
            <w:vAlign w:val="center"/>
          </w:tcPr>
          <w:p w14:paraId="165D792C" w14:textId="77777777" w:rsidR="001371C0" w:rsidRPr="001371C0" w:rsidRDefault="001371C0" w:rsidP="00067058">
            <w:pPr>
              <w:pStyle w:val="TableRowHead"/>
              <w:keepNext w:val="0"/>
              <w:keepLines/>
              <w:widowControl w:val="0"/>
            </w:pPr>
            <w:proofErr w:type="spellStart"/>
            <w:r w:rsidRPr="001371C0">
              <w:t>Soláthairtí</w:t>
            </w:r>
            <w:proofErr w:type="spellEnd"/>
            <w:r w:rsidRPr="001371C0">
              <w:t xml:space="preserve"> Ríomhaireachta</w:t>
            </w:r>
          </w:p>
        </w:tc>
        <w:tc>
          <w:tcPr>
            <w:tcW w:w="1260" w:type="dxa"/>
            <w:shd w:val="clear" w:color="auto" w:fill="auto"/>
            <w:vAlign w:val="bottom"/>
          </w:tcPr>
          <w:p w14:paraId="1AFE5AD6"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2AEF9305"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868</w:t>
            </w:r>
          </w:p>
        </w:tc>
        <w:tc>
          <w:tcPr>
            <w:tcW w:w="1368" w:type="dxa"/>
            <w:shd w:val="clear" w:color="auto" w:fill="auto"/>
            <w:vAlign w:val="bottom"/>
          </w:tcPr>
          <w:p w14:paraId="43E7E10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249</w:t>
            </w:r>
          </w:p>
        </w:tc>
      </w:tr>
      <w:tr w:rsidR="001371C0" w:rsidRPr="00891E3A" w14:paraId="7DA3AB40" w14:textId="77777777" w:rsidTr="00231F76">
        <w:tblPrEx>
          <w:tblCellMar>
            <w:top w:w="0" w:type="dxa"/>
            <w:bottom w:w="0" w:type="dxa"/>
          </w:tblCellMar>
        </w:tblPrEx>
        <w:tc>
          <w:tcPr>
            <w:tcW w:w="4788" w:type="dxa"/>
            <w:shd w:val="clear" w:color="auto" w:fill="auto"/>
            <w:vAlign w:val="center"/>
          </w:tcPr>
          <w:p w14:paraId="6CBE8AEB" w14:textId="77777777" w:rsidR="001371C0" w:rsidRPr="001371C0" w:rsidRDefault="001371C0" w:rsidP="00067058">
            <w:pPr>
              <w:pStyle w:val="TableRowHead"/>
              <w:keepNext w:val="0"/>
              <w:keepLines/>
              <w:widowControl w:val="0"/>
            </w:pPr>
            <w:r w:rsidRPr="001371C0">
              <w:t xml:space="preserve">Táillí </w:t>
            </w:r>
            <w:proofErr w:type="spellStart"/>
            <w:r w:rsidRPr="001371C0">
              <w:t>Comhairliúcháin</w:t>
            </w:r>
            <w:proofErr w:type="spellEnd"/>
          </w:p>
        </w:tc>
        <w:tc>
          <w:tcPr>
            <w:tcW w:w="1260" w:type="dxa"/>
            <w:shd w:val="clear" w:color="auto" w:fill="auto"/>
            <w:vAlign w:val="bottom"/>
          </w:tcPr>
          <w:p w14:paraId="64E44950"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24DD6A4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1,809</w:t>
            </w:r>
          </w:p>
        </w:tc>
        <w:tc>
          <w:tcPr>
            <w:tcW w:w="1368" w:type="dxa"/>
            <w:shd w:val="clear" w:color="auto" w:fill="auto"/>
            <w:vAlign w:val="bottom"/>
          </w:tcPr>
          <w:p w14:paraId="5D4365C2"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2,794</w:t>
            </w:r>
          </w:p>
        </w:tc>
      </w:tr>
      <w:tr w:rsidR="001371C0" w:rsidRPr="00891E3A" w14:paraId="6DB6B1AA" w14:textId="77777777" w:rsidTr="00231F76">
        <w:tblPrEx>
          <w:tblCellMar>
            <w:top w:w="0" w:type="dxa"/>
            <w:bottom w:w="0" w:type="dxa"/>
          </w:tblCellMar>
        </w:tblPrEx>
        <w:tc>
          <w:tcPr>
            <w:tcW w:w="4788" w:type="dxa"/>
            <w:shd w:val="clear" w:color="auto" w:fill="auto"/>
            <w:vAlign w:val="center"/>
          </w:tcPr>
          <w:p w14:paraId="0AEDA60C" w14:textId="77777777" w:rsidR="001371C0" w:rsidRPr="001371C0" w:rsidRDefault="001371C0" w:rsidP="00067058">
            <w:pPr>
              <w:pStyle w:val="TableRowHead"/>
              <w:keepNext w:val="0"/>
              <w:keepLines/>
              <w:widowControl w:val="0"/>
            </w:pPr>
            <w:proofErr w:type="spellStart"/>
            <w:r w:rsidRPr="001371C0">
              <w:t>Teachtairí</w:t>
            </w:r>
            <w:proofErr w:type="spellEnd"/>
          </w:p>
        </w:tc>
        <w:tc>
          <w:tcPr>
            <w:tcW w:w="1260" w:type="dxa"/>
            <w:shd w:val="clear" w:color="auto" w:fill="auto"/>
            <w:vAlign w:val="bottom"/>
          </w:tcPr>
          <w:p w14:paraId="5A07CE22"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787BDBE5"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2,863</w:t>
            </w:r>
          </w:p>
        </w:tc>
        <w:tc>
          <w:tcPr>
            <w:tcW w:w="1368" w:type="dxa"/>
            <w:shd w:val="clear" w:color="auto" w:fill="auto"/>
            <w:vAlign w:val="bottom"/>
          </w:tcPr>
          <w:p w14:paraId="42AFCF76"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4,975</w:t>
            </w:r>
          </w:p>
        </w:tc>
      </w:tr>
      <w:tr w:rsidR="001371C0" w:rsidRPr="00891E3A" w14:paraId="45DFA21C" w14:textId="77777777" w:rsidTr="00231F76">
        <w:tblPrEx>
          <w:tblCellMar>
            <w:top w:w="0" w:type="dxa"/>
            <w:bottom w:w="0" w:type="dxa"/>
          </w:tblCellMar>
        </w:tblPrEx>
        <w:tc>
          <w:tcPr>
            <w:tcW w:w="4788" w:type="dxa"/>
            <w:shd w:val="clear" w:color="auto" w:fill="auto"/>
            <w:vAlign w:val="center"/>
          </w:tcPr>
          <w:p w14:paraId="14CAB1C2" w14:textId="77777777" w:rsidR="001371C0" w:rsidRPr="001371C0" w:rsidRDefault="001371C0" w:rsidP="00067058">
            <w:pPr>
              <w:pStyle w:val="TableRowHead"/>
              <w:keepNext w:val="0"/>
              <w:keepLines/>
              <w:widowControl w:val="0"/>
            </w:pPr>
            <w:proofErr w:type="spellStart"/>
            <w:r w:rsidRPr="001371C0">
              <w:t>Gás</w:t>
            </w:r>
            <w:proofErr w:type="spellEnd"/>
            <w:r w:rsidRPr="001371C0">
              <w:t xml:space="preserve"> / leictreachas</w:t>
            </w:r>
          </w:p>
        </w:tc>
        <w:tc>
          <w:tcPr>
            <w:tcW w:w="1260" w:type="dxa"/>
            <w:shd w:val="clear" w:color="auto" w:fill="auto"/>
            <w:vAlign w:val="bottom"/>
          </w:tcPr>
          <w:p w14:paraId="3F1221A3"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35A152F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41,234</w:t>
            </w:r>
          </w:p>
        </w:tc>
        <w:tc>
          <w:tcPr>
            <w:tcW w:w="1368" w:type="dxa"/>
            <w:shd w:val="clear" w:color="auto" w:fill="auto"/>
            <w:vAlign w:val="bottom"/>
          </w:tcPr>
          <w:p w14:paraId="08F8A50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37,595</w:t>
            </w:r>
          </w:p>
        </w:tc>
      </w:tr>
      <w:tr w:rsidR="001371C0" w:rsidRPr="00891E3A" w14:paraId="225A8041" w14:textId="77777777" w:rsidTr="00231F76">
        <w:tblPrEx>
          <w:tblCellMar>
            <w:top w:w="0" w:type="dxa"/>
            <w:bottom w:w="0" w:type="dxa"/>
          </w:tblCellMar>
        </w:tblPrEx>
        <w:tc>
          <w:tcPr>
            <w:tcW w:w="4788" w:type="dxa"/>
            <w:shd w:val="clear" w:color="auto" w:fill="auto"/>
            <w:vAlign w:val="center"/>
          </w:tcPr>
          <w:p w14:paraId="2F5AD83A" w14:textId="77777777" w:rsidR="001371C0" w:rsidRPr="001371C0" w:rsidRDefault="001371C0" w:rsidP="00067058">
            <w:pPr>
              <w:pStyle w:val="TableRowHead"/>
              <w:keepNext w:val="0"/>
              <w:keepLines/>
              <w:widowControl w:val="0"/>
            </w:pPr>
            <w:r w:rsidRPr="001371C0">
              <w:t xml:space="preserve">Sláinte agus </w:t>
            </w:r>
            <w:proofErr w:type="spellStart"/>
            <w:r w:rsidRPr="001371C0">
              <w:t>sábháilteacht</w:t>
            </w:r>
            <w:proofErr w:type="spellEnd"/>
            <w:r w:rsidRPr="001371C0">
              <w:t>.</w:t>
            </w:r>
          </w:p>
        </w:tc>
        <w:tc>
          <w:tcPr>
            <w:tcW w:w="1260" w:type="dxa"/>
            <w:shd w:val="clear" w:color="auto" w:fill="auto"/>
            <w:vAlign w:val="bottom"/>
          </w:tcPr>
          <w:p w14:paraId="4B25EA8F"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08A4405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1,315</w:t>
            </w:r>
          </w:p>
        </w:tc>
        <w:tc>
          <w:tcPr>
            <w:tcW w:w="1368" w:type="dxa"/>
            <w:shd w:val="clear" w:color="auto" w:fill="auto"/>
            <w:vAlign w:val="bottom"/>
          </w:tcPr>
          <w:p w14:paraId="20456C5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3,002</w:t>
            </w:r>
          </w:p>
        </w:tc>
      </w:tr>
      <w:tr w:rsidR="001371C0" w:rsidRPr="00891E3A" w14:paraId="0F7874AB" w14:textId="77777777" w:rsidTr="00231F76">
        <w:tblPrEx>
          <w:tblCellMar>
            <w:top w:w="0" w:type="dxa"/>
            <w:bottom w:w="0" w:type="dxa"/>
          </w:tblCellMar>
        </w:tblPrEx>
        <w:tc>
          <w:tcPr>
            <w:tcW w:w="4788" w:type="dxa"/>
            <w:shd w:val="clear" w:color="auto" w:fill="auto"/>
            <w:vAlign w:val="center"/>
          </w:tcPr>
          <w:p w14:paraId="04F70300" w14:textId="77777777" w:rsidR="001371C0" w:rsidRPr="001371C0" w:rsidRDefault="001371C0" w:rsidP="00067058">
            <w:pPr>
              <w:pStyle w:val="TableRowHead"/>
              <w:keepNext w:val="0"/>
              <w:keepLines/>
              <w:widowControl w:val="0"/>
            </w:pPr>
            <w:proofErr w:type="spellStart"/>
            <w:r w:rsidRPr="001371C0">
              <w:t>Árachas</w:t>
            </w:r>
            <w:proofErr w:type="spellEnd"/>
          </w:p>
        </w:tc>
        <w:tc>
          <w:tcPr>
            <w:tcW w:w="1260" w:type="dxa"/>
            <w:shd w:val="clear" w:color="auto" w:fill="auto"/>
            <w:vAlign w:val="bottom"/>
          </w:tcPr>
          <w:p w14:paraId="133AD21F"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529BAECD"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14,509</w:t>
            </w:r>
          </w:p>
        </w:tc>
        <w:tc>
          <w:tcPr>
            <w:tcW w:w="1368" w:type="dxa"/>
            <w:shd w:val="clear" w:color="auto" w:fill="auto"/>
            <w:vAlign w:val="bottom"/>
          </w:tcPr>
          <w:p w14:paraId="398DC98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19,982</w:t>
            </w:r>
          </w:p>
        </w:tc>
      </w:tr>
      <w:tr w:rsidR="00141421" w:rsidRPr="00891E3A" w14:paraId="00489A89" w14:textId="77777777" w:rsidTr="00141421">
        <w:tblPrEx>
          <w:tblCellMar>
            <w:top w:w="0" w:type="dxa"/>
            <w:bottom w:w="0" w:type="dxa"/>
          </w:tblCellMar>
        </w:tblPrEx>
        <w:tc>
          <w:tcPr>
            <w:tcW w:w="4788" w:type="dxa"/>
            <w:shd w:val="clear" w:color="auto" w:fill="auto"/>
            <w:vAlign w:val="bottom"/>
          </w:tcPr>
          <w:p w14:paraId="1B2081F1" w14:textId="77777777" w:rsidR="00141421" w:rsidRPr="001371C0" w:rsidRDefault="00BE059D" w:rsidP="00067058">
            <w:pPr>
              <w:pStyle w:val="TableRowHead"/>
              <w:keepNext w:val="0"/>
              <w:keepLines/>
              <w:widowControl w:val="0"/>
              <w:rPr>
                <w:lang w:val="en-GB" w:eastAsia="en-GB"/>
              </w:rPr>
            </w:pPr>
            <w:r w:rsidRPr="00684F1A">
              <w:rPr>
                <w:lang w:val="en-US" w:eastAsia="en-GB"/>
              </w:rPr>
              <w:t>Tacaíocht IT</w:t>
            </w:r>
          </w:p>
        </w:tc>
        <w:tc>
          <w:tcPr>
            <w:tcW w:w="1260" w:type="dxa"/>
            <w:shd w:val="clear" w:color="auto" w:fill="auto"/>
            <w:vAlign w:val="bottom"/>
          </w:tcPr>
          <w:p w14:paraId="4925A868" w14:textId="77777777" w:rsidR="00141421" w:rsidRPr="00891E3A" w:rsidRDefault="00141421" w:rsidP="00067058">
            <w:pPr>
              <w:keepLines/>
              <w:widowControl w:val="0"/>
              <w:spacing w:after="0" w:line="240" w:lineRule="auto"/>
              <w:rPr>
                <w:rFonts w:cs="Arial"/>
                <w:lang w:val="en-GB" w:eastAsia="en-GB"/>
              </w:rPr>
            </w:pPr>
          </w:p>
        </w:tc>
        <w:tc>
          <w:tcPr>
            <w:tcW w:w="1440" w:type="dxa"/>
            <w:shd w:val="clear" w:color="auto" w:fill="auto"/>
            <w:vAlign w:val="bottom"/>
          </w:tcPr>
          <w:p w14:paraId="44BA7DEA" w14:textId="77777777" w:rsidR="00141421" w:rsidRPr="00891E3A" w:rsidRDefault="00141421" w:rsidP="00067058">
            <w:pPr>
              <w:keepLines/>
              <w:widowControl w:val="0"/>
              <w:spacing w:after="0" w:line="240" w:lineRule="auto"/>
              <w:jc w:val="right"/>
              <w:rPr>
                <w:rFonts w:cs="Arial"/>
                <w:lang w:val="en-GB" w:eastAsia="en-GB"/>
              </w:rPr>
            </w:pPr>
            <w:r w:rsidRPr="00891E3A">
              <w:rPr>
                <w:rFonts w:cs="Arial"/>
                <w:lang w:val="en-GB" w:eastAsia="en-GB"/>
              </w:rPr>
              <w:t>64,203</w:t>
            </w:r>
          </w:p>
        </w:tc>
        <w:tc>
          <w:tcPr>
            <w:tcW w:w="1368" w:type="dxa"/>
            <w:shd w:val="clear" w:color="auto" w:fill="auto"/>
            <w:vAlign w:val="bottom"/>
          </w:tcPr>
          <w:p w14:paraId="417D5592" w14:textId="77777777" w:rsidR="00141421" w:rsidRPr="00891E3A" w:rsidRDefault="00141421" w:rsidP="00067058">
            <w:pPr>
              <w:keepLines/>
              <w:widowControl w:val="0"/>
              <w:spacing w:after="0" w:line="240" w:lineRule="auto"/>
              <w:jc w:val="right"/>
              <w:rPr>
                <w:rFonts w:cs="Arial"/>
                <w:lang w:val="en-GB" w:eastAsia="en-GB"/>
              </w:rPr>
            </w:pPr>
            <w:r w:rsidRPr="00891E3A">
              <w:rPr>
                <w:rFonts w:cs="Arial"/>
                <w:lang w:val="en-GB" w:eastAsia="en-GB"/>
              </w:rPr>
              <w:t>0</w:t>
            </w:r>
          </w:p>
        </w:tc>
      </w:tr>
      <w:tr w:rsidR="001371C0" w:rsidRPr="00891E3A" w14:paraId="12E0A0E4" w14:textId="77777777" w:rsidTr="00231F76">
        <w:tblPrEx>
          <w:tblCellMar>
            <w:top w:w="0" w:type="dxa"/>
            <w:bottom w:w="0" w:type="dxa"/>
          </w:tblCellMar>
        </w:tblPrEx>
        <w:tc>
          <w:tcPr>
            <w:tcW w:w="4788" w:type="dxa"/>
            <w:shd w:val="clear" w:color="auto" w:fill="auto"/>
            <w:vAlign w:val="center"/>
          </w:tcPr>
          <w:p w14:paraId="7C5D1ABC" w14:textId="77777777" w:rsidR="001371C0" w:rsidRPr="001371C0" w:rsidRDefault="001371C0" w:rsidP="00067058">
            <w:pPr>
              <w:pStyle w:val="TableRowHead"/>
              <w:keepNext w:val="0"/>
              <w:keepLines/>
              <w:widowControl w:val="0"/>
              <w:rPr>
                <w:rFonts w:eastAsia="SimSun"/>
                <w:i/>
              </w:rPr>
            </w:pPr>
            <w:proofErr w:type="spellStart"/>
            <w:r w:rsidRPr="001371C0">
              <w:t>Ús</w:t>
            </w:r>
            <w:proofErr w:type="spellEnd"/>
            <w:r w:rsidRPr="001371C0">
              <w:t xml:space="preserve"> ar Íocaíocht Dhéanach</w:t>
            </w:r>
          </w:p>
        </w:tc>
        <w:tc>
          <w:tcPr>
            <w:tcW w:w="1260" w:type="dxa"/>
            <w:shd w:val="clear" w:color="auto" w:fill="auto"/>
            <w:vAlign w:val="bottom"/>
          </w:tcPr>
          <w:p w14:paraId="1AD79B82"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5C7579CE"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w:t>
            </w:r>
          </w:p>
        </w:tc>
        <w:tc>
          <w:tcPr>
            <w:tcW w:w="1368" w:type="dxa"/>
            <w:shd w:val="clear" w:color="auto" w:fill="auto"/>
            <w:vAlign w:val="bottom"/>
          </w:tcPr>
          <w:p w14:paraId="21CEBAC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280</w:t>
            </w:r>
          </w:p>
        </w:tc>
      </w:tr>
      <w:tr w:rsidR="001371C0" w:rsidRPr="00891E3A" w14:paraId="2034A8EA" w14:textId="77777777" w:rsidTr="00231F76">
        <w:tblPrEx>
          <w:tblCellMar>
            <w:top w:w="0" w:type="dxa"/>
            <w:bottom w:w="0" w:type="dxa"/>
          </w:tblCellMar>
        </w:tblPrEx>
        <w:tc>
          <w:tcPr>
            <w:tcW w:w="4788" w:type="dxa"/>
            <w:shd w:val="clear" w:color="auto" w:fill="auto"/>
            <w:vAlign w:val="center"/>
          </w:tcPr>
          <w:p w14:paraId="4E890592" w14:textId="77777777" w:rsidR="001371C0" w:rsidRPr="001371C0" w:rsidRDefault="001371C0" w:rsidP="00067058">
            <w:pPr>
              <w:pStyle w:val="TableRowHead"/>
              <w:keepNext w:val="0"/>
              <w:keepLines/>
              <w:widowControl w:val="0"/>
            </w:pPr>
            <w:r w:rsidRPr="001371C0">
              <w:t>Táillí Dlí</w:t>
            </w:r>
          </w:p>
        </w:tc>
        <w:tc>
          <w:tcPr>
            <w:tcW w:w="1260" w:type="dxa"/>
            <w:shd w:val="clear" w:color="auto" w:fill="auto"/>
            <w:vAlign w:val="bottom"/>
          </w:tcPr>
          <w:p w14:paraId="79A79B76"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2E03ED8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6,194</w:t>
            </w:r>
          </w:p>
        </w:tc>
        <w:tc>
          <w:tcPr>
            <w:tcW w:w="1368" w:type="dxa"/>
            <w:shd w:val="clear" w:color="auto" w:fill="auto"/>
            <w:vAlign w:val="bottom"/>
          </w:tcPr>
          <w:p w14:paraId="67BB86F1"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10,318</w:t>
            </w:r>
          </w:p>
        </w:tc>
      </w:tr>
      <w:tr w:rsidR="001371C0" w:rsidRPr="00891E3A" w14:paraId="704CCB2F" w14:textId="77777777" w:rsidTr="00231F76">
        <w:tblPrEx>
          <w:tblCellMar>
            <w:top w:w="0" w:type="dxa"/>
            <w:bottom w:w="0" w:type="dxa"/>
          </w:tblCellMar>
        </w:tblPrEx>
        <w:tc>
          <w:tcPr>
            <w:tcW w:w="4788" w:type="dxa"/>
            <w:shd w:val="clear" w:color="auto" w:fill="auto"/>
            <w:vAlign w:val="center"/>
          </w:tcPr>
          <w:p w14:paraId="1F40D8ED" w14:textId="77777777" w:rsidR="001371C0" w:rsidRPr="001371C0" w:rsidRDefault="001371C0" w:rsidP="00067058">
            <w:pPr>
              <w:pStyle w:val="TableRowHead"/>
              <w:keepNext w:val="0"/>
              <w:keepLines/>
              <w:widowControl w:val="0"/>
            </w:pPr>
            <w:proofErr w:type="spellStart"/>
            <w:r w:rsidRPr="001371C0">
              <w:t>Cothabháil</w:t>
            </w:r>
            <w:proofErr w:type="spellEnd"/>
          </w:p>
        </w:tc>
        <w:tc>
          <w:tcPr>
            <w:tcW w:w="1260" w:type="dxa"/>
            <w:shd w:val="clear" w:color="auto" w:fill="auto"/>
            <w:vAlign w:val="bottom"/>
          </w:tcPr>
          <w:p w14:paraId="15CEAD41"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34D95016"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25,044</w:t>
            </w:r>
          </w:p>
        </w:tc>
        <w:tc>
          <w:tcPr>
            <w:tcW w:w="1368" w:type="dxa"/>
            <w:shd w:val="clear" w:color="auto" w:fill="auto"/>
            <w:vAlign w:val="bottom"/>
          </w:tcPr>
          <w:p w14:paraId="0FE21BAF"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65,923</w:t>
            </w:r>
          </w:p>
        </w:tc>
      </w:tr>
      <w:tr w:rsidR="001371C0" w:rsidRPr="00891E3A" w14:paraId="293C94B8" w14:textId="77777777" w:rsidTr="00231F76">
        <w:tblPrEx>
          <w:tblCellMar>
            <w:top w:w="0" w:type="dxa"/>
            <w:bottom w:w="0" w:type="dxa"/>
          </w:tblCellMar>
        </w:tblPrEx>
        <w:tc>
          <w:tcPr>
            <w:tcW w:w="4788" w:type="dxa"/>
            <w:shd w:val="clear" w:color="auto" w:fill="auto"/>
            <w:vAlign w:val="center"/>
          </w:tcPr>
          <w:p w14:paraId="4D1BB645" w14:textId="77777777" w:rsidR="001371C0" w:rsidRPr="001371C0" w:rsidRDefault="001371C0" w:rsidP="00067058">
            <w:pPr>
              <w:pStyle w:val="TableRowHead"/>
              <w:keepNext w:val="0"/>
              <w:keepLines/>
              <w:widowControl w:val="0"/>
            </w:pPr>
            <w:proofErr w:type="spellStart"/>
            <w:r w:rsidRPr="001371C0">
              <w:t>Troscán</w:t>
            </w:r>
            <w:proofErr w:type="spellEnd"/>
            <w:r w:rsidRPr="001371C0">
              <w:t xml:space="preserve"> / Trealamh Oifige</w:t>
            </w:r>
          </w:p>
          <w:p w14:paraId="3B2C59FF" w14:textId="77777777" w:rsidR="001371C0" w:rsidRPr="001371C0" w:rsidRDefault="001371C0" w:rsidP="00067058">
            <w:pPr>
              <w:pStyle w:val="TableRowHead"/>
              <w:keepNext w:val="0"/>
              <w:keepLines/>
              <w:widowControl w:val="0"/>
            </w:pPr>
            <w:proofErr w:type="spellStart"/>
            <w:r w:rsidRPr="001371C0">
              <w:t>Neamhchaipitil</w:t>
            </w:r>
            <w:proofErr w:type="spellEnd"/>
          </w:p>
        </w:tc>
        <w:tc>
          <w:tcPr>
            <w:tcW w:w="1260" w:type="dxa"/>
            <w:shd w:val="clear" w:color="auto" w:fill="auto"/>
            <w:vAlign w:val="bottom"/>
          </w:tcPr>
          <w:p w14:paraId="2F8558D0" w14:textId="77777777" w:rsidR="001371C0" w:rsidRPr="00891E3A" w:rsidRDefault="001371C0" w:rsidP="00067058">
            <w:pPr>
              <w:keepLines/>
              <w:widowControl w:val="0"/>
              <w:spacing w:after="0" w:line="240" w:lineRule="auto"/>
              <w:jc w:val="right"/>
              <w:rPr>
                <w:rFonts w:cs="Arial"/>
                <w:lang w:val="en-GB" w:eastAsia="en-GB"/>
              </w:rPr>
            </w:pPr>
          </w:p>
        </w:tc>
        <w:tc>
          <w:tcPr>
            <w:tcW w:w="1440" w:type="dxa"/>
            <w:shd w:val="clear" w:color="auto" w:fill="auto"/>
            <w:vAlign w:val="bottom"/>
          </w:tcPr>
          <w:p w14:paraId="29AD00D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430</w:t>
            </w:r>
          </w:p>
        </w:tc>
        <w:tc>
          <w:tcPr>
            <w:tcW w:w="1368" w:type="dxa"/>
            <w:shd w:val="clear" w:color="auto" w:fill="auto"/>
            <w:vAlign w:val="bottom"/>
          </w:tcPr>
          <w:p w14:paraId="6D06642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1,794</w:t>
            </w:r>
          </w:p>
        </w:tc>
      </w:tr>
      <w:tr w:rsidR="001371C0" w:rsidRPr="00891E3A" w14:paraId="5D48898E" w14:textId="77777777" w:rsidTr="00231F76">
        <w:tblPrEx>
          <w:tblCellMar>
            <w:top w:w="0" w:type="dxa"/>
            <w:bottom w:w="0" w:type="dxa"/>
          </w:tblCellMar>
        </w:tblPrEx>
        <w:tc>
          <w:tcPr>
            <w:tcW w:w="4788" w:type="dxa"/>
            <w:shd w:val="clear" w:color="auto" w:fill="auto"/>
            <w:vAlign w:val="center"/>
          </w:tcPr>
          <w:p w14:paraId="14221004" w14:textId="77777777" w:rsidR="001371C0" w:rsidRPr="001371C0" w:rsidRDefault="001371C0" w:rsidP="00067058">
            <w:pPr>
              <w:pStyle w:val="TableRowHead"/>
              <w:keepNext w:val="0"/>
              <w:keepLines/>
              <w:widowControl w:val="0"/>
            </w:pPr>
            <w:proofErr w:type="spellStart"/>
            <w:r w:rsidRPr="001371C0">
              <w:t>Soláthairtí</w:t>
            </w:r>
            <w:proofErr w:type="spellEnd"/>
            <w:r w:rsidRPr="001371C0">
              <w:t xml:space="preserve"> Oifige</w:t>
            </w:r>
          </w:p>
        </w:tc>
        <w:tc>
          <w:tcPr>
            <w:tcW w:w="1260" w:type="dxa"/>
            <w:shd w:val="clear" w:color="auto" w:fill="auto"/>
            <w:vAlign w:val="bottom"/>
          </w:tcPr>
          <w:p w14:paraId="79CD33A1"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5042A0F2"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10,102</w:t>
            </w:r>
          </w:p>
        </w:tc>
        <w:tc>
          <w:tcPr>
            <w:tcW w:w="1368" w:type="dxa"/>
            <w:shd w:val="clear" w:color="auto" w:fill="auto"/>
            <w:vAlign w:val="bottom"/>
          </w:tcPr>
          <w:p w14:paraId="27254EB0"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10,965</w:t>
            </w:r>
          </w:p>
        </w:tc>
      </w:tr>
      <w:tr w:rsidR="001371C0" w:rsidRPr="00891E3A" w14:paraId="4A398300" w14:textId="77777777" w:rsidTr="00231F76">
        <w:tblPrEx>
          <w:tblCellMar>
            <w:top w:w="0" w:type="dxa"/>
            <w:bottom w:w="0" w:type="dxa"/>
          </w:tblCellMar>
        </w:tblPrEx>
        <w:tc>
          <w:tcPr>
            <w:tcW w:w="4788" w:type="dxa"/>
            <w:shd w:val="clear" w:color="auto" w:fill="auto"/>
            <w:vAlign w:val="center"/>
          </w:tcPr>
          <w:p w14:paraId="42D201B3" w14:textId="77777777" w:rsidR="001371C0" w:rsidRPr="001371C0" w:rsidRDefault="001371C0" w:rsidP="00067058">
            <w:pPr>
              <w:pStyle w:val="TableRowHead"/>
              <w:keepNext w:val="0"/>
              <w:keepLines/>
              <w:widowControl w:val="0"/>
            </w:pPr>
            <w:proofErr w:type="spellStart"/>
            <w:r w:rsidRPr="001371C0">
              <w:t>Postas</w:t>
            </w:r>
            <w:proofErr w:type="spellEnd"/>
            <w:r w:rsidRPr="001371C0">
              <w:t xml:space="preserve"> agus </w:t>
            </w:r>
            <w:proofErr w:type="spellStart"/>
            <w:r w:rsidRPr="001371C0">
              <w:t>Teileafóin</w:t>
            </w:r>
            <w:proofErr w:type="spellEnd"/>
          </w:p>
        </w:tc>
        <w:tc>
          <w:tcPr>
            <w:tcW w:w="1260" w:type="dxa"/>
            <w:shd w:val="clear" w:color="auto" w:fill="auto"/>
            <w:vAlign w:val="bottom"/>
          </w:tcPr>
          <w:p w14:paraId="0D980633"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1C3281A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33,766</w:t>
            </w:r>
          </w:p>
        </w:tc>
        <w:tc>
          <w:tcPr>
            <w:tcW w:w="1368" w:type="dxa"/>
            <w:shd w:val="clear" w:color="auto" w:fill="auto"/>
            <w:vAlign w:val="bottom"/>
          </w:tcPr>
          <w:p w14:paraId="58A4ED8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53,965</w:t>
            </w:r>
          </w:p>
        </w:tc>
      </w:tr>
      <w:tr w:rsidR="001371C0" w:rsidRPr="00891E3A" w14:paraId="69624CF2" w14:textId="77777777" w:rsidTr="00231F76">
        <w:tblPrEx>
          <w:tblCellMar>
            <w:top w:w="0" w:type="dxa"/>
            <w:bottom w:w="0" w:type="dxa"/>
          </w:tblCellMar>
        </w:tblPrEx>
        <w:tc>
          <w:tcPr>
            <w:tcW w:w="4788" w:type="dxa"/>
            <w:shd w:val="clear" w:color="auto" w:fill="auto"/>
            <w:vAlign w:val="center"/>
          </w:tcPr>
          <w:p w14:paraId="1B6375DD" w14:textId="77777777" w:rsidR="001371C0" w:rsidRPr="001371C0" w:rsidRDefault="001371C0" w:rsidP="00067058">
            <w:pPr>
              <w:pStyle w:val="TableRowHead"/>
              <w:keepNext w:val="0"/>
              <w:keepLines/>
              <w:widowControl w:val="0"/>
            </w:pPr>
            <w:proofErr w:type="spellStart"/>
            <w:r w:rsidRPr="001371C0">
              <w:t>Clódóireacht</w:t>
            </w:r>
            <w:proofErr w:type="spellEnd"/>
            <w:r w:rsidRPr="001371C0">
              <w:t xml:space="preserve"> / </w:t>
            </w:r>
            <w:proofErr w:type="spellStart"/>
            <w:r w:rsidRPr="001371C0">
              <w:t>Fótachóipeáil</w:t>
            </w:r>
            <w:proofErr w:type="spellEnd"/>
          </w:p>
        </w:tc>
        <w:tc>
          <w:tcPr>
            <w:tcW w:w="1260" w:type="dxa"/>
            <w:shd w:val="clear" w:color="auto" w:fill="auto"/>
            <w:vAlign w:val="bottom"/>
          </w:tcPr>
          <w:p w14:paraId="51AD511D"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010D975C"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14,704</w:t>
            </w:r>
          </w:p>
        </w:tc>
        <w:tc>
          <w:tcPr>
            <w:tcW w:w="1368" w:type="dxa"/>
            <w:shd w:val="clear" w:color="auto" w:fill="auto"/>
            <w:vAlign w:val="bottom"/>
          </w:tcPr>
          <w:p w14:paraId="0174656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21,228</w:t>
            </w:r>
          </w:p>
        </w:tc>
      </w:tr>
      <w:tr w:rsidR="001371C0" w:rsidRPr="00891E3A" w14:paraId="09892065" w14:textId="77777777" w:rsidTr="00231F76">
        <w:tblPrEx>
          <w:tblCellMar>
            <w:top w:w="0" w:type="dxa"/>
            <w:bottom w:w="0" w:type="dxa"/>
          </w:tblCellMar>
        </w:tblPrEx>
        <w:tc>
          <w:tcPr>
            <w:tcW w:w="4788" w:type="dxa"/>
            <w:shd w:val="clear" w:color="auto" w:fill="auto"/>
            <w:vAlign w:val="center"/>
          </w:tcPr>
          <w:p w14:paraId="7B2EDE46" w14:textId="77777777" w:rsidR="001371C0" w:rsidRPr="001371C0" w:rsidRDefault="001371C0" w:rsidP="00067058">
            <w:pPr>
              <w:pStyle w:val="TableRowHead"/>
              <w:keepNext w:val="0"/>
              <w:keepLines/>
              <w:widowControl w:val="0"/>
            </w:pPr>
            <w:proofErr w:type="spellStart"/>
            <w:r w:rsidRPr="001371C0">
              <w:t>Bainistíocht</w:t>
            </w:r>
            <w:proofErr w:type="spellEnd"/>
            <w:r w:rsidRPr="001371C0">
              <w:t xml:space="preserve"> Chló</w:t>
            </w:r>
          </w:p>
        </w:tc>
        <w:tc>
          <w:tcPr>
            <w:tcW w:w="1260" w:type="dxa"/>
            <w:shd w:val="clear" w:color="auto" w:fill="auto"/>
            <w:vAlign w:val="bottom"/>
          </w:tcPr>
          <w:p w14:paraId="50122CC6"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644C7FD2"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12,187</w:t>
            </w:r>
          </w:p>
        </w:tc>
        <w:tc>
          <w:tcPr>
            <w:tcW w:w="1368" w:type="dxa"/>
            <w:shd w:val="clear" w:color="auto" w:fill="auto"/>
            <w:vAlign w:val="bottom"/>
          </w:tcPr>
          <w:p w14:paraId="65D0779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18,729</w:t>
            </w:r>
          </w:p>
        </w:tc>
      </w:tr>
      <w:tr w:rsidR="001371C0" w:rsidRPr="00891E3A" w14:paraId="6E717774" w14:textId="77777777" w:rsidTr="00231F76">
        <w:tblPrEx>
          <w:tblCellMar>
            <w:top w:w="0" w:type="dxa"/>
            <w:bottom w:w="0" w:type="dxa"/>
          </w:tblCellMar>
        </w:tblPrEx>
        <w:tc>
          <w:tcPr>
            <w:tcW w:w="4788" w:type="dxa"/>
            <w:shd w:val="clear" w:color="auto" w:fill="auto"/>
            <w:vAlign w:val="center"/>
          </w:tcPr>
          <w:p w14:paraId="6CAC872C" w14:textId="77777777" w:rsidR="001371C0" w:rsidRPr="001371C0" w:rsidRDefault="001371C0" w:rsidP="00067058">
            <w:pPr>
              <w:pStyle w:val="TableRowHead"/>
              <w:keepNext w:val="0"/>
              <w:keepLines/>
              <w:widowControl w:val="0"/>
            </w:pPr>
            <w:r w:rsidRPr="001371C0">
              <w:t xml:space="preserve">Caidreamh Poiblí </w:t>
            </w:r>
          </w:p>
        </w:tc>
        <w:tc>
          <w:tcPr>
            <w:tcW w:w="1260" w:type="dxa"/>
            <w:shd w:val="clear" w:color="auto" w:fill="auto"/>
            <w:vAlign w:val="bottom"/>
          </w:tcPr>
          <w:p w14:paraId="31CAA3F0"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45FFF8E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07FC2058"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41,657</w:t>
            </w:r>
          </w:p>
        </w:tc>
      </w:tr>
      <w:tr w:rsidR="001371C0" w:rsidRPr="00891E3A" w14:paraId="09252CEC" w14:textId="77777777" w:rsidTr="00231F76">
        <w:tblPrEx>
          <w:tblCellMar>
            <w:top w:w="0" w:type="dxa"/>
            <w:bottom w:w="0" w:type="dxa"/>
          </w:tblCellMar>
        </w:tblPrEx>
        <w:tc>
          <w:tcPr>
            <w:tcW w:w="4788" w:type="dxa"/>
            <w:shd w:val="clear" w:color="auto" w:fill="auto"/>
            <w:vAlign w:val="center"/>
          </w:tcPr>
          <w:p w14:paraId="120092C8" w14:textId="77777777" w:rsidR="001371C0" w:rsidRPr="001371C0" w:rsidRDefault="001371C0" w:rsidP="00067058">
            <w:pPr>
              <w:pStyle w:val="TableRowHead"/>
              <w:keepNext w:val="0"/>
              <w:keepLines/>
              <w:widowControl w:val="0"/>
              <w:rPr>
                <w:rFonts w:eastAsia="SimSun"/>
                <w:i/>
              </w:rPr>
            </w:pPr>
            <w:r w:rsidRPr="001371C0">
              <w:t xml:space="preserve">Foilseacháin / </w:t>
            </w:r>
            <w:proofErr w:type="spellStart"/>
            <w:r w:rsidRPr="001371C0">
              <w:t>tréimhseacháin</w:t>
            </w:r>
            <w:proofErr w:type="spellEnd"/>
          </w:p>
        </w:tc>
        <w:tc>
          <w:tcPr>
            <w:tcW w:w="1260" w:type="dxa"/>
            <w:shd w:val="clear" w:color="auto" w:fill="auto"/>
            <w:vAlign w:val="bottom"/>
          </w:tcPr>
          <w:p w14:paraId="3B0BBD07"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4C5F7C20"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239</w:t>
            </w:r>
          </w:p>
        </w:tc>
        <w:tc>
          <w:tcPr>
            <w:tcW w:w="1368" w:type="dxa"/>
            <w:shd w:val="clear" w:color="auto" w:fill="auto"/>
            <w:vAlign w:val="bottom"/>
          </w:tcPr>
          <w:p w14:paraId="0629B58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5,039</w:t>
            </w:r>
          </w:p>
        </w:tc>
      </w:tr>
      <w:tr w:rsidR="001371C0" w:rsidRPr="00891E3A" w14:paraId="7FD668FC" w14:textId="77777777" w:rsidTr="00231F76">
        <w:tblPrEx>
          <w:tblCellMar>
            <w:top w:w="0" w:type="dxa"/>
            <w:bottom w:w="0" w:type="dxa"/>
          </w:tblCellMar>
        </w:tblPrEx>
        <w:tc>
          <w:tcPr>
            <w:tcW w:w="4788" w:type="dxa"/>
            <w:shd w:val="clear" w:color="auto" w:fill="auto"/>
            <w:vAlign w:val="center"/>
          </w:tcPr>
          <w:p w14:paraId="72391467" w14:textId="77777777" w:rsidR="001371C0" w:rsidRPr="001371C0" w:rsidRDefault="001371C0" w:rsidP="00067058">
            <w:pPr>
              <w:pStyle w:val="TableRowHead"/>
              <w:keepNext w:val="0"/>
              <w:keepLines/>
              <w:widowControl w:val="0"/>
              <w:rPr>
                <w:rFonts w:eastAsia="SimSun"/>
                <w:i/>
              </w:rPr>
            </w:pPr>
            <w:r w:rsidRPr="001371C0">
              <w:t>Rátaí</w:t>
            </w:r>
          </w:p>
        </w:tc>
        <w:tc>
          <w:tcPr>
            <w:tcW w:w="1260" w:type="dxa"/>
            <w:shd w:val="clear" w:color="auto" w:fill="auto"/>
            <w:vAlign w:val="bottom"/>
          </w:tcPr>
          <w:p w14:paraId="12D095E0"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67127FEC"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70,459</w:t>
            </w:r>
          </w:p>
        </w:tc>
        <w:tc>
          <w:tcPr>
            <w:tcW w:w="1368" w:type="dxa"/>
            <w:shd w:val="clear" w:color="auto" w:fill="auto"/>
            <w:vAlign w:val="bottom"/>
          </w:tcPr>
          <w:p w14:paraId="4BC280DD"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71,899</w:t>
            </w:r>
          </w:p>
        </w:tc>
      </w:tr>
      <w:tr w:rsidR="001371C0" w:rsidRPr="00891E3A" w14:paraId="5C2FDF87" w14:textId="77777777" w:rsidTr="00231F76">
        <w:tblPrEx>
          <w:tblCellMar>
            <w:top w:w="0" w:type="dxa"/>
            <w:bottom w:w="0" w:type="dxa"/>
          </w:tblCellMar>
        </w:tblPrEx>
        <w:tc>
          <w:tcPr>
            <w:tcW w:w="4788" w:type="dxa"/>
            <w:shd w:val="clear" w:color="auto" w:fill="auto"/>
            <w:vAlign w:val="center"/>
          </w:tcPr>
          <w:p w14:paraId="5F868F6B" w14:textId="77777777" w:rsidR="001371C0" w:rsidRPr="001371C0" w:rsidRDefault="001371C0" w:rsidP="00067058">
            <w:pPr>
              <w:pStyle w:val="TableRowHead"/>
              <w:keepNext w:val="0"/>
              <w:keepLines/>
              <w:widowControl w:val="0"/>
              <w:rPr>
                <w:rFonts w:eastAsia="SimSun"/>
              </w:rPr>
            </w:pPr>
            <w:proofErr w:type="spellStart"/>
            <w:r w:rsidRPr="001371C0">
              <w:t>Uiríolla</w:t>
            </w:r>
            <w:proofErr w:type="spellEnd"/>
          </w:p>
        </w:tc>
        <w:tc>
          <w:tcPr>
            <w:tcW w:w="1260" w:type="dxa"/>
            <w:shd w:val="clear" w:color="auto" w:fill="auto"/>
            <w:vAlign w:val="bottom"/>
          </w:tcPr>
          <w:p w14:paraId="4838F016"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4B5F4B4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0</w:t>
            </w:r>
          </w:p>
        </w:tc>
        <w:tc>
          <w:tcPr>
            <w:tcW w:w="1368" w:type="dxa"/>
            <w:shd w:val="clear" w:color="auto" w:fill="auto"/>
            <w:vAlign w:val="bottom"/>
          </w:tcPr>
          <w:p w14:paraId="21D7504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219</w:t>
            </w:r>
          </w:p>
        </w:tc>
      </w:tr>
      <w:tr w:rsidR="001371C0" w:rsidRPr="00891E3A" w14:paraId="241F9498" w14:textId="77777777" w:rsidTr="00231F76">
        <w:tblPrEx>
          <w:tblCellMar>
            <w:top w:w="0" w:type="dxa"/>
            <w:bottom w:w="0" w:type="dxa"/>
          </w:tblCellMar>
        </w:tblPrEx>
        <w:tc>
          <w:tcPr>
            <w:tcW w:w="4788" w:type="dxa"/>
            <w:shd w:val="clear" w:color="auto" w:fill="auto"/>
            <w:vAlign w:val="center"/>
          </w:tcPr>
          <w:p w14:paraId="339F242C" w14:textId="77777777" w:rsidR="001371C0" w:rsidRPr="001371C0" w:rsidRDefault="001371C0" w:rsidP="00067058">
            <w:pPr>
              <w:pStyle w:val="TableRowHead"/>
              <w:keepNext w:val="0"/>
              <w:keepLines/>
              <w:widowControl w:val="0"/>
              <w:rPr>
                <w:rFonts w:eastAsia="SimSun"/>
                <w:i/>
              </w:rPr>
            </w:pPr>
            <w:r w:rsidRPr="001371C0">
              <w:t>Slándáil</w:t>
            </w:r>
          </w:p>
        </w:tc>
        <w:tc>
          <w:tcPr>
            <w:tcW w:w="1260" w:type="dxa"/>
            <w:shd w:val="clear" w:color="auto" w:fill="auto"/>
            <w:vAlign w:val="bottom"/>
          </w:tcPr>
          <w:p w14:paraId="7B3B7590"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3319FD64"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11,649</w:t>
            </w:r>
          </w:p>
        </w:tc>
        <w:tc>
          <w:tcPr>
            <w:tcW w:w="1368" w:type="dxa"/>
            <w:shd w:val="clear" w:color="auto" w:fill="auto"/>
            <w:vAlign w:val="bottom"/>
          </w:tcPr>
          <w:p w14:paraId="071AA459"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15,089</w:t>
            </w:r>
          </w:p>
        </w:tc>
      </w:tr>
      <w:tr w:rsidR="001371C0" w:rsidRPr="00891E3A" w14:paraId="0F14EC27" w14:textId="77777777" w:rsidTr="00231F76">
        <w:tblPrEx>
          <w:tblCellMar>
            <w:top w:w="0" w:type="dxa"/>
            <w:bottom w:w="0" w:type="dxa"/>
          </w:tblCellMar>
        </w:tblPrEx>
        <w:tc>
          <w:tcPr>
            <w:tcW w:w="4788" w:type="dxa"/>
            <w:shd w:val="clear" w:color="auto" w:fill="auto"/>
            <w:vAlign w:val="center"/>
          </w:tcPr>
          <w:p w14:paraId="6A944FC7" w14:textId="77777777" w:rsidR="001371C0" w:rsidRPr="001371C0" w:rsidRDefault="001371C0" w:rsidP="00067058">
            <w:pPr>
              <w:pStyle w:val="TableRowHead"/>
              <w:keepNext w:val="0"/>
              <w:keepLines/>
              <w:widowControl w:val="0"/>
            </w:pPr>
            <w:proofErr w:type="spellStart"/>
            <w:r w:rsidRPr="001371C0">
              <w:t>Sintiúis</w:t>
            </w:r>
            <w:proofErr w:type="spellEnd"/>
            <w:r w:rsidRPr="001371C0">
              <w:t>/Bronntanais</w:t>
            </w:r>
          </w:p>
        </w:tc>
        <w:tc>
          <w:tcPr>
            <w:tcW w:w="1260" w:type="dxa"/>
            <w:shd w:val="clear" w:color="auto" w:fill="auto"/>
            <w:vAlign w:val="bottom"/>
          </w:tcPr>
          <w:p w14:paraId="56C566D9"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6E077FB3"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11,290</w:t>
            </w:r>
          </w:p>
        </w:tc>
        <w:tc>
          <w:tcPr>
            <w:tcW w:w="1368" w:type="dxa"/>
            <w:shd w:val="clear" w:color="auto" w:fill="auto"/>
            <w:vAlign w:val="bottom"/>
          </w:tcPr>
          <w:p w14:paraId="30BAF34F"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12,092</w:t>
            </w:r>
          </w:p>
        </w:tc>
      </w:tr>
      <w:tr w:rsidR="001371C0" w:rsidRPr="00891E3A" w14:paraId="06A2BDFD" w14:textId="77777777" w:rsidTr="00231F76">
        <w:tblPrEx>
          <w:tblCellMar>
            <w:top w:w="0" w:type="dxa"/>
            <w:bottom w:w="0" w:type="dxa"/>
          </w:tblCellMar>
        </w:tblPrEx>
        <w:tc>
          <w:tcPr>
            <w:tcW w:w="4788" w:type="dxa"/>
            <w:shd w:val="clear" w:color="auto" w:fill="auto"/>
            <w:vAlign w:val="center"/>
          </w:tcPr>
          <w:p w14:paraId="30B44E77" w14:textId="77777777" w:rsidR="001371C0" w:rsidRPr="001371C0" w:rsidRDefault="001371C0" w:rsidP="00067058">
            <w:pPr>
              <w:pStyle w:val="TableRowHead"/>
              <w:keepNext w:val="0"/>
              <w:keepLines/>
              <w:widowControl w:val="0"/>
            </w:pPr>
            <w:r w:rsidRPr="001371C0">
              <w:t>Éagsúil</w:t>
            </w:r>
          </w:p>
        </w:tc>
        <w:tc>
          <w:tcPr>
            <w:tcW w:w="1260" w:type="dxa"/>
            <w:shd w:val="clear" w:color="auto" w:fill="auto"/>
            <w:vAlign w:val="bottom"/>
          </w:tcPr>
          <w:p w14:paraId="1032EAD9"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0C68427A"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2,833</w:t>
            </w:r>
          </w:p>
        </w:tc>
        <w:tc>
          <w:tcPr>
            <w:tcW w:w="1368" w:type="dxa"/>
            <w:shd w:val="clear" w:color="auto" w:fill="auto"/>
            <w:vAlign w:val="bottom"/>
          </w:tcPr>
          <w:p w14:paraId="16CB0C47"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-4,133</w:t>
            </w:r>
          </w:p>
        </w:tc>
      </w:tr>
      <w:tr w:rsidR="001371C0" w:rsidRPr="00891E3A" w14:paraId="4CA7F781" w14:textId="77777777" w:rsidTr="00231F76">
        <w:tblPrEx>
          <w:tblCellMar>
            <w:top w:w="0" w:type="dxa"/>
            <w:bottom w:w="0" w:type="dxa"/>
          </w:tblCellMar>
        </w:tblPrEx>
        <w:tc>
          <w:tcPr>
            <w:tcW w:w="4788" w:type="dxa"/>
            <w:shd w:val="clear" w:color="auto" w:fill="auto"/>
            <w:vAlign w:val="center"/>
          </w:tcPr>
          <w:p w14:paraId="2C5F3D3F" w14:textId="77777777" w:rsidR="001371C0" w:rsidRPr="001371C0" w:rsidRDefault="001371C0" w:rsidP="00067058">
            <w:pPr>
              <w:pStyle w:val="TableRowHead"/>
              <w:keepNext w:val="0"/>
              <w:keepLines/>
              <w:widowControl w:val="0"/>
            </w:pPr>
            <w:proofErr w:type="spellStart"/>
            <w:r w:rsidRPr="001371C0">
              <w:t>Cothabháil</w:t>
            </w:r>
            <w:proofErr w:type="spellEnd"/>
            <w:r w:rsidRPr="001371C0">
              <w:t xml:space="preserve"> </w:t>
            </w:r>
            <w:proofErr w:type="spellStart"/>
            <w:r w:rsidRPr="001371C0">
              <w:t>Teileafóin</w:t>
            </w:r>
            <w:proofErr w:type="spellEnd"/>
          </w:p>
        </w:tc>
        <w:tc>
          <w:tcPr>
            <w:tcW w:w="1260" w:type="dxa"/>
            <w:shd w:val="clear" w:color="auto" w:fill="auto"/>
            <w:vAlign w:val="bottom"/>
          </w:tcPr>
          <w:p w14:paraId="5CBD656A" w14:textId="77777777" w:rsidR="001371C0" w:rsidRPr="00891E3A" w:rsidRDefault="001371C0" w:rsidP="00067058">
            <w:pPr>
              <w:keepLines/>
              <w:widowControl w:val="0"/>
              <w:spacing w:after="0" w:line="240" w:lineRule="auto"/>
              <w:rPr>
                <w:rFonts w:cs="Arial"/>
                <w:lang w:val="en-GB" w:eastAsia="en-GB"/>
              </w:rPr>
            </w:pPr>
          </w:p>
        </w:tc>
        <w:tc>
          <w:tcPr>
            <w:tcW w:w="1440" w:type="dxa"/>
            <w:shd w:val="clear" w:color="auto" w:fill="auto"/>
            <w:vAlign w:val="bottom"/>
          </w:tcPr>
          <w:p w14:paraId="68E870F1"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2,885</w:t>
            </w:r>
          </w:p>
        </w:tc>
        <w:tc>
          <w:tcPr>
            <w:tcW w:w="1368" w:type="dxa"/>
            <w:shd w:val="clear" w:color="auto" w:fill="auto"/>
            <w:vAlign w:val="bottom"/>
          </w:tcPr>
          <w:p w14:paraId="3841BACC" w14:textId="77777777" w:rsidR="001371C0" w:rsidRPr="00891E3A" w:rsidRDefault="001371C0" w:rsidP="00067058">
            <w:pPr>
              <w:keepLines/>
              <w:widowControl w:val="0"/>
              <w:spacing w:after="0" w:line="240" w:lineRule="auto"/>
              <w:jc w:val="right"/>
              <w:rPr>
                <w:rFonts w:cs="Arial"/>
                <w:lang w:val="en-GB" w:eastAsia="en-GB"/>
              </w:rPr>
            </w:pPr>
            <w:r w:rsidRPr="00891E3A">
              <w:rPr>
                <w:rFonts w:cs="Arial"/>
                <w:lang w:val="en-GB" w:eastAsia="en-GB"/>
              </w:rPr>
              <w:t>7,879</w:t>
            </w:r>
          </w:p>
        </w:tc>
      </w:tr>
      <w:tr w:rsidR="00141421" w:rsidRPr="00891E3A" w14:paraId="2F300904" w14:textId="77777777" w:rsidTr="00141421">
        <w:tblPrEx>
          <w:tblCellMar>
            <w:top w:w="0" w:type="dxa"/>
            <w:bottom w:w="0" w:type="dxa"/>
          </w:tblCellMar>
        </w:tblPrEx>
        <w:tc>
          <w:tcPr>
            <w:tcW w:w="4788" w:type="dxa"/>
            <w:shd w:val="clear" w:color="auto" w:fill="auto"/>
            <w:vAlign w:val="bottom"/>
          </w:tcPr>
          <w:p w14:paraId="62CEF012" w14:textId="77777777" w:rsidR="00141421" w:rsidRPr="001371C0" w:rsidRDefault="00141421" w:rsidP="00067058">
            <w:pPr>
              <w:pStyle w:val="TableRowHead"/>
              <w:keepNext w:val="0"/>
              <w:keepLines/>
              <w:widowControl w:val="0"/>
              <w:rPr>
                <w:lang w:val="en-GB" w:eastAsia="en-GB"/>
              </w:rPr>
            </w:pPr>
          </w:p>
        </w:tc>
        <w:tc>
          <w:tcPr>
            <w:tcW w:w="1260" w:type="dxa"/>
            <w:shd w:val="clear" w:color="auto" w:fill="auto"/>
            <w:vAlign w:val="bottom"/>
          </w:tcPr>
          <w:p w14:paraId="37DCC512" w14:textId="77777777" w:rsidR="00141421" w:rsidRPr="00891E3A" w:rsidRDefault="00141421" w:rsidP="00067058">
            <w:pPr>
              <w:keepLines/>
              <w:widowControl w:val="0"/>
              <w:spacing w:after="0" w:line="240" w:lineRule="auto"/>
              <w:rPr>
                <w:rFonts w:cs="Arial"/>
                <w:lang w:val="en-GB" w:eastAsia="en-GB"/>
              </w:rPr>
            </w:pPr>
          </w:p>
        </w:tc>
        <w:tc>
          <w:tcPr>
            <w:tcW w:w="1440" w:type="dxa"/>
            <w:shd w:val="clear" w:color="auto" w:fill="auto"/>
            <w:vAlign w:val="bottom"/>
          </w:tcPr>
          <w:p w14:paraId="2B8117E9" w14:textId="77777777" w:rsidR="00141421" w:rsidRPr="009912D3" w:rsidRDefault="00141421" w:rsidP="00067058">
            <w:pPr>
              <w:keepLines/>
              <w:widowControl w:val="0"/>
              <w:spacing w:after="0" w:line="240" w:lineRule="auto"/>
              <w:jc w:val="right"/>
              <w:rPr>
                <w:rFonts w:cs="Arial"/>
                <w:b/>
                <w:lang w:val="en-GB" w:eastAsia="en-GB"/>
              </w:rPr>
            </w:pPr>
            <w:r w:rsidRPr="009912D3">
              <w:rPr>
                <w:rFonts w:cs="Arial"/>
                <w:b/>
                <w:lang w:val="en-GB" w:eastAsia="en-GB"/>
              </w:rPr>
              <w:t>618,039</w:t>
            </w:r>
          </w:p>
        </w:tc>
        <w:tc>
          <w:tcPr>
            <w:tcW w:w="1368" w:type="dxa"/>
            <w:shd w:val="clear" w:color="auto" w:fill="auto"/>
            <w:vAlign w:val="bottom"/>
          </w:tcPr>
          <w:p w14:paraId="127F0D5B" w14:textId="77777777" w:rsidR="00141421" w:rsidRPr="009912D3" w:rsidRDefault="00141421" w:rsidP="00067058">
            <w:pPr>
              <w:keepLines/>
              <w:widowControl w:val="0"/>
              <w:spacing w:after="0" w:line="240" w:lineRule="auto"/>
              <w:jc w:val="right"/>
              <w:rPr>
                <w:rFonts w:cs="Arial"/>
                <w:b/>
                <w:lang w:val="en-GB" w:eastAsia="en-GB"/>
              </w:rPr>
            </w:pPr>
            <w:r w:rsidRPr="009912D3">
              <w:rPr>
                <w:rFonts w:cs="Arial"/>
                <w:b/>
                <w:lang w:val="en-GB" w:eastAsia="en-GB"/>
              </w:rPr>
              <w:t>751,112</w:t>
            </w:r>
          </w:p>
        </w:tc>
      </w:tr>
    </w:tbl>
    <w:p w14:paraId="60D6B7B1" w14:textId="77777777" w:rsidR="00067058" w:rsidRDefault="00141421" w:rsidP="00067058">
      <w:pPr>
        <w:pStyle w:val="TableTitle"/>
        <w:jc w:val="left"/>
      </w:pPr>
      <w:r w:rsidRPr="00117D8A">
        <w:rPr>
          <w:lang w:val="en-GB" w:eastAsia="en-GB"/>
        </w:rPr>
        <w:lastRenderedPageBreak/>
        <w:t xml:space="preserve">6. </w:t>
      </w:r>
      <w:r w:rsidR="001371C0">
        <w:t xml:space="preserve">Táillí Agus Costais </w:t>
      </w:r>
      <w:proofErr w:type="gramStart"/>
      <w:r w:rsidR="001371C0">
        <w:t>An</w:t>
      </w:r>
      <w:proofErr w:type="gramEnd"/>
      <w:r w:rsidR="001371C0">
        <w:t xml:space="preserve"> Údaráis</w:t>
      </w:r>
    </w:p>
    <w:p w14:paraId="2851E7F4" w14:textId="77777777" w:rsidR="00141421" w:rsidRPr="00067058" w:rsidRDefault="001371C0" w:rsidP="00067058">
      <w:proofErr w:type="spellStart"/>
      <w:r>
        <w:t>Íocadh</w:t>
      </w:r>
      <w:proofErr w:type="spellEnd"/>
      <w:r w:rsidRPr="00761C00">
        <w:rPr>
          <w:rFonts w:eastAsia="SimSun"/>
          <w:szCs w:val="20"/>
        </w:rPr>
        <w:t xml:space="preserve"> </w:t>
      </w:r>
      <w:r w:rsidR="00141421" w:rsidRPr="00117D8A">
        <w:rPr>
          <w:lang w:val="en-GB" w:eastAsia="en-GB"/>
        </w:rPr>
        <w:t xml:space="preserve">€ 62,843 (€43,896 in 2009) </w:t>
      </w:r>
      <w:r>
        <w:t>i leith Táillí an Údaráis.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808"/>
        <w:gridCol w:w="1800"/>
        <w:gridCol w:w="2520"/>
        <w:gridCol w:w="1620"/>
      </w:tblGrid>
      <w:tr w:rsidR="001371C0" w:rsidRPr="00117D8A" w14:paraId="64BFC535" w14:textId="77777777" w:rsidTr="00231F76">
        <w:tblPrEx>
          <w:tblCellMar>
            <w:top w:w="0" w:type="dxa"/>
            <w:bottom w:w="0" w:type="dxa"/>
          </w:tblCellMar>
        </w:tblPrEx>
        <w:trPr>
          <w:tblHeader/>
        </w:trPr>
        <w:tc>
          <w:tcPr>
            <w:tcW w:w="2808" w:type="dxa"/>
            <w:shd w:val="clear" w:color="auto" w:fill="auto"/>
            <w:vAlign w:val="center"/>
          </w:tcPr>
          <w:p w14:paraId="693C4FA2" w14:textId="77777777" w:rsidR="001371C0" w:rsidRPr="001371C0" w:rsidRDefault="001371C0" w:rsidP="00067058">
            <w:pPr>
              <w:pStyle w:val="TableHead"/>
              <w:keepLines/>
              <w:widowControl w:val="0"/>
              <w:jc w:val="right"/>
            </w:pPr>
            <w:r w:rsidRPr="001371C0">
              <w:t>Comhalta an Údarás</w:t>
            </w:r>
          </w:p>
        </w:tc>
        <w:tc>
          <w:tcPr>
            <w:tcW w:w="1800" w:type="dxa"/>
            <w:shd w:val="clear" w:color="auto" w:fill="auto"/>
            <w:vAlign w:val="center"/>
          </w:tcPr>
          <w:p w14:paraId="49C7EB71" w14:textId="77777777" w:rsidR="001371C0" w:rsidRPr="001371C0" w:rsidRDefault="001371C0" w:rsidP="00067058">
            <w:pPr>
              <w:pStyle w:val="TableHead"/>
              <w:keepLines/>
              <w:widowControl w:val="0"/>
              <w:jc w:val="right"/>
              <w:rPr>
                <w:bCs/>
              </w:rPr>
            </w:pPr>
            <w:r w:rsidRPr="001371C0">
              <w:rPr>
                <w:bCs/>
              </w:rPr>
              <w:t>Táillí</w:t>
            </w:r>
          </w:p>
        </w:tc>
        <w:tc>
          <w:tcPr>
            <w:tcW w:w="2520" w:type="dxa"/>
            <w:shd w:val="clear" w:color="auto" w:fill="auto"/>
            <w:vAlign w:val="center"/>
          </w:tcPr>
          <w:p w14:paraId="15A035FB" w14:textId="77777777" w:rsidR="001371C0" w:rsidRPr="001371C0" w:rsidRDefault="001371C0" w:rsidP="00067058">
            <w:pPr>
              <w:pStyle w:val="TableHead"/>
              <w:keepLines/>
              <w:widowControl w:val="0"/>
              <w:jc w:val="right"/>
              <w:rPr>
                <w:rFonts w:cs="Arial"/>
                <w:vanish/>
                <w:lang w:eastAsia="en-IE"/>
              </w:rPr>
            </w:pPr>
            <w:r w:rsidRPr="001371C0">
              <w:rPr>
                <w:rFonts w:cs="Arial"/>
                <w:vanish/>
                <w:lang w:eastAsia="en-IE"/>
              </w:rPr>
              <w:t>Top of Form</w:t>
            </w:r>
          </w:p>
          <w:p w14:paraId="3E438F30" w14:textId="77777777" w:rsidR="001371C0" w:rsidRPr="001371C0" w:rsidRDefault="001371C0" w:rsidP="00067058">
            <w:pPr>
              <w:pStyle w:val="TableHead"/>
              <w:keepLines/>
              <w:widowControl w:val="0"/>
              <w:jc w:val="right"/>
              <w:rPr>
                <w:rFonts w:cs="Arial"/>
                <w:vanish/>
                <w:color w:val="888888"/>
                <w:lang w:eastAsia="en-IE"/>
              </w:rPr>
            </w:pPr>
            <w:r w:rsidRPr="001371C0">
              <w:rPr>
                <w:rFonts w:cs="Arial"/>
                <w:vanish/>
                <w:color w:val="888888"/>
                <w:lang w:eastAsia="en-IE"/>
              </w:rPr>
              <w:t xml:space="preserve">Type text or a website address or </w:t>
            </w:r>
            <w:hyperlink r:id="rId10" w:history="1">
              <w:r w:rsidRPr="001371C0">
                <w:rPr>
                  <w:rFonts w:cs="Arial"/>
                  <w:vanish/>
                  <w:color w:val="4272DB"/>
                  <w:lang w:eastAsia="en-IE"/>
                </w:rPr>
                <w:t>translate a document.</w:t>
              </w:r>
            </w:hyperlink>
          </w:p>
          <w:p w14:paraId="40D8F656" w14:textId="77777777" w:rsidR="001371C0" w:rsidRPr="001371C0" w:rsidRDefault="001371C0" w:rsidP="00067058">
            <w:pPr>
              <w:pStyle w:val="TableHead"/>
              <w:keepLines/>
              <w:widowControl w:val="0"/>
              <w:jc w:val="right"/>
            </w:pPr>
            <w:r w:rsidRPr="001371C0">
              <w:rPr>
                <w:rFonts w:cs="Arial"/>
                <w:color w:val="000000"/>
                <w:lang w:val="ga-IE" w:eastAsia="en-IE"/>
              </w:rPr>
              <w:t>Costais a íocadh leis nó thar ceann</w:t>
            </w:r>
          </w:p>
        </w:tc>
        <w:tc>
          <w:tcPr>
            <w:tcW w:w="1620" w:type="dxa"/>
            <w:shd w:val="clear" w:color="auto" w:fill="auto"/>
            <w:vAlign w:val="center"/>
          </w:tcPr>
          <w:p w14:paraId="5E6F092C" w14:textId="77777777" w:rsidR="001371C0" w:rsidRPr="001371C0" w:rsidRDefault="001371C0" w:rsidP="00067058">
            <w:pPr>
              <w:pStyle w:val="TableHead"/>
              <w:keepLines/>
              <w:widowControl w:val="0"/>
              <w:jc w:val="right"/>
            </w:pPr>
            <w:r w:rsidRPr="001371C0">
              <w:t>Comhalta an Údarás</w:t>
            </w:r>
          </w:p>
        </w:tc>
      </w:tr>
      <w:tr w:rsidR="00141421" w:rsidRPr="00117D8A" w14:paraId="10375862" w14:textId="77777777" w:rsidTr="00141421">
        <w:tblPrEx>
          <w:tblCellMar>
            <w:top w:w="0" w:type="dxa"/>
            <w:bottom w:w="0" w:type="dxa"/>
          </w:tblCellMar>
        </w:tblPrEx>
        <w:tc>
          <w:tcPr>
            <w:tcW w:w="2808" w:type="dxa"/>
            <w:shd w:val="clear" w:color="auto" w:fill="auto"/>
            <w:vAlign w:val="bottom"/>
          </w:tcPr>
          <w:p w14:paraId="2BFD757F" w14:textId="77777777" w:rsidR="00141421" w:rsidRPr="009E20FE" w:rsidRDefault="009E20FE" w:rsidP="00067058">
            <w:pPr>
              <w:pStyle w:val="TableRowHead"/>
              <w:keepNext w:val="0"/>
              <w:keepLines/>
              <w:widowControl w:val="0"/>
              <w:rPr>
                <w:lang w:val="en-GB" w:eastAsia="en-GB"/>
              </w:rPr>
            </w:pPr>
            <w:r w:rsidRPr="009E20FE">
              <w:t xml:space="preserve">An tUasal </w:t>
            </w:r>
            <w:r w:rsidR="00141421" w:rsidRPr="009E20FE">
              <w:rPr>
                <w:lang w:val="en-GB" w:eastAsia="en-GB"/>
              </w:rPr>
              <w:t xml:space="preserve">Peter </w:t>
            </w:r>
            <w:proofErr w:type="spellStart"/>
            <w:r w:rsidR="00141421" w:rsidRPr="009E20FE">
              <w:rPr>
                <w:lang w:val="en-GB" w:eastAsia="en-GB"/>
              </w:rPr>
              <w:t>Mckevitt</w:t>
            </w:r>
            <w:proofErr w:type="spellEnd"/>
          </w:p>
        </w:tc>
        <w:tc>
          <w:tcPr>
            <w:tcW w:w="1800" w:type="dxa"/>
            <w:shd w:val="clear" w:color="auto" w:fill="auto"/>
            <w:vAlign w:val="bottom"/>
          </w:tcPr>
          <w:p w14:paraId="35914A8D"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€8,978.00</w:t>
            </w:r>
          </w:p>
        </w:tc>
        <w:tc>
          <w:tcPr>
            <w:tcW w:w="2520" w:type="dxa"/>
            <w:shd w:val="clear" w:color="auto" w:fill="auto"/>
            <w:vAlign w:val="bottom"/>
          </w:tcPr>
          <w:p w14:paraId="21E5CCA8"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€51.20</w:t>
            </w:r>
          </w:p>
        </w:tc>
        <w:tc>
          <w:tcPr>
            <w:tcW w:w="1620" w:type="dxa"/>
            <w:shd w:val="clear" w:color="auto" w:fill="auto"/>
          </w:tcPr>
          <w:p w14:paraId="07E8FCCF" w14:textId="77777777" w:rsidR="00141421" w:rsidRPr="009912D3" w:rsidRDefault="00141421" w:rsidP="00067058">
            <w:pPr>
              <w:pStyle w:val="TableCell"/>
              <w:keepLines/>
              <w:widowControl w:val="0"/>
              <w:jc w:val="right"/>
            </w:pPr>
          </w:p>
        </w:tc>
      </w:tr>
      <w:tr w:rsidR="00141421" w:rsidRPr="00117D8A" w14:paraId="729A51B5" w14:textId="77777777" w:rsidTr="00141421">
        <w:tblPrEx>
          <w:tblCellMar>
            <w:top w:w="0" w:type="dxa"/>
            <w:bottom w:w="0" w:type="dxa"/>
          </w:tblCellMar>
        </w:tblPrEx>
        <w:tc>
          <w:tcPr>
            <w:tcW w:w="2808" w:type="dxa"/>
            <w:shd w:val="clear" w:color="auto" w:fill="auto"/>
            <w:vAlign w:val="bottom"/>
          </w:tcPr>
          <w:p w14:paraId="36467082" w14:textId="77777777" w:rsidR="00141421" w:rsidRPr="009E20FE" w:rsidRDefault="00141421" w:rsidP="00067058">
            <w:pPr>
              <w:pStyle w:val="TableRowHead"/>
              <w:keepNext w:val="0"/>
              <w:keepLines/>
              <w:widowControl w:val="0"/>
              <w:rPr>
                <w:lang w:val="en-GB" w:eastAsia="en-GB"/>
              </w:rPr>
            </w:pPr>
            <w:r w:rsidRPr="009E20FE">
              <w:rPr>
                <w:lang w:val="en-GB" w:eastAsia="en-GB"/>
              </w:rPr>
              <w:t>Caroline Burrell</w:t>
            </w:r>
            <w:r w:rsidR="009E20FE" w:rsidRPr="009E20FE">
              <w:t xml:space="preserve"> Uasal</w:t>
            </w:r>
          </w:p>
        </w:tc>
        <w:tc>
          <w:tcPr>
            <w:tcW w:w="1800" w:type="dxa"/>
            <w:shd w:val="clear" w:color="auto" w:fill="auto"/>
            <w:vAlign w:val="bottom"/>
          </w:tcPr>
          <w:p w14:paraId="4756FAF3"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6EE6204E"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€186.07</w:t>
            </w:r>
          </w:p>
        </w:tc>
        <w:tc>
          <w:tcPr>
            <w:tcW w:w="1620" w:type="dxa"/>
            <w:shd w:val="clear" w:color="auto" w:fill="auto"/>
          </w:tcPr>
          <w:p w14:paraId="0D723CFC" w14:textId="77777777" w:rsidR="00141421" w:rsidRPr="009912D3" w:rsidRDefault="00141421" w:rsidP="00067058">
            <w:pPr>
              <w:pStyle w:val="TableCell"/>
              <w:keepLines/>
              <w:widowControl w:val="0"/>
              <w:jc w:val="right"/>
            </w:pPr>
          </w:p>
        </w:tc>
      </w:tr>
      <w:tr w:rsidR="00141421" w:rsidRPr="00117D8A" w14:paraId="485C43A1" w14:textId="77777777" w:rsidTr="00141421">
        <w:tblPrEx>
          <w:tblCellMar>
            <w:top w:w="0" w:type="dxa"/>
            <w:bottom w:w="0" w:type="dxa"/>
          </w:tblCellMar>
        </w:tblPrEx>
        <w:tc>
          <w:tcPr>
            <w:tcW w:w="2808" w:type="dxa"/>
            <w:shd w:val="clear" w:color="auto" w:fill="auto"/>
            <w:vAlign w:val="bottom"/>
          </w:tcPr>
          <w:p w14:paraId="253D7581" w14:textId="77777777" w:rsidR="00141421" w:rsidRPr="009E20FE" w:rsidRDefault="009E20FE" w:rsidP="00067058">
            <w:pPr>
              <w:pStyle w:val="TableRowHead"/>
              <w:keepNext w:val="0"/>
              <w:keepLines/>
              <w:widowControl w:val="0"/>
              <w:rPr>
                <w:lang w:val="en-GB" w:eastAsia="en-GB"/>
              </w:rPr>
            </w:pPr>
            <w:r w:rsidRPr="009E20FE">
              <w:t xml:space="preserve">An tUasal </w:t>
            </w:r>
            <w:r w:rsidR="00141421" w:rsidRPr="009E20FE">
              <w:rPr>
                <w:lang w:val="en-GB" w:eastAsia="en-GB"/>
              </w:rPr>
              <w:t>Desmond Kenny</w:t>
            </w:r>
          </w:p>
        </w:tc>
        <w:tc>
          <w:tcPr>
            <w:tcW w:w="1800" w:type="dxa"/>
            <w:shd w:val="clear" w:color="auto" w:fill="auto"/>
            <w:vAlign w:val="bottom"/>
          </w:tcPr>
          <w:p w14:paraId="41D1AD4E"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23F26234"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24AE28B4" w14:textId="77777777" w:rsidR="00141421" w:rsidRPr="009912D3" w:rsidRDefault="00141421" w:rsidP="00067058">
            <w:pPr>
              <w:pStyle w:val="TableCell"/>
              <w:keepLines/>
              <w:widowControl w:val="0"/>
              <w:jc w:val="right"/>
            </w:pPr>
          </w:p>
        </w:tc>
      </w:tr>
      <w:tr w:rsidR="00141421" w:rsidRPr="00117D8A" w14:paraId="15216B1A" w14:textId="77777777" w:rsidTr="00141421">
        <w:tblPrEx>
          <w:tblCellMar>
            <w:top w:w="0" w:type="dxa"/>
            <w:bottom w:w="0" w:type="dxa"/>
          </w:tblCellMar>
        </w:tblPrEx>
        <w:tc>
          <w:tcPr>
            <w:tcW w:w="2808" w:type="dxa"/>
            <w:shd w:val="clear" w:color="auto" w:fill="auto"/>
            <w:vAlign w:val="bottom"/>
          </w:tcPr>
          <w:p w14:paraId="169B40D9" w14:textId="77777777" w:rsidR="00141421" w:rsidRPr="009E20FE" w:rsidRDefault="00141421" w:rsidP="00067058">
            <w:pPr>
              <w:pStyle w:val="TableRowHead"/>
              <w:keepNext w:val="0"/>
              <w:keepLines/>
              <w:widowControl w:val="0"/>
              <w:rPr>
                <w:lang w:val="en-GB" w:eastAsia="en-GB"/>
              </w:rPr>
            </w:pPr>
            <w:r w:rsidRPr="009E20FE">
              <w:rPr>
                <w:lang w:val="en-GB" w:eastAsia="en-GB"/>
              </w:rPr>
              <w:t>Fiona Duignan</w:t>
            </w:r>
            <w:r w:rsidR="009E20FE" w:rsidRPr="009E20FE">
              <w:t xml:space="preserve"> Uasal</w:t>
            </w:r>
          </w:p>
        </w:tc>
        <w:tc>
          <w:tcPr>
            <w:tcW w:w="1800" w:type="dxa"/>
            <w:shd w:val="clear" w:color="auto" w:fill="auto"/>
            <w:vAlign w:val="bottom"/>
          </w:tcPr>
          <w:p w14:paraId="5D1371A3"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4DFB6BE1"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416685A2" w14:textId="77777777" w:rsidR="00141421" w:rsidRPr="009912D3" w:rsidRDefault="00141421" w:rsidP="00067058">
            <w:pPr>
              <w:pStyle w:val="TableCell"/>
              <w:keepLines/>
              <w:widowControl w:val="0"/>
              <w:jc w:val="right"/>
            </w:pPr>
          </w:p>
        </w:tc>
      </w:tr>
      <w:tr w:rsidR="00141421" w:rsidRPr="00117D8A" w14:paraId="50F7321A" w14:textId="77777777" w:rsidTr="00141421">
        <w:tblPrEx>
          <w:tblCellMar>
            <w:top w:w="0" w:type="dxa"/>
            <w:bottom w:w="0" w:type="dxa"/>
          </w:tblCellMar>
        </w:tblPrEx>
        <w:tc>
          <w:tcPr>
            <w:tcW w:w="2808" w:type="dxa"/>
            <w:shd w:val="clear" w:color="auto" w:fill="auto"/>
            <w:vAlign w:val="bottom"/>
          </w:tcPr>
          <w:p w14:paraId="3E16705B" w14:textId="77777777" w:rsidR="00141421" w:rsidRPr="009E20FE" w:rsidRDefault="00141421" w:rsidP="00067058">
            <w:pPr>
              <w:pStyle w:val="TableRowHead"/>
              <w:keepNext w:val="0"/>
              <w:keepLines/>
              <w:widowControl w:val="0"/>
              <w:rPr>
                <w:lang w:val="en-GB" w:eastAsia="en-GB"/>
              </w:rPr>
            </w:pPr>
            <w:r w:rsidRPr="009E20FE">
              <w:rPr>
                <w:lang w:val="en-GB" w:eastAsia="en-GB"/>
              </w:rPr>
              <w:t xml:space="preserve">Joanne </w:t>
            </w:r>
            <w:proofErr w:type="spellStart"/>
            <w:r w:rsidRPr="009E20FE">
              <w:rPr>
                <w:lang w:val="en-GB" w:eastAsia="en-GB"/>
              </w:rPr>
              <w:t>Mccarthy</w:t>
            </w:r>
            <w:proofErr w:type="spellEnd"/>
            <w:r w:rsidR="009E20FE" w:rsidRPr="009E20FE">
              <w:t xml:space="preserve"> Uasal</w:t>
            </w:r>
          </w:p>
        </w:tc>
        <w:tc>
          <w:tcPr>
            <w:tcW w:w="1800" w:type="dxa"/>
            <w:shd w:val="clear" w:color="auto" w:fill="auto"/>
            <w:vAlign w:val="bottom"/>
          </w:tcPr>
          <w:p w14:paraId="7DE11777"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3F4E2A37"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34B64EBB" w14:textId="77777777" w:rsidR="00141421" w:rsidRPr="009912D3" w:rsidRDefault="00141421" w:rsidP="00067058">
            <w:pPr>
              <w:pStyle w:val="TableCell"/>
              <w:keepLines/>
              <w:widowControl w:val="0"/>
              <w:jc w:val="right"/>
            </w:pPr>
          </w:p>
        </w:tc>
      </w:tr>
      <w:tr w:rsidR="00141421" w:rsidRPr="00117D8A" w14:paraId="54B756E5" w14:textId="77777777" w:rsidTr="00141421">
        <w:tblPrEx>
          <w:tblCellMar>
            <w:top w:w="0" w:type="dxa"/>
            <w:bottom w:w="0" w:type="dxa"/>
          </w:tblCellMar>
        </w:tblPrEx>
        <w:tc>
          <w:tcPr>
            <w:tcW w:w="2808" w:type="dxa"/>
            <w:shd w:val="clear" w:color="auto" w:fill="auto"/>
            <w:vAlign w:val="bottom"/>
          </w:tcPr>
          <w:p w14:paraId="3649E4F0" w14:textId="77777777" w:rsidR="00141421" w:rsidRPr="009E20FE" w:rsidRDefault="00141421" w:rsidP="00067058">
            <w:pPr>
              <w:pStyle w:val="TableRowHead"/>
              <w:keepNext w:val="0"/>
              <w:keepLines/>
              <w:widowControl w:val="0"/>
              <w:rPr>
                <w:lang w:val="en-GB" w:eastAsia="en-GB"/>
              </w:rPr>
            </w:pPr>
            <w:r w:rsidRPr="009E20FE">
              <w:rPr>
                <w:lang w:val="en-GB" w:eastAsia="en-GB"/>
              </w:rPr>
              <w:t>Mary Lavelle</w:t>
            </w:r>
            <w:r w:rsidR="009E20FE" w:rsidRPr="009E20FE">
              <w:t xml:space="preserve"> Uasal</w:t>
            </w:r>
          </w:p>
        </w:tc>
        <w:tc>
          <w:tcPr>
            <w:tcW w:w="1800" w:type="dxa"/>
            <w:shd w:val="clear" w:color="auto" w:fill="auto"/>
            <w:vAlign w:val="bottom"/>
          </w:tcPr>
          <w:p w14:paraId="4BE0AEB1"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059A9E89"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17C0A645" w14:textId="77777777" w:rsidR="00141421" w:rsidRPr="009912D3" w:rsidRDefault="00141421" w:rsidP="00067058">
            <w:pPr>
              <w:pStyle w:val="TableCell"/>
              <w:keepLines/>
              <w:widowControl w:val="0"/>
              <w:jc w:val="right"/>
            </w:pPr>
          </w:p>
        </w:tc>
      </w:tr>
      <w:tr w:rsidR="00141421" w:rsidRPr="00117D8A" w14:paraId="30CF58C0" w14:textId="77777777" w:rsidTr="00141421">
        <w:tblPrEx>
          <w:tblCellMar>
            <w:top w:w="0" w:type="dxa"/>
            <w:bottom w:w="0" w:type="dxa"/>
          </w:tblCellMar>
        </w:tblPrEx>
        <w:tc>
          <w:tcPr>
            <w:tcW w:w="2808" w:type="dxa"/>
            <w:shd w:val="clear" w:color="auto" w:fill="auto"/>
            <w:vAlign w:val="bottom"/>
          </w:tcPr>
          <w:p w14:paraId="188D6104" w14:textId="77777777" w:rsidR="00141421" w:rsidRPr="009E20FE" w:rsidRDefault="00141421" w:rsidP="00067058">
            <w:pPr>
              <w:pStyle w:val="TableRowHead"/>
              <w:keepNext w:val="0"/>
              <w:keepLines/>
              <w:widowControl w:val="0"/>
              <w:rPr>
                <w:lang w:val="en-GB" w:eastAsia="en-GB"/>
              </w:rPr>
            </w:pPr>
            <w:r w:rsidRPr="009E20FE">
              <w:rPr>
                <w:lang w:val="en-GB" w:eastAsia="en-GB"/>
              </w:rPr>
              <w:t>Tara Cunningham</w:t>
            </w:r>
            <w:r w:rsidR="009E20FE" w:rsidRPr="009E20FE">
              <w:t xml:space="preserve"> Uasal</w:t>
            </w:r>
          </w:p>
        </w:tc>
        <w:tc>
          <w:tcPr>
            <w:tcW w:w="1800" w:type="dxa"/>
            <w:shd w:val="clear" w:color="auto" w:fill="auto"/>
            <w:vAlign w:val="bottom"/>
          </w:tcPr>
          <w:p w14:paraId="02CF976C"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70F0A9DA"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5BB10310" w14:textId="77777777" w:rsidR="00141421" w:rsidRPr="009912D3" w:rsidRDefault="00141421" w:rsidP="00067058">
            <w:pPr>
              <w:pStyle w:val="TableCell"/>
              <w:keepLines/>
              <w:widowControl w:val="0"/>
              <w:jc w:val="right"/>
            </w:pPr>
          </w:p>
        </w:tc>
      </w:tr>
      <w:tr w:rsidR="00141421" w:rsidRPr="00117D8A" w14:paraId="08A322FF" w14:textId="77777777" w:rsidTr="00141421">
        <w:tblPrEx>
          <w:tblCellMar>
            <w:top w:w="0" w:type="dxa"/>
            <w:bottom w:w="0" w:type="dxa"/>
          </w:tblCellMar>
        </w:tblPrEx>
        <w:tc>
          <w:tcPr>
            <w:tcW w:w="2808" w:type="dxa"/>
            <w:shd w:val="clear" w:color="auto" w:fill="auto"/>
            <w:vAlign w:val="bottom"/>
          </w:tcPr>
          <w:p w14:paraId="1D8C92B9" w14:textId="77777777" w:rsidR="00141421" w:rsidRPr="009E20FE" w:rsidRDefault="009E20FE" w:rsidP="00067058">
            <w:pPr>
              <w:pStyle w:val="TableRowHead"/>
              <w:keepNext w:val="0"/>
              <w:keepLines/>
              <w:widowControl w:val="0"/>
              <w:rPr>
                <w:lang w:val="en-GB" w:eastAsia="en-GB"/>
              </w:rPr>
            </w:pPr>
            <w:r w:rsidRPr="009E20FE">
              <w:t xml:space="preserve">An Dr. </w:t>
            </w:r>
            <w:r w:rsidR="00141421" w:rsidRPr="009E20FE">
              <w:rPr>
                <w:lang w:val="en-GB" w:eastAsia="en-GB"/>
              </w:rPr>
              <w:t>Tony Bates</w:t>
            </w:r>
          </w:p>
        </w:tc>
        <w:tc>
          <w:tcPr>
            <w:tcW w:w="1800" w:type="dxa"/>
            <w:shd w:val="clear" w:color="auto" w:fill="auto"/>
            <w:vAlign w:val="bottom"/>
          </w:tcPr>
          <w:p w14:paraId="34E575EF"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61EA2A8A"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6F6ECC5E" w14:textId="77777777" w:rsidR="00141421" w:rsidRPr="009912D3" w:rsidRDefault="00141421" w:rsidP="00067058">
            <w:pPr>
              <w:pStyle w:val="TableCell"/>
              <w:keepLines/>
              <w:widowControl w:val="0"/>
              <w:jc w:val="right"/>
            </w:pPr>
          </w:p>
        </w:tc>
      </w:tr>
      <w:tr w:rsidR="00141421" w:rsidRPr="00117D8A" w14:paraId="3882992D" w14:textId="77777777" w:rsidTr="00141421">
        <w:tblPrEx>
          <w:tblCellMar>
            <w:top w:w="0" w:type="dxa"/>
            <w:bottom w:w="0" w:type="dxa"/>
          </w:tblCellMar>
        </w:tblPrEx>
        <w:tc>
          <w:tcPr>
            <w:tcW w:w="2808" w:type="dxa"/>
            <w:shd w:val="clear" w:color="auto" w:fill="auto"/>
            <w:vAlign w:val="bottom"/>
          </w:tcPr>
          <w:p w14:paraId="75823307" w14:textId="77777777" w:rsidR="00141421" w:rsidRPr="009E20FE" w:rsidRDefault="009E20FE" w:rsidP="00067058">
            <w:pPr>
              <w:pStyle w:val="TableRowHead"/>
              <w:keepNext w:val="0"/>
              <w:keepLines/>
              <w:widowControl w:val="0"/>
              <w:rPr>
                <w:lang w:val="en-GB" w:eastAsia="en-GB"/>
              </w:rPr>
            </w:pPr>
            <w:r w:rsidRPr="009E20FE">
              <w:t xml:space="preserve">An tUasal </w:t>
            </w:r>
            <w:r w:rsidR="00141421" w:rsidRPr="009E20FE">
              <w:rPr>
                <w:lang w:val="en-GB" w:eastAsia="en-GB"/>
              </w:rPr>
              <w:t xml:space="preserve">Frank </w:t>
            </w:r>
            <w:proofErr w:type="spellStart"/>
            <w:r w:rsidR="00141421" w:rsidRPr="009E20FE">
              <w:rPr>
                <w:lang w:val="en-GB" w:eastAsia="en-GB"/>
              </w:rPr>
              <w:t>Cunneen</w:t>
            </w:r>
            <w:proofErr w:type="spellEnd"/>
          </w:p>
        </w:tc>
        <w:tc>
          <w:tcPr>
            <w:tcW w:w="1800" w:type="dxa"/>
            <w:shd w:val="clear" w:color="auto" w:fill="auto"/>
            <w:vAlign w:val="bottom"/>
          </w:tcPr>
          <w:p w14:paraId="1EEC7BB2"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715221B8"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76E489AD" w14:textId="77777777" w:rsidR="00141421" w:rsidRPr="009912D3" w:rsidRDefault="00141421" w:rsidP="00067058">
            <w:pPr>
              <w:pStyle w:val="TableCell"/>
              <w:keepLines/>
              <w:widowControl w:val="0"/>
              <w:jc w:val="right"/>
            </w:pPr>
          </w:p>
        </w:tc>
      </w:tr>
      <w:tr w:rsidR="00141421" w:rsidRPr="00117D8A" w14:paraId="1CF46979" w14:textId="77777777" w:rsidTr="00141421">
        <w:tblPrEx>
          <w:tblCellMar>
            <w:top w:w="0" w:type="dxa"/>
            <w:bottom w:w="0" w:type="dxa"/>
          </w:tblCellMar>
        </w:tblPrEx>
        <w:tc>
          <w:tcPr>
            <w:tcW w:w="2808" w:type="dxa"/>
            <w:shd w:val="clear" w:color="auto" w:fill="auto"/>
            <w:vAlign w:val="bottom"/>
          </w:tcPr>
          <w:p w14:paraId="053B1969" w14:textId="77777777" w:rsidR="00141421" w:rsidRPr="009E20FE" w:rsidRDefault="009E20FE" w:rsidP="00067058">
            <w:pPr>
              <w:pStyle w:val="TableRowHead"/>
              <w:keepNext w:val="0"/>
              <w:keepLines/>
              <w:widowControl w:val="0"/>
              <w:rPr>
                <w:lang w:val="en-GB" w:eastAsia="en-GB"/>
              </w:rPr>
            </w:pPr>
            <w:r w:rsidRPr="009E20FE">
              <w:t xml:space="preserve">An tUasal </w:t>
            </w:r>
            <w:r w:rsidR="00141421" w:rsidRPr="009E20FE">
              <w:rPr>
                <w:lang w:val="en-GB" w:eastAsia="en-GB"/>
              </w:rPr>
              <w:t>David Joyce</w:t>
            </w:r>
          </w:p>
        </w:tc>
        <w:tc>
          <w:tcPr>
            <w:tcW w:w="1800" w:type="dxa"/>
            <w:shd w:val="clear" w:color="auto" w:fill="auto"/>
            <w:vAlign w:val="bottom"/>
          </w:tcPr>
          <w:p w14:paraId="474A7E40"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€5,985.00</w:t>
            </w:r>
          </w:p>
        </w:tc>
        <w:tc>
          <w:tcPr>
            <w:tcW w:w="2520" w:type="dxa"/>
            <w:shd w:val="clear" w:color="auto" w:fill="auto"/>
            <w:vAlign w:val="bottom"/>
          </w:tcPr>
          <w:p w14:paraId="0FDA446E" w14:textId="77777777" w:rsidR="00141421" w:rsidRPr="009912D3" w:rsidRDefault="00141421" w:rsidP="00067058">
            <w:pPr>
              <w:keepLines/>
              <w:widowControl w:val="0"/>
              <w:spacing w:after="0" w:line="240" w:lineRule="auto"/>
              <w:jc w:val="right"/>
              <w:rPr>
                <w:rFonts w:cs="Arial"/>
                <w:lang w:val="en-GB" w:eastAsia="en-GB"/>
              </w:rPr>
            </w:pPr>
            <w:r w:rsidRPr="009912D3">
              <w:rPr>
                <w:rFonts w:cs="Arial"/>
                <w:lang w:val="en-GB" w:eastAsia="en-GB"/>
              </w:rPr>
              <w:t> </w:t>
            </w:r>
          </w:p>
        </w:tc>
        <w:tc>
          <w:tcPr>
            <w:tcW w:w="1620" w:type="dxa"/>
            <w:shd w:val="clear" w:color="auto" w:fill="auto"/>
          </w:tcPr>
          <w:p w14:paraId="437FE802" w14:textId="77777777" w:rsidR="00141421" w:rsidRPr="009912D3" w:rsidRDefault="00141421" w:rsidP="00067058">
            <w:pPr>
              <w:pStyle w:val="TableCell"/>
              <w:keepLines/>
              <w:widowControl w:val="0"/>
              <w:jc w:val="right"/>
            </w:pPr>
          </w:p>
        </w:tc>
      </w:tr>
      <w:tr w:rsidR="00141421" w:rsidRPr="00117D8A" w14:paraId="693D079A" w14:textId="77777777" w:rsidTr="00141421">
        <w:tblPrEx>
          <w:tblCellMar>
            <w:top w:w="0" w:type="dxa"/>
            <w:bottom w:w="0" w:type="dxa"/>
          </w:tblCellMar>
        </w:tblPrEx>
        <w:tc>
          <w:tcPr>
            <w:tcW w:w="2808" w:type="dxa"/>
            <w:shd w:val="clear" w:color="auto" w:fill="auto"/>
            <w:vAlign w:val="bottom"/>
          </w:tcPr>
          <w:p w14:paraId="677F0B24" w14:textId="77777777" w:rsidR="00141421" w:rsidRPr="009E20FE" w:rsidRDefault="00141421" w:rsidP="00067058">
            <w:pPr>
              <w:pStyle w:val="TableRowHead"/>
              <w:keepNext w:val="0"/>
              <w:keepLines/>
              <w:widowControl w:val="0"/>
              <w:rPr>
                <w:rFonts w:cs="Arial"/>
                <w:lang w:val="en-GB" w:eastAsia="en-GB"/>
              </w:rPr>
            </w:pPr>
          </w:p>
        </w:tc>
        <w:tc>
          <w:tcPr>
            <w:tcW w:w="1800" w:type="dxa"/>
            <w:shd w:val="clear" w:color="auto" w:fill="auto"/>
            <w:vAlign w:val="bottom"/>
          </w:tcPr>
          <w:p w14:paraId="0FDB4929" w14:textId="77777777" w:rsidR="00141421" w:rsidRPr="009912D3" w:rsidRDefault="00141421" w:rsidP="00067058">
            <w:pPr>
              <w:keepLines/>
              <w:widowControl w:val="0"/>
              <w:spacing w:after="0" w:line="240" w:lineRule="auto"/>
              <w:jc w:val="right"/>
              <w:rPr>
                <w:rFonts w:cs="Arial"/>
                <w:b/>
                <w:bCs/>
                <w:lang w:val="en-GB" w:eastAsia="en-GB"/>
              </w:rPr>
            </w:pPr>
            <w:r w:rsidRPr="009912D3">
              <w:rPr>
                <w:rFonts w:cs="Arial"/>
                <w:b/>
                <w:bCs/>
                <w:lang w:val="en-GB" w:eastAsia="en-GB"/>
              </w:rPr>
              <w:t>€62,843.00</w:t>
            </w:r>
          </w:p>
        </w:tc>
        <w:tc>
          <w:tcPr>
            <w:tcW w:w="2520" w:type="dxa"/>
            <w:shd w:val="clear" w:color="auto" w:fill="auto"/>
            <w:vAlign w:val="bottom"/>
          </w:tcPr>
          <w:p w14:paraId="6A925EA4" w14:textId="77777777" w:rsidR="00141421" w:rsidRPr="009912D3" w:rsidRDefault="00141421" w:rsidP="00067058">
            <w:pPr>
              <w:keepLines/>
              <w:widowControl w:val="0"/>
              <w:spacing w:after="0" w:line="240" w:lineRule="auto"/>
              <w:jc w:val="right"/>
              <w:rPr>
                <w:rFonts w:cs="Arial"/>
                <w:b/>
                <w:bCs/>
                <w:lang w:val="en-GB" w:eastAsia="en-GB"/>
              </w:rPr>
            </w:pPr>
            <w:r w:rsidRPr="009912D3">
              <w:rPr>
                <w:rFonts w:cs="Arial"/>
                <w:b/>
                <w:bCs/>
                <w:lang w:val="en-GB" w:eastAsia="en-GB"/>
              </w:rPr>
              <w:t>€237.27</w:t>
            </w:r>
          </w:p>
        </w:tc>
        <w:tc>
          <w:tcPr>
            <w:tcW w:w="1620" w:type="dxa"/>
            <w:shd w:val="clear" w:color="auto" w:fill="auto"/>
            <w:vAlign w:val="bottom"/>
          </w:tcPr>
          <w:p w14:paraId="0C45B4FD" w14:textId="77777777" w:rsidR="00141421" w:rsidRPr="009912D3" w:rsidRDefault="00141421" w:rsidP="00067058">
            <w:pPr>
              <w:keepLines/>
              <w:widowControl w:val="0"/>
              <w:spacing w:after="0" w:line="240" w:lineRule="auto"/>
              <w:jc w:val="right"/>
              <w:rPr>
                <w:rFonts w:cs="Arial"/>
                <w:b/>
                <w:bCs/>
                <w:lang w:val="en-GB" w:eastAsia="en-GB"/>
              </w:rPr>
            </w:pPr>
            <w:r w:rsidRPr="009912D3">
              <w:rPr>
                <w:rFonts w:cs="Arial"/>
                <w:b/>
                <w:bCs/>
                <w:lang w:val="en-GB" w:eastAsia="en-GB"/>
              </w:rPr>
              <w:t>€63,080.27</w:t>
            </w:r>
          </w:p>
        </w:tc>
      </w:tr>
      <w:tr w:rsidR="009E20FE" w:rsidRPr="00117D8A" w14:paraId="31F3E825" w14:textId="77777777" w:rsidTr="00231F76">
        <w:tblPrEx>
          <w:tblCellMar>
            <w:top w:w="0" w:type="dxa"/>
            <w:bottom w:w="0" w:type="dxa"/>
          </w:tblCellMar>
        </w:tblPrEx>
        <w:tc>
          <w:tcPr>
            <w:tcW w:w="2808" w:type="dxa"/>
            <w:shd w:val="clear" w:color="auto" w:fill="auto"/>
            <w:vAlign w:val="center"/>
          </w:tcPr>
          <w:p w14:paraId="655999E7" w14:textId="77777777" w:rsidR="009E20FE" w:rsidRPr="009E20FE" w:rsidRDefault="009E20FE" w:rsidP="00067058">
            <w:pPr>
              <w:pStyle w:val="TableRowHead"/>
              <w:keepNext w:val="0"/>
              <w:keepLines/>
              <w:widowControl w:val="0"/>
              <w:rPr>
                <w:rFonts w:cs="Arial"/>
                <w:vanish/>
                <w:color w:val="1111CC"/>
                <w:lang w:eastAsia="en-IE"/>
              </w:rPr>
            </w:pPr>
            <w:r w:rsidRPr="009E20FE">
              <w:rPr>
                <w:rFonts w:cs="Arial"/>
                <w:lang w:eastAsia="en-IE"/>
              </w:rPr>
              <w:t xml:space="preserve">ÁSPC </w:t>
            </w:r>
            <w:proofErr w:type="spellStart"/>
            <w:r w:rsidRPr="009E20FE">
              <w:rPr>
                <w:rFonts w:cs="Arial"/>
                <w:lang w:eastAsia="en-IE"/>
              </w:rPr>
              <w:t>Fhostóirí</w:t>
            </w:r>
            <w:proofErr w:type="spellEnd"/>
            <w:r w:rsidRPr="009E20FE">
              <w:rPr>
                <w:rFonts w:cs="Arial"/>
                <w:lang w:eastAsia="en-IE"/>
              </w:rPr>
              <w:t xml:space="preserve"> ar Údarás </w:t>
            </w:r>
            <w:r w:rsidRPr="009E20FE">
              <w:rPr>
                <w:rFonts w:cs="Arial"/>
                <w:vanish/>
                <w:color w:val="1111CC"/>
                <w:lang w:eastAsia="en-IE"/>
              </w:rPr>
              <w:t>Listen</w:t>
            </w:r>
          </w:p>
          <w:p w14:paraId="39720F88" w14:textId="77777777" w:rsidR="009E20FE" w:rsidRPr="009E20FE" w:rsidRDefault="009E20FE" w:rsidP="00067058">
            <w:pPr>
              <w:pStyle w:val="TableRowHead"/>
              <w:keepNext w:val="0"/>
              <w:keepLines/>
              <w:widowControl w:val="0"/>
              <w:rPr>
                <w:rFonts w:cs="Arial"/>
                <w:vanish/>
                <w:color w:val="1111CC"/>
                <w:lang w:eastAsia="en-IE"/>
              </w:rPr>
            </w:pPr>
            <w:r w:rsidRPr="009E20FE">
              <w:rPr>
                <w:rFonts w:cs="Arial"/>
                <w:vanish/>
                <w:color w:val="1111CC"/>
                <w:lang w:eastAsia="en-IE"/>
              </w:rPr>
              <w:t>Read phonetically</w:t>
            </w:r>
          </w:p>
          <w:p w14:paraId="67CA9B5C" w14:textId="77777777" w:rsidR="009E20FE" w:rsidRPr="009E20FE" w:rsidRDefault="009E20FE" w:rsidP="00067058">
            <w:pPr>
              <w:pStyle w:val="TableRowHead"/>
              <w:keepNext w:val="0"/>
              <w:keepLines/>
              <w:widowControl w:val="0"/>
            </w:pPr>
          </w:p>
        </w:tc>
        <w:tc>
          <w:tcPr>
            <w:tcW w:w="1800" w:type="dxa"/>
            <w:shd w:val="clear" w:color="auto" w:fill="auto"/>
            <w:vAlign w:val="bottom"/>
          </w:tcPr>
          <w:p w14:paraId="62B71926" w14:textId="77777777" w:rsidR="009E20FE" w:rsidRPr="009912D3" w:rsidRDefault="009E20FE" w:rsidP="00067058">
            <w:pPr>
              <w:keepLines/>
              <w:widowControl w:val="0"/>
              <w:spacing w:after="0" w:line="240" w:lineRule="auto"/>
              <w:jc w:val="right"/>
              <w:rPr>
                <w:rFonts w:cs="Arial"/>
                <w:b/>
                <w:bCs/>
                <w:lang w:val="en-GB" w:eastAsia="en-GB"/>
              </w:rPr>
            </w:pPr>
          </w:p>
        </w:tc>
        <w:tc>
          <w:tcPr>
            <w:tcW w:w="2520" w:type="dxa"/>
            <w:shd w:val="clear" w:color="auto" w:fill="auto"/>
            <w:vAlign w:val="bottom"/>
          </w:tcPr>
          <w:p w14:paraId="254CA2E5" w14:textId="77777777" w:rsidR="009E20FE" w:rsidRPr="009912D3" w:rsidRDefault="009E20FE" w:rsidP="00067058">
            <w:pPr>
              <w:keepLines/>
              <w:widowControl w:val="0"/>
              <w:spacing w:after="0" w:line="240" w:lineRule="auto"/>
              <w:jc w:val="right"/>
              <w:rPr>
                <w:rFonts w:cs="Arial"/>
                <w:b/>
                <w:bCs/>
                <w:lang w:val="en-GB" w:eastAsia="en-GB"/>
              </w:rPr>
            </w:pPr>
          </w:p>
        </w:tc>
        <w:tc>
          <w:tcPr>
            <w:tcW w:w="1620" w:type="dxa"/>
            <w:shd w:val="clear" w:color="auto" w:fill="auto"/>
            <w:vAlign w:val="bottom"/>
          </w:tcPr>
          <w:p w14:paraId="0811E7BD" w14:textId="77777777" w:rsidR="009E20FE" w:rsidRPr="009912D3" w:rsidRDefault="009E20FE" w:rsidP="00067058">
            <w:pPr>
              <w:keepLines/>
              <w:widowControl w:val="0"/>
              <w:spacing w:after="0" w:line="240" w:lineRule="auto"/>
              <w:jc w:val="right"/>
              <w:rPr>
                <w:rFonts w:cs="Arial"/>
                <w:b/>
                <w:bCs/>
                <w:lang w:val="en-GB" w:eastAsia="en-GB"/>
              </w:rPr>
            </w:pPr>
            <w:r w:rsidRPr="009912D3">
              <w:rPr>
                <w:rFonts w:cs="Arial"/>
                <w:b/>
                <w:bCs/>
                <w:lang w:val="en-GB" w:eastAsia="en-GB"/>
              </w:rPr>
              <w:t>€6,010.98</w:t>
            </w:r>
          </w:p>
        </w:tc>
      </w:tr>
      <w:tr w:rsidR="009E20FE" w:rsidRPr="00117D8A" w14:paraId="0868F387" w14:textId="77777777" w:rsidTr="00231F76">
        <w:tblPrEx>
          <w:tblCellMar>
            <w:top w:w="0" w:type="dxa"/>
            <w:bottom w:w="0" w:type="dxa"/>
          </w:tblCellMar>
        </w:tblPrEx>
        <w:tc>
          <w:tcPr>
            <w:tcW w:w="2808" w:type="dxa"/>
            <w:shd w:val="clear" w:color="auto" w:fill="auto"/>
            <w:vAlign w:val="center"/>
          </w:tcPr>
          <w:p w14:paraId="751DACE7" w14:textId="77777777" w:rsidR="009E20FE" w:rsidRPr="009E20FE" w:rsidRDefault="009E20FE" w:rsidP="00067058">
            <w:pPr>
              <w:pStyle w:val="TableRowHead"/>
              <w:keepNext w:val="0"/>
              <w:keepLines/>
              <w:widowControl w:val="0"/>
              <w:rPr>
                <w:rFonts w:cs="Arial"/>
                <w:color w:val="888888"/>
                <w:lang w:eastAsia="en-IE"/>
              </w:rPr>
            </w:pPr>
            <w:r w:rsidRPr="009E20FE">
              <w:t xml:space="preserve">Costais Eile </w:t>
            </w:r>
          </w:p>
        </w:tc>
        <w:tc>
          <w:tcPr>
            <w:tcW w:w="1800" w:type="dxa"/>
            <w:shd w:val="clear" w:color="auto" w:fill="auto"/>
            <w:vAlign w:val="bottom"/>
          </w:tcPr>
          <w:p w14:paraId="0E7F157A" w14:textId="77777777" w:rsidR="009E20FE" w:rsidRPr="009912D3" w:rsidRDefault="009E20FE" w:rsidP="00067058">
            <w:pPr>
              <w:keepLines/>
              <w:widowControl w:val="0"/>
              <w:spacing w:after="0" w:line="240" w:lineRule="auto"/>
              <w:jc w:val="right"/>
              <w:rPr>
                <w:rFonts w:cs="Arial"/>
                <w:b/>
                <w:bCs/>
                <w:lang w:val="en-GB" w:eastAsia="en-GB"/>
              </w:rPr>
            </w:pPr>
          </w:p>
        </w:tc>
        <w:tc>
          <w:tcPr>
            <w:tcW w:w="2520" w:type="dxa"/>
            <w:shd w:val="clear" w:color="auto" w:fill="auto"/>
            <w:vAlign w:val="bottom"/>
          </w:tcPr>
          <w:p w14:paraId="3C67B107" w14:textId="77777777" w:rsidR="009E20FE" w:rsidRPr="009912D3" w:rsidRDefault="009E20FE" w:rsidP="00067058">
            <w:pPr>
              <w:keepLines/>
              <w:widowControl w:val="0"/>
              <w:spacing w:after="0" w:line="240" w:lineRule="auto"/>
              <w:jc w:val="right"/>
              <w:rPr>
                <w:rFonts w:cs="Arial"/>
                <w:b/>
                <w:bCs/>
                <w:lang w:val="en-GB" w:eastAsia="en-GB"/>
              </w:rPr>
            </w:pPr>
          </w:p>
        </w:tc>
        <w:tc>
          <w:tcPr>
            <w:tcW w:w="1620" w:type="dxa"/>
            <w:shd w:val="clear" w:color="auto" w:fill="auto"/>
            <w:vAlign w:val="bottom"/>
          </w:tcPr>
          <w:p w14:paraId="70FF2CDC" w14:textId="77777777" w:rsidR="009E20FE" w:rsidRPr="009912D3" w:rsidRDefault="009E20FE" w:rsidP="00067058">
            <w:pPr>
              <w:keepLines/>
              <w:widowControl w:val="0"/>
              <w:spacing w:after="0" w:line="240" w:lineRule="auto"/>
              <w:jc w:val="right"/>
              <w:rPr>
                <w:rFonts w:cs="Arial"/>
                <w:b/>
                <w:bCs/>
                <w:lang w:val="en-GB" w:eastAsia="en-GB"/>
              </w:rPr>
            </w:pPr>
            <w:r w:rsidRPr="009912D3">
              <w:rPr>
                <w:rFonts w:cs="Arial"/>
                <w:b/>
                <w:bCs/>
                <w:lang w:val="en-GB" w:eastAsia="en-GB"/>
              </w:rPr>
              <w:t>€1,644.36</w:t>
            </w:r>
          </w:p>
        </w:tc>
      </w:tr>
      <w:tr w:rsidR="00141421" w:rsidRPr="00117D8A" w14:paraId="0AFC36C0" w14:textId="77777777" w:rsidTr="00141421">
        <w:tblPrEx>
          <w:tblCellMar>
            <w:top w:w="0" w:type="dxa"/>
            <w:bottom w:w="0" w:type="dxa"/>
          </w:tblCellMar>
        </w:tblPrEx>
        <w:tc>
          <w:tcPr>
            <w:tcW w:w="2808" w:type="dxa"/>
            <w:shd w:val="clear" w:color="auto" w:fill="auto"/>
            <w:vAlign w:val="bottom"/>
          </w:tcPr>
          <w:p w14:paraId="3D534268" w14:textId="77777777" w:rsidR="00141421" w:rsidRPr="009912D3" w:rsidRDefault="00141421" w:rsidP="00067058">
            <w:pPr>
              <w:keepLines/>
              <w:widowControl w:val="0"/>
              <w:spacing w:after="0" w:line="240" w:lineRule="auto"/>
              <w:rPr>
                <w:rFonts w:cs="Arial"/>
                <w:lang w:val="en-GB" w:eastAsia="en-GB"/>
              </w:rPr>
            </w:pPr>
          </w:p>
        </w:tc>
        <w:tc>
          <w:tcPr>
            <w:tcW w:w="1800" w:type="dxa"/>
            <w:shd w:val="clear" w:color="auto" w:fill="auto"/>
            <w:vAlign w:val="bottom"/>
          </w:tcPr>
          <w:p w14:paraId="3E276ABF" w14:textId="77777777" w:rsidR="00141421" w:rsidRPr="009912D3" w:rsidRDefault="00141421" w:rsidP="00067058">
            <w:pPr>
              <w:keepLines/>
              <w:widowControl w:val="0"/>
              <w:spacing w:after="0" w:line="240" w:lineRule="auto"/>
              <w:jc w:val="center"/>
              <w:rPr>
                <w:rFonts w:cs="Arial"/>
                <w:b/>
                <w:bCs/>
                <w:lang w:val="en-GB" w:eastAsia="en-GB"/>
              </w:rPr>
            </w:pPr>
          </w:p>
        </w:tc>
        <w:tc>
          <w:tcPr>
            <w:tcW w:w="2520" w:type="dxa"/>
            <w:shd w:val="clear" w:color="auto" w:fill="auto"/>
            <w:vAlign w:val="bottom"/>
          </w:tcPr>
          <w:p w14:paraId="0936E87F" w14:textId="77777777" w:rsidR="00141421" w:rsidRPr="009912D3" w:rsidRDefault="00141421" w:rsidP="00067058">
            <w:pPr>
              <w:keepLines/>
              <w:widowControl w:val="0"/>
              <w:spacing w:after="0" w:line="240" w:lineRule="auto"/>
              <w:jc w:val="center"/>
              <w:rPr>
                <w:rFonts w:cs="Arial"/>
                <w:b/>
                <w:bCs/>
                <w:lang w:val="en-GB" w:eastAsia="en-GB"/>
              </w:rPr>
            </w:pPr>
          </w:p>
        </w:tc>
        <w:tc>
          <w:tcPr>
            <w:tcW w:w="1620" w:type="dxa"/>
            <w:shd w:val="clear" w:color="auto" w:fill="auto"/>
            <w:vAlign w:val="bottom"/>
          </w:tcPr>
          <w:p w14:paraId="1A821214" w14:textId="77777777" w:rsidR="00141421" w:rsidRPr="009912D3" w:rsidRDefault="00141421" w:rsidP="00067058">
            <w:pPr>
              <w:keepLines/>
              <w:widowControl w:val="0"/>
              <w:spacing w:after="0" w:line="240" w:lineRule="auto"/>
              <w:jc w:val="right"/>
              <w:rPr>
                <w:rFonts w:cs="Arial"/>
                <w:b/>
                <w:bCs/>
                <w:lang w:val="en-GB" w:eastAsia="en-GB"/>
              </w:rPr>
            </w:pPr>
            <w:r w:rsidRPr="009912D3">
              <w:rPr>
                <w:rFonts w:cs="Arial"/>
                <w:b/>
                <w:bCs/>
                <w:lang w:val="en-GB" w:eastAsia="en-GB"/>
              </w:rPr>
              <w:t>€70,735.61</w:t>
            </w:r>
          </w:p>
        </w:tc>
      </w:tr>
    </w:tbl>
    <w:p w14:paraId="08CD210C" w14:textId="77777777" w:rsidR="00141421" w:rsidRDefault="00141421" w:rsidP="00141421">
      <w:pPr>
        <w:pStyle w:val="TableTitle"/>
        <w:jc w:val="left"/>
      </w:pPr>
      <w:r w:rsidRPr="009912D3">
        <w:rPr>
          <w:bCs/>
          <w:lang w:val="en-GB"/>
        </w:rPr>
        <w:t>7.</w:t>
      </w:r>
      <w:r w:rsidR="009E20FE">
        <w:t xml:space="preserve"> </w:t>
      </w:r>
      <w:proofErr w:type="spellStart"/>
      <w:r w:rsidR="009E20FE">
        <w:t>Sócmhainní</w:t>
      </w:r>
      <w:proofErr w:type="spellEnd"/>
      <w:r w:rsidR="009E20FE">
        <w:t xml:space="preserve"> Seasta</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85"/>
        <w:gridCol w:w="1485"/>
        <w:gridCol w:w="1485"/>
        <w:gridCol w:w="1485"/>
      </w:tblGrid>
      <w:tr w:rsidR="009E20FE" w:rsidRPr="00231F76" w14:paraId="6F79C124" w14:textId="77777777" w:rsidTr="00067058">
        <w:tblPrEx>
          <w:tblCellMar>
            <w:top w:w="0" w:type="dxa"/>
            <w:bottom w:w="0" w:type="dxa"/>
          </w:tblCellMar>
        </w:tblPrEx>
        <w:trPr>
          <w:tblHeader/>
        </w:trPr>
        <w:tc>
          <w:tcPr>
            <w:tcW w:w="2988" w:type="dxa"/>
            <w:shd w:val="clear" w:color="auto" w:fill="auto"/>
          </w:tcPr>
          <w:p w14:paraId="40796CCD" w14:textId="77777777" w:rsidR="009E20FE" w:rsidRPr="00231F76" w:rsidRDefault="009E20FE" w:rsidP="00141421">
            <w:pPr>
              <w:pStyle w:val="TableHead"/>
              <w:jc w:val="right"/>
            </w:pPr>
          </w:p>
        </w:tc>
        <w:tc>
          <w:tcPr>
            <w:tcW w:w="1485" w:type="dxa"/>
            <w:shd w:val="clear" w:color="auto" w:fill="auto"/>
            <w:vAlign w:val="center"/>
          </w:tcPr>
          <w:p w14:paraId="0D4FCB18" w14:textId="77777777" w:rsidR="009E20FE" w:rsidRPr="00231F76" w:rsidRDefault="009E20FE" w:rsidP="00231F76">
            <w:pPr>
              <w:pStyle w:val="TableHead"/>
            </w:pPr>
            <w:r w:rsidRPr="00231F76">
              <w:t xml:space="preserve">Bogearraí agus </w:t>
            </w:r>
            <w:proofErr w:type="spellStart"/>
            <w:r w:rsidRPr="00231F76">
              <w:t>Cruaearraí</w:t>
            </w:r>
            <w:proofErr w:type="spellEnd"/>
            <w:r w:rsidRPr="00231F76">
              <w:t xml:space="preserve"> Ríomh-aireachta </w:t>
            </w:r>
          </w:p>
        </w:tc>
        <w:tc>
          <w:tcPr>
            <w:tcW w:w="1485" w:type="dxa"/>
            <w:shd w:val="clear" w:color="auto" w:fill="auto"/>
            <w:vAlign w:val="center"/>
          </w:tcPr>
          <w:p w14:paraId="492F0A4C" w14:textId="77777777" w:rsidR="009E20FE" w:rsidRPr="00231F76" w:rsidRDefault="009E20FE" w:rsidP="00231F76">
            <w:pPr>
              <w:pStyle w:val="TableHead"/>
            </w:pPr>
            <w:proofErr w:type="spellStart"/>
            <w:r w:rsidRPr="00231F76">
              <w:t>Troscán</w:t>
            </w:r>
            <w:proofErr w:type="spellEnd"/>
            <w:r w:rsidRPr="00231F76">
              <w:t xml:space="preserve"> agus Trealamh Oifige </w:t>
            </w:r>
          </w:p>
        </w:tc>
        <w:tc>
          <w:tcPr>
            <w:tcW w:w="1485" w:type="dxa"/>
            <w:shd w:val="clear" w:color="auto" w:fill="auto"/>
            <w:vAlign w:val="center"/>
          </w:tcPr>
          <w:p w14:paraId="2CAAD064" w14:textId="77777777" w:rsidR="009E20FE" w:rsidRPr="00231F76" w:rsidRDefault="009E20FE" w:rsidP="00231F76">
            <w:pPr>
              <w:pStyle w:val="TableHead"/>
            </w:pPr>
            <w:proofErr w:type="spellStart"/>
            <w:r w:rsidRPr="00231F76">
              <w:t>Áitribh</w:t>
            </w:r>
            <w:proofErr w:type="spellEnd"/>
          </w:p>
        </w:tc>
        <w:tc>
          <w:tcPr>
            <w:tcW w:w="1485" w:type="dxa"/>
            <w:shd w:val="clear" w:color="auto" w:fill="auto"/>
            <w:vAlign w:val="center"/>
          </w:tcPr>
          <w:p w14:paraId="30094A72" w14:textId="77777777" w:rsidR="009E20FE" w:rsidRPr="00231F76" w:rsidRDefault="009E20FE" w:rsidP="00231F76">
            <w:pPr>
              <w:pStyle w:val="TableHead"/>
            </w:pPr>
            <w:r w:rsidRPr="00231F76">
              <w:t>Iomlán</w:t>
            </w:r>
          </w:p>
        </w:tc>
      </w:tr>
      <w:tr w:rsidR="00141421" w:rsidRPr="00231F76" w14:paraId="33B89DA0" w14:textId="77777777" w:rsidTr="00067058">
        <w:tblPrEx>
          <w:tblCellMar>
            <w:top w:w="0" w:type="dxa"/>
            <w:bottom w:w="0" w:type="dxa"/>
          </w:tblCellMar>
        </w:tblPrEx>
        <w:tc>
          <w:tcPr>
            <w:tcW w:w="2988" w:type="dxa"/>
            <w:shd w:val="clear" w:color="auto" w:fill="auto"/>
          </w:tcPr>
          <w:p w14:paraId="2CF37817" w14:textId="77777777" w:rsidR="00141421" w:rsidRPr="00231F76" w:rsidRDefault="00141421" w:rsidP="00141421">
            <w:pPr>
              <w:pStyle w:val="TableRowHead"/>
            </w:pPr>
          </w:p>
        </w:tc>
        <w:tc>
          <w:tcPr>
            <w:tcW w:w="1485" w:type="dxa"/>
            <w:shd w:val="clear" w:color="auto" w:fill="auto"/>
            <w:vAlign w:val="bottom"/>
          </w:tcPr>
          <w:p w14:paraId="1352E77F" w14:textId="77777777" w:rsidR="00141421" w:rsidRPr="00231F76" w:rsidRDefault="00141421" w:rsidP="00141421">
            <w:pPr>
              <w:spacing w:after="0" w:line="240" w:lineRule="auto"/>
              <w:jc w:val="right"/>
              <w:rPr>
                <w:rFonts w:cs="Arial"/>
                <w:b/>
                <w:lang w:val="en-GB" w:eastAsia="en-GB"/>
              </w:rPr>
            </w:pPr>
            <w:r w:rsidRPr="00231F76">
              <w:rPr>
                <w:rFonts w:cs="Arial"/>
                <w:b/>
                <w:lang w:val="en-GB" w:eastAsia="en-GB"/>
              </w:rPr>
              <w:t xml:space="preserve">        €</w:t>
            </w:r>
          </w:p>
        </w:tc>
        <w:tc>
          <w:tcPr>
            <w:tcW w:w="1485" w:type="dxa"/>
            <w:shd w:val="clear" w:color="auto" w:fill="auto"/>
            <w:vAlign w:val="bottom"/>
          </w:tcPr>
          <w:p w14:paraId="6E879E25" w14:textId="77777777" w:rsidR="00141421" w:rsidRPr="00231F76" w:rsidRDefault="00141421" w:rsidP="00141421">
            <w:pPr>
              <w:spacing w:after="0" w:line="240" w:lineRule="auto"/>
              <w:jc w:val="right"/>
              <w:rPr>
                <w:rFonts w:cs="Arial"/>
                <w:b/>
                <w:lang w:val="en-GB" w:eastAsia="en-GB"/>
              </w:rPr>
            </w:pPr>
            <w:r w:rsidRPr="00231F76">
              <w:rPr>
                <w:rFonts w:cs="Arial"/>
                <w:b/>
                <w:lang w:val="en-GB" w:eastAsia="en-GB"/>
              </w:rPr>
              <w:t xml:space="preserve">        €</w:t>
            </w:r>
          </w:p>
        </w:tc>
        <w:tc>
          <w:tcPr>
            <w:tcW w:w="1485" w:type="dxa"/>
            <w:shd w:val="clear" w:color="auto" w:fill="auto"/>
            <w:vAlign w:val="bottom"/>
          </w:tcPr>
          <w:p w14:paraId="63CAD552" w14:textId="77777777" w:rsidR="00141421" w:rsidRPr="00231F76" w:rsidRDefault="00141421" w:rsidP="00141421">
            <w:pPr>
              <w:spacing w:after="0" w:line="240" w:lineRule="auto"/>
              <w:jc w:val="right"/>
              <w:rPr>
                <w:rFonts w:cs="Arial"/>
                <w:b/>
                <w:lang w:val="en-GB" w:eastAsia="en-GB"/>
              </w:rPr>
            </w:pPr>
            <w:r w:rsidRPr="00231F76">
              <w:rPr>
                <w:rFonts w:cs="Arial"/>
                <w:b/>
                <w:lang w:val="en-GB" w:eastAsia="en-GB"/>
              </w:rPr>
              <w:t xml:space="preserve">        €</w:t>
            </w:r>
          </w:p>
        </w:tc>
        <w:tc>
          <w:tcPr>
            <w:tcW w:w="1485" w:type="dxa"/>
            <w:shd w:val="clear" w:color="auto" w:fill="auto"/>
            <w:vAlign w:val="bottom"/>
          </w:tcPr>
          <w:p w14:paraId="77668992" w14:textId="77777777" w:rsidR="00141421" w:rsidRPr="00231F76" w:rsidRDefault="00141421" w:rsidP="00141421">
            <w:pPr>
              <w:spacing w:after="0" w:line="240" w:lineRule="auto"/>
              <w:jc w:val="right"/>
              <w:rPr>
                <w:rFonts w:cs="Arial"/>
                <w:b/>
                <w:lang w:val="en-GB" w:eastAsia="en-GB"/>
              </w:rPr>
            </w:pPr>
            <w:r w:rsidRPr="00231F76">
              <w:rPr>
                <w:rFonts w:cs="Arial"/>
                <w:b/>
                <w:lang w:val="en-GB" w:eastAsia="en-GB"/>
              </w:rPr>
              <w:t xml:space="preserve">        €</w:t>
            </w:r>
          </w:p>
        </w:tc>
      </w:tr>
      <w:tr w:rsidR="00231F76" w:rsidRPr="00231F76" w14:paraId="792B4820" w14:textId="77777777" w:rsidTr="00067058">
        <w:tblPrEx>
          <w:tblCellMar>
            <w:top w:w="0" w:type="dxa"/>
            <w:bottom w:w="0" w:type="dxa"/>
          </w:tblCellMar>
        </w:tblPrEx>
        <w:tc>
          <w:tcPr>
            <w:tcW w:w="8928" w:type="dxa"/>
            <w:gridSpan w:val="5"/>
            <w:shd w:val="clear" w:color="auto" w:fill="auto"/>
            <w:vAlign w:val="center"/>
          </w:tcPr>
          <w:p w14:paraId="4C83D911" w14:textId="77777777" w:rsidR="00231F76" w:rsidRPr="00231F76" w:rsidRDefault="00231F76" w:rsidP="00231F76">
            <w:pPr>
              <w:pStyle w:val="TableHead"/>
              <w:jc w:val="center"/>
            </w:pPr>
            <w:r w:rsidRPr="00231F76">
              <w:t xml:space="preserve">Costas nó </w:t>
            </w:r>
            <w:proofErr w:type="spellStart"/>
            <w:r w:rsidRPr="00231F76">
              <w:t>Luacháil</w:t>
            </w:r>
            <w:proofErr w:type="spellEnd"/>
          </w:p>
        </w:tc>
      </w:tr>
      <w:tr w:rsidR="00231F76" w:rsidRPr="00231F76" w14:paraId="23E33E0A" w14:textId="77777777" w:rsidTr="00067058">
        <w:tblPrEx>
          <w:tblCellMar>
            <w:top w:w="0" w:type="dxa"/>
            <w:bottom w:w="0" w:type="dxa"/>
          </w:tblCellMar>
        </w:tblPrEx>
        <w:tc>
          <w:tcPr>
            <w:tcW w:w="2988" w:type="dxa"/>
            <w:shd w:val="clear" w:color="auto" w:fill="auto"/>
            <w:vAlign w:val="center"/>
          </w:tcPr>
          <w:p w14:paraId="0C7AE37F" w14:textId="77777777" w:rsidR="00231F76" w:rsidRPr="00231F76" w:rsidRDefault="00231F76" w:rsidP="00231F76">
            <w:pPr>
              <w:pStyle w:val="TableRowHead"/>
            </w:pPr>
            <w:proofErr w:type="spellStart"/>
            <w:r w:rsidRPr="00231F76">
              <w:t>Iarmhéid</w:t>
            </w:r>
            <w:proofErr w:type="spellEnd"/>
            <w:r w:rsidRPr="00231F76">
              <w:t xml:space="preserve"> ar </w:t>
            </w:r>
            <w:proofErr w:type="gramStart"/>
            <w:r w:rsidRPr="00231F76">
              <w:t>an</w:t>
            </w:r>
            <w:proofErr w:type="gramEnd"/>
            <w:r w:rsidRPr="00231F76">
              <w:t xml:space="preserve"> 1 Eanáir 2010</w:t>
            </w:r>
          </w:p>
        </w:tc>
        <w:tc>
          <w:tcPr>
            <w:tcW w:w="1485" w:type="dxa"/>
            <w:shd w:val="clear" w:color="auto" w:fill="auto"/>
            <w:vAlign w:val="bottom"/>
          </w:tcPr>
          <w:p w14:paraId="617639F4"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390,059 </w:t>
            </w:r>
          </w:p>
        </w:tc>
        <w:tc>
          <w:tcPr>
            <w:tcW w:w="1485" w:type="dxa"/>
            <w:shd w:val="clear" w:color="auto" w:fill="auto"/>
            <w:vAlign w:val="bottom"/>
          </w:tcPr>
          <w:p w14:paraId="0F9A3609"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311,221 </w:t>
            </w:r>
          </w:p>
        </w:tc>
        <w:tc>
          <w:tcPr>
            <w:tcW w:w="1485" w:type="dxa"/>
            <w:shd w:val="clear" w:color="auto" w:fill="auto"/>
            <w:vAlign w:val="bottom"/>
          </w:tcPr>
          <w:p w14:paraId="2A17BC6E"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3,941,086 </w:t>
            </w:r>
          </w:p>
        </w:tc>
        <w:tc>
          <w:tcPr>
            <w:tcW w:w="1485" w:type="dxa"/>
            <w:shd w:val="clear" w:color="auto" w:fill="auto"/>
            <w:vAlign w:val="bottom"/>
          </w:tcPr>
          <w:p w14:paraId="6BA49489"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4,642,366 </w:t>
            </w:r>
          </w:p>
        </w:tc>
      </w:tr>
      <w:tr w:rsidR="00231F76" w:rsidRPr="00231F76" w14:paraId="1A75297C" w14:textId="77777777" w:rsidTr="00067058">
        <w:tblPrEx>
          <w:tblCellMar>
            <w:top w:w="0" w:type="dxa"/>
            <w:bottom w:w="0" w:type="dxa"/>
          </w:tblCellMar>
        </w:tblPrEx>
        <w:tc>
          <w:tcPr>
            <w:tcW w:w="2988" w:type="dxa"/>
            <w:shd w:val="clear" w:color="auto" w:fill="auto"/>
            <w:vAlign w:val="center"/>
          </w:tcPr>
          <w:p w14:paraId="5FCFB942" w14:textId="77777777" w:rsidR="00231F76" w:rsidRPr="00231F76" w:rsidRDefault="00231F76" w:rsidP="00231F76">
            <w:pPr>
              <w:pStyle w:val="TableRowHead"/>
            </w:pPr>
            <w:proofErr w:type="spellStart"/>
            <w:r w:rsidRPr="00231F76">
              <w:t>Breiseanna</w:t>
            </w:r>
            <w:proofErr w:type="spellEnd"/>
            <w:r w:rsidRPr="00231F76">
              <w:t xml:space="preserve"> ar chostas </w:t>
            </w:r>
          </w:p>
        </w:tc>
        <w:tc>
          <w:tcPr>
            <w:tcW w:w="1485" w:type="dxa"/>
            <w:shd w:val="clear" w:color="auto" w:fill="auto"/>
            <w:vAlign w:val="bottom"/>
          </w:tcPr>
          <w:p w14:paraId="3F02F896"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2,525 </w:t>
            </w:r>
          </w:p>
        </w:tc>
        <w:tc>
          <w:tcPr>
            <w:tcW w:w="1485" w:type="dxa"/>
            <w:shd w:val="clear" w:color="auto" w:fill="auto"/>
            <w:vAlign w:val="bottom"/>
          </w:tcPr>
          <w:p w14:paraId="700763A3"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1,204 </w:t>
            </w:r>
          </w:p>
        </w:tc>
        <w:tc>
          <w:tcPr>
            <w:tcW w:w="1485" w:type="dxa"/>
            <w:shd w:val="clear" w:color="auto" w:fill="auto"/>
            <w:vAlign w:val="bottom"/>
          </w:tcPr>
          <w:p w14:paraId="6686598D"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4B266172"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3,729 </w:t>
            </w:r>
          </w:p>
        </w:tc>
      </w:tr>
      <w:tr w:rsidR="00141421" w:rsidRPr="00231F76" w14:paraId="6347AEA3" w14:textId="77777777" w:rsidTr="00067058">
        <w:tblPrEx>
          <w:tblCellMar>
            <w:top w:w="0" w:type="dxa"/>
            <w:bottom w:w="0" w:type="dxa"/>
          </w:tblCellMar>
        </w:tblPrEx>
        <w:tc>
          <w:tcPr>
            <w:tcW w:w="2988" w:type="dxa"/>
            <w:shd w:val="clear" w:color="auto" w:fill="auto"/>
            <w:vAlign w:val="bottom"/>
          </w:tcPr>
          <w:p w14:paraId="1BC53013" w14:textId="77777777" w:rsidR="00141421" w:rsidRPr="00231F76" w:rsidRDefault="00231F76" w:rsidP="00231F76">
            <w:pPr>
              <w:pStyle w:val="TableRowHead"/>
              <w:rPr>
                <w:lang w:val="en-GB" w:eastAsia="en-GB"/>
              </w:rPr>
            </w:pPr>
            <w:r w:rsidRPr="00231F76">
              <w:rPr>
                <w:rStyle w:val="glotext2"/>
                <w:lang w:val="ga-IE"/>
              </w:rPr>
              <w:t xml:space="preserve">Diúscairtí </w:t>
            </w:r>
            <w:r w:rsidRPr="00231F76">
              <w:t>ar chostas</w:t>
            </w:r>
          </w:p>
        </w:tc>
        <w:tc>
          <w:tcPr>
            <w:tcW w:w="1485" w:type="dxa"/>
            <w:shd w:val="clear" w:color="auto" w:fill="auto"/>
            <w:vAlign w:val="bottom"/>
          </w:tcPr>
          <w:p w14:paraId="76D1FAF4"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7095495D"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2A2C7630"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06BEDD97"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0 </w:t>
            </w:r>
          </w:p>
        </w:tc>
      </w:tr>
      <w:tr w:rsidR="00141421" w:rsidRPr="00231F76" w14:paraId="1688D93B" w14:textId="77777777" w:rsidTr="00067058">
        <w:tblPrEx>
          <w:tblCellMar>
            <w:top w:w="0" w:type="dxa"/>
            <w:bottom w:w="0" w:type="dxa"/>
          </w:tblCellMar>
        </w:tblPrEx>
        <w:tc>
          <w:tcPr>
            <w:tcW w:w="2988" w:type="dxa"/>
            <w:shd w:val="clear" w:color="auto" w:fill="auto"/>
            <w:vAlign w:val="bottom"/>
          </w:tcPr>
          <w:p w14:paraId="500399AD" w14:textId="77777777" w:rsidR="00141421" w:rsidRPr="00231F76" w:rsidRDefault="00231F76" w:rsidP="00231F76">
            <w:pPr>
              <w:pStyle w:val="TableRowHead"/>
              <w:rPr>
                <w:lang w:val="en-GB" w:eastAsia="en-GB"/>
              </w:rPr>
            </w:pPr>
            <w:proofErr w:type="spellStart"/>
            <w:r w:rsidRPr="00231F76">
              <w:t>Iarmhéid</w:t>
            </w:r>
            <w:proofErr w:type="spellEnd"/>
            <w:r w:rsidRPr="00231F76">
              <w:t xml:space="preserve"> ar </w:t>
            </w:r>
            <w:proofErr w:type="gramStart"/>
            <w:r w:rsidRPr="00231F76">
              <w:t>an</w:t>
            </w:r>
            <w:proofErr w:type="gramEnd"/>
            <w:r w:rsidRPr="00231F76">
              <w:t xml:space="preserve"> 31 Nollaig 2010</w:t>
            </w:r>
          </w:p>
        </w:tc>
        <w:tc>
          <w:tcPr>
            <w:tcW w:w="1485" w:type="dxa"/>
            <w:shd w:val="clear" w:color="auto" w:fill="auto"/>
            <w:vAlign w:val="bottom"/>
          </w:tcPr>
          <w:p w14:paraId="352B625B"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392,584 </w:t>
            </w:r>
          </w:p>
        </w:tc>
        <w:tc>
          <w:tcPr>
            <w:tcW w:w="1485" w:type="dxa"/>
            <w:shd w:val="clear" w:color="auto" w:fill="auto"/>
            <w:vAlign w:val="bottom"/>
          </w:tcPr>
          <w:p w14:paraId="5C691519"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312,425 </w:t>
            </w:r>
          </w:p>
        </w:tc>
        <w:tc>
          <w:tcPr>
            <w:tcW w:w="1485" w:type="dxa"/>
            <w:shd w:val="clear" w:color="auto" w:fill="auto"/>
            <w:vAlign w:val="bottom"/>
          </w:tcPr>
          <w:p w14:paraId="465B4A55"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3,941,086 </w:t>
            </w:r>
          </w:p>
        </w:tc>
        <w:tc>
          <w:tcPr>
            <w:tcW w:w="1485" w:type="dxa"/>
            <w:shd w:val="clear" w:color="auto" w:fill="auto"/>
            <w:vAlign w:val="bottom"/>
          </w:tcPr>
          <w:p w14:paraId="373F6816" w14:textId="77777777" w:rsidR="00141421" w:rsidRPr="00231F76" w:rsidRDefault="00141421" w:rsidP="00141421">
            <w:pPr>
              <w:spacing w:after="0" w:line="240" w:lineRule="auto"/>
              <w:jc w:val="right"/>
              <w:rPr>
                <w:rFonts w:cs="Arial"/>
                <w:lang w:val="en-GB" w:eastAsia="en-GB"/>
              </w:rPr>
            </w:pPr>
            <w:r w:rsidRPr="00231F76">
              <w:rPr>
                <w:rFonts w:cs="Arial"/>
                <w:lang w:val="en-GB" w:eastAsia="en-GB"/>
              </w:rPr>
              <w:t xml:space="preserve">4,646,095 </w:t>
            </w:r>
          </w:p>
        </w:tc>
      </w:tr>
      <w:tr w:rsidR="00141421" w:rsidRPr="00231F76" w14:paraId="4434CA2E" w14:textId="77777777" w:rsidTr="00067058">
        <w:tblPrEx>
          <w:tblCellMar>
            <w:top w:w="0" w:type="dxa"/>
            <w:bottom w:w="0" w:type="dxa"/>
          </w:tblCellMar>
        </w:tblPrEx>
        <w:tc>
          <w:tcPr>
            <w:tcW w:w="8928" w:type="dxa"/>
            <w:gridSpan w:val="5"/>
            <w:shd w:val="clear" w:color="auto" w:fill="auto"/>
            <w:vAlign w:val="bottom"/>
          </w:tcPr>
          <w:p w14:paraId="1B02599E" w14:textId="77777777" w:rsidR="00141421" w:rsidRPr="00231F76" w:rsidRDefault="00231F76" w:rsidP="00141421">
            <w:pPr>
              <w:pStyle w:val="TableHead"/>
              <w:jc w:val="center"/>
            </w:pPr>
            <w:proofErr w:type="spellStart"/>
            <w:r w:rsidRPr="00231F76">
              <w:t>Dímheas</w:t>
            </w:r>
            <w:proofErr w:type="spellEnd"/>
            <w:r w:rsidRPr="00231F76">
              <w:t xml:space="preserve"> </w:t>
            </w:r>
            <w:proofErr w:type="spellStart"/>
            <w:r w:rsidRPr="00231F76">
              <w:t>Carntha</w:t>
            </w:r>
            <w:proofErr w:type="spellEnd"/>
          </w:p>
        </w:tc>
      </w:tr>
      <w:tr w:rsidR="00231F76" w:rsidRPr="00231F76" w14:paraId="711634FA" w14:textId="77777777" w:rsidTr="00067058">
        <w:tblPrEx>
          <w:tblCellMar>
            <w:top w:w="0" w:type="dxa"/>
            <w:bottom w:w="0" w:type="dxa"/>
          </w:tblCellMar>
        </w:tblPrEx>
        <w:tc>
          <w:tcPr>
            <w:tcW w:w="2988" w:type="dxa"/>
            <w:shd w:val="clear" w:color="auto" w:fill="auto"/>
            <w:vAlign w:val="center"/>
          </w:tcPr>
          <w:p w14:paraId="383D2100" w14:textId="77777777" w:rsidR="00231F76" w:rsidRPr="00231F76" w:rsidRDefault="00231F76" w:rsidP="00231F76">
            <w:pPr>
              <w:pStyle w:val="TableRowHead"/>
            </w:pPr>
            <w:proofErr w:type="spellStart"/>
            <w:r w:rsidRPr="00231F76">
              <w:lastRenderedPageBreak/>
              <w:t>Iarmhéid</w:t>
            </w:r>
            <w:proofErr w:type="spellEnd"/>
            <w:r w:rsidRPr="00231F76">
              <w:t xml:space="preserve"> ar </w:t>
            </w:r>
            <w:proofErr w:type="gramStart"/>
            <w:r w:rsidRPr="00231F76">
              <w:t>an</w:t>
            </w:r>
            <w:proofErr w:type="gramEnd"/>
            <w:r w:rsidRPr="00231F76">
              <w:t xml:space="preserve"> 1 Eanáir 2010</w:t>
            </w:r>
          </w:p>
        </w:tc>
        <w:tc>
          <w:tcPr>
            <w:tcW w:w="1485" w:type="dxa"/>
            <w:shd w:val="clear" w:color="auto" w:fill="auto"/>
            <w:vAlign w:val="bottom"/>
          </w:tcPr>
          <w:p w14:paraId="1C27D21F"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387,771 </w:t>
            </w:r>
          </w:p>
        </w:tc>
        <w:tc>
          <w:tcPr>
            <w:tcW w:w="1485" w:type="dxa"/>
            <w:shd w:val="clear" w:color="auto" w:fill="auto"/>
            <w:vAlign w:val="bottom"/>
          </w:tcPr>
          <w:p w14:paraId="3EB4AFED"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280,356 </w:t>
            </w:r>
          </w:p>
        </w:tc>
        <w:tc>
          <w:tcPr>
            <w:tcW w:w="1485" w:type="dxa"/>
            <w:shd w:val="clear" w:color="auto" w:fill="auto"/>
            <w:vAlign w:val="bottom"/>
          </w:tcPr>
          <w:p w14:paraId="34CDE792"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769,023 </w:t>
            </w:r>
          </w:p>
        </w:tc>
        <w:tc>
          <w:tcPr>
            <w:tcW w:w="1485" w:type="dxa"/>
            <w:shd w:val="clear" w:color="auto" w:fill="auto"/>
            <w:vAlign w:val="bottom"/>
          </w:tcPr>
          <w:p w14:paraId="5A39A906"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1,437,150 </w:t>
            </w:r>
          </w:p>
        </w:tc>
      </w:tr>
      <w:tr w:rsidR="00231F76" w:rsidRPr="00231F76" w14:paraId="4D212818" w14:textId="77777777" w:rsidTr="00067058">
        <w:tblPrEx>
          <w:tblCellMar>
            <w:top w:w="0" w:type="dxa"/>
            <w:bottom w:w="0" w:type="dxa"/>
          </w:tblCellMar>
        </w:tblPrEx>
        <w:tc>
          <w:tcPr>
            <w:tcW w:w="2988" w:type="dxa"/>
            <w:shd w:val="clear" w:color="auto" w:fill="auto"/>
            <w:vAlign w:val="center"/>
          </w:tcPr>
          <w:p w14:paraId="7BFB46F0" w14:textId="77777777" w:rsidR="00231F76" w:rsidRPr="00231F76" w:rsidRDefault="00231F76" w:rsidP="00231F76">
            <w:pPr>
              <w:pStyle w:val="TableRowHead"/>
            </w:pPr>
            <w:r w:rsidRPr="00231F76">
              <w:t>Gearrtha i rith na bliana</w:t>
            </w:r>
          </w:p>
        </w:tc>
        <w:tc>
          <w:tcPr>
            <w:tcW w:w="1485" w:type="dxa"/>
            <w:shd w:val="clear" w:color="auto" w:fill="auto"/>
            <w:vAlign w:val="bottom"/>
          </w:tcPr>
          <w:p w14:paraId="71DD6995"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1,435 </w:t>
            </w:r>
          </w:p>
        </w:tc>
        <w:tc>
          <w:tcPr>
            <w:tcW w:w="1485" w:type="dxa"/>
            <w:shd w:val="clear" w:color="auto" w:fill="auto"/>
            <w:vAlign w:val="bottom"/>
          </w:tcPr>
          <w:p w14:paraId="562877D5"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16,243 </w:t>
            </w:r>
          </w:p>
        </w:tc>
        <w:tc>
          <w:tcPr>
            <w:tcW w:w="1485" w:type="dxa"/>
            <w:shd w:val="clear" w:color="auto" w:fill="auto"/>
            <w:vAlign w:val="bottom"/>
          </w:tcPr>
          <w:p w14:paraId="698A0636"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79,302 </w:t>
            </w:r>
          </w:p>
        </w:tc>
        <w:tc>
          <w:tcPr>
            <w:tcW w:w="1485" w:type="dxa"/>
            <w:shd w:val="clear" w:color="auto" w:fill="auto"/>
            <w:vAlign w:val="bottom"/>
          </w:tcPr>
          <w:p w14:paraId="6F1D2BAB"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96,980 </w:t>
            </w:r>
          </w:p>
        </w:tc>
      </w:tr>
      <w:tr w:rsidR="00231F76" w:rsidRPr="00231F76" w14:paraId="7ACE5634" w14:textId="77777777" w:rsidTr="00067058">
        <w:tblPrEx>
          <w:tblCellMar>
            <w:top w:w="0" w:type="dxa"/>
            <w:bottom w:w="0" w:type="dxa"/>
          </w:tblCellMar>
        </w:tblPrEx>
        <w:tc>
          <w:tcPr>
            <w:tcW w:w="2988" w:type="dxa"/>
            <w:shd w:val="clear" w:color="auto" w:fill="auto"/>
            <w:vAlign w:val="center"/>
          </w:tcPr>
          <w:p w14:paraId="0C0C0CFE" w14:textId="77777777" w:rsidR="00231F76" w:rsidRPr="00231F76" w:rsidRDefault="00231F76" w:rsidP="00231F76">
            <w:pPr>
              <w:pStyle w:val="TableRowHead"/>
            </w:pPr>
            <w:proofErr w:type="spellStart"/>
            <w:r w:rsidRPr="00231F76">
              <w:t>Iarmhéid</w:t>
            </w:r>
            <w:proofErr w:type="spellEnd"/>
            <w:r w:rsidRPr="00231F76">
              <w:t xml:space="preserve"> ar an</w:t>
            </w:r>
          </w:p>
          <w:p w14:paraId="455B31CF" w14:textId="77777777" w:rsidR="00231F76" w:rsidRPr="00231F76" w:rsidRDefault="00231F76" w:rsidP="00231F76">
            <w:pPr>
              <w:pStyle w:val="TableRowHead"/>
            </w:pPr>
            <w:r w:rsidRPr="00231F76">
              <w:t>31 Nollaig 2010</w:t>
            </w:r>
          </w:p>
        </w:tc>
        <w:tc>
          <w:tcPr>
            <w:tcW w:w="1485" w:type="dxa"/>
            <w:shd w:val="clear" w:color="auto" w:fill="auto"/>
            <w:vAlign w:val="bottom"/>
          </w:tcPr>
          <w:p w14:paraId="56929B41"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515AEA46"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27DA5B38"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0 </w:t>
            </w:r>
          </w:p>
        </w:tc>
        <w:tc>
          <w:tcPr>
            <w:tcW w:w="1485" w:type="dxa"/>
            <w:shd w:val="clear" w:color="auto" w:fill="auto"/>
            <w:vAlign w:val="bottom"/>
          </w:tcPr>
          <w:p w14:paraId="7EEA3A5F"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0 </w:t>
            </w:r>
          </w:p>
        </w:tc>
      </w:tr>
      <w:tr w:rsidR="00231F76" w:rsidRPr="00231F76" w14:paraId="42AF659F" w14:textId="77777777" w:rsidTr="00067058">
        <w:tblPrEx>
          <w:tblCellMar>
            <w:top w:w="0" w:type="dxa"/>
            <w:bottom w:w="0" w:type="dxa"/>
          </w:tblCellMar>
        </w:tblPrEx>
        <w:tc>
          <w:tcPr>
            <w:tcW w:w="2988" w:type="dxa"/>
            <w:shd w:val="clear" w:color="auto" w:fill="auto"/>
            <w:vAlign w:val="center"/>
          </w:tcPr>
          <w:p w14:paraId="58CE074B" w14:textId="77777777" w:rsidR="00231F76" w:rsidRPr="00231F76" w:rsidRDefault="00231F76" w:rsidP="00231F76">
            <w:pPr>
              <w:pStyle w:val="TableRowHead"/>
              <w:rPr>
                <w:bCs/>
              </w:rPr>
            </w:pPr>
            <w:r w:rsidRPr="00231F76">
              <w:t>Luach glan leabhar - 31 Nollaig 2010</w:t>
            </w:r>
          </w:p>
        </w:tc>
        <w:tc>
          <w:tcPr>
            <w:tcW w:w="1485" w:type="dxa"/>
            <w:shd w:val="clear" w:color="auto" w:fill="auto"/>
            <w:vAlign w:val="bottom"/>
          </w:tcPr>
          <w:p w14:paraId="72FAB291" w14:textId="77777777" w:rsidR="00231F76" w:rsidRPr="00231F76" w:rsidRDefault="00231F76" w:rsidP="00141421">
            <w:pPr>
              <w:spacing w:after="0" w:line="240" w:lineRule="auto"/>
              <w:jc w:val="right"/>
              <w:rPr>
                <w:rFonts w:cs="Arial"/>
                <w:b/>
                <w:lang w:val="en-GB" w:eastAsia="en-GB"/>
              </w:rPr>
            </w:pPr>
            <w:r w:rsidRPr="00231F76">
              <w:rPr>
                <w:rFonts w:cs="Arial"/>
                <w:b/>
                <w:lang w:val="en-GB" w:eastAsia="en-GB"/>
              </w:rPr>
              <w:t xml:space="preserve">389,206 </w:t>
            </w:r>
          </w:p>
        </w:tc>
        <w:tc>
          <w:tcPr>
            <w:tcW w:w="1485" w:type="dxa"/>
            <w:shd w:val="clear" w:color="auto" w:fill="auto"/>
            <w:vAlign w:val="bottom"/>
          </w:tcPr>
          <w:p w14:paraId="16A15B37" w14:textId="77777777" w:rsidR="00231F76" w:rsidRPr="00231F76" w:rsidRDefault="00231F76" w:rsidP="00141421">
            <w:pPr>
              <w:spacing w:after="0" w:line="240" w:lineRule="auto"/>
              <w:jc w:val="right"/>
              <w:rPr>
                <w:rFonts w:cs="Arial"/>
                <w:b/>
                <w:lang w:val="en-GB" w:eastAsia="en-GB"/>
              </w:rPr>
            </w:pPr>
            <w:r w:rsidRPr="00231F76">
              <w:rPr>
                <w:rFonts w:cs="Arial"/>
                <w:b/>
                <w:lang w:val="en-GB" w:eastAsia="en-GB"/>
              </w:rPr>
              <w:t xml:space="preserve">296,599 </w:t>
            </w:r>
          </w:p>
        </w:tc>
        <w:tc>
          <w:tcPr>
            <w:tcW w:w="1485" w:type="dxa"/>
            <w:shd w:val="clear" w:color="auto" w:fill="auto"/>
            <w:vAlign w:val="bottom"/>
          </w:tcPr>
          <w:p w14:paraId="47350E3E" w14:textId="77777777" w:rsidR="00231F76" w:rsidRPr="00231F76" w:rsidRDefault="00231F76" w:rsidP="00141421">
            <w:pPr>
              <w:spacing w:after="0" w:line="240" w:lineRule="auto"/>
              <w:jc w:val="right"/>
              <w:rPr>
                <w:rFonts w:cs="Arial"/>
                <w:b/>
                <w:lang w:val="en-GB" w:eastAsia="en-GB"/>
              </w:rPr>
            </w:pPr>
            <w:r w:rsidRPr="00231F76">
              <w:rPr>
                <w:rFonts w:cs="Arial"/>
                <w:b/>
                <w:lang w:val="en-GB" w:eastAsia="en-GB"/>
              </w:rPr>
              <w:t xml:space="preserve">848,325 </w:t>
            </w:r>
          </w:p>
        </w:tc>
        <w:tc>
          <w:tcPr>
            <w:tcW w:w="1485" w:type="dxa"/>
            <w:shd w:val="clear" w:color="auto" w:fill="auto"/>
            <w:vAlign w:val="bottom"/>
          </w:tcPr>
          <w:p w14:paraId="59704261" w14:textId="77777777" w:rsidR="00231F76" w:rsidRPr="00231F76" w:rsidRDefault="00231F76" w:rsidP="00141421">
            <w:pPr>
              <w:spacing w:after="0" w:line="240" w:lineRule="auto"/>
              <w:jc w:val="right"/>
              <w:rPr>
                <w:rFonts w:cs="Arial"/>
                <w:b/>
                <w:lang w:val="en-GB" w:eastAsia="en-GB"/>
              </w:rPr>
            </w:pPr>
            <w:r w:rsidRPr="00231F76">
              <w:rPr>
                <w:rFonts w:cs="Arial"/>
                <w:b/>
                <w:lang w:val="en-GB" w:eastAsia="en-GB"/>
              </w:rPr>
              <w:t xml:space="preserve">1,534,130 </w:t>
            </w:r>
          </w:p>
        </w:tc>
      </w:tr>
      <w:tr w:rsidR="00231F76" w:rsidRPr="00231F76" w14:paraId="4534F0CF" w14:textId="77777777" w:rsidTr="00067058">
        <w:tblPrEx>
          <w:tblCellMar>
            <w:top w:w="0" w:type="dxa"/>
            <w:bottom w:w="0" w:type="dxa"/>
          </w:tblCellMar>
        </w:tblPrEx>
        <w:tc>
          <w:tcPr>
            <w:tcW w:w="2988" w:type="dxa"/>
            <w:shd w:val="clear" w:color="auto" w:fill="auto"/>
            <w:vAlign w:val="center"/>
          </w:tcPr>
          <w:p w14:paraId="5DDA4B31" w14:textId="77777777" w:rsidR="00231F76" w:rsidRPr="00231F76" w:rsidRDefault="00231F76" w:rsidP="00231F76">
            <w:pPr>
              <w:pStyle w:val="TableRowHead"/>
              <w:rPr>
                <w:bCs/>
              </w:rPr>
            </w:pPr>
            <w:r w:rsidRPr="00231F76">
              <w:t>Luach glan leabhar - 31Nollaig 2010</w:t>
            </w:r>
          </w:p>
        </w:tc>
        <w:tc>
          <w:tcPr>
            <w:tcW w:w="1485" w:type="dxa"/>
            <w:shd w:val="clear" w:color="auto" w:fill="auto"/>
            <w:vAlign w:val="bottom"/>
          </w:tcPr>
          <w:p w14:paraId="1A838D1D"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3,378 </w:t>
            </w:r>
          </w:p>
        </w:tc>
        <w:tc>
          <w:tcPr>
            <w:tcW w:w="1485" w:type="dxa"/>
            <w:shd w:val="clear" w:color="auto" w:fill="auto"/>
            <w:vAlign w:val="bottom"/>
          </w:tcPr>
          <w:p w14:paraId="43C9641B"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15,826 </w:t>
            </w:r>
          </w:p>
        </w:tc>
        <w:tc>
          <w:tcPr>
            <w:tcW w:w="1485" w:type="dxa"/>
            <w:shd w:val="clear" w:color="auto" w:fill="auto"/>
            <w:vAlign w:val="bottom"/>
          </w:tcPr>
          <w:p w14:paraId="20124018"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3,092,761 </w:t>
            </w:r>
          </w:p>
        </w:tc>
        <w:tc>
          <w:tcPr>
            <w:tcW w:w="1485" w:type="dxa"/>
            <w:shd w:val="clear" w:color="auto" w:fill="auto"/>
            <w:vAlign w:val="bottom"/>
          </w:tcPr>
          <w:p w14:paraId="77319BDA"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3,111,965 </w:t>
            </w:r>
          </w:p>
        </w:tc>
      </w:tr>
      <w:tr w:rsidR="00231F76" w:rsidRPr="00231F76" w14:paraId="04BCF53D" w14:textId="77777777" w:rsidTr="00067058">
        <w:tblPrEx>
          <w:tblCellMar>
            <w:top w:w="0" w:type="dxa"/>
            <w:bottom w:w="0" w:type="dxa"/>
          </w:tblCellMar>
        </w:tblPrEx>
        <w:tc>
          <w:tcPr>
            <w:tcW w:w="2988" w:type="dxa"/>
            <w:shd w:val="clear" w:color="auto" w:fill="auto"/>
            <w:vAlign w:val="center"/>
          </w:tcPr>
          <w:p w14:paraId="1B06FD5C" w14:textId="77777777" w:rsidR="00231F76" w:rsidRPr="00231F76" w:rsidRDefault="00231F76" w:rsidP="00231F76">
            <w:pPr>
              <w:pStyle w:val="TableRowHead"/>
            </w:pPr>
            <w:proofErr w:type="spellStart"/>
            <w:r w:rsidRPr="00231F76">
              <w:t>Iarmhéid</w:t>
            </w:r>
            <w:proofErr w:type="spellEnd"/>
            <w:r w:rsidRPr="00231F76">
              <w:t xml:space="preserve"> ar </w:t>
            </w:r>
            <w:proofErr w:type="gramStart"/>
            <w:r w:rsidRPr="00231F76">
              <w:t>an</w:t>
            </w:r>
            <w:proofErr w:type="gramEnd"/>
            <w:r w:rsidRPr="00231F76">
              <w:t xml:space="preserve"> 1 Eanáir 2009</w:t>
            </w:r>
          </w:p>
        </w:tc>
        <w:tc>
          <w:tcPr>
            <w:tcW w:w="1485" w:type="dxa"/>
            <w:shd w:val="clear" w:color="auto" w:fill="auto"/>
            <w:vAlign w:val="bottom"/>
          </w:tcPr>
          <w:p w14:paraId="763262D3"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2,288 </w:t>
            </w:r>
          </w:p>
        </w:tc>
        <w:tc>
          <w:tcPr>
            <w:tcW w:w="1485" w:type="dxa"/>
            <w:shd w:val="clear" w:color="auto" w:fill="auto"/>
            <w:vAlign w:val="bottom"/>
          </w:tcPr>
          <w:p w14:paraId="06061F88"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30,865 </w:t>
            </w:r>
          </w:p>
        </w:tc>
        <w:tc>
          <w:tcPr>
            <w:tcW w:w="1485" w:type="dxa"/>
            <w:shd w:val="clear" w:color="auto" w:fill="auto"/>
            <w:vAlign w:val="bottom"/>
          </w:tcPr>
          <w:p w14:paraId="33F46705"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3,172,063 </w:t>
            </w:r>
          </w:p>
        </w:tc>
        <w:tc>
          <w:tcPr>
            <w:tcW w:w="1485" w:type="dxa"/>
            <w:shd w:val="clear" w:color="auto" w:fill="auto"/>
            <w:vAlign w:val="bottom"/>
          </w:tcPr>
          <w:p w14:paraId="4220F0A6" w14:textId="77777777" w:rsidR="00231F76" w:rsidRPr="00231F76" w:rsidRDefault="00231F76" w:rsidP="00141421">
            <w:pPr>
              <w:spacing w:after="0" w:line="240" w:lineRule="auto"/>
              <w:jc w:val="right"/>
              <w:rPr>
                <w:rFonts w:cs="Arial"/>
                <w:lang w:val="en-GB" w:eastAsia="en-GB"/>
              </w:rPr>
            </w:pPr>
            <w:r w:rsidRPr="00231F76">
              <w:rPr>
                <w:rFonts w:cs="Arial"/>
                <w:lang w:val="en-GB" w:eastAsia="en-GB"/>
              </w:rPr>
              <w:t xml:space="preserve">3,205,216 </w:t>
            </w:r>
          </w:p>
        </w:tc>
      </w:tr>
    </w:tbl>
    <w:p w14:paraId="6018CBF9" w14:textId="77777777" w:rsidR="006052A9" w:rsidRDefault="00141421" w:rsidP="006052A9">
      <w:r>
        <w:br/>
      </w:r>
      <w:proofErr w:type="spellStart"/>
      <w:r w:rsidR="00594740" w:rsidRPr="00185FCF">
        <w:t>Feidhmíonn</w:t>
      </w:r>
      <w:proofErr w:type="spellEnd"/>
      <w:r w:rsidR="00594740" w:rsidRPr="00185FCF">
        <w:t xml:space="preserve"> an Bord a ghnó as </w:t>
      </w:r>
      <w:proofErr w:type="spellStart"/>
      <w:r w:rsidR="00594740" w:rsidRPr="00185FCF">
        <w:t>áitreabh</w:t>
      </w:r>
      <w:proofErr w:type="spellEnd"/>
      <w:r w:rsidR="00594740" w:rsidRPr="00185FCF">
        <w:t xml:space="preserve"> atá faoina sheilbh ag 25 Bóthar </w:t>
      </w:r>
      <w:proofErr w:type="spellStart"/>
      <w:r w:rsidR="00594740" w:rsidRPr="00185FCF">
        <w:t>Chluaidh</w:t>
      </w:r>
      <w:proofErr w:type="spellEnd"/>
      <w:r w:rsidR="00594740" w:rsidRPr="00185FCF">
        <w:t xml:space="preserve">, </w:t>
      </w:r>
      <w:r w:rsidR="00594740" w:rsidRPr="00185FCF">
        <w:rPr>
          <w:lang w:val="en-US"/>
        </w:rPr>
        <w:t xml:space="preserve">Droichead na </w:t>
      </w:r>
      <w:proofErr w:type="spellStart"/>
      <w:r w:rsidR="00594740" w:rsidRPr="00185FCF">
        <w:rPr>
          <w:lang w:val="en-US"/>
        </w:rPr>
        <w:t>Dothra</w:t>
      </w:r>
      <w:proofErr w:type="spellEnd"/>
      <w:r w:rsidR="00594740" w:rsidRPr="00185FCF">
        <w:rPr>
          <w:lang w:val="en-US"/>
        </w:rPr>
        <w:t>, Baile Átha Cliath 4.</w:t>
      </w:r>
      <w:r w:rsidR="00594740" w:rsidRPr="00185FCF">
        <w:t xml:space="preserve"> Níl aon </w:t>
      </w:r>
      <w:proofErr w:type="spellStart"/>
      <w:r w:rsidR="00594740" w:rsidRPr="00185FCF">
        <w:t>áitreabh</w:t>
      </w:r>
      <w:proofErr w:type="spellEnd"/>
      <w:r w:rsidR="00594740" w:rsidRPr="00185FCF">
        <w:t xml:space="preserve"> eile faoi sheilbh ag an mbord ná níl aon </w:t>
      </w:r>
      <w:proofErr w:type="spellStart"/>
      <w:r w:rsidR="00594740" w:rsidRPr="00185FCF">
        <w:t>mhaoin</w:t>
      </w:r>
      <w:proofErr w:type="spellEnd"/>
      <w:r w:rsidR="00594740" w:rsidRPr="00185FCF">
        <w:t xml:space="preserve"> eile ar </w:t>
      </w:r>
      <w:proofErr w:type="spellStart"/>
      <w:r w:rsidR="00594740" w:rsidRPr="00185FCF">
        <w:t>léas</w:t>
      </w:r>
      <w:proofErr w:type="spellEnd"/>
      <w:r w:rsidR="00594740" w:rsidRPr="00185FCF">
        <w:t xml:space="preserve"> aige.</w:t>
      </w:r>
    </w:p>
    <w:p w14:paraId="3255ECBE" w14:textId="77777777" w:rsidR="00141421" w:rsidRDefault="006052A9" w:rsidP="006052A9">
      <w:pPr>
        <w:pStyle w:val="Heading3"/>
      </w:pPr>
      <w:r>
        <w:rPr>
          <w:lang w:val="en-GB"/>
        </w:rPr>
        <w:br w:type="page"/>
      </w:r>
      <w:r w:rsidR="00141421" w:rsidRPr="009912D3">
        <w:rPr>
          <w:lang w:val="en-GB"/>
        </w:rPr>
        <w:lastRenderedPageBreak/>
        <w:t xml:space="preserve">8. </w:t>
      </w:r>
      <w:r w:rsidR="00231F76">
        <w:t xml:space="preserve">Cuntas </w:t>
      </w:r>
      <w:proofErr w:type="spellStart"/>
      <w:r w:rsidR="00231F76">
        <w:t>Caipitil</w:t>
      </w:r>
      <w:proofErr w:type="spellEnd"/>
      <w:r>
        <w:br/>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148"/>
        <w:gridCol w:w="900"/>
        <w:gridCol w:w="1350"/>
        <w:gridCol w:w="1350"/>
      </w:tblGrid>
      <w:tr w:rsidR="00141421" w:rsidRPr="009912D3" w14:paraId="6E40C60F" w14:textId="77777777" w:rsidTr="00067058">
        <w:tblPrEx>
          <w:tblCellMar>
            <w:top w:w="0" w:type="dxa"/>
            <w:bottom w:w="0" w:type="dxa"/>
          </w:tblCellMar>
        </w:tblPrEx>
        <w:trPr>
          <w:tblHeader/>
        </w:trPr>
        <w:tc>
          <w:tcPr>
            <w:tcW w:w="5148" w:type="dxa"/>
            <w:shd w:val="clear" w:color="auto" w:fill="auto"/>
          </w:tcPr>
          <w:p w14:paraId="25681456" w14:textId="77777777" w:rsidR="00141421" w:rsidRPr="004F58E4" w:rsidRDefault="00141421" w:rsidP="00141421">
            <w:pPr>
              <w:pStyle w:val="TableHead"/>
              <w:jc w:val="right"/>
            </w:pPr>
          </w:p>
        </w:tc>
        <w:tc>
          <w:tcPr>
            <w:tcW w:w="900" w:type="dxa"/>
            <w:shd w:val="clear" w:color="auto" w:fill="auto"/>
          </w:tcPr>
          <w:p w14:paraId="24E0DC85" w14:textId="77777777" w:rsidR="00141421" w:rsidRPr="004F58E4" w:rsidRDefault="00231F76" w:rsidP="00141421">
            <w:pPr>
              <w:pStyle w:val="TableHead"/>
              <w:spacing w:line="240" w:lineRule="auto"/>
              <w:jc w:val="right"/>
            </w:pPr>
            <w:r>
              <w:t>Nótaí</w:t>
            </w:r>
          </w:p>
        </w:tc>
        <w:tc>
          <w:tcPr>
            <w:tcW w:w="1350" w:type="dxa"/>
            <w:shd w:val="clear" w:color="auto" w:fill="auto"/>
          </w:tcPr>
          <w:p w14:paraId="61789369" w14:textId="77777777" w:rsidR="00141421" w:rsidRPr="004F58E4" w:rsidRDefault="00141421" w:rsidP="00141421">
            <w:pPr>
              <w:pStyle w:val="TableHead"/>
              <w:spacing w:line="240" w:lineRule="auto"/>
              <w:jc w:val="right"/>
            </w:pPr>
            <w:r w:rsidRPr="004F58E4">
              <w:t>2010</w:t>
            </w:r>
          </w:p>
        </w:tc>
        <w:tc>
          <w:tcPr>
            <w:tcW w:w="1350" w:type="dxa"/>
            <w:shd w:val="clear" w:color="auto" w:fill="auto"/>
          </w:tcPr>
          <w:p w14:paraId="69BC0CB7" w14:textId="77777777" w:rsidR="00141421" w:rsidRPr="004F58E4" w:rsidRDefault="00141421" w:rsidP="00141421">
            <w:pPr>
              <w:pStyle w:val="TableHead"/>
              <w:spacing w:line="240" w:lineRule="auto"/>
              <w:jc w:val="right"/>
            </w:pPr>
            <w:r w:rsidRPr="004F58E4">
              <w:t>2009</w:t>
            </w:r>
          </w:p>
        </w:tc>
      </w:tr>
      <w:tr w:rsidR="00141421" w:rsidRPr="009912D3" w14:paraId="75F96D7E" w14:textId="77777777" w:rsidTr="00067058">
        <w:tblPrEx>
          <w:tblCellMar>
            <w:top w:w="0" w:type="dxa"/>
            <w:bottom w:w="0" w:type="dxa"/>
          </w:tblCellMar>
        </w:tblPrEx>
        <w:tc>
          <w:tcPr>
            <w:tcW w:w="5148" w:type="dxa"/>
            <w:shd w:val="clear" w:color="auto" w:fill="auto"/>
          </w:tcPr>
          <w:p w14:paraId="45FB17C6" w14:textId="77777777" w:rsidR="00141421" w:rsidRPr="004F58E4" w:rsidRDefault="00141421" w:rsidP="00141421">
            <w:pPr>
              <w:pStyle w:val="TableRowHead"/>
            </w:pPr>
          </w:p>
        </w:tc>
        <w:tc>
          <w:tcPr>
            <w:tcW w:w="900" w:type="dxa"/>
            <w:shd w:val="clear" w:color="auto" w:fill="auto"/>
          </w:tcPr>
          <w:p w14:paraId="4CCBD72D" w14:textId="77777777" w:rsidR="00141421" w:rsidRPr="004F58E4" w:rsidRDefault="00141421" w:rsidP="00141421">
            <w:pPr>
              <w:pStyle w:val="TableCell"/>
              <w:jc w:val="right"/>
            </w:pPr>
          </w:p>
        </w:tc>
        <w:tc>
          <w:tcPr>
            <w:tcW w:w="1350" w:type="dxa"/>
            <w:shd w:val="clear" w:color="auto" w:fill="auto"/>
            <w:vAlign w:val="bottom"/>
          </w:tcPr>
          <w:p w14:paraId="430AC7CB" w14:textId="77777777" w:rsidR="00141421" w:rsidRPr="004F58E4" w:rsidRDefault="00141421" w:rsidP="00141421">
            <w:pPr>
              <w:spacing w:after="0" w:line="240" w:lineRule="auto"/>
              <w:jc w:val="right"/>
              <w:rPr>
                <w:rFonts w:cs="Arial"/>
                <w:b/>
                <w:bCs/>
                <w:lang w:val="en-GB" w:eastAsia="en-GB"/>
              </w:rPr>
            </w:pPr>
            <w:r w:rsidRPr="004F58E4">
              <w:rPr>
                <w:rFonts w:cs="Arial"/>
                <w:b/>
                <w:bCs/>
                <w:lang w:val="en-GB" w:eastAsia="en-GB"/>
              </w:rPr>
              <w:t xml:space="preserve">          €</w:t>
            </w:r>
          </w:p>
        </w:tc>
        <w:tc>
          <w:tcPr>
            <w:tcW w:w="1350" w:type="dxa"/>
            <w:shd w:val="clear" w:color="auto" w:fill="auto"/>
            <w:vAlign w:val="bottom"/>
          </w:tcPr>
          <w:p w14:paraId="0F9F868C" w14:textId="77777777" w:rsidR="00141421" w:rsidRPr="004F58E4" w:rsidRDefault="00141421" w:rsidP="00141421">
            <w:pPr>
              <w:spacing w:after="0" w:line="240" w:lineRule="auto"/>
              <w:jc w:val="right"/>
              <w:rPr>
                <w:rFonts w:cs="Arial"/>
                <w:b/>
                <w:bCs/>
                <w:lang w:val="en-GB" w:eastAsia="en-GB"/>
              </w:rPr>
            </w:pPr>
            <w:r w:rsidRPr="004F58E4">
              <w:rPr>
                <w:rFonts w:cs="Arial"/>
                <w:b/>
                <w:bCs/>
                <w:lang w:val="en-GB" w:eastAsia="en-GB"/>
              </w:rPr>
              <w:t xml:space="preserve">          €</w:t>
            </w:r>
          </w:p>
        </w:tc>
      </w:tr>
      <w:tr w:rsidR="00231F76" w:rsidRPr="009912D3" w14:paraId="02862C4B" w14:textId="77777777" w:rsidTr="00067058">
        <w:tblPrEx>
          <w:tblCellMar>
            <w:top w:w="0" w:type="dxa"/>
            <w:bottom w:w="0" w:type="dxa"/>
          </w:tblCellMar>
        </w:tblPrEx>
        <w:tc>
          <w:tcPr>
            <w:tcW w:w="5148" w:type="dxa"/>
            <w:shd w:val="clear" w:color="auto" w:fill="auto"/>
            <w:vAlign w:val="center"/>
          </w:tcPr>
          <w:p w14:paraId="7CEA634C" w14:textId="77777777" w:rsidR="00231F76" w:rsidRPr="00231F76" w:rsidRDefault="00231F76" w:rsidP="00231F76">
            <w:pPr>
              <w:pStyle w:val="TableRowHead"/>
            </w:pPr>
            <w:proofErr w:type="spellStart"/>
            <w:r w:rsidRPr="00231F76">
              <w:t>Iarmhéid</w:t>
            </w:r>
            <w:proofErr w:type="spellEnd"/>
            <w:r w:rsidRPr="00231F76">
              <w:t xml:space="preserve"> ar </w:t>
            </w:r>
            <w:proofErr w:type="gramStart"/>
            <w:r w:rsidRPr="00231F76">
              <w:t>an</w:t>
            </w:r>
            <w:proofErr w:type="gramEnd"/>
            <w:r w:rsidRPr="00231F76">
              <w:t xml:space="preserve"> 1 Eanáir </w:t>
            </w:r>
          </w:p>
        </w:tc>
        <w:tc>
          <w:tcPr>
            <w:tcW w:w="900" w:type="dxa"/>
            <w:shd w:val="clear" w:color="auto" w:fill="auto"/>
            <w:vAlign w:val="bottom"/>
          </w:tcPr>
          <w:p w14:paraId="46F0436F" w14:textId="77777777" w:rsidR="00231F76" w:rsidRPr="004F58E4" w:rsidRDefault="00231F76" w:rsidP="00141421">
            <w:pPr>
              <w:spacing w:after="0" w:line="240" w:lineRule="auto"/>
              <w:rPr>
                <w:rFonts w:cs="Arial"/>
                <w:lang w:val="en-GB" w:eastAsia="en-GB"/>
              </w:rPr>
            </w:pPr>
          </w:p>
        </w:tc>
        <w:tc>
          <w:tcPr>
            <w:tcW w:w="1350" w:type="dxa"/>
            <w:shd w:val="clear" w:color="auto" w:fill="auto"/>
            <w:vAlign w:val="bottom"/>
          </w:tcPr>
          <w:p w14:paraId="0A57D7AA" w14:textId="77777777" w:rsidR="00231F76" w:rsidRPr="004F58E4" w:rsidRDefault="00231F76" w:rsidP="00141421">
            <w:pPr>
              <w:spacing w:after="0" w:line="240" w:lineRule="auto"/>
              <w:jc w:val="right"/>
              <w:rPr>
                <w:rFonts w:cs="Arial"/>
                <w:lang w:val="en-GB" w:eastAsia="en-GB"/>
              </w:rPr>
            </w:pPr>
            <w:r w:rsidRPr="004F58E4">
              <w:rPr>
                <w:rFonts w:cs="Arial"/>
                <w:lang w:val="en-GB" w:eastAsia="en-GB"/>
              </w:rPr>
              <w:t xml:space="preserve">3,205,216 </w:t>
            </w:r>
          </w:p>
        </w:tc>
        <w:tc>
          <w:tcPr>
            <w:tcW w:w="1350" w:type="dxa"/>
            <w:shd w:val="clear" w:color="auto" w:fill="auto"/>
            <w:vAlign w:val="bottom"/>
          </w:tcPr>
          <w:p w14:paraId="66F93C2B" w14:textId="77777777" w:rsidR="00231F76" w:rsidRPr="004F58E4" w:rsidRDefault="00231F76" w:rsidP="00141421">
            <w:pPr>
              <w:spacing w:after="0" w:line="240" w:lineRule="auto"/>
              <w:jc w:val="right"/>
              <w:rPr>
                <w:rFonts w:cs="Arial"/>
                <w:lang w:val="en-GB" w:eastAsia="en-GB"/>
              </w:rPr>
            </w:pPr>
            <w:r w:rsidRPr="004F58E4">
              <w:rPr>
                <w:rFonts w:cs="Arial"/>
                <w:lang w:val="en-GB" w:eastAsia="en-GB"/>
              </w:rPr>
              <w:t xml:space="preserve">3,315,567 </w:t>
            </w:r>
          </w:p>
        </w:tc>
      </w:tr>
      <w:tr w:rsidR="00231F76" w:rsidRPr="009912D3" w14:paraId="5FF01421" w14:textId="77777777" w:rsidTr="00067058">
        <w:tblPrEx>
          <w:tblCellMar>
            <w:top w:w="0" w:type="dxa"/>
            <w:bottom w:w="0" w:type="dxa"/>
          </w:tblCellMar>
        </w:tblPrEx>
        <w:tc>
          <w:tcPr>
            <w:tcW w:w="8748" w:type="dxa"/>
            <w:gridSpan w:val="4"/>
            <w:shd w:val="clear" w:color="auto" w:fill="auto"/>
            <w:vAlign w:val="center"/>
          </w:tcPr>
          <w:p w14:paraId="705DF795" w14:textId="77777777" w:rsidR="00231F76" w:rsidRPr="00231F76" w:rsidRDefault="00231F76" w:rsidP="00231F76">
            <w:pPr>
              <w:pStyle w:val="TableHead"/>
              <w:jc w:val="center"/>
              <w:rPr>
                <w:u w:val="single"/>
              </w:rPr>
            </w:pPr>
            <w:r w:rsidRPr="00231F76">
              <w:t xml:space="preserve">Aistriú (g)o / </w:t>
            </w:r>
            <w:proofErr w:type="spellStart"/>
            <w:r w:rsidRPr="00231F76">
              <w:t>óCuntas</w:t>
            </w:r>
            <w:proofErr w:type="spellEnd"/>
            <w:r w:rsidRPr="00231F76">
              <w:t xml:space="preserve"> Ioncaim agus </w:t>
            </w:r>
            <w:proofErr w:type="spellStart"/>
            <w:r w:rsidRPr="00231F76">
              <w:t>Caiteachais</w:t>
            </w:r>
            <w:proofErr w:type="spellEnd"/>
          </w:p>
        </w:tc>
      </w:tr>
      <w:tr w:rsidR="00231F76" w:rsidRPr="009912D3" w14:paraId="07159325" w14:textId="77777777" w:rsidTr="00067058">
        <w:tblPrEx>
          <w:tblCellMar>
            <w:top w:w="0" w:type="dxa"/>
            <w:bottom w:w="0" w:type="dxa"/>
          </w:tblCellMar>
        </w:tblPrEx>
        <w:tc>
          <w:tcPr>
            <w:tcW w:w="5148" w:type="dxa"/>
            <w:shd w:val="clear" w:color="auto" w:fill="auto"/>
            <w:vAlign w:val="center"/>
          </w:tcPr>
          <w:p w14:paraId="18411048" w14:textId="77777777" w:rsidR="00231F76" w:rsidRPr="00231F76" w:rsidRDefault="00231F76" w:rsidP="00231F76">
            <w:pPr>
              <w:pStyle w:val="TableRowHead"/>
            </w:pPr>
            <w:r w:rsidRPr="00231F76">
              <w:t xml:space="preserve">Ioncam caite ar cheannach </w:t>
            </w:r>
            <w:proofErr w:type="spellStart"/>
            <w:r w:rsidRPr="00231F76">
              <w:t>sóchmhainní</w:t>
            </w:r>
            <w:proofErr w:type="spellEnd"/>
            <w:r w:rsidRPr="00231F76">
              <w:t xml:space="preserve"> seasta </w:t>
            </w:r>
          </w:p>
        </w:tc>
        <w:tc>
          <w:tcPr>
            <w:tcW w:w="900" w:type="dxa"/>
            <w:shd w:val="clear" w:color="auto" w:fill="auto"/>
            <w:vAlign w:val="bottom"/>
          </w:tcPr>
          <w:p w14:paraId="131A48EA" w14:textId="77777777" w:rsidR="00231F76" w:rsidRPr="004F58E4" w:rsidRDefault="00231F76" w:rsidP="00141421">
            <w:pPr>
              <w:spacing w:after="0" w:line="240" w:lineRule="auto"/>
              <w:jc w:val="right"/>
              <w:rPr>
                <w:rFonts w:cs="Arial"/>
                <w:lang w:val="en-GB" w:eastAsia="en-GB"/>
              </w:rPr>
            </w:pPr>
            <w:r w:rsidRPr="004F58E4">
              <w:rPr>
                <w:rFonts w:cs="Arial"/>
                <w:lang w:val="en-GB" w:eastAsia="en-GB"/>
              </w:rPr>
              <w:t xml:space="preserve">7 </w:t>
            </w:r>
          </w:p>
        </w:tc>
        <w:tc>
          <w:tcPr>
            <w:tcW w:w="1350" w:type="dxa"/>
            <w:shd w:val="clear" w:color="auto" w:fill="auto"/>
            <w:vAlign w:val="bottom"/>
          </w:tcPr>
          <w:p w14:paraId="726BF9AB" w14:textId="77777777" w:rsidR="00231F76" w:rsidRPr="004F58E4" w:rsidRDefault="00231F76" w:rsidP="00141421">
            <w:pPr>
              <w:spacing w:after="0" w:line="240" w:lineRule="auto"/>
              <w:jc w:val="right"/>
              <w:rPr>
                <w:rFonts w:cs="Arial"/>
                <w:lang w:val="en-GB" w:eastAsia="en-GB"/>
              </w:rPr>
            </w:pPr>
            <w:r w:rsidRPr="004F58E4">
              <w:rPr>
                <w:rFonts w:cs="Arial"/>
                <w:lang w:val="en-GB" w:eastAsia="en-GB"/>
              </w:rPr>
              <w:t xml:space="preserve">3,729 </w:t>
            </w:r>
          </w:p>
        </w:tc>
        <w:tc>
          <w:tcPr>
            <w:tcW w:w="1350" w:type="dxa"/>
            <w:shd w:val="clear" w:color="auto" w:fill="auto"/>
            <w:vAlign w:val="bottom"/>
          </w:tcPr>
          <w:p w14:paraId="33560BF5" w14:textId="77777777" w:rsidR="00231F76" w:rsidRPr="004F58E4" w:rsidRDefault="00231F76" w:rsidP="00141421">
            <w:pPr>
              <w:spacing w:after="0" w:line="240" w:lineRule="auto"/>
              <w:jc w:val="right"/>
              <w:rPr>
                <w:rFonts w:cs="Arial"/>
                <w:lang w:val="en-GB" w:eastAsia="en-GB"/>
              </w:rPr>
            </w:pPr>
            <w:r w:rsidRPr="004F58E4">
              <w:rPr>
                <w:rFonts w:cs="Arial"/>
                <w:lang w:val="en-GB" w:eastAsia="en-GB"/>
              </w:rPr>
              <w:t xml:space="preserve">1,825 </w:t>
            </w:r>
          </w:p>
        </w:tc>
      </w:tr>
      <w:tr w:rsidR="00231F76" w:rsidRPr="00F53CED" w14:paraId="50583FDB" w14:textId="77777777" w:rsidTr="00067058">
        <w:tblPrEx>
          <w:tblCellMar>
            <w:top w:w="0" w:type="dxa"/>
            <w:bottom w:w="0" w:type="dxa"/>
          </w:tblCellMar>
        </w:tblPrEx>
        <w:tc>
          <w:tcPr>
            <w:tcW w:w="5148" w:type="dxa"/>
            <w:shd w:val="clear" w:color="auto" w:fill="auto"/>
            <w:vAlign w:val="center"/>
          </w:tcPr>
          <w:p w14:paraId="61BA9D73" w14:textId="77777777" w:rsidR="00231F76" w:rsidRPr="00F53CED" w:rsidRDefault="00231F76" w:rsidP="00231F76">
            <w:pPr>
              <w:pStyle w:val="TableRowHead"/>
            </w:pPr>
            <w:proofErr w:type="spellStart"/>
            <w:r w:rsidRPr="00F53CED">
              <w:t>Amúchta</w:t>
            </w:r>
            <w:proofErr w:type="spellEnd"/>
            <w:r w:rsidRPr="00F53CED">
              <w:t xml:space="preserve"> i rith na bliana ag teacht le </w:t>
            </w:r>
            <w:proofErr w:type="spellStart"/>
            <w:r w:rsidRPr="00F53CED">
              <w:t>dímheas</w:t>
            </w:r>
            <w:proofErr w:type="spellEnd"/>
            <w:r w:rsidRPr="00F53CED">
              <w:t xml:space="preserve"> </w:t>
            </w:r>
            <w:proofErr w:type="spellStart"/>
            <w:r w:rsidRPr="00F53CED">
              <w:t>sóchmhainne</w:t>
            </w:r>
            <w:proofErr w:type="spellEnd"/>
            <w:r w:rsidRPr="00F53CED">
              <w:t xml:space="preserve"> </w:t>
            </w:r>
          </w:p>
        </w:tc>
        <w:tc>
          <w:tcPr>
            <w:tcW w:w="900" w:type="dxa"/>
            <w:shd w:val="clear" w:color="auto" w:fill="auto"/>
            <w:vAlign w:val="bottom"/>
          </w:tcPr>
          <w:p w14:paraId="4F3728A8"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 xml:space="preserve">7 </w:t>
            </w:r>
          </w:p>
        </w:tc>
        <w:tc>
          <w:tcPr>
            <w:tcW w:w="1350" w:type="dxa"/>
            <w:shd w:val="clear" w:color="auto" w:fill="auto"/>
            <w:vAlign w:val="bottom"/>
          </w:tcPr>
          <w:p w14:paraId="121F93BE"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(96,980)</w:t>
            </w:r>
          </w:p>
        </w:tc>
        <w:tc>
          <w:tcPr>
            <w:tcW w:w="1350" w:type="dxa"/>
            <w:shd w:val="clear" w:color="auto" w:fill="auto"/>
            <w:vAlign w:val="bottom"/>
          </w:tcPr>
          <w:p w14:paraId="6073AA47"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(112,176)</w:t>
            </w:r>
          </w:p>
        </w:tc>
      </w:tr>
      <w:tr w:rsidR="00231F76" w:rsidRPr="00F53CED" w14:paraId="4918AA3D" w14:textId="77777777" w:rsidTr="00067058">
        <w:tblPrEx>
          <w:tblCellMar>
            <w:top w:w="0" w:type="dxa"/>
            <w:bottom w:w="0" w:type="dxa"/>
          </w:tblCellMar>
        </w:tblPrEx>
        <w:tc>
          <w:tcPr>
            <w:tcW w:w="5148" w:type="dxa"/>
            <w:shd w:val="clear" w:color="auto" w:fill="auto"/>
            <w:vAlign w:val="center"/>
          </w:tcPr>
          <w:p w14:paraId="64969B22" w14:textId="77777777" w:rsidR="00231F76" w:rsidRPr="00F53CED" w:rsidRDefault="00231F76" w:rsidP="00231F76">
            <w:pPr>
              <w:pStyle w:val="TableRowHead"/>
              <w:rPr>
                <w:rFonts w:eastAsia="SimSun"/>
                <w:i/>
              </w:rPr>
            </w:pPr>
            <w:r w:rsidRPr="00F53CED">
              <w:t xml:space="preserve">Scaoileadh ar </w:t>
            </w:r>
            <w:proofErr w:type="spellStart"/>
            <w:r w:rsidRPr="00F53CED">
              <w:t>Dhiúscairt</w:t>
            </w:r>
            <w:proofErr w:type="spellEnd"/>
            <w:r w:rsidRPr="00F53CED">
              <w:t xml:space="preserve"> </w:t>
            </w:r>
            <w:proofErr w:type="spellStart"/>
            <w:r w:rsidRPr="00F53CED">
              <w:t>Shócmhainní</w:t>
            </w:r>
            <w:proofErr w:type="spellEnd"/>
            <w:r w:rsidRPr="00F53CED">
              <w:t xml:space="preserve"> Seasta</w:t>
            </w:r>
          </w:p>
        </w:tc>
        <w:tc>
          <w:tcPr>
            <w:tcW w:w="900" w:type="dxa"/>
            <w:shd w:val="clear" w:color="auto" w:fill="auto"/>
            <w:vAlign w:val="bottom"/>
          </w:tcPr>
          <w:p w14:paraId="00CA5ABF"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 xml:space="preserve">7 </w:t>
            </w:r>
          </w:p>
        </w:tc>
        <w:tc>
          <w:tcPr>
            <w:tcW w:w="1350" w:type="dxa"/>
            <w:shd w:val="clear" w:color="auto" w:fill="auto"/>
            <w:vAlign w:val="bottom"/>
          </w:tcPr>
          <w:p w14:paraId="6E07FA5F"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 xml:space="preserve">0 </w:t>
            </w:r>
          </w:p>
        </w:tc>
        <w:tc>
          <w:tcPr>
            <w:tcW w:w="1350" w:type="dxa"/>
            <w:shd w:val="clear" w:color="auto" w:fill="auto"/>
            <w:vAlign w:val="bottom"/>
          </w:tcPr>
          <w:p w14:paraId="431CF610"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 xml:space="preserve">0 </w:t>
            </w:r>
          </w:p>
        </w:tc>
      </w:tr>
      <w:tr w:rsidR="00231F76" w:rsidRPr="00F53CED" w14:paraId="2E8A74F8" w14:textId="77777777" w:rsidTr="00067058">
        <w:tblPrEx>
          <w:tblCellMar>
            <w:top w:w="0" w:type="dxa"/>
            <w:bottom w:w="0" w:type="dxa"/>
          </w:tblCellMar>
        </w:tblPrEx>
        <w:tc>
          <w:tcPr>
            <w:tcW w:w="5148" w:type="dxa"/>
            <w:shd w:val="clear" w:color="auto" w:fill="auto"/>
            <w:vAlign w:val="center"/>
          </w:tcPr>
          <w:p w14:paraId="5247CB9D" w14:textId="77777777" w:rsidR="00231F76" w:rsidRPr="00F53CED" w:rsidRDefault="00231F76" w:rsidP="00231F76">
            <w:pPr>
              <w:pStyle w:val="TableRowHead"/>
            </w:pPr>
            <w:r w:rsidRPr="00F53CED">
              <w:t> </w:t>
            </w:r>
          </w:p>
        </w:tc>
        <w:tc>
          <w:tcPr>
            <w:tcW w:w="900" w:type="dxa"/>
            <w:shd w:val="clear" w:color="auto" w:fill="auto"/>
            <w:vAlign w:val="bottom"/>
          </w:tcPr>
          <w:p w14:paraId="275B1DA1" w14:textId="77777777" w:rsidR="00231F76" w:rsidRPr="00F53CED" w:rsidRDefault="00231F76" w:rsidP="00141421">
            <w:pPr>
              <w:spacing w:after="0" w:line="240" w:lineRule="auto"/>
              <w:rPr>
                <w:rFonts w:cs="Arial"/>
                <w:lang w:val="en-GB" w:eastAsia="en-GB"/>
              </w:rPr>
            </w:pPr>
          </w:p>
        </w:tc>
        <w:tc>
          <w:tcPr>
            <w:tcW w:w="1350" w:type="dxa"/>
            <w:shd w:val="clear" w:color="auto" w:fill="auto"/>
            <w:vAlign w:val="bottom"/>
          </w:tcPr>
          <w:p w14:paraId="6D8C69ED"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(93,251)</w:t>
            </w:r>
          </w:p>
        </w:tc>
        <w:tc>
          <w:tcPr>
            <w:tcW w:w="1350" w:type="dxa"/>
            <w:shd w:val="clear" w:color="auto" w:fill="auto"/>
            <w:vAlign w:val="bottom"/>
          </w:tcPr>
          <w:p w14:paraId="3EC88B08" w14:textId="77777777" w:rsidR="00231F76" w:rsidRPr="00F53CED" w:rsidRDefault="00231F76" w:rsidP="00141421">
            <w:pPr>
              <w:spacing w:after="0" w:line="240" w:lineRule="auto"/>
              <w:jc w:val="right"/>
              <w:rPr>
                <w:rFonts w:cs="Arial"/>
                <w:lang w:val="en-GB" w:eastAsia="en-GB"/>
              </w:rPr>
            </w:pPr>
            <w:r w:rsidRPr="00F53CED">
              <w:rPr>
                <w:rFonts w:cs="Arial"/>
                <w:lang w:val="en-GB" w:eastAsia="en-GB"/>
              </w:rPr>
              <w:t>(110,351)</w:t>
            </w:r>
          </w:p>
        </w:tc>
      </w:tr>
      <w:tr w:rsidR="00231F76" w:rsidRPr="00F53CED" w14:paraId="33A22546" w14:textId="77777777" w:rsidTr="00067058">
        <w:tblPrEx>
          <w:tblCellMar>
            <w:top w:w="0" w:type="dxa"/>
            <w:bottom w:w="0" w:type="dxa"/>
          </w:tblCellMar>
        </w:tblPrEx>
        <w:tc>
          <w:tcPr>
            <w:tcW w:w="5148" w:type="dxa"/>
            <w:shd w:val="clear" w:color="auto" w:fill="auto"/>
            <w:vAlign w:val="center"/>
          </w:tcPr>
          <w:p w14:paraId="10B61760" w14:textId="77777777" w:rsidR="00231F76" w:rsidRPr="00F53CED" w:rsidRDefault="00231F76" w:rsidP="00231F76">
            <w:pPr>
              <w:pStyle w:val="TableRowHead"/>
              <w:rPr>
                <w:rFonts w:eastAsia="SimSun"/>
              </w:rPr>
            </w:pPr>
            <w:proofErr w:type="spellStart"/>
            <w:r w:rsidRPr="00F53CED">
              <w:t>Iarmhéid</w:t>
            </w:r>
            <w:proofErr w:type="spellEnd"/>
            <w:r w:rsidRPr="00F53CED">
              <w:t xml:space="preserve"> ar </w:t>
            </w:r>
            <w:proofErr w:type="gramStart"/>
            <w:r w:rsidRPr="00F53CED">
              <w:t>an</w:t>
            </w:r>
            <w:proofErr w:type="gramEnd"/>
            <w:r w:rsidRPr="00F53CED">
              <w:t xml:space="preserve"> 31 Nollaig  </w:t>
            </w:r>
          </w:p>
        </w:tc>
        <w:tc>
          <w:tcPr>
            <w:tcW w:w="900" w:type="dxa"/>
            <w:shd w:val="clear" w:color="auto" w:fill="auto"/>
            <w:vAlign w:val="bottom"/>
          </w:tcPr>
          <w:p w14:paraId="34AB8A14" w14:textId="77777777" w:rsidR="00231F76" w:rsidRPr="00F53CED" w:rsidRDefault="00231F76" w:rsidP="00141421">
            <w:pPr>
              <w:spacing w:after="0" w:line="240" w:lineRule="auto"/>
              <w:jc w:val="right"/>
              <w:rPr>
                <w:rFonts w:cs="Arial"/>
                <w:lang w:val="en-GB" w:eastAsia="en-GB"/>
              </w:rPr>
            </w:pPr>
          </w:p>
        </w:tc>
        <w:tc>
          <w:tcPr>
            <w:tcW w:w="1350" w:type="dxa"/>
            <w:shd w:val="clear" w:color="auto" w:fill="auto"/>
            <w:vAlign w:val="bottom"/>
          </w:tcPr>
          <w:p w14:paraId="33DCF0B1" w14:textId="77777777" w:rsidR="00231F76" w:rsidRPr="00F53CED" w:rsidRDefault="00231F76" w:rsidP="00141421">
            <w:pPr>
              <w:spacing w:after="0" w:line="240" w:lineRule="auto"/>
              <w:jc w:val="right"/>
              <w:rPr>
                <w:rFonts w:cs="Arial"/>
                <w:b/>
                <w:lang w:val="en-GB" w:eastAsia="en-GB"/>
              </w:rPr>
            </w:pPr>
            <w:r w:rsidRPr="00F53CED">
              <w:rPr>
                <w:rFonts w:cs="Arial"/>
                <w:b/>
                <w:lang w:val="en-GB" w:eastAsia="en-GB"/>
              </w:rPr>
              <w:t xml:space="preserve">3,111,965 </w:t>
            </w:r>
          </w:p>
        </w:tc>
        <w:tc>
          <w:tcPr>
            <w:tcW w:w="1350" w:type="dxa"/>
            <w:shd w:val="clear" w:color="auto" w:fill="auto"/>
            <w:vAlign w:val="bottom"/>
          </w:tcPr>
          <w:p w14:paraId="3E0A7E75" w14:textId="77777777" w:rsidR="00231F76" w:rsidRPr="00F53CED" w:rsidRDefault="00231F76" w:rsidP="00141421">
            <w:pPr>
              <w:spacing w:after="0" w:line="240" w:lineRule="auto"/>
              <w:jc w:val="right"/>
              <w:rPr>
                <w:rFonts w:cs="Arial"/>
                <w:b/>
                <w:lang w:val="en-GB" w:eastAsia="en-GB"/>
              </w:rPr>
            </w:pPr>
            <w:r w:rsidRPr="00F53CED">
              <w:rPr>
                <w:rFonts w:cs="Arial"/>
                <w:b/>
                <w:lang w:val="en-GB" w:eastAsia="en-GB"/>
              </w:rPr>
              <w:t xml:space="preserve">3,205,216 </w:t>
            </w:r>
          </w:p>
        </w:tc>
      </w:tr>
    </w:tbl>
    <w:p w14:paraId="6E7CAEF1" w14:textId="77777777" w:rsidR="00141421" w:rsidRPr="00F53CED" w:rsidRDefault="00141421" w:rsidP="00141421">
      <w:pPr>
        <w:pStyle w:val="TableTitle"/>
        <w:jc w:val="left"/>
      </w:pPr>
      <w:r w:rsidRPr="00F53CED">
        <w:rPr>
          <w:bCs/>
          <w:lang w:val="en-GB"/>
        </w:rPr>
        <w:t xml:space="preserve">9. </w:t>
      </w:r>
      <w:proofErr w:type="spellStart"/>
      <w:r w:rsidR="00231F76" w:rsidRPr="00F53CED">
        <w:t>Imréiteach</w:t>
      </w:r>
      <w:proofErr w:type="spellEnd"/>
      <w:r w:rsidR="00231F76" w:rsidRPr="00F53CED">
        <w:t xml:space="preserve"> ar </w:t>
      </w:r>
      <w:proofErr w:type="spellStart"/>
      <w:r w:rsidR="00231F76" w:rsidRPr="00F53CED">
        <w:t>Shreabhadh</w:t>
      </w:r>
      <w:proofErr w:type="spellEnd"/>
      <w:r w:rsidR="00231F76" w:rsidRPr="00F53CED">
        <w:t xml:space="preserve"> Airgid</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148"/>
        <w:gridCol w:w="1854"/>
        <w:gridCol w:w="1854"/>
      </w:tblGrid>
      <w:tr w:rsidR="00141421" w:rsidRPr="00F53CED" w14:paraId="6B8B374F" w14:textId="77777777" w:rsidTr="00141421">
        <w:tblPrEx>
          <w:tblCellMar>
            <w:top w:w="0" w:type="dxa"/>
            <w:bottom w:w="0" w:type="dxa"/>
          </w:tblCellMar>
        </w:tblPrEx>
        <w:trPr>
          <w:tblHeader/>
        </w:trPr>
        <w:tc>
          <w:tcPr>
            <w:tcW w:w="5148" w:type="dxa"/>
            <w:shd w:val="clear" w:color="auto" w:fill="auto"/>
          </w:tcPr>
          <w:p w14:paraId="40503C73" w14:textId="77777777" w:rsidR="00141421" w:rsidRPr="00F53CED" w:rsidRDefault="00141421" w:rsidP="00141421">
            <w:pPr>
              <w:pStyle w:val="TableHead"/>
              <w:jc w:val="right"/>
            </w:pPr>
          </w:p>
        </w:tc>
        <w:tc>
          <w:tcPr>
            <w:tcW w:w="1854" w:type="dxa"/>
            <w:shd w:val="clear" w:color="auto" w:fill="auto"/>
          </w:tcPr>
          <w:p w14:paraId="612BED01" w14:textId="77777777" w:rsidR="00141421" w:rsidRPr="00F53CED" w:rsidRDefault="00141421" w:rsidP="00141421">
            <w:pPr>
              <w:pStyle w:val="TableHead"/>
              <w:spacing w:line="240" w:lineRule="auto"/>
              <w:jc w:val="right"/>
            </w:pPr>
            <w:r w:rsidRPr="00F53CED">
              <w:t>2010</w:t>
            </w:r>
          </w:p>
        </w:tc>
        <w:tc>
          <w:tcPr>
            <w:tcW w:w="1854" w:type="dxa"/>
            <w:shd w:val="clear" w:color="auto" w:fill="auto"/>
          </w:tcPr>
          <w:p w14:paraId="6D302869" w14:textId="77777777" w:rsidR="00141421" w:rsidRPr="00F53CED" w:rsidRDefault="00141421" w:rsidP="00141421">
            <w:pPr>
              <w:pStyle w:val="TableHead"/>
              <w:spacing w:line="240" w:lineRule="auto"/>
              <w:jc w:val="right"/>
            </w:pPr>
            <w:r w:rsidRPr="00F53CED">
              <w:t>2009</w:t>
            </w:r>
          </w:p>
        </w:tc>
      </w:tr>
      <w:tr w:rsidR="00141421" w:rsidRPr="00F53CED" w14:paraId="7567423E" w14:textId="77777777" w:rsidTr="00141421">
        <w:tblPrEx>
          <w:tblCellMar>
            <w:top w:w="0" w:type="dxa"/>
            <w:bottom w:w="0" w:type="dxa"/>
          </w:tblCellMar>
        </w:tblPrEx>
        <w:tc>
          <w:tcPr>
            <w:tcW w:w="5148" w:type="dxa"/>
            <w:shd w:val="clear" w:color="auto" w:fill="auto"/>
          </w:tcPr>
          <w:p w14:paraId="56D5B295" w14:textId="77777777" w:rsidR="00141421" w:rsidRPr="00F53CED" w:rsidRDefault="00141421" w:rsidP="00141421">
            <w:pPr>
              <w:pStyle w:val="TableRowHead"/>
            </w:pPr>
          </w:p>
        </w:tc>
        <w:tc>
          <w:tcPr>
            <w:tcW w:w="1854" w:type="dxa"/>
            <w:shd w:val="clear" w:color="auto" w:fill="auto"/>
            <w:vAlign w:val="bottom"/>
          </w:tcPr>
          <w:p w14:paraId="5F30D2B9" w14:textId="77777777" w:rsidR="00141421" w:rsidRPr="00F53CED" w:rsidRDefault="00141421" w:rsidP="00141421">
            <w:pPr>
              <w:spacing w:after="0" w:line="240" w:lineRule="auto"/>
              <w:jc w:val="right"/>
              <w:rPr>
                <w:rFonts w:cs="Arial"/>
                <w:b/>
                <w:bCs/>
                <w:lang w:val="en-GB" w:eastAsia="en-GB"/>
              </w:rPr>
            </w:pPr>
            <w:r w:rsidRPr="00F53CED">
              <w:rPr>
                <w:rFonts w:cs="Arial"/>
                <w:b/>
                <w:bCs/>
                <w:lang w:val="en-GB" w:eastAsia="en-GB"/>
              </w:rPr>
              <w:t xml:space="preserve">          €</w:t>
            </w:r>
          </w:p>
        </w:tc>
        <w:tc>
          <w:tcPr>
            <w:tcW w:w="1854" w:type="dxa"/>
            <w:shd w:val="clear" w:color="auto" w:fill="auto"/>
            <w:vAlign w:val="bottom"/>
          </w:tcPr>
          <w:p w14:paraId="6F10DFD1" w14:textId="77777777" w:rsidR="00141421" w:rsidRPr="00F53CED" w:rsidRDefault="00141421" w:rsidP="00141421">
            <w:pPr>
              <w:spacing w:after="0" w:line="240" w:lineRule="auto"/>
              <w:jc w:val="right"/>
              <w:rPr>
                <w:rFonts w:cs="Arial"/>
                <w:b/>
                <w:bCs/>
                <w:lang w:val="en-GB" w:eastAsia="en-GB"/>
              </w:rPr>
            </w:pPr>
            <w:r w:rsidRPr="00F53CED">
              <w:rPr>
                <w:rFonts w:cs="Arial"/>
                <w:b/>
                <w:bCs/>
                <w:lang w:val="en-GB" w:eastAsia="en-GB"/>
              </w:rPr>
              <w:t xml:space="preserve">          €</w:t>
            </w:r>
          </w:p>
        </w:tc>
      </w:tr>
      <w:tr w:rsidR="00141421" w:rsidRPr="00F53CED" w14:paraId="411103E9" w14:textId="77777777" w:rsidTr="00141421">
        <w:tblPrEx>
          <w:tblCellMar>
            <w:top w:w="0" w:type="dxa"/>
            <w:bottom w:w="0" w:type="dxa"/>
          </w:tblCellMar>
        </w:tblPrEx>
        <w:tc>
          <w:tcPr>
            <w:tcW w:w="8856" w:type="dxa"/>
            <w:gridSpan w:val="3"/>
            <w:shd w:val="clear" w:color="auto" w:fill="auto"/>
          </w:tcPr>
          <w:p w14:paraId="15654554" w14:textId="77777777" w:rsidR="004C5763" w:rsidRPr="00F53CED" w:rsidRDefault="004C5763" w:rsidP="004C5763">
            <w:pPr>
              <w:pStyle w:val="TableHead"/>
            </w:pPr>
            <w:r w:rsidRPr="00F53CED">
              <w:t xml:space="preserve">9(a) </w:t>
            </w:r>
            <w:proofErr w:type="spellStart"/>
            <w:r w:rsidRPr="00F53CED">
              <w:t>Imréiteach</w:t>
            </w:r>
            <w:proofErr w:type="spellEnd"/>
            <w:r w:rsidRPr="00F53CED">
              <w:t xml:space="preserve"> ar easnamh/don </w:t>
            </w:r>
            <w:proofErr w:type="spellStart"/>
            <w:r w:rsidRPr="00F53CED">
              <w:t>bhliainle</w:t>
            </w:r>
            <w:proofErr w:type="spellEnd"/>
            <w:r w:rsidRPr="00F53CED">
              <w:t xml:space="preserve"> </w:t>
            </w:r>
            <w:proofErr w:type="spellStart"/>
            <w:r w:rsidRPr="00F53CED">
              <w:t>hairgead</w:t>
            </w:r>
            <w:proofErr w:type="spellEnd"/>
            <w:r w:rsidRPr="00F53CED">
              <w:t xml:space="preserve"> ó ghníomhaíochtaí </w:t>
            </w:r>
          </w:p>
          <w:p w14:paraId="69216448" w14:textId="77777777" w:rsidR="00141421" w:rsidRPr="00F53CED" w:rsidRDefault="004C5763" w:rsidP="004C5763">
            <w:pPr>
              <w:pStyle w:val="TableHead"/>
              <w:jc w:val="center"/>
            </w:pPr>
            <w:r w:rsidRPr="00F53CED">
              <w:t>feidhmiúcháin</w:t>
            </w:r>
          </w:p>
        </w:tc>
      </w:tr>
      <w:tr w:rsidR="004C5763" w:rsidRPr="00F53CED" w14:paraId="183C22A1" w14:textId="77777777" w:rsidTr="00752687">
        <w:tblPrEx>
          <w:tblCellMar>
            <w:top w:w="0" w:type="dxa"/>
            <w:bottom w:w="0" w:type="dxa"/>
          </w:tblCellMar>
        </w:tblPrEx>
        <w:tc>
          <w:tcPr>
            <w:tcW w:w="5148" w:type="dxa"/>
            <w:shd w:val="clear" w:color="auto" w:fill="auto"/>
            <w:vAlign w:val="center"/>
          </w:tcPr>
          <w:p w14:paraId="44CFCEBF" w14:textId="77777777" w:rsidR="004C5763" w:rsidRPr="00F53CED" w:rsidRDefault="004C5763" w:rsidP="004C5763">
            <w:pPr>
              <w:pStyle w:val="TableRowHead"/>
            </w:pPr>
            <w:proofErr w:type="spellStart"/>
            <w:r w:rsidRPr="00F53CED">
              <w:t>Farasbar</w:t>
            </w:r>
            <w:proofErr w:type="spellEnd"/>
            <w:r w:rsidRPr="00F53CED">
              <w:t>/ (Easnamh) don tréimhse</w:t>
            </w:r>
          </w:p>
        </w:tc>
        <w:tc>
          <w:tcPr>
            <w:tcW w:w="1854" w:type="dxa"/>
            <w:shd w:val="clear" w:color="auto" w:fill="auto"/>
            <w:vAlign w:val="bottom"/>
          </w:tcPr>
          <w:p w14:paraId="733B4BB4"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115,010 </w:t>
            </w:r>
          </w:p>
        </w:tc>
        <w:tc>
          <w:tcPr>
            <w:tcW w:w="1854" w:type="dxa"/>
            <w:shd w:val="clear" w:color="auto" w:fill="auto"/>
            <w:vAlign w:val="bottom"/>
          </w:tcPr>
          <w:p w14:paraId="44D41BD2"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(30,968)</w:t>
            </w:r>
          </w:p>
        </w:tc>
      </w:tr>
      <w:tr w:rsidR="004C5763" w:rsidRPr="00F53CED" w14:paraId="6BF07504" w14:textId="77777777" w:rsidTr="00752687">
        <w:tblPrEx>
          <w:tblCellMar>
            <w:top w:w="0" w:type="dxa"/>
            <w:bottom w:w="0" w:type="dxa"/>
          </w:tblCellMar>
        </w:tblPrEx>
        <w:tc>
          <w:tcPr>
            <w:tcW w:w="5148" w:type="dxa"/>
            <w:shd w:val="clear" w:color="auto" w:fill="auto"/>
            <w:vAlign w:val="center"/>
          </w:tcPr>
          <w:p w14:paraId="56093E13" w14:textId="77777777" w:rsidR="004C5763" w:rsidRPr="00F53CED" w:rsidRDefault="004C5763" w:rsidP="004C5763">
            <w:pPr>
              <w:pStyle w:val="TableRowHead"/>
            </w:pPr>
            <w:proofErr w:type="spellStart"/>
            <w:r w:rsidRPr="00F53CED">
              <w:t>Coigeartú</w:t>
            </w:r>
            <w:proofErr w:type="spellEnd"/>
            <w:r w:rsidRPr="00F53CED">
              <w:t xml:space="preserve"> do mhíreanna </w:t>
            </w:r>
            <w:proofErr w:type="spellStart"/>
            <w:r w:rsidRPr="00F53CED">
              <w:t>neamhfheidhmiúcháin</w:t>
            </w:r>
            <w:proofErr w:type="spellEnd"/>
          </w:p>
        </w:tc>
        <w:tc>
          <w:tcPr>
            <w:tcW w:w="1854" w:type="dxa"/>
            <w:shd w:val="clear" w:color="auto" w:fill="auto"/>
            <w:vAlign w:val="bottom"/>
          </w:tcPr>
          <w:p w14:paraId="3B9F3299" w14:textId="77777777" w:rsidR="004C5763" w:rsidRPr="00F53CED" w:rsidRDefault="004C5763" w:rsidP="00141421">
            <w:pPr>
              <w:spacing w:after="0" w:line="240" w:lineRule="auto"/>
              <w:jc w:val="right"/>
              <w:rPr>
                <w:rFonts w:cs="Arial"/>
                <w:lang w:val="en-GB" w:eastAsia="en-GB"/>
              </w:rPr>
            </w:pPr>
          </w:p>
        </w:tc>
        <w:tc>
          <w:tcPr>
            <w:tcW w:w="1854" w:type="dxa"/>
            <w:shd w:val="clear" w:color="auto" w:fill="auto"/>
            <w:vAlign w:val="bottom"/>
          </w:tcPr>
          <w:p w14:paraId="6564ED4C" w14:textId="77777777" w:rsidR="004C5763" w:rsidRPr="00F53CED" w:rsidRDefault="004C5763" w:rsidP="00141421">
            <w:pPr>
              <w:spacing w:after="0" w:line="240" w:lineRule="auto"/>
              <w:jc w:val="right"/>
              <w:rPr>
                <w:rFonts w:cs="Arial"/>
                <w:lang w:val="en-GB" w:eastAsia="en-GB"/>
              </w:rPr>
            </w:pPr>
          </w:p>
        </w:tc>
      </w:tr>
      <w:tr w:rsidR="004C5763" w:rsidRPr="00F53CED" w14:paraId="2F1750E9" w14:textId="77777777" w:rsidTr="00752687">
        <w:tblPrEx>
          <w:tblCellMar>
            <w:top w:w="0" w:type="dxa"/>
            <w:bottom w:w="0" w:type="dxa"/>
          </w:tblCellMar>
        </w:tblPrEx>
        <w:tc>
          <w:tcPr>
            <w:tcW w:w="5148" w:type="dxa"/>
            <w:shd w:val="clear" w:color="auto" w:fill="auto"/>
            <w:vAlign w:val="center"/>
          </w:tcPr>
          <w:p w14:paraId="02C616B0" w14:textId="77777777" w:rsidR="004C5763" w:rsidRPr="00F53CED" w:rsidRDefault="004C5763" w:rsidP="004C5763">
            <w:pPr>
              <w:pStyle w:val="TableRowHead"/>
            </w:pPr>
            <w:proofErr w:type="spellStart"/>
            <w:r w:rsidRPr="00F53CED">
              <w:t>Ús</w:t>
            </w:r>
            <w:proofErr w:type="spellEnd"/>
            <w:r w:rsidRPr="00F53CED">
              <w:t xml:space="preserve"> Isteach</w:t>
            </w:r>
          </w:p>
        </w:tc>
        <w:tc>
          <w:tcPr>
            <w:tcW w:w="1854" w:type="dxa"/>
            <w:shd w:val="clear" w:color="auto" w:fill="auto"/>
            <w:vAlign w:val="bottom"/>
          </w:tcPr>
          <w:p w14:paraId="046117B6"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(1)</w:t>
            </w:r>
          </w:p>
        </w:tc>
        <w:tc>
          <w:tcPr>
            <w:tcW w:w="1854" w:type="dxa"/>
            <w:shd w:val="clear" w:color="auto" w:fill="auto"/>
            <w:vAlign w:val="bottom"/>
          </w:tcPr>
          <w:p w14:paraId="1BD75652"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(128)</w:t>
            </w:r>
          </w:p>
        </w:tc>
      </w:tr>
      <w:tr w:rsidR="004C5763" w:rsidRPr="00F53CED" w14:paraId="40CC9DFF" w14:textId="77777777" w:rsidTr="00752687">
        <w:tblPrEx>
          <w:tblCellMar>
            <w:top w:w="0" w:type="dxa"/>
            <w:bottom w:w="0" w:type="dxa"/>
          </w:tblCellMar>
        </w:tblPrEx>
        <w:tc>
          <w:tcPr>
            <w:tcW w:w="5148" w:type="dxa"/>
            <w:shd w:val="clear" w:color="auto" w:fill="auto"/>
            <w:vAlign w:val="center"/>
          </w:tcPr>
          <w:p w14:paraId="2C87D007" w14:textId="77777777" w:rsidR="004C5763" w:rsidRPr="00F53CED" w:rsidRDefault="004C5763" w:rsidP="004C5763">
            <w:pPr>
              <w:pStyle w:val="TableRowHead"/>
            </w:pPr>
            <w:r w:rsidRPr="00F53CED">
              <w:t xml:space="preserve">Gluaiseacht ar an </w:t>
            </w:r>
            <w:proofErr w:type="spellStart"/>
            <w:r w:rsidRPr="00F53CED">
              <w:t>gCuntas</w:t>
            </w:r>
            <w:proofErr w:type="spellEnd"/>
            <w:r w:rsidRPr="00F53CED">
              <w:t xml:space="preserve"> </w:t>
            </w:r>
            <w:proofErr w:type="spellStart"/>
            <w:r w:rsidRPr="00F53CED">
              <w:t>Caipitil</w:t>
            </w:r>
            <w:proofErr w:type="spellEnd"/>
            <w:r w:rsidRPr="00F53CED">
              <w:t xml:space="preserve"> </w:t>
            </w:r>
          </w:p>
        </w:tc>
        <w:tc>
          <w:tcPr>
            <w:tcW w:w="1854" w:type="dxa"/>
            <w:shd w:val="clear" w:color="auto" w:fill="auto"/>
            <w:vAlign w:val="bottom"/>
          </w:tcPr>
          <w:p w14:paraId="71446269"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(93,251)</w:t>
            </w:r>
          </w:p>
        </w:tc>
        <w:tc>
          <w:tcPr>
            <w:tcW w:w="1854" w:type="dxa"/>
            <w:shd w:val="clear" w:color="auto" w:fill="auto"/>
            <w:vAlign w:val="bottom"/>
          </w:tcPr>
          <w:p w14:paraId="678051BD"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(110,351)</w:t>
            </w:r>
          </w:p>
        </w:tc>
      </w:tr>
      <w:tr w:rsidR="004C5763" w:rsidRPr="00F53CED" w14:paraId="56D29A56" w14:textId="77777777" w:rsidTr="00752687">
        <w:tblPrEx>
          <w:tblCellMar>
            <w:top w:w="0" w:type="dxa"/>
            <w:bottom w:w="0" w:type="dxa"/>
          </w:tblCellMar>
        </w:tblPrEx>
        <w:tc>
          <w:tcPr>
            <w:tcW w:w="5148" w:type="dxa"/>
            <w:shd w:val="clear" w:color="auto" w:fill="auto"/>
            <w:vAlign w:val="center"/>
          </w:tcPr>
          <w:p w14:paraId="04D60D6B" w14:textId="77777777" w:rsidR="004C5763" w:rsidRPr="00F53CED" w:rsidRDefault="004C5763" w:rsidP="004C5763">
            <w:pPr>
              <w:pStyle w:val="TableRowHead"/>
            </w:pPr>
            <w:proofErr w:type="spellStart"/>
            <w:r w:rsidRPr="00F53CED">
              <w:t>Coigeartú</w:t>
            </w:r>
            <w:proofErr w:type="spellEnd"/>
            <w:r w:rsidRPr="00F53CED">
              <w:t xml:space="preserve"> do mhíreanna </w:t>
            </w:r>
            <w:proofErr w:type="spellStart"/>
            <w:r w:rsidRPr="00F53CED">
              <w:t>neamhairgid</w:t>
            </w:r>
            <w:proofErr w:type="spellEnd"/>
          </w:p>
        </w:tc>
        <w:tc>
          <w:tcPr>
            <w:tcW w:w="1854" w:type="dxa"/>
            <w:shd w:val="clear" w:color="auto" w:fill="auto"/>
            <w:vAlign w:val="bottom"/>
          </w:tcPr>
          <w:p w14:paraId="22CD63D1" w14:textId="77777777" w:rsidR="004C5763" w:rsidRPr="00F53CED" w:rsidRDefault="004C5763" w:rsidP="00141421">
            <w:pPr>
              <w:spacing w:after="0" w:line="240" w:lineRule="auto"/>
              <w:jc w:val="right"/>
              <w:rPr>
                <w:rFonts w:cs="Arial"/>
                <w:lang w:val="en-GB" w:eastAsia="en-GB"/>
              </w:rPr>
            </w:pPr>
          </w:p>
        </w:tc>
        <w:tc>
          <w:tcPr>
            <w:tcW w:w="1854" w:type="dxa"/>
            <w:shd w:val="clear" w:color="auto" w:fill="auto"/>
            <w:vAlign w:val="bottom"/>
          </w:tcPr>
          <w:p w14:paraId="3C7B0744" w14:textId="77777777" w:rsidR="004C5763" w:rsidRPr="00F53CED" w:rsidRDefault="004C5763" w:rsidP="00141421">
            <w:pPr>
              <w:spacing w:after="0" w:line="240" w:lineRule="auto"/>
              <w:jc w:val="right"/>
              <w:rPr>
                <w:rFonts w:cs="Arial"/>
                <w:lang w:val="en-GB" w:eastAsia="en-GB"/>
              </w:rPr>
            </w:pPr>
          </w:p>
        </w:tc>
      </w:tr>
      <w:tr w:rsidR="004C5763" w:rsidRPr="00F53CED" w14:paraId="638129CB" w14:textId="77777777" w:rsidTr="00752687">
        <w:tblPrEx>
          <w:tblCellMar>
            <w:top w:w="0" w:type="dxa"/>
            <w:bottom w:w="0" w:type="dxa"/>
          </w:tblCellMar>
        </w:tblPrEx>
        <w:tc>
          <w:tcPr>
            <w:tcW w:w="5148" w:type="dxa"/>
            <w:shd w:val="clear" w:color="auto" w:fill="auto"/>
            <w:vAlign w:val="center"/>
          </w:tcPr>
          <w:p w14:paraId="6877BEE4" w14:textId="77777777" w:rsidR="004C5763" w:rsidRPr="00F53CED" w:rsidRDefault="004C5763" w:rsidP="004C5763">
            <w:pPr>
              <w:pStyle w:val="TableRowHead"/>
            </w:pPr>
            <w:proofErr w:type="spellStart"/>
            <w:r w:rsidRPr="00F53CED">
              <w:t>Dímheas</w:t>
            </w:r>
            <w:proofErr w:type="spellEnd"/>
          </w:p>
        </w:tc>
        <w:tc>
          <w:tcPr>
            <w:tcW w:w="1854" w:type="dxa"/>
            <w:shd w:val="clear" w:color="auto" w:fill="auto"/>
            <w:vAlign w:val="bottom"/>
          </w:tcPr>
          <w:p w14:paraId="54E30F03"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96,980 </w:t>
            </w:r>
          </w:p>
        </w:tc>
        <w:tc>
          <w:tcPr>
            <w:tcW w:w="1854" w:type="dxa"/>
            <w:shd w:val="clear" w:color="auto" w:fill="auto"/>
            <w:vAlign w:val="bottom"/>
          </w:tcPr>
          <w:p w14:paraId="25C3CC4B"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112,176 </w:t>
            </w:r>
          </w:p>
        </w:tc>
      </w:tr>
      <w:tr w:rsidR="004C5763" w:rsidRPr="00F53CED" w14:paraId="20376BDA" w14:textId="77777777" w:rsidTr="00752687">
        <w:tblPrEx>
          <w:tblCellMar>
            <w:top w:w="0" w:type="dxa"/>
            <w:bottom w:w="0" w:type="dxa"/>
          </w:tblCellMar>
        </w:tblPrEx>
        <w:tc>
          <w:tcPr>
            <w:tcW w:w="5148" w:type="dxa"/>
            <w:shd w:val="clear" w:color="auto" w:fill="auto"/>
            <w:vAlign w:val="center"/>
          </w:tcPr>
          <w:p w14:paraId="6D2D34B3" w14:textId="77777777" w:rsidR="004C5763" w:rsidRPr="00F53CED" w:rsidRDefault="004C5763" w:rsidP="004C5763">
            <w:pPr>
              <w:pStyle w:val="TableRowHead"/>
            </w:pPr>
            <w:r w:rsidRPr="00F53CED">
              <w:t xml:space="preserve">Athrú </w:t>
            </w:r>
            <w:proofErr w:type="spellStart"/>
            <w:r w:rsidRPr="00F53CED">
              <w:t>Féichiúnaithe</w:t>
            </w:r>
            <w:proofErr w:type="spellEnd"/>
            <w:r w:rsidRPr="00F53CED">
              <w:t xml:space="preserve"> </w:t>
            </w:r>
          </w:p>
        </w:tc>
        <w:tc>
          <w:tcPr>
            <w:tcW w:w="1854" w:type="dxa"/>
            <w:shd w:val="clear" w:color="auto" w:fill="auto"/>
            <w:vAlign w:val="bottom"/>
          </w:tcPr>
          <w:p w14:paraId="7A4B9CB4"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(2,575)</w:t>
            </w:r>
          </w:p>
        </w:tc>
        <w:tc>
          <w:tcPr>
            <w:tcW w:w="1854" w:type="dxa"/>
            <w:shd w:val="clear" w:color="auto" w:fill="auto"/>
            <w:vAlign w:val="bottom"/>
          </w:tcPr>
          <w:p w14:paraId="41C791F6"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173,598 </w:t>
            </w:r>
          </w:p>
        </w:tc>
      </w:tr>
      <w:tr w:rsidR="004C5763" w:rsidRPr="00F53CED" w14:paraId="7414409A" w14:textId="77777777" w:rsidTr="00752687">
        <w:tblPrEx>
          <w:tblCellMar>
            <w:top w:w="0" w:type="dxa"/>
            <w:bottom w:w="0" w:type="dxa"/>
          </w:tblCellMar>
        </w:tblPrEx>
        <w:tc>
          <w:tcPr>
            <w:tcW w:w="5148" w:type="dxa"/>
            <w:shd w:val="clear" w:color="auto" w:fill="auto"/>
            <w:vAlign w:val="center"/>
          </w:tcPr>
          <w:p w14:paraId="093149BD" w14:textId="77777777" w:rsidR="004C5763" w:rsidRPr="00F53CED" w:rsidRDefault="004C5763" w:rsidP="004C5763">
            <w:pPr>
              <w:pStyle w:val="TableRowHead"/>
            </w:pPr>
            <w:r w:rsidRPr="00F53CED">
              <w:t xml:space="preserve">Athrú </w:t>
            </w:r>
            <w:proofErr w:type="spellStart"/>
            <w:r w:rsidRPr="00F53CED">
              <w:t>Creidmheasóirí</w:t>
            </w:r>
            <w:proofErr w:type="spellEnd"/>
            <w:r w:rsidRPr="00F53CED">
              <w:t xml:space="preserve"> </w:t>
            </w:r>
          </w:p>
        </w:tc>
        <w:tc>
          <w:tcPr>
            <w:tcW w:w="1854" w:type="dxa"/>
            <w:shd w:val="clear" w:color="auto" w:fill="auto"/>
            <w:vAlign w:val="bottom"/>
          </w:tcPr>
          <w:p w14:paraId="42E68C56"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(143,200)</w:t>
            </w:r>
          </w:p>
        </w:tc>
        <w:tc>
          <w:tcPr>
            <w:tcW w:w="1854" w:type="dxa"/>
            <w:shd w:val="clear" w:color="auto" w:fill="auto"/>
            <w:vAlign w:val="bottom"/>
          </w:tcPr>
          <w:p w14:paraId="21A28D52"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(233,287)</w:t>
            </w:r>
          </w:p>
        </w:tc>
      </w:tr>
      <w:tr w:rsidR="004C5763" w:rsidRPr="00F53CED" w14:paraId="63DE1122" w14:textId="77777777" w:rsidTr="00752687">
        <w:tblPrEx>
          <w:tblCellMar>
            <w:top w:w="0" w:type="dxa"/>
            <w:bottom w:w="0" w:type="dxa"/>
          </w:tblCellMar>
        </w:tblPrEx>
        <w:tc>
          <w:tcPr>
            <w:tcW w:w="5148" w:type="dxa"/>
            <w:shd w:val="clear" w:color="auto" w:fill="auto"/>
            <w:vAlign w:val="center"/>
          </w:tcPr>
          <w:p w14:paraId="47FF4E87" w14:textId="77777777" w:rsidR="004C5763" w:rsidRPr="00F53CED" w:rsidRDefault="004C5763" w:rsidP="004C5763">
            <w:pPr>
              <w:pStyle w:val="TableRowHead"/>
            </w:pPr>
            <w:r w:rsidRPr="00F53CED">
              <w:t>Airgead ó Ghníomhaíochtaí Feidhmiúcháin</w:t>
            </w:r>
          </w:p>
        </w:tc>
        <w:tc>
          <w:tcPr>
            <w:tcW w:w="1854" w:type="dxa"/>
            <w:shd w:val="clear" w:color="auto" w:fill="auto"/>
            <w:vAlign w:val="bottom"/>
          </w:tcPr>
          <w:p w14:paraId="2874712D"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(27,036)</w:t>
            </w:r>
          </w:p>
        </w:tc>
        <w:tc>
          <w:tcPr>
            <w:tcW w:w="1854" w:type="dxa"/>
            <w:shd w:val="clear" w:color="auto" w:fill="auto"/>
            <w:vAlign w:val="bottom"/>
          </w:tcPr>
          <w:p w14:paraId="1626A6EA"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(88,960)</w:t>
            </w:r>
          </w:p>
        </w:tc>
      </w:tr>
      <w:tr w:rsidR="004C5763" w:rsidRPr="00F53CED" w14:paraId="28672A34" w14:textId="77777777" w:rsidTr="00752687">
        <w:tblPrEx>
          <w:tblCellMar>
            <w:top w:w="0" w:type="dxa"/>
            <w:bottom w:w="0" w:type="dxa"/>
          </w:tblCellMar>
        </w:tblPrEx>
        <w:tc>
          <w:tcPr>
            <w:tcW w:w="8856" w:type="dxa"/>
            <w:gridSpan w:val="3"/>
            <w:shd w:val="clear" w:color="auto" w:fill="auto"/>
            <w:vAlign w:val="center"/>
          </w:tcPr>
          <w:p w14:paraId="5944330C" w14:textId="77777777" w:rsidR="004C5763" w:rsidRPr="00F53CED" w:rsidRDefault="004C5763" w:rsidP="004C5763">
            <w:pPr>
              <w:pStyle w:val="TableHead"/>
              <w:jc w:val="center"/>
            </w:pPr>
            <w:r w:rsidRPr="00F53CED">
              <w:t xml:space="preserve">9(b) </w:t>
            </w:r>
            <w:proofErr w:type="spellStart"/>
            <w:r w:rsidRPr="00F53CED">
              <w:t>Imréiteaach</w:t>
            </w:r>
            <w:proofErr w:type="spellEnd"/>
            <w:r w:rsidRPr="00F53CED">
              <w:t xml:space="preserve"> ar </w:t>
            </w:r>
            <w:proofErr w:type="spellStart"/>
            <w:r w:rsidRPr="00F53CED">
              <w:t>shreabhadh</w:t>
            </w:r>
            <w:proofErr w:type="spellEnd"/>
            <w:r w:rsidRPr="00F53CED">
              <w:t xml:space="preserve"> airgid go gluaiseacht i </w:t>
            </w:r>
            <w:proofErr w:type="spellStart"/>
            <w:r w:rsidRPr="00F53CED">
              <w:t>gcistíocht</w:t>
            </w:r>
            <w:proofErr w:type="spellEnd"/>
            <w:r w:rsidRPr="00F53CED">
              <w:t xml:space="preserve"> ghlan</w:t>
            </w:r>
          </w:p>
        </w:tc>
      </w:tr>
      <w:tr w:rsidR="004C5763" w:rsidRPr="00F53CED" w14:paraId="1E7E1394" w14:textId="77777777" w:rsidTr="00752687">
        <w:tblPrEx>
          <w:tblCellMar>
            <w:top w:w="0" w:type="dxa"/>
            <w:bottom w:w="0" w:type="dxa"/>
          </w:tblCellMar>
        </w:tblPrEx>
        <w:tc>
          <w:tcPr>
            <w:tcW w:w="5148" w:type="dxa"/>
            <w:shd w:val="clear" w:color="auto" w:fill="auto"/>
            <w:vAlign w:val="center"/>
          </w:tcPr>
          <w:p w14:paraId="18CAD460" w14:textId="77777777" w:rsidR="004C5763" w:rsidRPr="00F53CED" w:rsidRDefault="004C5763" w:rsidP="004C5763">
            <w:pPr>
              <w:pStyle w:val="TableRowHead"/>
              <w:rPr>
                <w:rFonts w:eastAsia="SimSun"/>
              </w:rPr>
            </w:pPr>
            <w:proofErr w:type="spellStart"/>
            <w:r w:rsidRPr="00F53CED">
              <w:t>Glanchistí</w:t>
            </w:r>
            <w:proofErr w:type="spellEnd"/>
            <w:r w:rsidRPr="00F53CED">
              <w:t xml:space="preserve"> amhail </w:t>
            </w:r>
            <w:proofErr w:type="gramStart"/>
            <w:r w:rsidRPr="00F53CED">
              <w:t>an</w:t>
            </w:r>
            <w:proofErr w:type="gramEnd"/>
            <w:r w:rsidRPr="00F53CED">
              <w:t xml:space="preserve"> 31 Nollaig 200</w:t>
            </w:r>
            <w:r w:rsidRPr="00F53CED">
              <w:rPr>
                <w:rFonts w:eastAsia="SimSun"/>
              </w:rPr>
              <w:t>9</w:t>
            </w:r>
          </w:p>
        </w:tc>
        <w:tc>
          <w:tcPr>
            <w:tcW w:w="1854" w:type="dxa"/>
            <w:shd w:val="clear" w:color="auto" w:fill="auto"/>
            <w:vAlign w:val="bottom"/>
          </w:tcPr>
          <w:p w14:paraId="3842254B"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31,065 </w:t>
            </w:r>
          </w:p>
        </w:tc>
        <w:tc>
          <w:tcPr>
            <w:tcW w:w="1854" w:type="dxa"/>
            <w:shd w:val="clear" w:color="auto" w:fill="auto"/>
            <w:vAlign w:val="bottom"/>
          </w:tcPr>
          <w:p w14:paraId="5C9D6D7C"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121,722 </w:t>
            </w:r>
          </w:p>
        </w:tc>
      </w:tr>
      <w:tr w:rsidR="004C5763" w:rsidRPr="00F53CED" w14:paraId="7A485195" w14:textId="77777777" w:rsidTr="00F53CED">
        <w:tblPrEx>
          <w:tblCellMar>
            <w:top w:w="0" w:type="dxa"/>
            <w:bottom w:w="0" w:type="dxa"/>
          </w:tblCellMar>
        </w:tblPrEx>
        <w:trPr>
          <w:trHeight w:val="123"/>
        </w:trPr>
        <w:tc>
          <w:tcPr>
            <w:tcW w:w="5148" w:type="dxa"/>
            <w:shd w:val="clear" w:color="auto" w:fill="auto"/>
            <w:vAlign w:val="center"/>
          </w:tcPr>
          <w:p w14:paraId="65C1CCF6" w14:textId="77777777" w:rsidR="004C5763" w:rsidRPr="00F53CED" w:rsidRDefault="004C5763" w:rsidP="004C5763">
            <w:pPr>
              <w:pStyle w:val="TableRowHead"/>
              <w:rPr>
                <w:rFonts w:eastAsia="SimSun"/>
              </w:rPr>
            </w:pPr>
            <w:r w:rsidRPr="00F53CED">
              <w:t xml:space="preserve">Laghdú in Airgead </w:t>
            </w:r>
            <w:proofErr w:type="spellStart"/>
            <w:r w:rsidRPr="00F53CED">
              <w:t>Tirim</w:t>
            </w:r>
            <w:proofErr w:type="spellEnd"/>
          </w:p>
        </w:tc>
        <w:tc>
          <w:tcPr>
            <w:tcW w:w="1854" w:type="dxa"/>
            <w:shd w:val="clear" w:color="auto" w:fill="auto"/>
            <w:vAlign w:val="bottom"/>
          </w:tcPr>
          <w:p w14:paraId="56E0DC0C"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(30,764)</w:t>
            </w:r>
          </w:p>
        </w:tc>
        <w:tc>
          <w:tcPr>
            <w:tcW w:w="1854" w:type="dxa"/>
            <w:shd w:val="clear" w:color="auto" w:fill="auto"/>
            <w:vAlign w:val="bottom"/>
          </w:tcPr>
          <w:p w14:paraId="0B669AAB"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(90,657)</w:t>
            </w:r>
          </w:p>
        </w:tc>
      </w:tr>
      <w:tr w:rsidR="004C5763" w:rsidRPr="00F53CED" w14:paraId="62091E6D" w14:textId="77777777" w:rsidTr="00752687">
        <w:tblPrEx>
          <w:tblCellMar>
            <w:top w:w="0" w:type="dxa"/>
            <w:bottom w:w="0" w:type="dxa"/>
          </w:tblCellMar>
        </w:tblPrEx>
        <w:tc>
          <w:tcPr>
            <w:tcW w:w="5148" w:type="dxa"/>
            <w:shd w:val="clear" w:color="auto" w:fill="auto"/>
            <w:vAlign w:val="center"/>
          </w:tcPr>
          <w:p w14:paraId="436EBB90" w14:textId="77777777" w:rsidR="004C5763" w:rsidRPr="00F53CED" w:rsidRDefault="004C5763" w:rsidP="004C5763">
            <w:pPr>
              <w:pStyle w:val="TableRowHead"/>
              <w:rPr>
                <w:rFonts w:eastAsia="SimSun"/>
              </w:rPr>
            </w:pPr>
            <w:proofErr w:type="spellStart"/>
            <w:r w:rsidRPr="00F53CED">
              <w:t>Glanchistí</w:t>
            </w:r>
            <w:proofErr w:type="spellEnd"/>
            <w:r w:rsidRPr="00F53CED">
              <w:t xml:space="preserve"> amhail </w:t>
            </w:r>
            <w:proofErr w:type="gramStart"/>
            <w:r w:rsidRPr="00F53CED">
              <w:t>an</w:t>
            </w:r>
            <w:proofErr w:type="gramEnd"/>
            <w:r w:rsidRPr="00F53CED">
              <w:t xml:space="preserve"> 31 Nollaig 2010</w:t>
            </w:r>
          </w:p>
        </w:tc>
        <w:tc>
          <w:tcPr>
            <w:tcW w:w="1854" w:type="dxa"/>
            <w:shd w:val="clear" w:color="auto" w:fill="auto"/>
            <w:vAlign w:val="bottom"/>
          </w:tcPr>
          <w:p w14:paraId="0A1E55AA"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301 </w:t>
            </w:r>
          </w:p>
        </w:tc>
        <w:tc>
          <w:tcPr>
            <w:tcW w:w="1854" w:type="dxa"/>
            <w:shd w:val="clear" w:color="auto" w:fill="auto"/>
            <w:vAlign w:val="bottom"/>
          </w:tcPr>
          <w:p w14:paraId="48C8FFC6" w14:textId="77777777" w:rsidR="004C5763" w:rsidRPr="00F53CED" w:rsidRDefault="004C5763" w:rsidP="00141421">
            <w:pPr>
              <w:spacing w:after="0" w:line="240" w:lineRule="auto"/>
              <w:jc w:val="right"/>
              <w:rPr>
                <w:rFonts w:cs="Arial"/>
                <w:lang w:val="en-GB" w:eastAsia="en-GB"/>
              </w:rPr>
            </w:pPr>
            <w:r w:rsidRPr="00F53CED">
              <w:rPr>
                <w:rFonts w:cs="Arial"/>
                <w:lang w:val="en-GB" w:eastAsia="en-GB"/>
              </w:rPr>
              <w:t xml:space="preserve">31,065 </w:t>
            </w:r>
          </w:p>
        </w:tc>
      </w:tr>
    </w:tbl>
    <w:p w14:paraId="12E13117" w14:textId="77777777" w:rsidR="00141421" w:rsidRPr="00B22912" w:rsidRDefault="00141421" w:rsidP="00141421">
      <w:pPr>
        <w:pStyle w:val="Heading3"/>
        <w:rPr>
          <w:lang w:val="en-GB" w:eastAsia="en-GB"/>
        </w:rPr>
      </w:pPr>
      <w:r w:rsidRPr="00B22912">
        <w:rPr>
          <w:lang w:val="en-GB" w:eastAsia="en-GB"/>
        </w:rPr>
        <w:t xml:space="preserve">10. </w:t>
      </w:r>
      <w:proofErr w:type="spellStart"/>
      <w:r w:rsidR="004C5763">
        <w:t>Aoisliúntas</w:t>
      </w:r>
      <w:proofErr w:type="spellEnd"/>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6424EBA3" w14:textId="77777777" w:rsidR="004C5763" w:rsidRDefault="004C5763" w:rsidP="00141421">
      <w:r>
        <w:t xml:space="preserve">Faoi Acht Údarás Náisiúnta </w:t>
      </w:r>
      <w:proofErr w:type="spellStart"/>
      <w:r>
        <w:t>Míchumais</w:t>
      </w:r>
      <w:proofErr w:type="spellEnd"/>
      <w:r>
        <w:t xml:space="preserve"> 1999, déanfaidh an </w:t>
      </w:r>
      <w:proofErr w:type="spellStart"/>
      <w:r>
        <w:t>tÚdarás</w:t>
      </w:r>
      <w:proofErr w:type="spellEnd"/>
      <w:r>
        <w:t xml:space="preserve">, le </w:t>
      </w:r>
      <w:proofErr w:type="spellStart"/>
      <w:r>
        <w:t>faomhadh</w:t>
      </w:r>
      <w:proofErr w:type="spellEnd"/>
      <w:r>
        <w:t xml:space="preserve"> an Aire Dlí agus Cirt </w:t>
      </w:r>
      <w:proofErr w:type="spellStart"/>
      <w:r>
        <w:t>Comhionannais</w:t>
      </w:r>
      <w:proofErr w:type="spellEnd"/>
      <w:r>
        <w:t xml:space="preserve"> agus Athchóirithe Dlí agus le </w:t>
      </w:r>
      <w:proofErr w:type="spellStart"/>
      <w:r>
        <w:t>toiliú</w:t>
      </w:r>
      <w:proofErr w:type="spellEnd"/>
      <w:r>
        <w:t xml:space="preserve"> an Aire Airgeadais, scéim nó scéimeanna chun </w:t>
      </w:r>
      <w:proofErr w:type="spellStart"/>
      <w:r>
        <w:t>sochair</w:t>
      </w:r>
      <w:proofErr w:type="spellEnd"/>
      <w:r>
        <w:t xml:space="preserve"> </w:t>
      </w:r>
      <w:proofErr w:type="spellStart"/>
      <w:r>
        <w:t>aoisliúntais</w:t>
      </w:r>
      <w:proofErr w:type="spellEnd"/>
      <w:r>
        <w:t xml:space="preserve"> a </w:t>
      </w:r>
      <w:proofErr w:type="spellStart"/>
      <w:r>
        <w:t>dheonadh</w:t>
      </w:r>
      <w:proofErr w:type="spellEnd"/>
      <w:r>
        <w:t>. do nó i leith ball den bhfoireann, ag áireamh Stiúrthóir an Údaráis.</w:t>
      </w:r>
    </w:p>
    <w:p w14:paraId="7770B377" w14:textId="77777777" w:rsidR="004C5763" w:rsidRDefault="004C5763" w:rsidP="00141421">
      <w:r>
        <w:t xml:space="preserve">Tá Scéim </w:t>
      </w:r>
      <w:proofErr w:type="spellStart"/>
      <w:r>
        <w:t>Eiseamlárach</w:t>
      </w:r>
      <w:proofErr w:type="spellEnd"/>
      <w:r>
        <w:t xml:space="preserve"> </w:t>
      </w:r>
      <w:proofErr w:type="spellStart"/>
      <w:r>
        <w:t>dréachtaithe</w:t>
      </w:r>
      <w:proofErr w:type="spellEnd"/>
      <w:r>
        <w:t xml:space="preserve"> agus ar feitheamh le </w:t>
      </w:r>
      <w:proofErr w:type="spellStart"/>
      <w:r>
        <w:t>faomhadh</w:t>
      </w:r>
      <w:proofErr w:type="spellEnd"/>
      <w:r>
        <w:t xml:space="preserve"> ón Roinn Dlí agus Cirt, </w:t>
      </w:r>
      <w:proofErr w:type="spellStart"/>
      <w:r>
        <w:t>Comhionnanais</w:t>
      </w:r>
      <w:proofErr w:type="spellEnd"/>
      <w:r>
        <w:t xml:space="preserve"> agus Athchóirithe Dlí agus an Roinn</w:t>
      </w:r>
      <w:r>
        <w:br/>
        <w:t>Airgeadais.</w:t>
      </w:r>
    </w:p>
    <w:p w14:paraId="39A1C19C" w14:textId="77777777" w:rsidR="00594740" w:rsidRDefault="004C5763" w:rsidP="00594740">
      <w:proofErr w:type="spellStart"/>
      <w:r>
        <w:t>Feidhmíonn</w:t>
      </w:r>
      <w:proofErr w:type="spellEnd"/>
      <w:r>
        <w:t xml:space="preserve"> an Údarás Náisiúnta </w:t>
      </w:r>
      <w:proofErr w:type="spellStart"/>
      <w:r>
        <w:t>Míchumais</w:t>
      </w:r>
      <w:proofErr w:type="spellEnd"/>
      <w:r>
        <w:t xml:space="preserve"> scéimeanna </w:t>
      </w:r>
      <w:proofErr w:type="spellStart"/>
      <w:r>
        <w:t>sainithe</w:t>
      </w:r>
      <w:proofErr w:type="spellEnd"/>
      <w:r>
        <w:t xml:space="preserve"> </w:t>
      </w:r>
      <w:proofErr w:type="spellStart"/>
      <w:r>
        <w:t>eamhchistithe</w:t>
      </w:r>
      <w:proofErr w:type="spellEnd"/>
      <w:r>
        <w:t xml:space="preserve"> </w:t>
      </w:r>
      <w:proofErr w:type="spellStart"/>
      <w:r>
        <w:t>sochair</w:t>
      </w:r>
      <w:proofErr w:type="spellEnd"/>
      <w:r>
        <w:t xml:space="preserve"> </w:t>
      </w:r>
      <w:proofErr w:type="spellStart"/>
      <w:r>
        <w:t>aoisliúntais</w:t>
      </w:r>
      <w:proofErr w:type="spellEnd"/>
      <w:r>
        <w:t xml:space="preserve"> don bhfoireann. </w:t>
      </w:r>
      <w:r w:rsidR="00594740" w:rsidRPr="00185FCF">
        <w:rPr>
          <w:lang w:val="en-GB" w:eastAsia="en-GB"/>
        </w:rPr>
        <w:t xml:space="preserve">Íoctar </w:t>
      </w:r>
      <w:proofErr w:type="spellStart"/>
      <w:r w:rsidR="00594740" w:rsidRPr="00185FCF">
        <w:rPr>
          <w:lang w:val="en-GB" w:eastAsia="en-GB"/>
        </w:rPr>
        <w:t>teidlíochtaí</w:t>
      </w:r>
      <w:proofErr w:type="spellEnd"/>
      <w:r w:rsidR="00594740" w:rsidRPr="00185FCF">
        <w:rPr>
          <w:lang w:val="en-GB" w:eastAsia="en-GB"/>
        </w:rPr>
        <w:t xml:space="preserve"> </w:t>
      </w:r>
      <w:proofErr w:type="spellStart"/>
      <w:r w:rsidR="00594740" w:rsidRPr="00185FCF">
        <w:rPr>
          <w:lang w:val="en-GB" w:eastAsia="en-GB"/>
        </w:rPr>
        <w:t>aoisliúntais</w:t>
      </w:r>
      <w:proofErr w:type="spellEnd"/>
      <w:r w:rsidR="00594740" w:rsidRPr="00185FCF">
        <w:rPr>
          <w:lang w:val="en-GB" w:eastAsia="en-GB"/>
        </w:rPr>
        <w:t xml:space="preserve"> a thagann chun cinn faoi na scéimeanna amach as ioncam reatha agus déantar iad a chur de </w:t>
      </w:r>
      <w:proofErr w:type="spellStart"/>
      <w:r w:rsidR="00594740" w:rsidRPr="00185FCF">
        <w:rPr>
          <w:lang w:val="en-GB" w:eastAsia="en-GB"/>
        </w:rPr>
        <w:t>mhuirear</w:t>
      </w:r>
      <w:proofErr w:type="spellEnd"/>
      <w:r w:rsidR="00594740" w:rsidRPr="00185FCF">
        <w:rPr>
          <w:lang w:val="en-GB" w:eastAsia="en-GB"/>
        </w:rPr>
        <w:t xml:space="preserve"> ar an </w:t>
      </w:r>
      <w:proofErr w:type="spellStart"/>
      <w:r w:rsidR="00594740" w:rsidRPr="00185FCF">
        <w:rPr>
          <w:lang w:val="en-GB" w:eastAsia="en-GB"/>
        </w:rPr>
        <w:t>gCuntas</w:t>
      </w:r>
      <w:proofErr w:type="spellEnd"/>
      <w:r w:rsidR="00594740" w:rsidRPr="00185FCF">
        <w:rPr>
          <w:lang w:val="en-GB" w:eastAsia="en-GB"/>
        </w:rPr>
        <w:t xml:space="preserve"> Ioncaim </w:t>
      </w:r>
      <w:r w:rsidR="00594740" w:rsidRPr="00185FCF">
        <w:rPr>
          <w:lang w:val="en-GB" w:eastAsia="en-GB"/>
        </w:rPr>
        <w:lastRenderedPageBreak/>
        <w:t xml:space="preserve">agus </w:t>
      </w:r>
      <w:proofErr w:type="spellStart"/>
      <w:r w:rsidR="00594740" w:rsidRPr="00185FCF">
        <w:rPr>
          <w:lang w:val="en-GB" w:eastAsia="en-GB"/>
        </w:rPr>
        <w:t>Caiteachais</w:t>
      </w:r>
      <w:proofErr w:type="spellEnd"/>
      <w:r w:rsidR="00594740" w:rsidRPr="00185FCF">
        <w:rPr>
          <w:lang w:val="en-GB" w:eastAsia="en-GB"/>
        </w:rPr>
        <w:t xml:space="preserve">, glan ar </w:t>
      </w:r>
      <w:proofErr w:type="spellStart"/>
      <w:r w:rsidR="00594740" w:rsidRPr="00185FCF">
        <w:rPr>
          <w:lang w:val="en-GB" w:eastAsia="en-GB"/>
        </w:rPr>
        <w:t>ranníocaíochtaí</w:t>
      </w:r>
      <w:proofErr w:type="spellEnd"/>
      <w:r w:rsidR="00594740" w:rsidRPr="00185FCF">
        <w:rPr>
          <w:lang w:val="en-GB" w:eastAsia="en-GB"/>
        </w:rPr>
        <w:t xml:space="preserve"> </w:t>
      </w:r>
      <w:proofErr w:type="spellStart"/>
      <w:r w:rsidR="00594740" w:rsidRPr="00185FCF">
        <w:rPr>
          <w:lang w:val="en-GB" w:eastAsia="en-GB"/>
        </w:rPr>
        <w:t>aoisliúntais</w:t>
      </w:r>
      <w:proofErr w:type="spellEnd"/>
      <w:r w:rsidR="00594740" w:rsidRPr="00185FCF">
        <w:rPr>
          <w:lang w:val="en-GB" w:eastAsia="en-GB"/>
        </w:rPr>
        <w:t xml:space="preserve"> fostaithe, sa bhliain ina mbeidh siad </w:t>
      </w:r>
      <w:proofErr w:type="spellStart"/>
      <w:r w:rsidR="00594740" w:rsidRPr="00185FCF">
        <w:rPr>
          <w:lang w:val="en-GB" w:eastAsia="en-GB"/>
        </w:rPr>
        <w:t>iníoctha</w:t>
      </w:r>
      <w:proofErr w:type="spellEnd"/>
      <w:r w:rsidR="00594740" w:rsidRPr="00185FCF">
        <w:rPr>
          <w:lang w:val="en-GB" w:eastAsia="en-GB"/>
        </w:rPr>
        <w:t>.</w:t>
      </w:r>
    </w:p>
    <w:p w14:paraId="0D8D4E60" w14:textId="77777777" w:rsidR="004C5763" w:rsidRDefault="004C5763" w:rsidP="004C5763">
      <w:r>
        <w:t xml:space="preserve">I láthair na huaire faigheann baill foirne a bhí fostaithe roimhe seo ag an mBord Náisiúnta </w:t>
      </w:r>
      <w:proofErr w:type="spellStart"/>
      <w:proofErr w:type="gramStart"/>
      <w:r>
        <w:t>Athshlánúcháin</w:t>
      </w:r>
      <w:proofErr w:type="spellEnd"/>
      <w:r>
        <w:t>(</w:t>
      </w:r>
      <w:proofErr w:type="gramEnd"/>
      <w:r>
        <w:t xml:space="preserve">BNA) a théann ar scor </w:t>
      </w:r>
      <w:proofErr w:type="spellStart"/>
      <w:r>
        <w:t>sochair</w:t>
      </w:r>
      <w:proofErr w:type="spellEnd"/>
      <w:r>
        <w:t xml:space="preserve"> </w:t>
      </w:r>
      <w:proofErr w:type="spellStart"/>
      <w:r>
        <w:t>aoisliúntais</w:t>
      </w:r>
      <w:proofErr w:type="spellEnd"/>
      <w:r>
        <w:t xml:space="preserve"> faoi théarmaí na </w:t>
      </w:r>
      <w:proofErr w:type="spellStart"/>
      <w:r>
        <w:t>Scéime</w:t>
      </w:r>
      <w:proofErr w:type="spellEnd"/>
      <w:r>
        <w:t xml:space="preserve"> </w:t>
      </w:r>
      <w:proofErr w:type="spellStart"/>
      <w:r>
        <w:t>Aoisliúntais</w:t>
      </w:r>
      <w:proofErr w:type="spellEnd"/>
      <w:r>
        <w:t xml:space="preserve"> Rialtais Áitiúil. Faigheann baill </w:t>
      </w:r>
      <w:proofErr w:type="spellStart"/>
      <w:r>
        <w:t>fhoirne</w:t>
      </w:r>
      <w:proofErr w:type="spellEnd"/>
      <w:r>
        <w:t xml:space="preserve"> a </w:t>
      </w:r>
      <w:proofErr w:type="spellStart"/>
      <w:r>
        <w:t>d'fhostaigh</w:t>
      </w:r>
      <w:proofErr w:type="spellEnd"/>
      <w:r>
        <w:t xml:space="preserve"> an ÚNM tar éis a </w:t>
      </w:r>
      <w:proofErr w:type="spellStart"/>
      <w:r>
        <w:t>bhunaithe</w:t>
      </w:r>
      <w:proofErr w:type="spellEnd"/>
      <w:r>
        <w:t xml:space="preserve"> agus a théann ar scor </w:t>
      </w:r>
      <w:proofErr w:type="spellStart"/>
      <w:r>
        <w:t>sochair</w:t>
      </w:r>
      <w:proofErr w:type="spellEnd"/>
      <w:r>
        <w:t xml:space="preserve"> ag teacht </w:t>
      </w:r>
      <w:proofErr w:type="spellStart"/>
      <w:r>
        <w:t>lé</w:t>
      </w:r>
      <w:proofErr w:type="spellEnd"/>
      <w:r>
        <w:t xml:space="preserve"> téarmaí </w:t>
      </w:r>
      <w:proofErr w:type="spellStart"/>
      <w:r>
        <w:t>Scéime</w:t>
      </w:r>
      <w:proofErr w:type="spellEnd"/>
      <w:r>
        <w:t xml:space="preserve"> </w:t>
      </w:r>
      <w:proofErr w:type="spellStart"/>
      <w:r>
        <w:t>Aoisliúntais</w:t>
      </w:r>
      <w:proofErr w:type="spellEnd"/>
      <w:r>
        <w:t xml:space="preserve"> Na </w:t>
      </w:r>
      <w:proofErr w:type="spellStart"/>
      <w:r>
        <w:t>nGníomhaireachtaí</w:t>
      </w:r>
      <w:proofErr w:type="spellEnd"/>
      <w:r>
        <w:t xml:space="preserve"> </w:t>
      </w:r>
      <w:proofErr w:type="spellStart"/>
      <w:r>
        <w:t>Ainmnithe</w:t>
      </w:r>
      <w:proofErr w:type="spellEnd"/>
      <w:r>
        <w:t xml:space="preserve"> Sláinte. </w:t>
      </w:r>
    </w:p>
    <w:p w14:paraId="01045E0B" w14:textId="77777777" w:rsidR="00141421" w:rsidRDefault="00141421" w:rsidP="00141421">
      <w:pPr>
        <w:pStyle w:val="Heading4"/>
        <w:rPr>
          <w:lang w:val="en-GB" w:eastAsia="en-GB"/>
        </w:rPr>
      </w:pPr>
      <w:r w:rsidRPr="00B22912">
        <w:rPr>
          <w:lang w:val="en-GB" w:eastAsia="en-GB"/>
        </w:rPr>
        <w:t xml:space="preserve">(a) </w:t>
      </w:r>
      <w:r w:rsidR="004C5763">
        <w:t>Scéim Pinsin</w:t>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1F988312" w14:textId="77777777" w:rsidR="004C5763" w:rsidRDefault="004C5763" w:rsidP="004C5763">
      <w:pPr>
        <w:rPr>
          <w:rFonts w:eastAsia="SimSun"/>
          <w:szCs w:val="20"/>
        </w:rPr>
      </w:pPr>
      <w:r>
        <w:t xml:space="preserve">Tá na torthaí atá leagtha amach thíos bunaithe ar </w:t>
      </w:r>
      <w:proofErr w:type="spellStart"/>
      <w:r>
        <w:t>luacháil</w:t>
      </w:r>
      <w:proofErr w:type="spellEnd"/>
      <w:r>
        <w:t xml:space="preserve"> </w:t>
      </w:r>
      <w:proofErr w:type="spellStart"/>
      <w:r>
        <w:t>achtúireach</w:t>
      </w:r>
      <w:proofErr w:type="spellEnd"/>
      <w:r>
        <w:t xml:space="preserve"> ar na </w:t>
      </w:r>
      <w:proofErr w:type="spellStart"/>
      <w:r>
        <w:t>dliteanais</w:t>
      </w:r>
      <w:proofErr w:type="spellEnd"/>
      <w:r>
        <w:t xml:space="preserve"> i leith foirne ar seirbhís, ar scor agus </w:t>
      </w:r>
      <w:proofErr w:type="spellStart"/>
      <w:r>
        <w:t>éagtha</w:t>
      </w:r>
      <w:proofErr w:type="spellEnd"/>
      <w:r>
        <w:t xml:space="preserve"> an ÚNM mar a bhí ar </w:t>
      </w:r>
      <w:proofErr w:type="gramStart"/>
      <w:r>
        <w:t>an</w:t>
      </w:r>
      <w:proofErr w:type="gramEnd"/>
      <w:r>
        <w:t xml:space="preserve"> 31 Nollaig 2010. Rinne </w:t>
      </w:r>
      <w:proofErr w:type="spellStart"/>
      <w:r>
        <w:t>achtúire</w:t>
      </w:r>
      <w:proofErr w:type="spellEnd"/>
      <w:r>
        <w:t xml:space="preserve"> cáilithe neamhspleách an </w:t>
      </w:r>
      <w:proofErr w:type="spellStart"/>
      <w:r>
        <w:t>luacháil</w:t>
      </w:r>
      <w:proofErr w:type="spellEnd"/>
      <w:r>
        <w:t xml:space="preserve"> seo chun críche an chaighdeáin </w:t>
      </w:r>
      <w:proofErr w:type="spellStart"/>
      <w:r>
        <w:t>chuntasaíochta</w:t>
      </w:r>
      <w:proofErr w:type="spellEnd"/>
      <w:r>
        <w:t xml:space="preserve">, Caighdeán </w:t>
      </w:r>
      <w:proofErr w:type="spellStart"/>
      <w:r>
        <w:t>Uimh</w:t>
      </w:r>
      <w:proofErr w:type="spellEnd"/>
      <w:r>
        <w:t xml:space="preserve">. 17 um </w:t>
      </w:r>
      <w:proofErr w:type="spellStart"/>
      <w:r>
        <w:t>Thuairisciú</w:t>
      </w:r>
      <w:proofErr w:type="spellEnd"/>
      <w:r>
        <w:t xml:space="preserve"> Airgeadais - </w:t>
      </w:r>
      <w:proofErr w:type="spellStart"/>
      <w:r>
        <w:t>Sochair</w:t>
      </w:r>
      <w:proofErr w:type="spellEnd"/>
      <w:r>
        <w:t xml:space="preserve"> Scoir (CTA 17).</w:t>
      </w:r>
      <w:r>
        <w:rPr>
          <w:rFonts w:eastAsia="SimSun"/>
          <w:szCs w:val="20"/>
        </w:rPr>
        <w:t xml:space="preserve"> </w:t>
      </w:r>
    </w:p>
    <w:p w14:paraId="38E9106C" w14:textId="77777777" w:rsidR="00141421" w:rsidRDefault="004C5763" w:rsidP="004C5763">
      <w:r>
        <w:t xml:space="preserve">Rinneadh an </w:t>
      </w:r>
      <w:proofErr w:type="spellStart"/>
      <w:r>
        <w:t>luacháil</w:t>
      </w:r>
      <w:proofErr w:type="spellEnd"/>
      <w:r>
        <w:t xml:space="preserve"> seo ag úsáid an mhodh um aonad </w:t>
      </w:r>
      <w:proofErr w:type="spellStart"/>
      <w:r>
        <w:t>teilgthe</w:t>
      </w:r>
      <w:proofErr w:type="spellEnd"/>
      <w:r>
        <w:t>.</w:t>
      </w:r>
      <w:r>
        <w:rPr>
          <w:rFonts w:eastAsia="SimSun"/>
          <w:szCs w:val="20"/>
        </w:rPr>
        <w:t xml:space="preserve"> </w:t>
      </w:r>
      <w:r>
        <w:t xml:space="preserve">Mar a leanas a bhí na </w:t>
      </w:r>
      <w:proofErr w:type="spellStart"/>
      <w:r>
        <w:t>toimhdeana</w:t>
      </w:r>
      <w:proofErr w:type="spellEnd"/>
      <w:r>
        <w:t xml:space="preserve"> airgeadais a úsáideadh le </w:t>
      </w:r>
      <w:proofErr w:type="spellStart"/>
      <w:r>
        <w:t>dliteanais</w:t>
      </w:r>
      <w:proofErr w:type="spellEnd"/>
      <w:r>
        <w:t xml:space="preserve"> na </w:t>
      </w:r>
      <w:proofErr w:type="spellStart"/>
      <w:r>
        <w:t>scéime</w:t>
      </w:r>
      <w:proofErr w:type="spellEnd"/>
      <w:r>
        <w:t xml:space="preserve"> a ríomh:</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708"/>
        <w:gridCol w:w="1008"/>
        <w:gridCol w:w="1008"/>
        <w:gridCol w:w="1008"/>
        <w:gridCol w:w="1008"/>
        <w:gridCol w:w="1008"/>
      </w:tblGrid>
      <w:tr w:rsidR="00141421" w:rsidRPr="001F30C2" w14:paraId="767386EC" w14:textId="77777777" w:rsidTr="00B3690F">
        <w:tblPrEx>
          <w:tblCellMar>
            <w:top w:w="0" w:type="dxa"/>
            <w:bottom w:w="0" w:type="dxa"/>
          </w:tblCellMar>
        </w:tblPrEx>
        <w:trPr>
          <w:tblHeader/>
        </w:trPr>
        <w:tc>
          <w:tcPr>
            <w:tcW w:w="3708" w:type="dxa"/>
            <w:shd w:val="clear" w:color="auto" w:fill="auto"/>
            <w:vAlign w:val="center"/>
          </w:tcPr>
          <w:p w14:paraId="6027DE21" w14:textId="77777777" w:rsidR="00141421" w:rsidRPr="001F30C2" w:rsidRDefault="00141421" w:rsidP="00B3690F">
            <w:pPr>
              <w:pStyle w:val="TableHead"/>
              <w:keepLines/>
              <w:widowControl w:val="0"/>
              <w:jc w:val="right"/>
              <w:rPr>
                <w:lang w:val="en-GB" w:eastAsia="en-GB"/>
              </w:rPr>
            </w:pPr>
          </w:p>
        </w:tc>
        <w:tc>
          <w:tcPr>
            <w:tcW w:w="1008" w:type="dxa"/>
            <w:shd w:val="clear" w:color="auto" w:fill="auto"/>
            <w:vAlign w:val="center"/>
          </w:tcPr>
          <w:p w14:paraId="748186E1" w14:textId="77777777" w:rsidR="00141421" w:rsidRPr="00B22912" w:rsidRDefault="00141421" w:rsidP="00B3690F">
            <w:pPr>
              <w:pStyle w:val="TableHead"/>
              <w:keepLines/>
              <w:widowControl w:val="0"/>
              <w:spacing w:line="240" w:lineRule="auto"/>
              <w:jc w:val="right"/>
            </w:pPr>
            <w:r w:rsidRPr="00B22912">
              <w:t>2010</w:t>
            </w:r>
          </w:p>
        </w:tc>
        <w:tc>
          <w:tcPr>
            <w:tcW w:w="1008" w:type="dxa"/>
            <w:shd w:val="clear" w:color="auto" w:fill="auto"/>
            <w:vAlign w:val="center"/>
          </w:tcPr>
          <w:p w14:paraId="28205F59" w14:textId="77777777" w:rsidR="00141421" w:rsidRPr="00B22912" w:rsidRDefault="00141421" w:rsidP="00B3690F">
            <w:pPr>
              <w:pStyle w:val="TableHead"/>
              <w:keepLines/>
              <w:widowControl w:val="0"/>
              <w:spacing w:line="240" w:lineRule="auto"/>
              <w:jc w:val="right"/>
            </w:pPr>
            <w:r w:rsidRPr="00B22912">
              <w:t>2009</w:t>
            </w:r>
          </w:p>
        </w:tc>
        <w:tc>
          <w:tcPr>
            <w:tcW w:w="1008" w:type="dxa"/>
            <w:shd w:val="clear" w:color="auto" w:fill="auto"/>
            <w:vAlign w:val="center"/>
          </w:tcPr>
          <w:p w14:paraId="7CF6ABAD" w14:textId="77777777" w:rsidR="00141421" w:rsidRPr="001F30C2" w:rsidRDefault="00141421" w:rsidP="00B3690F">
            <w:pPr>
              <w:pStyle w:val="TableHead"/>
              <w:keepLines/>
              <w:widowControl w:val="0"/>
              <w:jc w:val="right"/>
              <w:rPr>
                <w:lang w:val="en-GB" w:eastAsia="en-GB"/>
              </w:rPr>
            </w:pPr>
            <w:r w:rsidRPr="001F30C2">
              <w:rPr>
                <w:lang w:val="en-GB" w:eastAsia="en-GB"/>
              </w:rPr>
              <w:t>2008</w:t>
            </w:r>
          </w:p>
        </w:tc>
        <w:tc>
          <w:tcPr>
            <w:tcW w:w="1008" w:type="dxa"/>
            <w:shd w:val="clear" w:color="auto" w:fill="auto"/>
            <w:vAlign w:val="center"/>
          </w:tcPr>
          <w:p w14:paraId="1E24FD97" w14:textId="77777777" w:rsidR="00141421" w:rsidRPr="001F30C2" w:rsidRDefault="00141421" w:rsidP="00B3690F">
            <w:pPr>
              <w:pStyle w:val="TableHead"/>
              <w:keepLines/>
              <w:widowControl w:val="0"/>
              <w:jc w:val="right"/>
              <w:rPr>
                <w:lang w:val="en-GB" w:eastAsia="en-GB"/>
              </w:rPr>
            </w:pPr>
            <w:r w:rsidRPr="001F30C2">
              <w:rPr>
                <w:lang w:val="en-GB" w:eastAsia="en-GB"/>
              </w:rPr>
              <w:t>2007</w:t>
            </w:r>
          </w:p>
        </w:tc>
        <w:tc>
          <w:tcPr>
            <w:tcW w:w="1008" w:type="dxa"/>
            <w:shd w:val="clear" w:color="auto" w:fill="auto"/>
            <w:vAlign w:val="center"/>
          </w:tcPr>
          <w:p w14:paraId="0C215982" w14:textId="77777777" w:rsidR="00141421" w:rsidRPr="001F30C2" w:rsidRDefault="00141421" w:rsidP="00B3690F">
            <w:pPr>
              <w:pStyle w:val="TableHead"/>
              <w:keepLines/>
              <w:widowControl w:val="0"/>
              <w:jc w:val="right"/>
              <w:rPr>
                <w:lang w:val="en-GB" w:eastAsia="en-GB"/>
              </w:rPr>
            </w:pPr>
            <w:r w:rsidRPr="001F30C2">
              <w:rPr>
                <w:lang w:val="en-GB" w:eastAsia="en-GB"/>
              </w:rPr>
              <w:t>2006</w:t>
            </w:r>
          </w:p>
        </w:tc>
      </w:tr>
      <w:tr w:rsidR="00F53CED" w:rsidRPr="001F30C2" w14:paraId="375D3FAA" w14:textId="77777777" w:rsidTr="00B3690F">
        <w:tblPrEx>
          <w:tblCellMar>
            <w:top w:w="0" w:type="dxa"/>
            <w:bottom w:w="0" w:type="dxa"/>
          </w:tblCellMar>
        </w:tblPrEx>
        <w:tc>
          <w:tcPr>
            <w:tcW w:w="3708" w:type="dxa"/>
            <w:shd w:val="clear" w:color="auto" w:fill="auto"/>
            <w:vAlign w:val="center"/>
          </w:tcPr>
          <w:p w14:paraId="490BFC80" w14:textId="77777777" w:rsidR="00F53CED" w:rsidRPr="00F53CED" w:rsidRDefault="00F53CED" w:rsidP="00B3690F">
            <w:pPr>
              <w:pStyle w:val="TableRowHead"/>
              <w:keepNext w:val="0"/>
              <w:keepLines/>
              <w:widowControl w:val="0"/>
            </w:pPr>
            <w:r w:rsidRPr="00F53CED">
              <w:t xml:space="preserve">Ráta </w:t>
            </w:r>
            <w:proofErr w:type="spellStart"/>
            <w:r w:rsidRPr="00F53CED">
              <w:t>Lascaine</w:t>
            </w:r>
            <w:proofErr w:type="spellEnd"/>
            <w:r w:rsidRPr="00F53CED">
              <w:t xml:space="preserve">                                  </w:t>
            </w:r>
          </w:p>
        </w:tc>
        <w:tc>
          <w:tcPr>
            <w:tcW w:w="1008" w:type="dxa"/>
            <w:shd w:val="clear" w:color="auto" w:fill="auto"/>
            <w:vAlign w:val="center"/>
          </w:tcPr>
          <w:p w14:paraId="6BE2A293"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7083C6B4"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0A6AD769"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3FD69FE6"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27C122B5"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5.5%</w:t>
            </w:r>
          </w:p>
        </w:tc>
      </w:tr>
      <w:tr w:rsidR="00F53CED" w:rsidRPr="001F30C2" w14:paraId="4BFC2D7F" w14:textId="77777777" w:rsidTr="00B3690F">
        <w:tblPrEx>
          <w:tblCellMar>
            <w:top w:w="0" w:type="dxa"/>
            <w:bottom w:w="0" w:type="dxa"/>
          </w:tblCellMar>
        </w:tblPrEx>
        <w:tc>
          <w:tcPr>
            <w:tcW w:w="3708" w:type="dxa"/>
            <w:shd w:val="clear" w:color="auto" w:fill="auto"/>
            <w:vAlign w:val="center"/>
          </w:tcPr>
          <w:p w14:paraId="0F60224B" w14:textId="77777777" w:rsidR="00F53CED" w:rsidRPr="00F53CED" w:rsidRDefault="00F53CED" w:rsidP="00B3690F">
            <w:pPr>
              <w:pStyle w:val="TableRowHead"/>
              <w:keepNext w:val="0"/>
              <w:keepLines/>
              <w:widowControl w:val="0"/>
            </w:pPr>
            <w:proofErr w:type="spellStart"/>
            <w:r w:rsidRPr="00F53CED">
              <w:t>Toimhde</w:t>
            </w:r>
            <w:proofErr w:type="spellEnd"/>
            <w:r w:rsidRPr="00F53CED">
              <w:t xml:space="preserve"> ar</w:t>
            </w:r>
            <w:r>
              <w:t xml:space="preserve"> </w:t>
            </w:r>
            <w:r w:rsidRPr="00F53CED">
              <w:t>mhéadú tuarastail</w:t>
            </w:r>
          </w:p>
        </w:tc>
        <w:tc>
          <w:tcPr>
            <w:tcW w:w="1008" w:type="dxa"/>
            <w:shd w:val="clear" w:color="auto" w:fill="auto"/>
            <w:vAlign w:val="center"/>
          </w:tcPr>
          <w:p w14:paraId="7610604C"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6D4B47A1"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7C07EDC9"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73A336D"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6ED3BCBA"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r>
      <w:tr w:rsidR="00F53CED" w:rsidRPr="001F30C2" w14:paraId="34B3E857" w14:textId="77777777" w:rsidTr="00B3690F">
        <w:tblPrEx>
          <w:tblCellMar>
            <w:top w:w="0" w:type="dxa"/>
            <w:bottom w:w="0" w:type="dxa"/>
          </w:tblCellMar>
        </w:tblPrEx>
        <w:tc>
          <w:tcPr>
            <w:tcW w:w="3708" w:type="dxa"/>
            <w:shd w:val="clear" w:color="auto" w:fill="auto"/>
            <w:vAlign w:val="center"/>
          </w:tcPr>
          <w:p w14:paraId="246A39C7" w14:textId="77777777" w:rsidR="00F53CED" w:rsidRPr="00F53CED" w:rsidRDefault="00F53CED" w:rsidP="00B3690F">
            <w:pPr>
              <w:pStyle w:val="TableRowHead"/>
              <w:keepNext w:val="0"/>
              <w:keepLines/>
              <w:widowControl w:val="0"/>
            </w:pPr>
            <w:proofErr w:type="spellStart"/>
            <w:r w:rsidRPr="00F53CED">
              <w:t>Toimhde</w:t>
            </w:r>
            <w:proofErr w:type="spellEnd"/>
            <w:r w:rsidRPr="00F53CED">
              <w:t xml:space="preserve"> ar</w:t>
            </w:r>
            <w:r>
              <w:t xml:space="preserve"> </w:t>
            </w:r>
            <w:r w:rsidRPr="00F53CED">
              <w:t>mhéadú pinsin</w:t>
            </w:r>
          </w:p>
        </w:tc>
        <w:tc>
          <w:tcPr>
            <w:tcW w:w="1008" w:type="dxa"/>
            <w:shd w:val="clear" w:color="auto" w:fill="auto"/>
            <w:vAlign w:val="center"/>
          </w:tcPr>
          <w:p w14:paraId="1A375C90"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8E6CEE9"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299CAF3E"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7AFB94E4"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208BF7F3"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4%</w:t>
            </w:r>
          </w:p>
        </w:tc>
      </w:tr>
      <w:tr w:rsidR="00F53CED" w:rsidRPr="001F30C2" w14:paraId="7974BB7B" w14:textId="77777777" w:rsidTr="00B3690F">
        <w:tblPrEx>
          <w:tblCellMar>
            <w:top w:w="0" w:type="dxa"/>
            <w:bottom w:w="0" w:type="dxa"/>
          </w:tblCellMar>
        </w:tblPrEx>
        <w:tc>
          <w:tcPr>
            <w:tcW w:w="3708" w:type="dxa"/>
            <w:shd w:val="clear" w:color="auto" w:fill="auto"/>
            <w:vAlign w:val="center"/>
          </w:tcPr>
          <w:p w14:paraId="74E51AE2" w14:textId="77777777" w:rsidR="00F53CED" w:rsidRPr="00F53CED" w:rsidRDefault="00F53CED" w:rsidP="00B3690F">
            <w:pPr>
              <w:pStyle w:val="TableRowHead"/>
              <w:keepNext w:val="0"/>
              <w:keepLines/>
              <w:widowControl w:val="0"/>
            </w:pPr>
            <w:proofErr w:type="spellStart"/>
            <w:r w:rsidRPr="00F53CED">
              <w:t>Boilsciú</w:t>
            </w:r>
            <w:proofErr w:type="spellEnd"/>
            <w:r w:rsidRPr="00F53CED">
              <w:t xml:space="preserve"> ar</w:t>
            </w:r>
            <w:r>
              <w:t xml:space="preserve"> </w:t>
            </w:r>
            <w:proofErr w:type="spellStart"/>
            <w:r w:rsidRPr="00F53CED">
              <w:t>Phraghsanna</w:t>
            </w:r>
            <w:proofErr w:type="spellEnd"/>
          </w:p>
        </w:tc>
        <w:tc>
          <w:tcPr>
            <w:tcW w:w="1008" w:type="dxa"/>
            <w:shd w:val="clear" w:color="auto" w:fill="auto"/>
            <w:vAlign w:val="center"/>
          </w:tcPr>
          <w:p w14:paraId="144542AB"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401B699F"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76AFC7E2"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5094221C"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5DED737F" w14:textId="77777777" w:rsidR="00F53CED" w:rsidRPr="001F30C2" w:rsidRDefault="00F53CED" w:rsidP="00B3690F">
            <w:pPr>
              <w:keepLines/>
              <w:widowControl w:val="0"/>
              <w:spacing w:after="0" w:line="240" w:lineRule="auto"/>
              <w:jc w:val="right"/>
              <w:rPr>
                <w:rFonts w:cs="Arial"/>
                <w:lang w:val="en-GB" w:eastAsia="en-GB"/>
              </w:rPr>
            </w:pPr>
            <w:r w:rsidRPr="001F30C2">
              <w:rPr>
                <w:rFonts w:cs="Arial"/>
                <w:lang w:val="en-GB" w:eastAsia="en-GB"/>
              </w:rPr>
              <w:t>2%</w:t>
            </w:r>
          </w:p>
        </w:tc>
      </w:tr>
    </w:tbl>
    <w:p w14:paraId="0E49508D" w14:textId="77777777" w:rsidR="00716D67" w:rsidRDefault="00716D67" w:rsidP="006052A9">
      <w:pPr>
        <w:keepNext/>
        <w:keepLines/>
        <w:widowControl w:val="0"/>
      </w:pPr>
      <w:r>
        <w:br/>
      </w:r>
      <w:proofErr w:type="spellStart"/>
      <w:r w:rsidRPr="00185FCF">
        <w:rPr>
          <w:lang w:val="en-GB" w:eastAsia="en-GB"/>
        </w:rPr>
        <w:t>mhuirear</w:t>
      </w:r>
      <w:proofErr w:type="spellEnd"/>
      <w:r w:rsidRPr="00185FCF">
        <w:rPr>
          <w:lang w:val="en-GB" w:eastAsia="en-GB"/>
        </w:rPr>
        <w:t xml:space="preserve"> ar an </w:t>
      </w:r>
      <w:proofErr w:type="spellStart"/>
      <w:r w:rsidRPr="00185FCF">
        <w:rPr>
          <w:lang w:val="en-GB" w:eastAsia="en-GB"/>
        </w:rPr>
        <w:t>gCuntas</w:t>
      </w:r>
      <w:proofErr w:type="spellEnd"/>
      <w:r w:rsidRPr="00185FCF">
        <w:rPr>
          <w:lang w:val="en-GB" w:eastAsia="en-GB"/>
        </w:rPr>
        <w:t xml:space="preserve"> Ioncaim agus </w:t>
      </w:r>
      <w:proofErr w:type="spellStart"/>
      <w:r w:rsidRPr="00185FCF">
        <w:rPr>
          <w:lang w:val="en-GB" w:eastAsia="en-GB"/>
        </w:rPr>
        <w:t>Caiteachais</w:t>
      </w:r>
      <w:proofErr w:type="spellEnd"/>
      <w:r w:rsidRPr="00185FCF">
        <w:rPr>
          <w:lang w:val="en-GB" w:eastAsia="en-GB"/>
        </w:rPr>
        <w:t xml:space="preserve">, glan ar </w:t>
      </w:r>
      <w:proofErr w:type="spellStart"/>
      <w:r w:rsidRPr="00185FCF">
        <w:rPr>
          <w:lang w:val="en-GB" w:eastAsia="en-GB"/>
        </w:rPr>
        <w:t>ranníocaíochtaí</w:t>
      </w:r>
      <w:proofErr w:type="spellEnd"/>
      <w:r w:rsidRPr="00185FCF">
        <w:rPr>
          <w:lang w:val="en-GB" w:eastAsia="en-GB"/>
        </w:rPr>
        <w:t xml:space="preserve"> </w:t>
      </w:r>
      <w:proofErr w:type="spellStart"/>
      <w:r w:rsidRPr="00185FCF">
        <w:rPr>
          <w:lang w:val="en-GB" w:eastAsia="en-GB"/>
        </w:rPr>
        <w:t>aoisliúntais</w:t>
      </w:r>
      <w:proofErr w:type="spellEnd"/>
      <w:r w:rsidRPr="00185FCF">
        <w:rPr>
          <w:lang w:val="en-GB" w:eastAsia="en-GB"/>
        </w:rPr>
        <w:t xml:space="preserve"> fostaithe, sa bhliain ina mbeidh siad </w:t>
      </w:r>
      <w:proofErr w:type="spellStart"/>
      <w:r w:rsidRPr="00185FCF">
        <w:rPr>
          <w:lang w:val="en-GB" w:eastAsia="en-GB"/>
        </w:rPr>
        <w:t>iníoctha</w:t>
      </w:r>
      <w:proofErr w:type="spellEnd"/>
      <w:r w:rsidRPr="00185FCF">
        <w:rPr>
          <w:lang w:val="en-GB" w:eastAsia="en-GB"/>
        </w:rPr>
        <w:t>.</w:t>
      </w:r>
    </w:p>
    <w:p w14:paraId="2DA3F63C" w14:textId="77777777" w:rsidR="00716D67" w:rsidRDefault="00716D67" w:rsidP="00716D67">
      <w:r>
        <w:t xml:space="preserve">I láthair na huaire faigheann baill foirne a bhí fostaithe roimhe seo ag an mBord Náisiúnta </w:t>
      </w:r>
      <w:proofErr w:type="spellStart"/>
      <w:proofErr w:type="gramStart"/>
      <w:r>
        <w:t>Athshlánúcháin</w:t>
      </w:r>
      <w:proofErr w:type="spellEnd"/>
      <w:r>
        <w:t>(</w:t>
      </w:r>
      <w:proofErr w:type="gramEnd"/>
      <w:r>
        <w:t xml:space="preserve">BNA) a théann ar scor </w:t>
      </w:r>
      <w:proofErr w:type="spellStart"/>
      <w:r>
        <w:t>sochair</w:t>
      </w:r>
      <w:proofErr w:type="spellEnd"/>
      <w:r>
        <w:t xml:space="preserve"> </w:t>
      </w:r>
      <w:proofErr w:type="spellStart"/>
      <w:r>
        <w:t>aoisliúntais</w:t>
      </w:r>
      <w:proofErr w:type="spellEnd"/>
      <w:r>
        <w:t xml:space="preserve"> faoi théarmaí na </w:t>
      </w:r>
      <w:proofErr w:type="spellStart"/>
      <w:r>
        <w:t>Scéime</w:t>
      </w:r>
      <w:proofErr w:type="spellEnd"/>
      <w:r>
        <w:t xml:space="preserve"> </w:t>
      </w:r>
      <w:proofErr w:type="spellStart"/>
      <w:r>
        <w:t>Aoisliúntais</w:t>
      </w:r>
      <w:proofErr w:type="spellEnd"/>
      <w:r>
        <w:t xml:space="preserve"> Rialtais Áitiúil. Faigheann baill </w:t>
      </w:r>
      <w:proofErr w:type="spellStart"/>
      <w:r>
        <w:t>fhoirne</w:t>
      </w:r>
      <w:proofErr w:type="spellEnd"/>
      <w:r>
        <w:t xml:space="preserve"> a </w:t>
      </w:r>
      <w:proofErr w:type="spellStart"/>
      <w:r>
        <w:t>d'fhostaigh</w:t>
      </w:r>
      <w:proofErr w:type="spellEnd"/>
      <w:r>
        <w:t xml:space="preserve"> an ÚNM tar éis a </w:t>
      </w:r>
      <w:proofErr w:type="spellStart"/>
      <w:r>
        <w:t>bhunaithe</w:t>
      </w:r>
      <w:proofErr w:type="spellEnd"/>
      <w:r>
        <w:t xml:space="preserve"> agus a théann ar scor </w:t>
      </w:r>
      <w:proofErr w:type="spellStart"/>
      <w:r>
        <w:t>sochair</w:t>
      </w:r>
      <w:proofErr w:type="spellEnd"/>
      <w:r>
        <w:t xml:space="preserve"> ag teacht </w:t>
      </w:r>
      <w:proofErr w:type="spellStart"/>
      <w:r>
        <w:t>lé</w:t>
      </w:r>
      <w:proofErr w:type="spellEnd"/>
      <w:r>
        <w:t xml:space="preserve"> téarmaí </w:t>
      </w:r>
      <w:proofErr w:type="spellStart"/>
      <w:r>
        <w:t>Scéime</w:t>
      </w:r>
      <w:proofErr w:type="spellEnd"/>
      <w:r>
        <w:t xml:space="preserve"> </w:t>
      </w:r>
      <w:proofErr w:type="spellStart"/>
      <w:r>
        <w:t>Aoisliúntais</w:t>
      </w:r>
      <w:proofErr w:type="spellEnd"/>
      <w:r>
        <w:t xml:space="preserve"> Na </w:t>
      </w:r>
      <w:proofErr w:type="spellStart"/>
      <w:r>
        <w:t>nGníomhaireachtaí</w:t>
      </w:r>
      <w:proofErr w:type="spellEnd"/>
      <w:r>
        <w:t xml:space="preserve"> </w:t>
      </w:r>
      <w:proofErr w:type="spellStart"/>
      <w:r>
        <w:t>Ainmnithe</w:t>
      </w:r>
      <w:proofErr w:type="spellEnd"/>
      <w:r>
        <w:t xml:space="preserve"> Sláinte. </w:t>
      </w:r>
    </w:p>
    <w:p w14:paraId="062A1A71" w14:textId="77777777" w:rsidR="00716D67" w:rsidRDefault="00716D67" w:rsidP="00716D67">
      <w:pPr>
        <w:pStyle w:val="Heading4"/>
        <w:rPr>
          <w:lang w:val="en-GB" w:eastAsia="en-GB"/>
        </w:rPr>
      </w:pPr>
      <w:r w:rsidRPr="00B22912">
        <w:rPr>
          <w:lang w:val="en-GB" w:eastAsia="en-GB"/>
        </w:rPr>
        <w:t xml:space="preserve">(a) </w:t>
      </w:r>
      <w:r>
        <w:t>Scéim Pinsin</w:t>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18450ED6" w14:textId="77777777" w:rsidR="00716D67" w:rsidRDefault="00716D67" w:rsidP="00716D67">
      <w:pPr>
        <w:rPr>
          <w:rFonts w:eastAsia="SimSun"/>
          <w:szCs w:val="20"/>
        </w:rPr>
      </w:pPr>
      <w:r>
        <w:t xml:space="preserve">Tá na torthaí atá leagtha amach thíos bunaithe ar </w:t>
      </w:r>
      <w:proofErr w:type="spellStart"/>
      <w:r>
        <w:t>luacháil</w:t>
      </w:r>
      <w:proofErr w:type="spellEnd"/>
      <w:r>
        <w:t xml:space="preserve"> </w:t>
      </w:r>
      <w:proofErr w:type="spellStart"/>
      <w:r>
        <w:t>achtúireach</w:t>
      </w:r>
      <w:proofErr w:type="spellEnd"/>
      <w:r>
        <w:t xml:space="preserve"> ar na </w:t>
      </w:r>
      <w:proofErr w:type="spellStart"/>
      <w:r>
        <w:t>dliteanais</w:t>
      </w:r>
      <w:proofErr w:type="spellEnd"/>
      <w:r>
        <w:t xml:space="preserve"> i leith foirne ar seirbhís, ar scor agus </w:t>
      </w:r>
      <w:proofErr w:type="spellStart"/>
      <w:r>
        <w:t>éagtha</w:t>
      </w:r>
      <w:proofErr w:type="spellEnd"/>
      <w:r>
        <w:t xml:space="preserve"> an ÚNM mar a bhí ar </w:t>
      </w:r>
      <w:proofErr w:type="gramStart"/>
      <w:r>
        <w:t>an</w:t>
      </w:r>
      <w:proofErr w:type="gramEnd"/>
      <w:r>
        <w:t xml:space="preserve"> 31 Nollaig 2010. Rinne </w:t>
      </w:r>
      <w:proofErr w:type="spellStart"/>
      <w:r>
        <w:t>achtúire</w:t>
      </w:r>
      <w:proofErr w:type="spellEnd"/>
      <w:r>
        <w:t xml:space="preserve"> cáilithe neamhspleách an </w:t>
      </w:r>
      <w:proofErr w:type="spellStart"/>
      <w:r>
        <w:t>luacháil</w:t>
      </w:r>
      <w:proofErr w:type="spellEnd"/>
      <w:r>
        <w:t xml:space="preserve"> seo chun críche an chaighdeáin </w:t>
      </w:r>
      <w:proofErr w:type="spellStart"/>
      <w:r>
        <w:t>chuntasaíochta</w:t>
      </w:r>
      <w:proofErr w:type="spellEnd"/>
      <w:r>
        <w:t xml:space="preserve">, Caighdeán </w:t>
      </w:r>
      <w:proofErr w:type="spellStart"/>
      <w:r>
        <w:t>Uimh</w:t>
      </w:r>
      <w:proofErr w:type="spellEnd"/>
      <w:r>
        <w:t xml:space="preserve">. 17 um </w:t>
      </w:r>
      <w:proofErr w:type="spellStart"/>
      <w:r>
        <w:t>Thuairisciú</w:t>
      </w:r>
      <w:proofErr w:type="spellEnd"/>
      <w:r>
        <w:t xml:space="preserve"> Airgeadais - </w:t>
      </w:r>
      <w:proofErr w:type="spellStart"/>
      <w:r>
        <w:t>Sochair</w:t>
      </w:r>
      <w:proofErr w:type="spellEnd"/>
      <w:r>
        <w:t xml:space="preserve"> Scoir (CTA 17).</w:t>
      </w:r>
      <w:r>
        <w:rPr>
          <w:rFonts w:eastAsia="SimSun"/>
          <w:szCs w:val="20"/>
        </w:rPr>
        <w:t xml:space="preserve"> </w:t>
      </w:r>
    </w:p>
    <w:p w14:paraId="2C56DA8C" w14:textId="77777777" w:rsidR="00716D67" w:rsidRDefault="00716D67" w:rsidP="00716D67">
      <w:r>
        <w:t xml:space="preserve">Rinneadh an </w:t>
      </w:r>
      <w:proofErr w:type="spellStart"/>
      <w:r>
        <w:t>luacháil</w:t>
      </w:r>
      <w:proofErr w:type="spellEnd"/>
      <w:r>
        <w:t xml:space="preserve"> seo ag úsáid an mhodh um aonad </w:t>
      </w:r>
      <w:proofErr w:type="spellStart"/>
      <w:r>
        <w:t>teilgthe</w:t>
      </w:r>
      <w:proofErr w:type="spellEnd"/>
      <w:r>
        <w:t>.</w:t>
      </w:r>
      <w:r>
        <w:rPr>
          <w:rFonts w:eastAsia="SimSun"/>
          <w:szCs w:val="20"/>
        </w:rPr>
        <w:t xml:space="preserve"> </w:t>
      </w:r>
      <w:r>
        <w:t xml:space="preserve">Mar a leanas a bhí na </w:t>
      </w:r>
      <w:proofErr w:type="spellStart"/>
      <w:r>
        <w:t>toimhdeana</w:t>
      </w:r>
      <w:proofErr w:type="spellEnd"/>
      <w:r>
        <w:t xml:space="preserve"> airgeadais a úsáideadh le </w:t>
      </w:r>
      <w:proofErr w:type="spellStart"/>
      <w:r>
        <w:t>dliteanais</w:t>
      </w:r>
      <w:proofErr w:type="spellEnd"/>
      <w:r>
        <w:t xml:space="preserve"> na </w:t>
      </w:r>
      <w:proofErr w:type="spellStart"/>
      <w:r>
        <w:t>scéime</w:t>
      </w:r>
      <w:proofErr w:type="spellEnd"/>
      <w:r>
        <w:t xml:space="preserve"> a ríomh:</w:t>
      </w: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708"/>
        <w:gridCol w:w="1008"/>
        <w:gridCol w:w="1008"/>
        <w:gridCol w:w="1008"/>
        <w:gridCol w:w="1008"/>
        <w:gridCol w:w="1008"/>
      </w:tblGrid>
      <w:tr w:rsidR="00716D67" w:rsidRPr="001F30C2" w14:paraId="3B295CB1" w14:textId="77777777" w:rsidTr="00716D67">
        <w:tblPrEx>
          <w:tblCellMar>
            <w:top w:w="0" w:type="dxa"/>
            <w:bottom w:w="0" w:type="dxa"/>
          </w:tblCellMar>
        </w:tblPrEx>
        <w:trPr>
          <w:tblHeader/>
        </w:trPr>
        <w:tc>
          <w:tcPr>
            <w:tcW w:w="3708" w:type="dxa"/>
            <w:shd w:val="clear" w:color="auto" w:fill="auto"/>
            <w:vAlign w:val="center"/>
          </w:tcPr>
          <w:p w14:paraId="1B0AE62F" w14:textId="77777777" w:rsidR="00716D67" w:rsidRPr="001F30C2" w:rsidRDefault="00716D67" w:rsidP="00716D67">
            <w:pPr>
              <w:pStyle w:val="TableHead"/>
              <w:jc w:val="right"/>
              <w:rPr>
                <w:lang w:val="en-GB" w:eastAsia="en-GB"/>
              </w:rPr>
            </w:pPr>
          </w:p>
        </w:tc>
        <w:tc>
          <w:tcPr>
            <w:tcW w:w="1008" w:type="dxa"/>
            <w:shd w:val="clear" w:color="auto" w:fill="auto"/>
            <w:vAlign w:val="center"/>
          </w:tcPr>
          <w:p w14:paraId="0C2D4AD5" w14:textId="77777777" w:rsidR="00716D67" w:rsidRPr="00B22912" w:rsidRDefault="00716D67" w:rsidP="00716D67">
            <w:pPr>
              <w:pStyle w:val="TableHead"/>
              <w:spacing w:line="240" w:lineRule="auto"/>
              <w:jc w:val="right"/>
            </w:pPr>
            <w:r w:rsidRPr="00B22912">
              <w:t>2010</w:t>
            </w:r>
          </w:p>
        </w:tc>
        <w:tc>
          <w:tcPr>
            <w:tcW w:w="1008" w:type="dxa"/>
            <w:shd w:val="clear" w:color="auto" w:fill="auto"/>
            <w:vAlign w:val="center"/>
          </w:tcPr>
          <w:p w14:paraId="409C71DF" w14:textId="77777777" w:rsidR="00716D67" w:rsidRPr="00B22912" w:rsidRDefault="00716D67" w:rsidP="00716D67">
            <w:pPr>
              <w:pStyle w:val="TableHead"/>
              <w:spacing w:line="240" w:lineRule="auto"/>
              <w:jc w:val="right"/>
            </w:pPr>
            <w:r w:rsidRPr="00B22912">
              <w:t>2009</w:t>
            </w:r>
          </w:p>
        </w:tc>
        <w:tc>
          <w:tcPr>
            <w:tcW w:w="1008" w:type="dxa"/>
            <w:shd w:val="clear" w:color="auto" w:fill="auto"/>
            <w:vAlign w:val="center"/>
          </w:tcPr>
          <w:p w14:paraId="4CC93D18" w14:textId="77777777" w:rsidR="00716D67" w:rsidRPr="001F30C2" w:rsidRDefault="00716D67" w:rsidP="00716D67">
            <w:pPr>
              <w:pStyle w:val="TableHead"/>
              <w:jc w:val="right"/>
              <w:rPr>
                <w:lang w:val="en-GB" w:eastAsia="en-GB"/>
              </w:rPr>
            </w:pPr>
            <w:r w:rsidRPr="001F30C2">
              <w:rPr>
                <w:lang w:val="en-GB" w:eastAsia="en-GB"/>
              </w:rPr>
              <w:t>2008</w:t>
            </w:r>
          </w:p>
        </w:tc>
        <w:tc>
          <w:tcPr>
            <w:tcW w:w="1008" w:type="dxa"/>
            <w:shd w:val="clear" w:color="auto" w:fill="auto"/>
            <w:vAlign w:val="center"/>
          </w:tcPr>
          <w:p w14:paraId="5F39ADB0" w14:textId="77777777" w:rsidR="00716D67" w:rsidRPr="001F30C2" w:rsidRDefault="00716D67" w:rsidP="00716D67">
            <w:pPr>
              <w:pStyle w:val="TableHead"/>
              <w:jc w:val="right"/>
              <w:rPr>
                <w:lang w:val="en-GB" w:eastAsia="en-GB"/>
              </w:rPr>
            </w:pPr>
            <w:r w:rsidRPr="001F30C2">
              <w:rPr>
                <w:lang w:val="en-GB" w:eastAsia="en-GB"/>
              </w:rPr>
              <w:t>2007</w:t>
            </w:r>
          </w:p>
        </w:tc>
        <w:tc>
          <w:tcPr>
            <w:tcW w:w="1008" w:type="dxa"/>
            <w:shd w:val="clear" w:color="auto" w:fill="auto"/>
            <w:vAlign w:val="center"/>
          </w:tcPr>
          <w:p w14:paraId="42C92F53" w14:textId="77777777" w:rsidR="00716D67" w:rsidRPr="001F30C2" w:rsidRDefault="00716D67" w:rsidP="00716D67">
            <w:pPr>
              <w:pStyle w:val="TableHead"/>
              <w:jc w:val="right"/>
              <w:rPr>
                <w:lang w:val="en-GB" w:eastAsia="en-GB"/>
              </w:rPr>
            </w:pPr>
            <w:r w:rsidRPr="001F30C2">
              <w:rPr>
                <w:lang w:val="en-GB" w:eastAsia="en-GB"/>
              </w:rPr>
              <w:t>2006</w:t>
            </w:r>
          </w:p>
        </w:tc>
      </w:tr>
      <w:tr w:rsidR="00716D67" w:rsidRPr="001F30C2" w14:paraId="78C87C8C" w14:textId="77777777" w:rsidTr="00716D67">
        <w:tblPrEx>
          <w:tblCellMar>
            <w:top w:w="0" w:type="dxa"/>
            <w:bottom w:w="0" w:type="dxa"/>
          </w:tblCellMar>
        </w:tblPrEx>
        <w:tc>
          <w:tcPr>
            <w:tcW w:w="3708" w:type="dxa"/>
            <w:shd w:val="clear" w:color="auto" w:fill="auto"/>
            <w:vAlign w:val="center"/>
          </w:tcPr>
          <w:p w14:paraId="3CD5CE77" w14:textId="77777777" w:rsidR="00716D67" w:rsidRPr="00F53CED" w:rsidRDefault="00716D67" w:rsidP="00716D67">
            <w:pPr>
              <w:pStyle w:val="TableRowHead"/>
              <w:keepNext w:val="0"/>
            </w:pPr>
            <w:r w:rsidRPr="00F53CED">
              <w:t xml:space="preserve">Ráta </w:t>
            </w:r>
            <w:proofErr w:type="spellStart"/>
            <w:r w:rsidRPr="00F53CED">
              <w:t>Lascaine</w:t>
            </w:r>
            <w:proofErr w:type="spellEnd"/>
            <w:r w:rsidRPr="00F53CED">
              <w:t xml:space="preserve">                                  </w:t>
            </w:r>
          </w:p>
        </w:tc>
        <w:tc>
          <w:tcPr>
            <w:tcW w:w="1008" w:type="dxa"/>
            <w:shd w:val="clear" w:color="auto" w:fill="auto"/>
            <w:vAlign w:val="center"/>
          </w:tcPr>
          <w:p w14:paraId="715E6EBD"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4ECB3BC0"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65C00E96"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13FC8888"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5.5%</w:t>
            </w:r>
          </w:p>
        </w:tc>
        <w:tc>
          <w:tcPr>
            <w:tcW w:w="1008" w:type="dxa"/>
            <w:shd w:val="clear" w:color="auto" w:fill="auto"/>
            <w:vAlign w:val="center"/>
          </w:tcPr>
          <w:p w14:paraId="5A0E7C6E"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5.5%</w:t>
            </w:r>
          </w:p>
        </w:tc>
      </w:tr>
      <w:tr w:rsidR="00716D67" w:rsidRPr="001F30C2" w14:paraId="4950DEAD" w14:textId="77777777" w:rsidTr="00716D67">
        <w:tblPrEx>
          <w:tblCellMar>
            <w:top w:w="0" w:type="dxa"/>
            <w:bottom w:w="0" w:type="dxa"/>
          </w:tblCellMar>
        </w:tblPrEx>
        <w:tc>
          <w:tcPr>
            <w:tcW w:w="3708" w:type="dxa"/>
            <w:shd w:val="clear" w:color="auto" w:fill="auto"/>
            <w:vAlign w:val="center"/>
          </w:tcPr>
          <w:p w14:paraId="3E5EF8FA" w14:textId="77777777" w:rsidR="00716D67" w:rsidRPr="00F53CED" w:rsidRDefault="00716D67" w:rsidP="00716D67">
            <w:pPr>
              <w:pStyle w:val="TableRowHead"/>
              <w:keepNext w:val="0"/>
            </w:pPr>
            <w:proofErr w:type="spellStart"/>
            <w:r w:rsidRPr="00F53CED">
              <w:t>Toimhde</w:t>
            </w:r>
            <w:proofErr w:type="spellEnd"/>
            <w:r w:rsidRPr="00F53CED">
              <w:t xml:space="preserve"> ar</w:t>
            </w:r>
            <w:r>
              <w:t xml:space="preserve"> </w:t>
            </w:r>
            <w:r w:rsidRPr="00F53CED">
              <w:t>mhéadú tuarastail</w:t>
            </w:r>
          </w:p>
        </w:tc>
        <w:tc>
          <w:tcPr>
            <w:tcW w:w="1008" w:type="dxa"/>
            <w:shd w:val="clear" w:color="auto" w:fill="auto"/>
            <w:vAlign w:val="center"/>
          </w:tcPr>
          <w:p w14:paraId="5C825ADF"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0FE504DE"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FF862AE"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6EEA997"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1CECF3C7"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r>
      <w:tr w:rsidR="00716D67" w:rsidRPr="001F30C2" w14:paraId="2C7108F8" w14:textId="77777777" w:rsidTr="00716D67">
        <w:tblPrEx>
          <w:tblCellMar>
            <w:top w:w="0" w:type="dxa"/>
            <w:bottom w:w="0" w:type="dxa"/>
          </w:tblCellMar>
        </w:tblPrEx>
        <w:tc>
          <w:tcPr>
            <w:tcW w:w="3708" w:type="dxa"/>
            <w:shd w:val="clear" w:color="auto" w:fill="auto"/>
            <w:vAlign w:val="center"/>
          </w:tcPr>
          <w:p w14:paraId="3E7B7454" w14:textId="77777777" w:rsidR="00716D67" w:rsidRPr="00F53CED" w:rsidRDefault="00716D67" w:rsidP="00716D67">
            <w:pPr>
              <w:pStyle w:val="TableRowHead"/>
              <w:keepNext w:val="0"/>
            </w:pPr>
            <w:proofErr w:type="spellStart"/>
            <w:r w:rsidRPr="00F53CED">
              <w:t>Toimhde</w:t>
            </w:r>
            <w:proofErr w:type="spellEnd"/>
            <w:r w:rsidRPr="00F53CED">
              <w:t xml:space="preserve"> ar</w:t>
            </w:r>
            <w:r>
              <w:t xml:space="preserve"> </w:t>
            </w:r>
            <w:r w:rsidRPr="00F53CED">
              <w:t>mhéadú pinsin</w:t>
            </w:r>
          </w:p>
        </w:tc>
        <w:tc>
          <w:tcPr>
            <w:tcW w:w="1008" w:type="dxa"/>
            <w:shd w:val="clear" w:color="auto" w:fill="auto"/>
            <w:vAlign w:val="center"/>
          </w:tcPr>
          <w:p w14:paraId="212AA06C"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7B5903E8"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20F7CFB9"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5DE8AA2C"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c>
          <w:tcPr>
            <w:tcW w:w="1008" w:type="dxa"/>
            <w:shd w:val="clear" w:color="auto" w:fill="auto"/>
            <w:vAlign w:val="center"/>
          </w:tcPr>
          <w:p w14:paraId="41D53C24"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4%</w:t>
            </w:r>
          </w:p>
        </w:tc>
      </w:tr>
      <w:tr w:rsidR="00716D67" w:rsidRPr="001F30C2" w14:paraId="5A7D07AE" w14:textId="77777777" w:rsidTr="00716D67">
        <w:tblPrEx>
          <w:tblCellMar>
            <w:top w:w="0" w:type="dxa"/>
            <w:bottom w:w="0" w:type="dxa"/>
          </w:tblCellMar>
        </w:tblPrEx>
        <w:tc>
          <w:tcPr>
            <w:tcW w:w="3708" w:type="dxa"/>
            <w:shd w:val="clear" w:color="auto" w:fill="auto"/>
            <w:vAlign w:val="center"/>
          </w:tcPr>
          <w:p w14:paraId="0771EE69" w14:textId="77777777" w:rsidR="00716D67" w:rsidRPr="00F53CED" w:rsidRDefault="00716D67" w:rsidP="00716D67">
            <w:pPr>
              <w:pStyle w:val="TableRowHead"/>
              <w:keepNext w:val="0"/>
            </w:pPr>
            <w:proofErr w:type="spellStart"/>
            <w:r w:rsidRPr="00F53CED">
              <w:t>Boilsciú</w:t>
            </w:r>
            <w:proofErr w:type="spellEnd"/>
            <w:r w:rsidRPr="00F53CED">
              <w:t xml:space="preserve"> ar</w:t>
            </w:r>
            <w:r>
              <w:t xml:space="preserve"> </w:t>
            </w:r>
            <w:proofErr w:type="spellStart"/>
            <w:r w:rsidRPr="00F53CED">
              <w:t>Phraghsanna</w:t>
            </w:r>
            <w:proofErr w:type="spellEnd"/>
          </w:p>
        </w:tc>
        <w:tc>
          <w:tcPr>
            <w:tcW w:w="1008" w:type="dxa"/>
            <w:shd w:val="clear" w:color="auto" w:fill="auto"/>
            <w:vAlign w:val="center"/>
          </w:tcPr>
          <w:p w14:paraId="38D3DD3B"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32DAE4EB"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128CE5F6"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425ED8FF"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2%</w:t>
            </w:r>
          </w:p>
        </w:tc>
        <w:tc>
          <w:tcPr>
            <w:tcW w:w="1008" w:type="dxa"/>
            <w:shd w:val="clear" w:color="auto" w:fill="auto"/>
            <w:vAlign w:val="center"/>
          </w:tcPr>
          <w:p w14:paraId="4BB7852E" w14:textId="77777777" w:rsidR="00716D67" w:rsidRPr="001F30C2" w:rsidRDefault="00716D67" w:rsidP="00716D67">
            <w:pPr>
              <w:spacing w:after="0" w:line="240" w:lineRule="auto"/>
              <w:jc w:val="right"/>
              <w:rPr>
                <w:rFonts w:cs="Arial"/>
                <w:lang w:val="en-GB" w:eastAsia="en-GB"/>
              </w:rPr>
            </w:pPr>
            <w:r w:rsidRPr="001F30C2">
              <w:rPr>
                <w:rFonts w:cs="Arial"/>
                <w:lang w:val="en-GB" w:eastAsia="en-GB"/>
              </w:rPr>
              <w:t>2%</w:t>
            </w:r>
          </w:p>
        </w:tc>
      </w:tr>
    </w:tbl>
    <w:p w14:paraId="099C937A" w14:textId="77777777" w:rsidR="00141421" w:rsidRPr="00F53CED" w:rsidRDefault="00716D67" w:rsidP="00716D67">
      <w:pPr>
        <w:rPr>
          <w:b/>
          <w:lang w:val="en-GB" w:eastAsia="en-GB"/>
        </w:rPr>
      </w:pPr>
      <w:r>
        <w:lastRenderedPageBreak/>
        <w:br/>
      </w:r>
      <w:r w:rsidR="00F53CED">
        <w:t xml:space="preserve">De bhrí go bhfuil </w:t>
      </w:r>
      <w:proofErr w:type="spellStart"/>
      <w:r w:rsidR="00F53CED">
        <w:t>sceímeanna</w:t>
      </w:r>
      <w:proofErr w:type="spellEnd"/>
      <w:r w:rsidR="00F53CED">
        <w:t xml:space="preserve"> an ÚNM </w:t>
      </w:r>
      <w:proofErr w:type="spellStart"/>
      <w:r w:rsidR="00F53CED">
        <w:t>neamhchistithe</w:t>
      </w:r>
      <w:proofErr w:type="spellEnd"/>
      <w:r w:rsidR="00F53CED">
        <w:t xml:space="preserve">, níl aon </w:t>
      </w:r>
      <w:proofErr w:type="spellStart"/>
      <w:r w:rsidR="00F53CED">
        <w:t>sóchmhainní</w:t>
      </w:r>
      <w:proofErr w:type="spellEnd"/>
      <w:r w:rsidR="00F53CED">
        <w:t xml:space="preserve"> ann i leith </w:t>
      </w:r>
      <w:proofErr w:type="spellStart"/>
      <w:r w:rsidR="00F53CED">
        <w:t>dliteanas</w:t>
      </w:r>
      <w:proofErr w:type="spellEnd"/>
      <w:r w:rsidR="00F53CED">
        <w:t xml:space="preserve"> </w:t>
      </w:r>
      <w:proofErr w:type="spellStart"/>
      <w:r w:rsidR="00F53CED">
        <w:t>fabhraithe</w:t>
      </w:r>
      <w:proofErr w:type="spellEnd"/>
      <w:r w:rsidR="00F53CED">
        <w:t xml:space="preserve"> pinsin </w:t>
      </w:r>
      <w:proofErr w:type="spellStart"/>
      <w:r w:rsidR="00F53CED">
        <w:t>fhoirne</w:t>
      </w:r>
      <w:proofErr w:type="spellEnd"/>
      <w:r w:rsidR="00F53CED">
        <w:t xml:space="preserve"> an ÚNM.</w:t>
      </w:r>
    </w:p>
    <w:p w14:paraId="56D26D0F" w14:textId="77777777" w:rsidR="00141421" w:rsidRPr="00826690" w:rsidRDefault="00141421" w:rsidP="00716D67">
      <w:pPr>
        <w:pStyle w:val="TableTitle"/>
        <w:keepNext w:val="0"/>
        <w:jc w:val="left"/>
        <w:rPr>
          <w:bCs/>
          <w:lang w:val="en-GB" w:eastAsia="en-GB"/>
        </w:rPr>
      </w:pPr>
      <w:r w:rsidRPr="00826690">
        <w:rPr>
          <w:bCs/>
          <w:lang w:val="en-GB" w:eastAsia="en-GB"/>
        </w:rPr>
        <w:t xml:space="preserve">(b) </w:t>
      </w:r>
      <w:proofErr w:type="spellStart"/>
      <w:r w:rsidR="00F53CED">
        <w:t>Cistíocht</w:t>
      </w:r>
      <w:proofErr w:type="spellEnd"/>
      <w:r w:rsidR="00F53CED">
        <w:t xml:space="preserve"> ghlan </w:t>
      </w:r>
      <w:proofErr w:type="spellStart"/>
      <w:r w:rsidR="00F53CED">
        <w:t>iarchurtha</w:t>
      </w:r>
      <w:proofErr w:type="spellEnd"/>
      <w:r w:rsidR="00F53CED">
        <w:t xml:space="preserve"> do </w:t>
      </w:r>
      <w:proofErr w:type="spellStart"/>
      <w:r w:rsidR="00F53CED">
        <w:t>Phinsin</w:t>
      </w:r>
      <w:proofErr w:type="spellEnd"/>
      <w:r w:rsidR="00F53CED">
        <w:t xml:space="preserve"> sa Bhliain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141421" w:rsidRPr="00826690" w14:paraId="136A4CCD" w14:textId="77777777" w:rsidTr="00141421">
        <w:tblPrEx>
          <w:tblCellMar>
            <w:top w:w="0" w:type="dxa"/>
            <w:bottom w:w="0" w:type="dxa"/>
          </w:tblCellMar>
        </w:tblPrEx>
        <w:trPr>
          <w:tblHeader/>
        </w:trPr>
        <w:tc>
          <w:tcPr>
            <w:tcW w:w="5868" w:type="dxa"/>
            <w:shd w:val="clear" w:color="auto" w:fill="auto"/>
          </w:tcPr>
          <w:p w14:paraId="61AECC10" w14:textId="77777777" w:rsidR="00141421" w:rsidRPr="00826690" w:rsidRDefault="00141421" w:rsidP="00716D67">
            <w:pPr>
              <w:pStyle w:val="TableHead"/>
              <w:jc w:val="right"/>
              <w:rPr>
                <w:lang w:val="en-GB" w:eastAsia="en-GB"/>
              </w:rPr>
            </w:pPr>
          </w:p>
        </w:tc>
        <w:tc>
          <w:tcPr>
            <w:tcW w:w="1494" w:type="dxa"/>
            <w:shd w:val="clear" w:color="auto" w:fill="auto"/>
          </w:tcPr>
          <w:p w14:paraId="09D76612" w14:textId="77777777" w:rsidR="00141421" w:rsidRPr="00B22912" w:rsidRDefault="00141421" w:rsidP="00716D67">
            <w:pPr>
              <w:pStyle w:val="TableHead"/>
              <w:spacing w:line="240" w:lineRule="auto"/>
              <w:jc w:val="right"/>
            </w:pPr>
            <w:r w:rsidRPr="00B22912">
              <w:t>2010</w:t>
            </w:r>
          </w:p>
        </w:tc>
        <w:tc>
          <w:tcPr>
            <w:tcW w:w="1494" w:type="dxa"/>
            <w:shd w:val="clear" w:color="auto" w:fill="auto"/>
          </w:tcPr>
          <w:p w14:paraId="2773755E" w14:textId="77777777" w:rsidR="00141421" w:rsidRPr="00B22912" w:rsidRDefault="00141421" w:rsidP="00716D67">
            <w:pPr>
              <w:pStyle w:val="TableHead"/>
              <w:spacing w:line="240" w:lineRule="auto"/>
              <w:jc w:val="right"/>
            </w:pPr>
            <w:r w:rsidRPr="00B22912">
              <w:t>2009</w:t>
            </w:r>
          </w:p>
        </w:tc>
      </w:tr>
      <w:tr w:rsidR="00141421" w:rsidRPr="00826690" w14:paraId="225FC0C4" w14:textId="77777777" w:rsidTr="00141421">
        <w:tblPrEx>
          <w:tblCellMar>
            <w:top w:w="0" w:type="dxa"/>
            <w:bottom w:w="0" w:type="dxa"/>
          </w:tblCellMar>
        </w:tblPrEx>
        <w:tc>
          <w:tcPr>
            <w:tcW w:w="5868" w:type="dxa"/>
            <w:shd w:val="clear" w:color="auto" w:fill="auto"/>
          </w:tcPr>
          <w:p w14:paraId="70110A0B" w14:textId="77777777" w:rsidR="00141421" w:rsidRPr="00826690" w:rsidRDefault="00141421" w:rsidP="00716D67">
            <w:pPr>
              <w:pStyle w:val="TableRowHead"/>
              <w:keepNext w:val="0"/>
              <w:rPr>
                <w:lang w:val="en-GB" w:eastAsia="en-GB"/>
              </w:rPr>
            </w:pPr>
          </w:p>
        </w:tc>
        <w:tc>
          <w:tcPr>
            <w:tcW w:w="1494" w:type="dxa"/>
            <w:shd w:val="clear" w:color="auto" w:fill="auto"/>
            <w:vAlign w:val="bottom"/>
          </w:tcPr>
          <w:p w14:paraId="58BB4354" w14:textId="77777777" w:rsidR="00141421" w:rsidRPr="00B22912" w:rsidRDefault="00141421" w:rsidP="00716D67">
            <w:pPr>
              <w:spacing w:after="0" w:line="240" w:lineRule="auto"/>
              <w:jc w:val="right"/>
              <w:rPr>
                <w:rFonts w:cs="Arial"/>
                <w:b/>
                <w:bCs/>
                <w:lang w:val="en-GB" w:eastAsia="en-GB"/>
              </w:rPr>
            </w:pPr>
            <w:r w:rsidRPr="00B22912">
              <w:rPr>
                <w:rFonts w:cs="Arial"/>
                <w:b/>
                <w:bCs/>
                <w:lang w:val="en-GB" w:eastAsia="en-GB"/>
              </w:rPr>
              <w:t xml:space="preserve">          €</w:t>
            </w:r>
          </w:p>
        </w:tc>
        <w:tc>
          <w:tcPr>
            <w:tcW w:w="1494" w:type="dxa"/>
            <w:shd w:val="clear" w:color="auto" w:fill="auto"/>
            <w:vAlign w:val="bottom"/>
          </w:tcPr>
          <w:p w14:paraId="2312C6C2" w14:textId="77777777" w:rsidR="00141421" w:rsidRPr="00B22912" w:rsidRDefault="00141421" w:rsidP="00716D67">
            <w:pPr>
              <w:spacing w:after="0" w:line="240" w:lineRule="auto"/>
              <w:jc w:val="right"/>
              <w:rPr>
                <w:rFonts w:cs="Arial"/>
                <w:b/>
                <w:bCs/>
                <w:lang w:val="en-GB" w:eastAsia="en-GB"/>
              </w:rPr>
            </w:pPr>
            <w:r w:rsidRPr="00B22912">
              <w:rPr>
                <w:rFonts w:cs="Arial"/>
                <w:b/>
                <w:bCs/>
                <w:lang w:val="en-GB" w:eastAsia="en-GB"/>
              </w:rPr>
              <w:t xml:space="preserve">          €</w:t>
            </w:r>
          </w:p>
        </w:tc>
      </w:tr>
      <w:tr w:rsidR="00F53CED" w:rsidRPr="00826690" w14:paraId="77CD40FF" w14:textId="77777777" w:rsidTr="00752687">
        <w:tblPrEx>
          <w:tblCellMar>
            <w:top w:w="0" w:type="dxa"/>
            <w:bottom w:w="0" w:type="dxa"/>
          </w:tblCellMar>
        </w:tblPrEx>
        <w:tc>
          <w:tcPr>
            <w:tcW w:w="5868" w:type="dxa"/>
            <w:shd w:val="clear" w:color="auto" w:fill="auto"/>
            <w:vAlign w:val="center"/>
          </w:tcPr>
          <w:p w14:paraId="4E72F332" w14:textId="77777777" w:rsidR="00F53CED" w:rsidRPr="00F53CED" w:rsidRDefault="00F53CED" w:rsidP="00716D67">
            <w:pPr>
              <w:pStyle w:val="TableRowHead"/>
              <w:keepNext w:val="0"/>
            </w:pPr>
            <w:proofErr w:type="spellStart"/>
            <w:r w:rsidRPr="00F53CED">
              <w:t>Cistíocht</w:t>
            </w:r>
            <w:proofErr w:type="spellEnd"/>
            <w:r w:rsidRPr="00F53CED">
              <w:t xml:space="preserve"> in-</w:t>
            </w:r>
            <w:proofErr w:type="spellStart"/>
            <w:r w:rsidRPr="00F53CED">
              <w:t>aisghabhála</w:t>
            </w:r>
            <w:proofErr w:type="spellEnd"/>
            <w:r w:rsidRPr="00F53CED">
              <w:t xml:space="preserve"> i leith costas pinsin na bliana reatha</w:t>
            </w:r>
          </w:p>
        </w:tc>
        <w:tc>
          <w:tcPr>
            <w:tcW w:w="1494" w:type="dxa"/>
            <w:shd w:val="clear" w:color="auto" w:fill="auto"/>
            <w:vAlign w:val="bottom"/>
          </w:tcPr>
          <w:p w14:paraId="2AE8B6C2" w14:textId="77777777" w:rsidR="00F53CED" w:rsidRPr="001F30C2" w:rsidRDefault="00F53CED" w:rsidP="00716D67">
            <w:pPr>
              <w:spacing w:after="0" w:line="240" w:lineRule="auto"/>
              <w:jc w:val="right"/>
              <w:rPr>
                <w:rFonts w:cs="Arial"/>
                <w:lang w:val="en-GB" w:eastAsia="en-GB"/>
              </w:rPr>
            </w:pPr>
            <w:r w:rsidRPr="001F30C2">
              <w:rPr>
                <w:rFonts w:cs="Arial"/>
                <w:lang w:val="en-GB" w:eastAsia="en-GB"/>
              </w:rPr>
              <w:t xml:space="preserve">1,550,000 </w:t>
            </w:r>
          </w:p>
        </w:tc>
        <w:tc>
          <w:tcPr>
            <w:tcW w:w="1494" w:type="dxa"/>
            <w:shd w:val="clear" w:color="auto" w:fill="auto"/>
            <w:vAlign w:val="bottom"/>
          </w:tcPr>
          <w:p w14:paraId="3CB7F20A" w14:textId="77777777" w:rsidR="00F53CED" w:rsidRPr="001F30C2" w:rsidRDefault="00F53CED" w:rsidP="00716D67">
            <w:pPr>
              <w:spacing w:after="0" w:line="240" w:lineRule="auto"/>
              <w:jc w:val="right"/>
              <w:rPr>
                <w:rFonts w:cs="Arial"/>
                <w:lang w:val="en-GB" w:eastAsia="en-GB"/>
              </w:rPr>
            </w:pPr>
            <w:r w:rsidRPr="001F30C2">
              <w:rPr>
                <w:rFonts w:cs="Arial"/>
                <w:lang w:val="en-GB" w:eastAsia="en-GB"/>
              </w:rPr>
              <w:t xml:space="preserve">1,480,000 </w:t>
            </w:r>
          </w:p>
        </w:tc>
      </w:tr>
      <w:tr w:rsidR="00F53CED" w:rsidRPr="00826690" w14:paraId="1C38BA33" w14:textId="77777777" w:rsidTr="00752687">
        <w:tblPrEx>
          <w:tblCellMar>
            <w:top w:w="0" w:type="dxa"/>
            <w:bottom w:w="0" w:type="dxa"/>
          </w:tblCellMar>
        </w:tblPrEx>
        <w:tc>
          <w:tcPr>
            <w:tcW w:w="5868" w:type="dxa"/>
            <w:shd w:val="clear" w:color="auto" w:fill="auto"/>
            <w:vAlign w:val="center"/>
          </w:tcPr>
          <w:p w14:paraId="18436EE6" w14:textId="77777777" w:rsidR="00F53CED" w:rsidRPr="00F53CED" w:rsidRDefault="00F53CED" w:rsidP="00716D67">
            <w:pPr>
              <w:pStyle w:val="TableRowHead"/>
              <w:keepNext w:val="0"/>
            </w:pPr>
            <w:r w:rsidRPr="00F53CED">
              <w:t xml:space="preserve">Deontas Stáit a caitheadh ar </w:t>
            </w:r>
            <w:proofErr w:type="spellStart"/>
            <w:r w:rsidRPr="00F53CED">
              <w:t>phinsiinéirí</w:t>
            </w:r>
            <w:proofErr w:type="spellEnd"/>
            <w:r w:rsidRPr="00F53CED">
              <w:t xml:space="preserve"> a íoc</w:t>
            </w:r>
          </w:p>
        </w:tc>
        <w:tc>
          <w:tcPr>
            <w:tcW w:w="1494" w:type="dxa"/>
            <w:shd w:val="clear" w:color="auto" w:fill="auto"/>
            <w:vAlign w:val="bottom"/>
          </w:tcPr>
          <w:p w14:paraId="6E02358F" w14:textId="77777777" w:rsidR="00F53CED" w:rsidRPr="001F30C2" w:rsidRDefault="00F53CED" w:rsidP="00716D67">
            <w:pPr>
              <w:spacing w:after="0" w:line="240" w:lineRule="auto"/>
              <w:jc w:val="right"/>
              <w:rPr>
                <w:rFonts w:cs="Arial"/>
                <w:lang w:val="en-GB" w:eastAsia="en-GB"/>
              </w:rPr>
            </w:pPr>
            <w:r w:rsidRPr="001F30C2">
              <w:rPr>
                <w:rFonts w:cs="Arial"/>
                <w:lang w:val="en-GB" w:eastAsia="en-GB"/>
              </w:rPr>
              <w:t>(536,272)</w:t>
            </w:r>
          </w:p>
        </w:tc>
        <w:tc>
          <w:tcPr>
            <w:tcW w:w="1494" w:type="dxa"/>
            <w:shd w:val="clear" w:color="auto" w:fill="auto"/>
            <w:vAlign w:val="bottom"/>
          </w:tcPr>
          <w:p w14:paraId="65CD9E24" w14:textId="77777777" w:rsidR="00F53CED" w:rsidRPr="001F30C2" w:rsidRDefault="00F53CED" w:rsidP="00716D67">
            <w:pPr>
              <w:spacing w:after="0" w:line="240" w:lineRule="auto"/>
              <w:jc w:val="right"/>
              <w:rPr>
                <w:rFonts w:cs="Arial"/>
                <w:lang w:val="en-GB" w:eastAsia="en-GB"/>
              </w:rPr>
            </w:pPr>
            <w:r w:rsidRPr="001F30C2">
              <w:rPr>
                <w:rFonts w:cs="Arial"/>
                <w:lang w:val="en-GB" w:eastAsia="en-GB"/>
              </w:rPr>
              <w:t>(819,494)</w:t>
            </w:r>
          </w:p>
        </w:tc>
      </w:tr>
      <w:tr w:rsidR="00141421" w:rsidRPr="00826690" w14:paraId="6A3C6C59" w14:textId="77777777" w:rsidTr="00141421">
        <w:tblPrEx>
          <w:tblCellMar>
            <w:top w:w="0" w:type="dxa"/>
            <w:bottom w:w="0" w:type="dxa"/>
          </w:tblCellMar>
        </w:tblPrEx>
        <w:tc>
          <w:tcPr>
            <w:tcW w:w="5868" w:type="dxa"/>
            <w:shd w:val="clear" w:color="auto" w:fill="auto"/>
          </w:tcPr>
          <w:p w14:paraId="474BF850" w14:textId="77777777" w:rsidR="00141421" w:rsidRPr="00826690" w:rsidRDefault="00141421" w:rsidP="00716D67">
            <w:pPr>
              <w:pStyle w:val="TableRowHead"/>
              <w:keepNext w:val="0"/>
              <w:rPr>
                <w:lang w:val="en-GB" w:eastAsia="en-GB"/>
              </w:rPr>
            </w:pPr>
          </w:p>
        </w:tc>
        <w:tc>
          <w:tcPr>
            <w:tcW w:w="1494" w:type="dxa"/>
            <w:shd w:val="clear" w:color="auto" w:fill="auto"/>
            <w:vAlign w:val="bottom"/>
          </w:tcPr>
          <w:p w14:paraId="48820155" w14:textId="77777777" w:rsidR="00141421" w:rsidRPr="00826690" w:rsidRDefault="00141421" w:rsidP="00716D67">
            <w:pPr>
              <w:spacing w:after="0" w:line="240" w:lineRule="auto"/>
              <w:jc w:val="right"/>
              <w:rPr>
                <w:rFonts w:cs="Arial"/>
                <w:b/>
                <w:lang w:val="en-GB" w:eastAsia="en-GB"/>
              </w:rPr>
            </w:pPr>
            <w:r w:rsidRPr="00826690">
              <w:rPr>
                <w:rFonts w:cs="Arial"/>
                <w:b/>
                <w:lang w:val="en-GB" w:eastAsia="en-GB"/>
              </w:rPr>
              <w:t xml:space="preserve">1,013,728 </w:t>
            </w:r>
          </w:p>
        </w:tc>
        <w:tc>
          <w:tcPr>
            <w:tcW w:w="1494" w:type="dxa"/>
            <w:shd w:val="clear" w:color="auto" w:fill="auto"/>
            <w:vAlign w:val="bottom"/>
          </w:tcPr>
          <w:p w14:paraId="3E7A05C7" w14:textId="77777777" w:rsidR="00141421" w:rsidRPr="00826690" w:rsidRDefault="00141421" w:rsidP="00716D67">
            <w:pPr>
              <w:spacing w:after="0" w:line="240" w:lineRule="auto"/>
              <w:jc w:val="right"/>
              <w:rPr>
                <w:rFonts w:cs="Arial"/>
                <w:b/>
                <w:lang w:val="en-GB" w:eastAsia="en-GB"/>
              </w:rPr>
            </w:pPr>
            <w:r w:rsidRPr="00826690">
              <w:rPr>
                <w:rFonts w:cs="Arial"/>
                <w:b/>
                <w:lang w:val="en-GB" w:eastAsia="en-GB"/>
              </w:rPr>
              <w:t xml:space="preserve">660,506 </w:t>
            </w:r>
          </w:p>
        </w:tc>
      </w:tr>
    </w:tbl>
    <w:p w14:paraId="2B156FFE" w14:textId="77777777" w:rsidR="00141421" w:rsidRDefault="00F53CED" w:rsidP="00716D67">
      <w:pPr>
        <w:pStyle w:val="TableTitle"/>
        <w:keepNext w:val="0"/>
        <w:jc w:val="left"/>
      </w:pPr>
      <w:r>
        <w:rPr>
          <w:lang w:val="en-GB" w:eastAsia="en-GB"/>
        </w:rPr>
        <w:t xml:space="preserve">(c) </w:t>
      </w:r>
      <w:r>
        <w:t xml:space="preserve">Anailís ar an méid a cuireadh i leith </w:t>
      </w:r>
      <w:proofErr w:type="spellStart"/>
      <w:r>
        <w:t>brabúis</w:t>
      </w:r>
      <w:proofErr w:type="spellEnd"/>
      <w:r>
        <w:t xml:space="preserve"> </w:t>
      </w:r>
      <w:proofErr w:type="spellStart"/>
      <w:r>
        <w:t>oibriúcháin</w:t>
      </w:r>
      <w:proofErr w:type="spellEnd"/>
      <w:r>
        <w:t xml:space="preserve"> faoi CTA 17</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944"/>
        <w:gridCol w:w="1944"/>
      </w:tblGrid>
      <w:tr w:rsidR="00141421" w:rsidRPr="00826690" w14:paraId="78E23A6F" w14:textId="77777777" w:rsidTr="00141421">
        <w:tblPrEx>
          <w:tblCellMar>
            <w:top w:w="0" w:type="dxa"/>
            <w:bottom w:w="0" w:type="dxa"/>
          </w:tblCellMar>
        </w:tblPrEx>
        <w:tc>
          <w:tcPr>
            <w:tcW w:w="4968" w:type="dxa"/>
            <w:shd w:val="clear" w:color="auto" w:fill="auto"/>
          </w:tcPr>
          <w:p w14:paraId="70763F0F" w14:textId="77777777" w:rsidR="00141421" w:rsidRPr="00826690" w:rsidRDefault="00141421" w:rsidP="00716D67">
            <w:pPr>
              <w:pStyle w:val="TableRowHead"/>
              <w:keepNext w:val="0"/>
              <w:rPr>
                <w:lang w:val="en-GB" w:eastAsia="en-GB"/>
              </w:rPr>
            </w:pPr>
          </w:p>
        </w:tc>
        <w:tc>
          <w:tcPr>
            <w:tcW w:w="1944" w:type="dxa"/>
            <w:shd w:val="clear" w:color="auto" w:fill="auto"/>
          </w:tcPr>
          <w:p w14:paraId="035E0FD9" w14:textId="77777777" w:rsidR="00141421" w:rsidRPr="00B22912" w:rsidRDefault="00141421" w:rsidP="00716D67">
            <w:pPr>
              <w:pStyle w:val="TableHead"/>
              <w:spacing w:line="240" w:lineRule="auto"/>
              <w:jc w:val="right"/>
            </w:pPr>
            <w:r w:rsidRPr="00B22912">
              <w:t>2010</w:t>
            </w:r>
          </w:p>
        </w:tc>
        <w:tc>
          <w:tcPr>
            <w:tcW w:w="1944" w:type="dxa"/>
            <w:shd w:val="clear" w:color="auto" w:fill="auto"/>
          </w:tcPr>
          <w:p w14:paraId="4A92B2CD" w14:textId="77777777" w:rsidR="00141421" w:rsidRPr="00B22912" w:rsidRDefault="00141421" w:rsidP="00716D67">
            <w:pPr>
              <w:pStyle w:val="TableHead"/>
              <w:spacing w:line="240" w:lineRule="auto"/>
              <w:jc w:val="right"/>
            </w:pPr>
            <w:r w:rsidRPr="00B22912">
              <w:t>2009</w:t>
            </w:r>
          </w:p>
        </w:tc>
      </w:tr>
      <w:tr w:rsidR="00141421" w:rsidRPr="00826690" w14:paraId="51DD1DAD" w14:textId="77777777" w:rsidTr="00141421">
        <w:tblPrEx>
          <w:tblCellMar>
            <w:top w:w="0" w:type="dxa"/>
            <w:bottom w:w="0" w:type="dxa"/>
          </w:tblCellMar>
        </w:tblPrEx>
        <w:tc>
          <w:tcPr>
            <w:tcW w:w="4968" w:type="dxa"/>
            <w:shd w:val="clear" w:color="auto" w:fill="auto"/>
          </w:tcPr>
          <w:p w14:paraId="19E8BDF8" w14:textId="77777777" w:rsidR="00141421" w:rsidRPr="00826690" w:rsidRDefault="00141421" w:rsidP="00716D67">
            <w:pPr>
              <w:pStyle w:val="TableRowHead"/>
              <w:keepNext w:val="0"/>
              <w:rPr>
                <w:lang w:val="en-GB" w:eastAsia="en-GB"/>
              </w:rPr>
            </w:pPr>
          </w:p>
        </w:tc>
        <w:tc>
          <w:tcPr>
            <w:tcW w:w="1944" w:type="dxa"/>
            <w:shd w:val="clear" w:color="auto" w:fill="auto"/>
            <w:vAlign w:val="bottom"/>
          </w:tcPr>
          <w:p w14:paraId="10CCA07F" w14:textId="77777777" w:rsidR="00141421" w:rsidRPr="00B22912" w:rsidRDefault="00141421" w:rsidP="00716D67">
            <w:pPr>
              <w:spacing w:after="0" w:line="240" w:lineRule="auto"/>
              <w:jc w:val="right"/>
              <w:rPr>
                <w:rFonts w:cs="Arial"/>
                <w:b/>
                <w:bCs/>
                <w:lang w:val="en-GB" w:eastAsia="en-GB"/>
              </w:rPr>
            </w:pPr>
            <w:r w:rsidRPr="00B22912">
              <w:rPr>
                <w:rFonts w:cs="Arial"/>
                <w:b/>
                <w:bCs/>
                <w:lang w:val="en-GB" w:eastAsia="en-GB"/>
              </w:rPr>
              <w:t xml:space="preserve">          €</w:t>
            </w:r>
          </w:p>
        </w:tc>
        <w:tc>
          <w:tcPr>
            <w:tcW w:w="1944" w:type="dxa"/>
            <w:shd w:val="clear" w:color="auto" w:fill="auto"/>
            <w:vAlign w:val="bottom"/>
          </w:tcPr>
          <w:p w14:paraId="1535F3F8" w14:textId="77777777" w:rsidR="00141421" w:rsidRPr="00B22912" w:rsidRDefault="00141421" w:rsidP="00716D67">
            <w:pPr>
              <w:spacing w:after="0" w:line="240" w:lineRule="auto"/>
              <w:jc w:val="right"/>
              <w:rPr>
                <w:rFonts w:cs="Arial"/>
                <w:b/>
                <w:bCs/>
                <w:lang w:val="en-GB" w:eastAsia="en-GB"/>
              </w:rPr>
            </w:pPr>
            <w:r w:rsidRPr="00B22912">
              <w:rPr>
                <w:rFonts w:cs="Arial"/>
                <w:b/>
                <w:bCs/>
                <w:lang w:val="en-GB" w:eastAsia="en-GB"/>
              </w:rPr>
              <w:t xml:space="preserve">          €</w:t>
            </w:r>
          </w:p>
        </w:tc>
      </w:tr>
      <w:tr w:rsidR="00141421" w:rsidRPr="00826690" w14:paraId="190881F3" w14:textId="77777777" w:rsidTr="00141421">
        <w:tblPrEx>
          <w:tblCellMar>
            <w:top w:w="0" w:type="dxa"/>
            <w:bottom w:w="0" w:type="dxa"/>
          </w:tblCellMar>
        </w:tblPrEx>
        <w:tc>
          <w:tcPr>
            <w:tcW w:w="4968" w:type="dxa"/>
            <w:shd w:val="clear" w:color="auto" w:fill="auto"/>
            <w:vAlign w:val="bottom"/>
          </w:tcPr>
          <w:p w14:paraId="2AC8529C" w14:textId="77777777" w:rsidR="00141421" w:rsidRPr="00F53CED" w:rsidRDefault="00F53CED" w:rsidP="00716D67">
            <w:pPr>
              <w:pStyle w:val="TableRowHead"/>
              <w:keepNext w:val="0"/>
              <w:rPr>
                <w:lang w:val="en-GB" w:eastAsia="en-GB"/>
              </w:rPr>
            </w:pPr>
            <w:r w:rsidRPr="00F53CED">
              <w:t>Costas Seirbhíse Reatha</w:t>
            </w:r>
          </w:p>
        </w:tc>
        <w:tc>
          <w:tcPr>
            <w:tcW w:w="1944" w:type="dxa"/>
            <w:shd w:val="clear" w:color="auto" w:fill="auto"/>
            <w:vAlign w:val="bottom"/>
          </w:tcPr>
          <w:p w14:paraId="6215FF90"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 xml:space="preserve">550,000 </w:t>
            </w:r>
          </w:p>
        </w:tc>
        <w:tc>
          <w:tcPr>
            <w:tcW w:w="1944" w:type="dxa"/>
            <w:shd w:val="clear" w:color="auto" w:fill="auto"/>
            <w:vAlign w:val="bottom"/>
          </w:tcPr>
          <w:p w14:paraId="00FA2FCD"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 xml:space="preserve">580,000 </w:t>
            </w:r>
          </w:p>
        </w:tc>
      </w:tr>
      <w:tr w:rsidR="00141421" w:rsidRPr="00826690" w14:paraId="43962CF1" w14:textId="77777777" w:rsidTr="00141421">
        <w:tblPrEx>
          <w:tblCellMar>
            <w:top w:w="0" w:type="dxa"/>
            <w:bottom w:w="0" w:type="dxa"/>
          </w:tblCellMar>
        </w:tblPrEx>
        <w:tc>
          <w:tcPr>
            <w:tcW w:w="4968" w:type="dxa"/>
            <w:shd w:val="clear" w:color="auto" w:fill="auto"/>
            <w:vAlign w:val="bottom"/>
          </w:tcPr>
          <w:p w14:paraId="766DFCC6" w14:textId="77777777" w:rsidR="00141421" w:rsidRPr="00F53CED" w:rsidRDefault="00F53CED" w:rsidP="00716D67">
            <w:pPr>
              <w:pStyle w:val="TableRowHead"/>
              <w:keepNext w:val="0"/>
              <w:rPr>
                <w:lang w:val="en-GB" w:eastAsia="en-GB"/>
              </w:rPr>
            </w:pPr>
            <w:proofErr w:type="spellStart"/>
            <w:r w:rsidRPr="00F53CED">
              <w:t>Ús</w:t>
            </w:r>
            <w:proofErr w:type="spellEnd"/>
            <w:r w:rsidRPr="00F53CED">
              <w:t xml:space="preserve"> ar </w:t>
            </w:r>
            <w:proofErr w:type="spellStart"/>
            <w:r w:rsidRPr="00F53CED">
              <w:t>dhliteanais</w:t>
            </w:r>
            <w:proofErr w:type="spellEnd"/>
            <w:r w:rsidRPr="00F53CED">
              <w:t xml:space="preserve"> </w:t>
            </w:r>
            <w:proofErr w:type="spellStart"/>
            <w:r w:rsidRPr="00F53CED">
              <w:t>scéime</w:t>
            </w:r>
            <w:proofErr w:type="spellEnd"/>
            <w:r w:rsidRPr="00F53CED">
              <w:t xml:space="preserve"> pinsin</w:t>
            </w:r>
          </w:p>
        </w:tc>
        <w:tc>
          <w:tcPr>
            <w:tcW w:w="1944" w:type="dxa"/>
            <w:shd w:val="clear" w:color="auto" w:fill="auto"/>
            <w:vAlign w:val="bottom"/>
          </w:tcPr>
          <w:p w14:paraId="748737CB"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 xml:space="preserve">1,000,000 </w:t>
            </w:r>
          </w:p>
        </w:tc>
        <w:tc>
          <w:tcPr>
            <w:tcW w:w="1944" w:type="dxa"/>
            <w:shd w:val="clear" w:color="auto" w:fill="auto"/>
            <w:vAlign w:val="bottom"/>
          </w:tcPr>
          <w:p w14:paraId="027452B9"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 xml:space="preserve">900,000 </w:t>
            </w:r>
          </w:p>
        </w:tc>
      </w:tr>
      <w:tr w:rsidR="00141421" w:rsidRPr="00826690" w14:paraId="3420BAC7" w14:textId="77777777" w:rsidTr="00141421">
        <w:tblPrEx>
          <w:tblCellMar>
            <w:top w:w="0" w:type="dxa"/>
            <w:bottom w:w="0" w:type="dxa"/>
          </w:tblCellMar>
        </w:tblPrEx>
        <w:tc>
          <w:tcPr>
            <w:tcW w:w="4968" w:type="dxa"/>
            <w:shd w:val="clear" w:color="auto" w:fill="auto"/>
            <w:vAlign w:val="bottom"/>
          </w:tcPr>
          <w:p w14:paraId="7346FA0F" w14:textId="77777777" w:rsidR="00141421" w:rsidRPr="00F53CED" w:rsidRDefault="00F53CED" w:rsidP="00716D67">
            <w:pPr>
              <w:pStyle w:val="TableRowHead"/>
              <w:keepNext w:val="0"/>
              <w:rPr>
                <w:lang w:val="en-GB" w:eastAsia="en-GB"/>
              </w:rPr>
            </w:pPr>
            <w:proofErr w:type="spellStart"/>
            <w:r w:rsidRPr="00F53CED">
              <w:t>Rannaíocht</w:t>
            </w:r>
            <w:proofErr w:type="spellEnd"/>
            <w:r w:rsidRPr="00F53CED">
              <w:t xml:space="preserve"> na </w:t>
            </w:r>
            <w:proofErr w:type="spellStart"/>
            <w:r w:rsidRPr="00F53CED">
              <w:t>bhFostaithe</w:t>
            </w:r>
            <w:proofErr w:type="spellEnd"/>
          </w:p>
        </w:tc>
        <w:tc>
          <w:tcPr>
            <w:tcW w:w="1944" w:type="dxa"/>
            <w:shd w:val="clear" w:color="auto" w:fill="auto"/>
            <w:vAlign w:val="bottom"/>
          </w:tcPr>
          <w:p w14:paraId="04F4007F"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(142,720)</w:t>
            </w:r>
          </w:p>
        </w:tc>
        <w:tc>
          <w:tcPr>
            <w:tcW w:w="1944" w:type="dxa"/>
            <w:shd w:val="clear" w:color="auto" w:fill="auto"/>
            <w:vAlign w:val="bottom"/>
          </w:tcPr>
          <w:p w14:paraId="1FC3C31C"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(197,783)</w:t>
            </w:r>
          </w:p>
        </w:tc>
      </w:tr>
      <w:tr w:rsidR="00141421" w:rsidRPr="00826690" w14:paraId="2D0013FF" w14:textId="77777777" w:rsidTr="00141421">
        <w:tblPrEx>
          <w:tblCellMar>
            <w:top w:w="0" w:type="dxa"/>
            <w:bottom w:w="0" w:type="dxa"/>
          </w:tblCellMar>
        </w:tblPrEx>
        <w:tc>
          <w:tcPr>
            <w:tcW w:w="4968" w:type="dxa"/>
            <w:shd w:val="clear" w:color="auto" w:fill="auto"/>
            <w:vAlign w:val="bottom"/>
          </w:tcPr>
          <w:p w14:paraId="66AA2135" w14:textId="77777777" w:rsidR="00141421" w:rsidRPr="00F53CED" w:rsidRDefault="00F53CED" w:rsidP="00716D67">
            <w:pPr>
              <w:pStyle w:val="TableRowHead"/>
              <w:keepNext w:val="0"/>
              <w:rPr>
                <w:lang w:val="en-GB" w:eastAsia="en-GB"/>
              </w:rPr>
            </w:pPr>
            <w:r w:rsidRPr="00F53CED">
              <w:rPr>
                <w:lang w:val="ga-IE" w:eastAsia="en-GB"/>
              </w:rPr>
              <w:t>Costas seirbhíse caite</w:t>
            </w:r>
          </w:p>
        </w:tc>
        <w:tc>
          <w:tcPr>
            <w:tcW w:w="1944" w:type="dxa"/>
            <w:shd w:val="clear" w:color="auto" w:fill="auto"/>
            <w:vAlign w:val="bottom"/>
          </w:tcPr>
          <w:p w14:paraId="27C8E1F2" w14:textId="77777777" w:rsidR="00141421" w:rsidRPr="001F30C2" w:rsidRDefault="00141421" w:rsidP="00716D67">
            <w:pPr>
              <w:spacing w:after="0" w:line="240" w:lineRule="auto"/>
              <w:jc w:val="right"/>
              <w:rPr>
                <w:rFonts w:cs="Arial"/>
                <w:lang w:val="en-GB" w:eastAsia="en-GB"/>
              </w:rPr>
            </w:pPr>
            <w:r>
              <w:rPr>
                <w:rFonts w:cs="Arial"/>
                <w:lang w:val="en-GB" w:eastAsia="en-GB"/>
              </w:rPr>
              <w:t>-</w:t>
            </w:r>
          </w:p>
        </w:tc>
        <w:tc>
          <w:tcPr>
            <w:tcW w:w="1944" w:type="dxa"/>
            <w:shd w:val="clear" w:color="auto" w:fill="auto"/>
            <w:vAlign w:val="bottom"/>
          </w:tcPr>
          <w:p w14:paraId="6090C5C6" w14:textId="77777777" w:rsidR="00141421" w:rsidRPr="001F30C2" w:rsidRDefault="00141421" w:rsidP="00716D67">
            <w:pPr>
              <w:spacing w:after="0" w:line="240" w:lineRule="auto"/>
              <w:jc w:val="right"/>
              <w:rPr>
                <w:rFonts w:cs="Arial"/>
                <w:lang w:val="en-GB" w:eastAsia="en-GB"/>
              </w:rPr>
            </w:pPr>
            <w:r w:rsidRPr="001F30C2">
              <w:rPr>
                <w:rFonts w:cs="Arial"/>
                <w:lang w:val="en-GB" w:eastAsia="en-GB"/>
              </w:rPr>
              <w:t xml:space="preserve">            -     </w:t>
            </w:r>
          </w:p>
        </w:tc>
      </w:tr>
      <w:tr w:rsidR="00141421" w:rsidRPr="00826690" w14:paraId="247107E1" w14:textId="77777777" w:rsidTr="00141421">
        <w:tblPrEx>
          <w:tblCellMar>
            <w:top w:w="0" w:type="dxa"/>
            <w:bottom w:w="0" w:type="dxa"/>
          </w:tblCellMar>
        </w:tblPrEx>
        <w:tc>
          <w:tcPr>
            <w:tcW w:w="4968" w:type="dxa"/>
            <w:shd w:val="clear" w:color="auto" w:fill="auto"/>
            <w:vAlign w:val="bottom"/>
          </w:tcPr>
          <w:p w14:paraId="770BFA05" w14:textId="77777777" w:rsidR="00141421" w:rsidRPr="00F53CED" w:rsidRDefault="00F53CED" w:rsidP="00716D67">
            <w:pPr>
              <w:pStyle w:val="TableRowHead"/>
              <w:keepNext w:val="0"/>
              <w:rPr>
                <w:lang w:val="en-GB" w:eastAsia="en-GB"/>
              </w:rPr>
            </w:pPr>
            <w:r w:rsidRPr="00F53CED">
              <w:rPr>
                <w:lang w:val="ga-IE" w:eastAsia="en-GB"/>
              </w:rPr>
              <w:t>Muirear oibríochta iomlán</w:t>
            </w:r>
          </w:p>
        </w:tc>
        <w:tc>
          <w:tcPr>
            <w:tcW w:w="1944" w:type="dxa"/>
            <w:shd w:val="clear" w:color="auto" w:fill="auto"/>
            <w:vAlign w:val="bottom"/>
          </w:tcPr>
          <w:p w14:paraId="21839099" w14:textId="77777777" w:rsidR="00141421" w:rsidRPr="00826690" w:rsidRDefault="00141421" w:rsidP="00716D67">
            <w:pPr>
              <w:spacing w:after="0" w:line="240" w:lineRule="auto"/>
              <w:jc w:val="right"/>
              <w:rPr>
                <w:rFonts w:cs="Arial"/>
                <w:b/>
                <w:lang w:val="en-GB" w:eastAsia="en-GB"/>
              </w:rPr>
            </w:pPr>
            <w:r w:rsidRPr="00826690">
              <w:rPr>
                <w:rFonts w:cs="Arial"/>
                <w:b/>
                <w:lang w:val="en-GB" w:eastAsia="en-GB"/>
              </w:rPr>
              <w:t xml:space="preserve">1,407,280 </w:t>
            </w:r>
          </w:p>
        </w:tc>
        <w:tc>
          <w:tcPr>
            <w:tcW w:w="1944" w:type="dxa"/>
            <w:shd w:val="clear" w:color="auto" w:fill="auto"/>
            <w:vAlign w:val="bottom"/>
          </w:tcPr>
          <w:p w14:paraId="4F4EFDF2" w14:textId="77777777" w:rsidR="00141421" w:rsidRPr="00826690" w:rsidRDefault="00141421" w:rsidP="00716D67">
            <w:pPr>
              <w:spacing w:after="0" w:line="240" w:lineRule="auto"/>
              <w:jc w:val="right"/>
              <w:rPr>
                <w:rFonts w:cs="Arial"/>
                <w:b/>
                <w:lang w:val="en-GB" w:eastAsia="en-GB"/>
              </w:rPr>
            </w:pPr>
            <w:r w:rsidRPr="00826690">
              <w:rPr>
                <w:rFonts w:cs="Arial"/>
                <w:b/>
                <w:lang w:val="en-GB" w:eastAsia="en-GB"/>
              </w:rPr>
              <w:t xml:space="preserve">1,282,217 </w:t>
            </w:r>
          </w:p>
        </w:tc>
      </w:tr>
    </w:tbl>
    <w:p w14:paraId="1F4809D9" w14:textId="77777777" w:rsidR="00141421" w:rsidRDefault="00141421" w:rsidP="00141421">
      <w:pPr>
        <w:pStyle w:val="Heading4"/>
        <w:rPr>
          <w:lang w:val="en-GB" w:eastAsia="en-GB"/>
        </w:rPr>
      </w:pPr>
      <w:r w:rsidRPr="001F30C2">
        <w:rPr>
          <w:lang w:val="en-GB" w:eastAsia="en-GB"/>
        </w:rPr>
        <w:t xml:space="preserve">(d) </w:t>
      </w:r>
      <w:proofErr w:type="spellStart"/>
      <w:r w:rsidR="00F53CED">
        <w:t>Sóchmhainn</w:t>
      </w:r>
      <w:proofErr w:type="spellEnd"/>
      <w:r w:rsidR="00F53CED">
        <w:t xml:space="preserve"> </w:t>
      </w:r>
      <w:proofErr w:type="spellStart"/>
      <w:r w:rsidR="00F53CED">
        <w:t>Chistíochta</w:t>
      </w:r>
      <w:proofErr w:type="spellEnd"/>
      <w:r w:rsidR="00F53CED">
        <w:t xml:space="preserve"> </w:t>
      </w:r>
      <w:proofErr w:type="spellStart"/>
      <w:r w:rsidR="00F53CED">
        <w:t>Iarchurtha</w:t>
      </w:r>
      <w:proofErr w:type="spellEnd"/>
      <w:r w:rsidR="00F53CED">
        <w:t xml:space="preserve"> do </w:t>
      </w:r>
      <w:proofErr w:type="spellStart"/>
      <w:r w:rsidR="00F53CED">
        <w:t>Phinsin</w:t>
      </w:r>
      <w:proofErr w:type="spellEnd"/>
    </w:p>
    <w:p w14:paraId="29AE8BC5" w14:textId="77777777" w:rsidR="00F53CED" w:rsidRDefault="00F53CED" w:rsidP="00141421">
      <w:r>
        <w:t xml:space="preserve">Aithníonn an Údarás Náisiúnta </w:t>
      </w:r>
      <w:proofErr w:type="spellStart"/>
      <w:r>
        <w:t>Míchumais</w:t>
      </w:r>
      <w:proofErr w:type="spellEnd"/>
      <w:r>
        <w:t xml:space="preserve"> na </w:t>
      </w:r>
      <w:proofErr w:type="spellStart"/>
      <w:r>
        <w:t>suimeanna</w:t>
      </w:r>
      <w:proofErr w:type="spellEnd"/>
      <w:r>
        <w:t xml:space="preserve"> seo mar </w:t>
      </w:r>
      <w:proofErr w:type="spellStart"/>
      <w:r>
        <w:t>shócmhainn</w:t>
      </w:r>
      <w:proofErr w:type="spellEnd"/>
      <w:r>
        <w:t xml:space="preserve"> ag freagairt don </w:t>
      </w:r>
      <w:proofErr w:type="spellStart"/>
      <w:r>
        <w:t>dliteanas</w:t>
      </w:r>
      <w:proofErr w:type="spellEnd"/>
      <w:r>
        <w:t xml:space="preserve"> </w:t>
      </w:r>
      <w:proofErr w:type="spellStart"/>
      <w:r>
        <w:t>neamhchistithe</w:t>
      </w:r>
      <w:proofErr w:type="spellEnd"/>
      <w:r>
        <w:t xml:space="preserve"> </w:t>
      </w:r>
      <w:proofErr w:type="spellStart"/>
      <w:r>
        <w:t>iarchurtha</w:t>
      </w:r>
      <w:proofErr w:type="spellEnd"/>
      <w:r>
        <w:t xml:space="preserve"> do </w:t>
      </w:r>
      <w:proofErr w:type="spellStart"/>
      <w:r>
        <w:t>phinsin</w:t>
      </w:r>
      <w:proofErr w:type="spellEnd"/>
      <w:r>
        <w:t xml:space="preserve"> ar bhonn an </w:t>
      </w:r>
      <w:proofErr w:type="spellStart"/>
      <w:r>
        <w:t>tacair</w:t>
      </w:r>
      <w:proofErr w:type="spellEnd"/>
      <w:r>
        <w:t xml:space="preserve"> de </w:t>
      </w:r>
      <w:proofErr w:type="spellStart"/>
      <w:r>
        <w:t>thoimhdí</w:t>
      </w:r>
      <w:proofErr w:type="spellEnd"/>
      <w:r>
        <w:t xml:space="preserve"> ar a ndéantar cur síos thuas agus ar </w:t>
      </w:r>
      <w:proofErr w:type="spellStart"/>
      <w:r>
        <w:t>theagmhais</w:t>
      </w:r>
      <w:proofErr w:type="spellEnd"/>
      <w:r>
        <w:t xml:space="preserve"> áirithe san am atá thart. </w:t>
      </w:r>
      <w:proofErr w:type="spellStart"/>
      <w:r>
        <w:t>Coimsíonn</w:t>
      </w:r>
      <w:proofErr w:type="spellEnd"/>
      <w:r>
        <w:t xml:space="preserve"> na </w:t>
      </w:r>
      <w:proofErr w:type="spellStart"/>
      <w:r>
        <w:t>teagmhais</w:t>
      </w:r>
      <w:proofErr w:type="spellEnd"/>
      <w:r>
        <w:t xml:space="preserve"> seo an </w:t>
      </w:r>
      <w:smartTag w:uri="urn:schemas-microsoft-com:office:smarttags" w:element="City">
        <w:smartTag w:uri="urn:schemas-microsoft-com:office:smarttags" w:element="place">
          <w:r>
            <w:t>bonn</w:t>
          </w:r>
        </w:smartTag>
      </w:smartTag>
      <w:r>
        <w:t xml:space="preserve"> reachtúil do bhunú na </w:t>
      </w:r>
      <w:proofErr w:type="spellStart"/>
      <w:r>
        <w:t>scéime</w:t>
      </w:r>
      <w:proofErr w:type="spellEnd"/>
      <w:r>
        <w:t xml:space="preserve"> </w:t>
      </w:r>
      <w:proofErr w:type="spellStart"/>
      <w:r>
        <w:t>aoisliúntais</w:t>
      </w:r>
      <w:proofErr w:type="spellEnd"/>
      <w:r>
        <w:t xml:space="preserve">, </w:t>
      </w:r>
      <w:proofErr w:type="gramStart"/>
      <w:r>
        <w:t>an</w:t>
      </w:r>
      <w:proofErr w:type="gramEnd"/>
      <w:r>
        <w:t xml:space="preserve"> polasaí agus an </w:t>
      </w:r>
      <w:proofErr w:type="spellStart"/>
      <w:r>
        <w:t>cleachtas</w:t>
      </w:r>
      <w:proofErr w:type="spellEnd"/>
      <w:r>
        <w:t xml:space="preserve"> atá ann faoi láthair maidir le </w:t>
      </w:r>
      <w:proofErr w:type="spellStart"/>
      <w:r>
        <w:t>cistiú</w:t>
      </w:r>
      <w:proofErr w:type="spellEnd"/>
      <w:r>
        <w:t xml:space="preserve"> </w:t>
      </w:r>
      <w:proofErr w:type="spellStart"/>
      <w:r>
        <w:t>pinsean</w:t>
      </w:r>
      <w:proofErr w:type="spellEnd"/>
      <w:r>
        <w:t xml:space="preserve"> seirbhíse poiblí ag áireamh </w:t>
      </w:r>
      <w:proofErr w:type="spellStart"/>
      <w:r>
        <w:t>rannaíocaíochtaí</w:t>
      </w:r>
      <w:proofErr w:type="spellEnd"/>
      <w:r>
        <w:t xml:space="preserve"> ag </w:t>
      </w:r>
      <w:proofErr w:type="spellStart"/>
      <w:r>
        <w:t>fostuithe</w:t>
      </w:r>
      <w:proofErr w:type="spellEnd"/>
      <w:r>
        <w:t xml:space="preserve"> agus próiseas na </w:t>
      </w:r>
      <w:proofErr w:type="spellStart"/>
      <w:r>
        <w:t>meastachán</w:t>
      </w:r>
      <w:proofErr w:type="spellEnd"/>
      <w:r>
        <w:t xml:space="preserve"> </w:t>
      </w:r>
      <w:proofErr w:type="spellStart"/>
      <w:r>
        <w:t>bliantiúla</w:t>
      </w:r>
      <w:proofErr w:type="spellEnd"/>
      <w:r>
        <w:t xml:space="preserve">. Cé nach ann do chomhaontú foirmeálta maidir les na </w:t>
      </w:r>
      <w:proofErr w:type="spellStart"/>
      <w:r>
        <w:t>sainsuimeanna</w:t>
      </w:r>
      <w:proofErr w:type="spellEnd"/>
      <w:r>
        <w:t xml:space="preserve"> seo leis an Roinn Dlí agus Cirt, </w:t>
      </w:r>
      <w:proofErr w:type="spellStart"/>
      <w:r>
        <w:t>Comhionnanais</w:t>
      </w:r>
      <w:proofErr w:type="spellEnd"/>
      <w:r>
        <w:t xml:space="preserve"> agus Athchóirithe Dlí, tá an </w:t>
      </w:r>
      <w:proofErr w:type="spellStart"/>
      <w:r>
        <w:t>tÚdarás</w:t>
      </w:r>
      <w:proofErr w:type="spellEnd"/>
      <w:r>
        <w:t xml:space="preserve"> Náisiúnta </w:t>
      </w:r>
      <w:proofErr w:type="spellStart"/>
      <w:r>
        <w:t>Míchumais</w:t>
      </w:r>
      <w:proofErr w:type="spellEnd"/>
      <w:r>
        <w:t xml:space="preserve"> gan aon fhianaise ná leanfar air sholáthar </w:t>
      </w:r>
      <w:proofErr w:type="spellStart"/>
      <w:r>
        <w:t>suimeanna</w:t>
      </w:r>
      <w:proofErr w:type="spellEnd"/>
      <w:r>
        <w:t xml:space="preserve"> dá leithéid sin ag teacht leis </w:t>
      </w:r>
      <w:proofErr w:type="gramStart"/>
      <w:r>
        <w:t>an</w:t>
      </w:r>
      <w:proofErr w:type="gramEnd"/>
      <w:r>
        <w:t xml:space="preserve"> </w:t>
      </w:r>
      <w:proofErr w:type="spellStart"/>
      <w:r>
        <w:t>gcleachtas</w:t>
      </w:r>
      <w:proofErr w:type="spellEnd"/>
      <w:r>
        <w:t xml:space="preserve"> reatha. Tháinig an </w:t>
      </w:r>
      <w:proofErr w:type="spellStart"/>
      <w:r>
        <w:t>tsóchmhainn</w:t>
      </w:r>
      <w:proofErr w:type="spellEnd"/>
      <w:r>
        <w:t xml:space="preserve"> </w:t>
      </w:r>
      <w:proofErr w:type="spellStart"/>
      <w:r>
        <w:t>chistíochta</w:t>
      </w:r>
      <w:proofErr w:type="spellEnd"/>
      <w:r>
        <w:t xml:space="preserve"> </w:t>
      </w:r>
      <w:proofErr w:type="spellStart"/>
      <w:r>
        <w:t>iarchurtha</w:t>
      </w:r>
      <w:proofErr w:type="spellEnd"/>
      <w:r>
        <w:t xml:space="preserve"> do </w:t>
      </w:r>
      <w:proofErr w:type="spellStart"/>
      <w:r>
        <w:t>phinsin</w:t>
      </w:r>
      <w:proofErr w:type="spellEnd"/>
      <w:r>
        <w:t xml:space="preserve"> mar a bhí ar </w:t>
      </w:r>
      <w:proofErr w:type="gramStart"/>
      <w:r>
        <w:t>an</w:t>
      </w:r>
      <w:proofErr w:type="gramEnd"/>
      <w:r>
        <w:t xml:space="preserve"> 31 Nollaig 2010 go €17.1 milliún geall leis (2009: €18.5 milliún).</w:t>
      </w:r>
    </w:p>
    <w:p w14:paraId="2834D86A" w14:textId="77777777" w:rsidR="00141421" w:rsidRDefault="00141421" w:rsidP="00141421">
      <w:pPr>
        <w:pStyle w:val="TableTitle"/>
        <w:jc w:val="left"/>
        <w:rPr>
          <w:lang w:val="en-GB" w:eastAsia="en-GB"/>
        </w:rPr>
      </w:pPr>
      <w:r w:rsidRPr="00826690">
        <w:rPr>
          <w:lang w:val="en-GB" w:eastAsia="en-GB"/>
        </w:rPr>
        <w:lastRenderedPageBreak/>
        <w:t xml:space="preserve">(e) </w:t>
      </w:r>
      <w:r w:rsidR="00752687">
        <w:t>Gluaiseacht ar an easnamh i rith na bliana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88"/>
        <w:gridCol w:w="2484"/>
        <w:gridCol w:w="2484"/>
      </w:tblGrid>
      <w:tr w:rsidR="00141421" w:rsidRPr="009079DB" w14:paraId="67B66C15" w14:textId="77777777" w:rsidTr="00141421">
        <w:tblPrEx>
          <w:tblCellMar>
            <w:top w:w="0" w:type="dxa"/>
            <w:bottom w:w="0" w:type="dxa"/>
          </w:tblCellMar>
        </w:tblPrEx>
        <w:trPr>
          <w:tblHeader/>
        </w:trPr>
        <w:tc>
          <w:tcPr>
            <w:tcW w:w="3888" w:type="dxa"/>
            <w:shd w:val="clear" w:color="auto" w:fill="auto"/>
          </w:tcPr>
          <w:p w14:paraId="0E5F17CD" w14:textId="77777777" w:rsidR="00141421" w:rsidRPr="009079DB" w:rsidRDefault="00141421" w:rsidP="00141421">
            <w:pPr>
              <w:pStyle w:val="TableHead"/>
              <w:jc w:val="right"/>
            </w:pPr>
          </w:p>
        </w:tc>
        <w:tc>
          <w:tcPr>
            <w:tcW w:w="2484" w:type="dxa"/>
            <w:shd w:val="clear" w:color="auto" w:fill="auto"/>
          </w:tcPr>
          <w:p w14:paraId="7120DD46" w14:textId="77777777" w:rsidR="00141421" w:rsidRPr="00B22912" w:rsidRDefault="00141421" w:rsidP="00141421">
            <w:pPr>
              <w:pStyle w:val="TableHead"/>
              <w:spacing w:line="240" w:lineRule="auto"/>
              <w:jc w:val="right"/>
            </w:pPr>
            <w:r w:rsidRPr="00B22912">
              <w:t>2010</w:t>
            </w:r>
          </w:p>
        </w:tc>
        <w:tc>
          <w:tcPr>
            <w:tcW w:w="2484" w:type="dxa"/>
            <w:shd w:val="clear" w:color="auto" w:fill="auto"/>
          </w:tcPr>
          <w:p w14:paraId="14D5C36A" w14:textId="77777777" w:rsidR="00141421" w:rsidRPr="00B22912" w:rsidRDefault="00141421" w:rsidP="00141421">
            <w:pPr>
              <w:pStyle w:val="TableHead"/>
              <w:spacing w:line="240" w:lineRule="auto"/>
              <w:jc w:val="right"/>
            </w:pPr>
            <w:r w:rsidRPr="00B22912">
              <w:t>2009</w:t>
            </w:r>
          </w:p>
        </w:tc>
      </w:tr>
      <w:tr w:rsidR="00141421" w:rsidRPr="009079DB" w14:paraId="20129402" w14:textId="77777777" w:rsidTr="00141421">
        <w:tblPrEx>
          <w:tblCellMar>
            <w:top w:w="0" w:type="dxa"/>
            <w:bottom w:w="0" w:type="dxa"/>
          </w:tblCellMar>
        </w:tblPrEx>
        <w:tc>
          <w:tcPr>
            <w:tcW w:w="3888" w:type="dxa"/>
            <w:shd w:val="clear" w:color="auto" w:fill="auto"/>
          </w:tcPr>
          <w:p w14:paraId="5C5D52C5" w14:textId="77777777" w:rsidR="00141421" w:rsidRPr="009079DB" w:rsidRDefault="00141421" w:rsidP="00141421">
            <w:pPr>
              <w:pStyle w:val="TableRowHead"/>
            </w:pPr>
          </w:p>
        </w:tc>
        <w:tc>
          <w:tcPr>
            <w:tcW w:w="2484" w:type="dxa"/>
            <w:shd w:val="clear" w:color="auto" w:fill="auto"/>
            <w:vAlign w:val="bottom"/>
          </w:tcPr>
          <w:p w14:paraId="033D340D"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c>
          <w:tcPr>
            <w:tcW w:w="2484" w:type="dxa"/>
            <w:shd w:val="clear" w:color="auto" w:fill="auto"/>
            <w:vAlign w:val="bottom"/>
          </w:tcPr>
          <w:p w14:paraId="5E027A16"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r>
      <w:tr w:rsidR="00752687" w:rsidRPr="009079DB" w14:paraId="4B7F5795" w14:textId="77777777" w:rsidTr="00752687">
        <w:tblPrEx>
          <w:tblCellMar>
            <w:top w:w="0" w:type="dxa"/>
            <w:bottom w:w="0" w:type="dxa"/>
          </w:tblCellMar>
        </w:tblPrEx>
        <w:tc>
          <w:tcPr>
            <w:tcW w:w="3888" w:type="dxa"/>
            <w:shd w:val="clear" w:color="auto" w:fill="auto"/>
            <w:vAlign w:val="center"/>
          </w:tcPr>
          <w:p w14:paraId="03C4DE6E" w14:textId="77777777" w:rsidR="00752687" w:rsidRPr="00752687" w:rsidRDefault="00752687" w:rsidP="00752687">
            <w:pPr>
              <w:pStyle w:val="TableRowHead"/>
            </w:pPr>
            <w:proofErr w:type="spellStart"/>
            <w:r w:rsidRPr="00752687">
              <w:t>Dliteanas</w:t>
            </w:r>
            <w:proofErr w:type="spellEnd"/>
            <w:r w:rsidRPr="00752687">
              <w:t xml:space="preserve"> na </w:t>
            </w:r>
            <w:proofErr w:type="spellStart"/>
            <w:r w:rsidRPr="00752687">
              <w:t>Scéime</w:t>
            </w:r>
            <w:proofErr w:type="spellEnd"/>
            <w:r w:rsidRPr="00752687">
              <w:t xml:space="preserve"> ar </w:t>
            </w:r>
            <w:proofErr w:type="gramStart"/>
            <w:r w:rsidRPr="00752687">
              <w:t>an</w:t>
            </w:r>
            <w:proofErr w:type="gramEnd"/>
            <w:r w:rsidRPr="00752687">
              <w:t xml:space="preserve"> 1 Eanáir</w:t>
            </w:r>
          </w:p>
        </w:tc>
        <w:tc>
          <w:tcPr>
            <w:tcW w:w="2484" w:type="dxa"/>
            <w:shd w:val="clear" w:color="auto" w:fill="auto"/>
            <w:vAlign w:val="bottom"/>
          </w:tcPr>
          <w:p w14:paraId="3295E34D"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€18,500,000 </w:t>
            </w:r>
          </w:p>
        </w:tc>
        <w:tc>
          <w:tcPr>
            <w:tcW w:w="2484" w:type="dxa"/>
            <w:shd w:val="clear" w:color="auto" w:fill="auto"/>
            <w:vAlign w:val="bottom"/>
          </w:tcPr>
          <w:p w14:paraId="3B3DC36F"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€16,100,000 </w:t>
            </w:r>
          </w:p>
        </w:tc>
      </w:tr>
      <w:tr w:rsidR="00752687" w:rsidRPr="009079DB" w14:paraId="6F0EBCC1" w14:textId="77777777" w:rsidTr="00752687">
        <w:tblPrEx>
          <w:tblCellMar>
            <w:top w:w="0" w:type="dxa"/>
            <w:bottom w:w="0" w:type="dxa"/>
          </w:tblCellMar>
        </w:tblPrEx>
        <w:tc>
          <w:tcPr>
            <w:tcW w:w="3888" w:type="dxa"/>
            <w:shd w:val="clear" w:color="auto" w:fill="auto"/>
            <w:vAlign w:val="center"/>
          </w:tcPr>
          <w:p w14:paraId="6F4FDC4C" w14:textId="77777777" w:rsidR="00752687" w:rsidRPr="00752687" w:rsidRDefault="00752687" w:rsidP="00752687">
            <w:pPr>
              <w:pStyle w:val="TableRowHead"/>
            </w:pPr>
            <w:r w:rsidRPr="00752687">
              <w:t>Costas Seirbhíse Reatha</w:t>
            </w:r>
          </w:p>
        </w:tc>
        <w:tc>
          <w:tcPr>
            <w:tcW w:w="2484" w:type="dxa"/>
            <w:shd w:val="clear" w:color="auto" w:fill="auto"/>
            <w:vAlign w:val="bottom"/>
          </w:tcPr>
          <w:p w14:paraId="65C34266"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€550,000 </w:t>
            </w:r>
          </w:p>
        </w:tc>
        <w:tc>
          <w:tcPr>
            <w:tcW w:w="2484" w:type="dxa"/>
            <w:shd w:val="clear" w:color="auto" w:fill="auto"/>
            <w:vAlign w:val="bottom"/>
          </w:tcPr>
          <w:p w14:paraId="0ED72763"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€580,000 </w:t>
            </w:r>
          </w:p>
        </w:tc>
      </w:tr>
      <w:tr w:rsidR="00752687" w:rsidRPr="009079DB" w14:paraId="6292E1CD" w14:textId="77777777" w:rsidTr="00752687">
        <w:tblPrEx>
          <w:tblCellMar>
            <w:top w:w="0" w:type="dxa"/>
            <w:bottom w:w="0" w:type="dxa"/>
          </w:tblCellMar>
        </w:tblPrEx>
        <w:tc>
          <w:tcPr>
            <w:tcW w:w="3888" w:type="dxa"/>
            <w:shd w:val="clear" w:color="auto" w:fill="auto"/>
            <w:vAlign w:val="center"/>
          </w:tcPr>
          <w:p w14:paraId="236C365F" w14:textId="77777777" w:rsidR="00752687" w:rsidRPr="00752687" w:rsidRDefault="00752687" w:rsidP="00752687">
            <w:pPr>
              <w:pStyle w:val="TableRowHead"/>
            </w:pPr>
            <w:proofErr w:type="spellStart"/>
            <w:r w:rsidRPr="00752687">
              <w:t>Ús</w:t>
            </w:r>
            <w:proofErr w:type="spellEnd"/>
            <w:r w:rsidRPr="00752687">
              <w:t xml:space="preserve"> ar </w:t>
            </w:r>
            <w:proofErr w:type="spellStart"/>
            <w:r w:rsidRPr="00752687">
              <w:t>dhliteaanais</w:t>
            </w:r>
            <w:proofErr w:type="spellEnd"/>
            <w:r w:rsidRPr="00752687">
              <w:t xml:space="preserve"> na </w:t>
            </w:r>
            <w:proofErr w:type="spellStart"/>
            <w:r w:rsidRPr="00752687">
              <w:t>scéime</w:t>
            </w:r>
            <w:proofErr w:type="spellEnd"/>
            <w:r w:rsidRPr="00752687">
              <w:t xml:space="preserve"> </w:t>
            </w:r>
          </w:p>
        </w:tc>
        <w:tc>
          <w:tcPr>
            <w:tcW w:w="2484" w:type="dxa"/>
            <w:shd w:val="clear" w:color="auto" w:fill="auto"/>
            <w:vAlign w:val="bottom"/>
          </w:tcPr>
          <w:p w14:paraId="096E908A"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€1,000,000 </w:t>
            </w:r>
          </w:p>
        </w:tc>
        <w:tc>
          <w:tcPr>
            <w:tcW w:w="2484" w:type="dxa"/>
            <w:shd w:val="clear" w:color="auto" w:fill="auto"/>
            <w:vAlign w:val="bottom"/>
          </w:tcPr>
          <w:p w14:paraId="71ABB02F"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€900,000 </w:t>
            </w:r>
          </w:p>
        </w:tc>
      </w:tr>
      <w:tr w:rsidR="00752687" w:rsidRPr="009079DB" w14:paraId="277B4B69" w14:textId="77777777" w:rsidTr="00752687">
        <w:tblPrEx>
          <w:tblCellMar>
            <w:top w:w="0" w:type="dxa"/>
            <w:bottom w:w="0" w:type="dxa"/>
          </w:tblCellMar>
        </w:tblPrEx>
        <w:tc>
          <w:tcPr>
            <w:tcW w:w="3888" w:type="dxa"/>
            <w:shd w:val="clear" w:color="auto" w:fill="auto"/>
            <w:vAlign w:val="center"/>
          </w:tcPr>
          <w:p w14:paraId="37ED5083" w14:textId="77777777" w:rsidR="00752687" w:rsidRPr="00752687" w:rsidRDefault="00752687" w:rsidP="00752687">
            <w:pPr>
              <w:pStyle w:val="TableRowHead"/>
            </w:pPr>
            <w:proofErr w:type="spellStart"/>
            <w:r w:rsidRPr="00752687">
              <w:t>Sochair</w:t>
            </w:r>
            <w:proofErr w:type="spellEnd"/>
            <w:r w:rsidRPr="00752687">
              <w:t xml:space="preserve"> </w:t>
            </w:r>
            <w:proofErr w:type="spellStart"/>
            <w:r w:rsidRPr="00752687">
              <w:t>iníoctha</w:t>
            </w:r>
            <w:proofErr w:type="spellEnd"/>
          </w:p>
        </w:tc>
        <w:tc>
          <w:tcPr>
            <w:tcW w:w="2484" w:type="dxa"/>
            <w:shd w:val="clear" w:color="auto" w:fill="auto"/>
            <w:vAlign w:val="bottom"/>
          </w:tcPr>
          <w:p w14:paraId="26367FAB"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(€531,000)</w:t>
            </w:r>
          </w:p>
        </w:tc>
        <w:tc>
          <w:tcPr>
            <w:tcW w:w="2484" w:type="dxa"/>
            <w:shd w:val="clear" w:color="auto" w:fill="auto"/>
            <w:vAlign w:val="bottom"/>
          </w:tcPr>
          <w:p w14:paraId="13CC80F1"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(€769,000)</w:t>
            </w:r>
          </w:p>
        </w:tc>
      </w:tr>
      <w:tr w:rsidR="00752687" w:rsidRPr="009079DB" w14:paraId="54DC2DBD" w14:textId="77777777" w:rsidTr="00752687">
        <w:tblPrEx>
          <w:tblCellMar>
            <w:top w:w="0" w:type="dxa"/>
            <w:bottom w:w="0" w:type="dxa"/>
          </w:tblCellMar>
        </w:tblPrEx>
        <w:tc>
          <w:tcPr>
            <w:tcW w:w="3888" w:type="dxa"/>
            <w:shd w:val="clear" w:color="auto" w:fill="auto"/>
            <w:vAlign w:val="center"/>
          </w:tcPr>
          <w:p w14:paraId="4008B4EA" w14:textId="77777777" w:rsidR="00752687" w:rsidRPr="00752687" w:rsidRDefault="00752687" w:rsidP="00752687">
            <w:pPr>
              <w:pStyle w:val="TableRowHead"/>
            </w:pPr>
            <w:proofErr w:type="spellStart"/>
            <w:r w:rsidRPr="00752687">
              <w:t>Caillteanas</w:t>
            </w:r>
            <w:proofErr w:type="spellEnd"/>
            <w:r w:rsidRPr="00752687">
              <w:t xml:space="preserve"> </w:t>
            </w:r>
            <w:proofErr w:type="spellStart"/>
            <w:r w:rsidRPr="00752687">
              <w:t>achtúireach</w:t>
            </w:r>
            <w:proofErr w:type="spellEnd"/>
            <w:r w:rsidRPr="00752687">
              <w:t xml:space="preserve"> aitheanta in RGCA</w:t>
            </w:r>
          </w:p>
        </w:tc>
        <w:tc>
          <w:tcPr>
            <w:tcW w:w="2484" w:type="dxa"/>
            <w:shd w:val="clear" w:color="auto" w:fill="auto"/>
            <w:vAlign w:val="bottom"/>
          </w:tcPr>
          <w:p w14:paraId="29115092"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(€2,419,000)</w:t>
            </w:r>
          </w:p>
        </w:tc>
        <w:tc>
          <w:tcPr>
            <w:tcW w:w="2484" w:type="dxa"/>
            <w:shd w:val="clear" w:color="auto" w:fill="auto"/>
            <w:vAlign w:val="bottom"/>
          </w:tcPr>
          <w:p w14:paraId="184CC988" w14:textId="77777777" w:rsidR="00752687" w:rsidRPr="00826690" w:rsidRDefault="00752687" w:rsidP="00141421">
            <w:pPr>
              <w:spacing w:after="0" w:line="240" w:lineRule="auto"/>
              <w:jc w:val="right"/>
              <w:rPr>
                <w:rFonts w:cs="Arial"/>
                <w:lang w:val="en-GB" w:eastAsia="en-GB"/>
              </w:rPr>
            </w:pPr>
            <w:r w:rsidRPr="00826690">
              <w:rPr>
                <w:rFonts w:cs="Arial"/>
                <w:lang w:val="en-GB" w:eastAsia="en-GB"/>
              </w:rPr>
              <w:t xml:space="preserve">€1,689,000 </w:t>
            </w:r>
          </w:p>
        </w:tc>
      </w:tr>
      <w:tr w:rsidR="00752687" w:rsidRPr="009079DB" w14:paraId="302E4EFE" w14:textId="77777777" w:rsidTr="00752687">
        <w:tblPrEx>
          <w:tblCellMar>
            <w:top w:w="0" w:type="dxa"/>
            <w:bottom w:w="0" w:type="dxa"/>
          </w:tblCellMar>
        </w:tblPrEx>
        <w:tc>
          <w:tcPr>
            <w:tcW w:w="3888" w:type="dxa"/>
            <w:shd w:val="clear" w:color="auto" w:fill="auto"/>
            <w:vAlign w:val="center"/>
          </w:tcPr>
          <w:p w14:paraId="1DD38281" w14:textId="77777777" w:rsidR="00752687" w:rsidRPr="00752687" w:rsidRDefault="00752687" w:rsidP="00752687">
            <w:pPr>
              <w:pStyle w:val="TableRowHead"/>
              <w:rPr>
                <w:rFonts w:eastAsia="SimSun"/>
              </w:rPr>
            </w:pPr>
            <w:proofErr w:type="spellStart"/>
            <w:r w:rsidRPr="00752687">
              <w:t>Dliteanas</w:t>
            </w:r>
            <w:proofErr w:type="spellEnd"/>
            <w:r w:rsidRPr="00752687">
              <w:t xml:space="preserve"> Pinsin</w:t>
            </w:r>
          </w:p>
        </w:tc>
        <w:tc>
          <w:tcPr>
            <w:tcW w:w="2484" w:type="dxa"/>
            <w:shd w:val="clear" w:color="auto" w:fill="auto"/>
            <w:vAlign w:val="bottom"/>
          </w:tcPr>
          <w:p w14:paraId="56425658" w14:textId="77777777" w:rsidR="00752687" w:rsidRPr="009079DB" w:rsidRDefault="00752687" w:rsidP="00141421">
            <w:pPr>
              <w:spacing w:after="0" w:line="240" w:lineRule="auto"/>
              <w:jc w:val="right"/>
              <w:rPr>
                <w:rFonts w:cs="Arial"/>
                <w:b/>
                <w:lang w:val="en-GB" w:eastAsia="en-GB"/>
              </w:rPr>
            </w:pPr>
            <w:r w:rsidRPr="009079DB">
              <w:rPr>
                <w:rFonts w:cs="Arial"/>
                <w:b/>
                <w:lang w:val="en-GB" w:eastAsia="en-GB"/>
              </w:rPr>
              <w:t xml:space="preserve">€17,100,000 </w:t>
            </w:r>
          </w:p>
        </w:tc>
        <w:tc>
          <w:tcPr>
            <w:tcW w:w="2484" w:type="dxa"/>
            <w:shd w:val="clear" w:color="auto" w:fill="auto"/>
            <w:vAlign w:val="bottom"/>
          </w:tcPr>
          <w:p w14:paraId="49F752BF" w14:textId="77777777" w:rsidR="00752687" w:rsidRPr="009079DB" w:rsidRDefault="00752687" w:rsidP="00141421">
            <w:pPr>
              <w:spacing w:after="0" w:line="240" w:lineRule="auto"/>
              <w:jc w:val="right"/>
              <w:rPr>
                <w:rFonts w:cs="Arial"/>
                <w:b/>
                <w:lang w:val="en-GB" w:eastAsia="en-GB"/>
              </w:rPr>
            </w:pPr>
            <w:r w:rsidRPr="009079DB">
              <w:rPr>
                <w:rFonts w:cs="Arial"/>
                <w:b/>
                <w:lang w:val="en-GB" w:eastAsia="en-GB"/>
              </w:rPr>
              <w:t xml:space="preserve">€18,500,000 </w:t>
            </w:r>
          </w:p>
        </w:tc>
      </w:tr>
    </w:tbl>
    <w:p w14:paraId="7B99256F" w14:textId="77777777" w:rsidR="00141421" w:rsidRDefault="00752687" w:rsidP="00141421">
      <w:pPr>
        <w:pStyle w:val="TableTitle"/>
        <w:jc w:val="left"/>
        <w:rPr>
          <w:lang w:val="en-GB" w:eastAsia="en-GB"/>
        </w:rPr>
      </w:pPr>
      <w:r>
        <w:t xml:space="preserve">Stair thaithí </w:t>
      </w:r>
      <w:proofErr w:type="spellStart"/>
      <w:r>
        <w:t>gnóthachana</w:t>
      </w:r>
      <w:proofErr w:type="spellEnd"/>
      <w:r>
        <w:t xml:space="preserve"> agus </w:t>
      </w:r>
      <w:proofErr w:type="spellStart"/>
      <w:r>
        <w:t>caillteanais</w:t>
      </w:r>
      <w:proofErr w:type="spellEnd"/>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88"/>
        <w:gridCol w:w="1485"/>
        <w:gridCol w:w="1485"/>
        <w:gridCol w:w="1485"/>
        <w:gridCol w:w="1485"/>
      </w:tblGrid>
      <w:tr w:rsidR="00141421" w:rsidRPr="009079DB" w14:paraId="12350BB8" w14:textId="77777777" w:rsidTr="00141421">
        <w:tblPrEx>
          <w:tblCellMar>
            <w:top w:w="0" w:type="dxa"/>
            <w:bottom w:w="0" w:type="dxa"/>
          </w:tblCellMar>
        </w:tblPrEx>
        <w:trPr>
          <w:tblHeader/>
        </w:trPr>
        <w:tc>
          <w:tcPr>
            <w:tcW w:w="8928" w:type="dxa"/>
            <w:gridSpan w:val="5"/>
            <w:shd w:val="clear" w:color="auto" w:fill="auto"/>
          </w:tcPr>
          <w:p w14:paraId="3D3E183F" w14:textId="77777777" w:rsidR="00141421" w:rsidRPr="009079DB" w:rsidRDefault="00752687" w:rsidP="00752687">
            <w:pPr>
              <w:pStyle w:val="TableHead"/>
              <w:rPr>
                <w:lang w:val="en-GB" w:eastAsia="en-GB"/>
              </w:rPr>
            </w:pPr>
            <w:r>
              <w:t>Taithí (</w:t>
            </w:r>
            <w:proofErr w:type="spellStart"/>
            <w:r>
              <w:t>gnóthachain</w:t>
            </w:r>
            <w:proofErr w:type="spellEnd"/>
            <w:r>
              <w:t xml:space="preserve">) / </w:t>
            </w:r>
            <w:proofErr w:type="spellStart"/>
            <w:r>
              <w:t>caillteanais</w:t>
            </w:r>
            <w:proofErr w:type="spellEnd"/>
            <w:r>
              <w:t xml:space="preserve"> ag éirí ar </w:t>
            </w:r>
            <w:proofErr w:type="spellStart"/>
            <w:r>
              <w:t>dhliteanais</w:t>
            </w:r>
            <w:proofErr w:type="spellEnd"/>
            <w:r>
              <w:t xml:space="preserve"> na </w:t>
            </w:r>
            <w:proofErr w:type="spellStart"/>
            <w:r>
              <w:t>scéime</w:t>
            </w:r>
            <w:proofErr w:type="spellEnd"/>
          </w:p>
        </w:tc>
      </w:tr>
      <w:tr w:rsidR="00141421" w:rsidRPr="009079DB" w14:paraId="59937EF1" w14:textId="77777777" w:rsidTr="00141421">
        <w:tblPrEx>
          <w:tblCellMar>
            <w:top w:w="0" w:type="dxa"/>
            <w:bottom w:w="0" w:type="dxa"/>
          </w:tblCellMar>
        </w:tblPrEx>
        <w:trPr>
          <w:tblHeader/>
        </w:trPr>
        <w:tc>
          <w:tcPr>
            <w:tcW w:w="2988" w:type="dxa"/>
            <w:shd w:val="clear" w:color="auto" w:fill="auto"/>
          </w:tcPr>
          <w:p w14:paraId="180F5BBA" w14:textId="77777777" w:rsidR="00141421" w:rsidRPr="009079DB" w:rsidRDefault="00141421" w:rsidP="00141421">
            <w:pPr>
              <w:pStyle w:val="TableHead"/>
              <w:jc w:val="right"/>
            </w:pPr>
          </w:p>
        </w:tc>
        <w:tc>
          <w:tcPr>
            <w:tcW w:w="1485" w:type="dxa"/>
            <w:shd w:val="clear" w:color="auto" w:fill="auto"/>
            <w:vAlign w:val="bottom"/>
          </w:tcPr>
          <w:p w14:paraId="203EA5CB" w14:textId="77777777" w:rsidR="00141421" w:rsidRPr="009079DB" w:rsidRDefault="00141421" w:rsidP="00141421">
            <w:pPr>
              <w:pStyle w:val="TableHead"/>
              <w:jc w:val="right"/>
              <w:rPr>
                <w:lang w:val="en-GB" w:eastAsia="en-GB"/>
              </w:rPr>
            </w:pPr>
            <w:r w:rsidRPr="009079DB">
              <w:rPr>
                <w:lang w:val="en-GB" w:eastAsia="en-GB"/>
              </w:rPr>
              <w:t>2010</w:t>
            </w:r>
          </w:p>
        </w:tc>
        <w:tc>
          <w:tcPr>
            <w:tcW w:w="1485" w:type="dxa"/>
            <w:shd w:val="clear" w:color="auto" w:fill="auto"/>
            <w:vAlign w:val="bottom"/>
          </w:tcPr>
          <w:p w14:paraId="1E6B3191" w14:textId="77777777" w:rsidR="00141421" w:rsidRPr="009079DB" w:rsidRDefault="00141421" w:rsidP="00141421">
            <w:pPr>
              <w:pStyle w:val="TableHead"/>
              <w:jc w:val="right"/>
              <w:rPr>
                <w:lang w:val="en-GB" w:eastAsia="en-GB"/>
              </w:rPr>
            </w:pPr>
            <w:r w:rsidRPr="009079DB">
              <w:rPr>
                <w:lang w:val="en-GB" w:eastAsia="en-GB"/>
              </w:rPr>
              <w:t>2009</w:t>
            </w:r>
          </w:p>
        </w:tc>
        <w:tc>
          <w:tcPr>
            <w:tcW w:w="1485" w:type="dxa"/>
            <w:shd w:val="clear" w:color="auto" w:fill="auto"/>
            <w:vAlign w:val="bottom"/>
          </w:tcPr>
          <w:p w14:paraId="115952D5" w14:textId="77777777" w:rsidR="00141421" w:rsidRPr="009079DB" w:rsidRDefault="00141421" w:rsidP="00141421">
            <w:pPr>
              <w:pStyle w:val="TableHead"/>
              <w:jc w:val="right"/>
              <w:rPr>
                <w:lang w:val="en-GB" w:eastAsia="en-GB"/>
              </w:rPr>
            </w:pPr>
            <w:r w:rsidRPr="009079DB">
              <w:rPr>
                <w:lang w:val="en-GB" w:eastAsia="en-GB"/>
              </w:rPr>
              <w:t>2008</w:t>
            </w:r>
          </w:p>
        </w:tc>
        <w:tc>
          <w:tcPr>
            <w:tcW w:w="1485" w:type="dxa"/>
            <w:shd w:val="clear" w:color="auto" w:fill="auto"/>
            <w:vAlign w:val="bottom"/>
          </w:tcPr>
          <w:p w14:paraId="2ACB6FF9" w14:textId="77777777" w:rsidR="00141421" w:rsidRPr="009079DB" w:rsidRDefault="00141421" w:rsidP="00141421">
            <w:pPr>
              <w:pStyle w:val="TableHead"/>
              <w:jc w:val="right"/>
              <w:rPr>
                <w:lang w:val="en-GB" w:eastAsia="en-GB"/>
              </w:rPr>
            </w:pPr>
            <w:r w:rsidRPr="009079DB">
              <w:rPr>
                <w:lang w:val="en-GB" w:eastAsia="en-GB"/>
              </w:rPr>
              <w:t>2007</w:t>
            </w:r>
          </w:p>
        </w:tc>
      </w:tr>
      <w:tr w:rsidR="00752687" w:rsidRPr="009079DB" w14:paraId="59DC3BB7" w14:textId="77777777" w:rsidTr="00752687">
        <w:tblPrEx>
          <w:tblCellMar>
            <w:top w:w="0" w:type="dxa"/>
            <w:bottom w:w="0" w:type="dxa"/>
          </w:tblCellMar>
        </w:tblPrEx>
        <w:tc>
          <w:tcPr>
            <w:tcW w:w="2988" w:type="dxa"/>
            <w:shd w:val="clear" w:color="auto" w:fill="auto"/>
            <w:vAlign w:val="center"/>
          </w:tcPr>
          <w:p w14:paraId="0A79DB71" w14:textId="77777777" w:rsidR="00752687" w:rsidRPr="00067058" w:rsidRDefault="00752687" w:rsidP="00067058">
            <w:pPr>
              <w:pStyle w:val="TableRowHead"/>
              <w:rPr>
                <w:bCs/>
              </w:rPr>
            </w:pPr>
            <w:r w:rsidRPr="00067058">
              <w:t>suim</w:t>
            </w:r>
          </w:p>
        </w:tc>
        <w:tc>
          <w:tcPr>
            <w:tcW w:w="1485" w:type="dxa"/>
            <w:shd w:val="clear" w:color="auto" w:fill="auto"/>
            <w:vAlign w:val="bottom"/>
          </w:tcPr>
          <w:p w14:paraId="7FE42323"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(€2,419,000)</w:t>
            </w:r>
          </w:p>
        </w:tc>
        <w:tc>
          <w:tcPr>
            <w:tcW w:w="1485" w:type="dxa"/>
            <w:shd w:val="clear" w:color="auto" w:fill="auto"/>
            <w:vAlign w:val="bottom"/>
          </w:tcPr>
          <w:p w14:paraId="6E24F28B"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(€300,000)</w:t>
            </w:r>
          </w:p>
        </w:tc>
        <w:tc>
          <w:tcPr>
            <w:tcW w:w="1485" w:type="dxa"/>
            <w:shd w:val="clear" w:color="auto" w:fill="auto"/>
            <w:vAlign w:val="bottom"/>
          </w:tcPr>
          <w:p w14:paraId="1A79B004"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€245,000</w:t>
            </w:r>
          </w:p>
        </w:tc>
        <w:tc>
          <w:tcPr>
            <w:tcW w:w="1485" w:type="dxa"/>
            <w:shd w:val="clear" w:color="auto" w:fill="auto"/>
            <w:vAlign w:val="bottom"/>
          </w:tcPr>
          <w:p w14:paraId="4962441F"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(712,000)</w:t>
            </w:r>
          </w:p>
        </w:tc>
      </w:tr>
      <w:tr w:rsidR="00752687" w:rsidRPr="009079DB" w14:paraId="785FC658" w14:textId="77777777" w:rsidTr="00752687">
        <w:tblPrEx>
          <w:tblCellMar>
            <w:top w:w="0" w:type="dxa"/>
            <w:bottom w:w="0" w:type="dxa"/>
          </w:tblCellMar>
        </w:tblPrEx>
        <w:tc>
          <w:tcPr>
            <w:tcW w:w="2988" w:type="dxa"/>
            <w:shd w:val="clear" w:color="auto" w:fill="auto"/>
            <w:vAlign w:val="center"/>
          </w:tcPr>
          <w:p w14:paraId="70EBCF3E" w14:textId="77777777" w:rsidR="00752687" w:rsidRPr="00067058" w:rsidRDefault="00752687" w:rsidP="00067058">
            <w:pPr>
              <w:pStyle w:val="TableRowHead"/>
            </w:pPr>
            <w:r w:rsidRPr="00067058">
              <w:t>céatadáin de luach reatha</w:t>
            </w:r>
          </w:p>
          <w:p w14:paraId="217A6FB7" w14:textId="77777777" w:rsidR="00752687" w:rsidRPr="00067058" w:rsidRDefault="00752687" w:rsidP="00067058">
            <w:pPr>
              <w:pStyle w:val="TableRowHead"/>
              <w:rPr>
                <w:bCs/>
              </w:rPr>
            </w:pPr>
            <w:proofErr w:type="spellStart"/>
            <w:r w:rsidRPr="00067058">
              <w:t>dhliteanas</w:t>
            </w:r>
            <w:proofErr w:type="spellEnd"/>
            <w:r w:rsidRPr="00067058">
              <w:t xml:space="preserve"> na </w:t>
            </w:r>
            <w:proofErr w:type="spellStart"/>
            <w:r w:rsidRPr="00067058">
              <w:t>scéime</w:t>
            </w:r>
            <w:proofErr w:type="spellEnd"/>
          </w:p>
        </w:tc>
        <w:tc>
          <w:tcPr>
            <w:tcW w:w="1485" w:type="dxa"/>
            <w:shd w:val="clear" w:color="auto" w:fill="auto"/>
            <w:vAlign w:val="bottom"/>
          </w:tcPr>
          <w:p w14:paraId="711C926C"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(14%)</w:t>
            </w:r>
          </w:p>
        </w:tc>
        <w:tc>
          <w:tcPr>
            <w:tcW w:w="1485" w:type="dxa"/>
            <w:shd w:val="clear" w:color="auto" w:fill="auto"/>
            <w:vAlign w:val="bottom"/>
          </w:tcPr>
          <w:p w14:paraId="702A3C5B"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(2%)</w:t>
            </w:r>
          </w:p>
        </w:tc>
        <w:tc>
          <w:tcPr>
            <w:tcW w:w="1485" w:type="dxa"/>
            <w:shd w:val="clear" w:color="auto" w:fill="auto"/>
            <w:vAlign w:val="bottom"/>
          </w:tcPr>
          <w:p w14:paraId="1F5A6A78"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1.5%</w:t>
            </w:r>
          </w:p>
        </w:tc>
        <w:tc>
          <w:tcPr>
            <w:tcW w:w="1485" w:type="dxa"/>
            <w:shd w:val="clear" w:color="auto" w:fill="auto"/>
            <w:vAlign w:val="bottom"/>
          </w:tcPr>
          <w:p w14:paraId="6AB3375C" w14:textId="77777777" w:rsidR="00752687" w:rsidRPr="009079DB" w:rsidRDefault="00752687" w:rsidP="00141421">
            <w:pPr>
              <w:spacing w:after="0" w:line="240" w:lineRule="auto"/>
              <w:jc w:val="center"/>
              <w:rPr>
                <w:rFonts w:cs="Arial"/>
                <w:lang w:val="en-GB" w:eastAsia="en-GB"/>
              </w:rPr>
            </w:pPr>
            <w:r w:rsidRPr="009079DB">
              <w:rPr>
                <w:rFonts w:cs="Arial"/>
                <w:lang w:val="en-GB" w:eastAsia="en-GB"/>
              </w:rPr>
              <w:t>(5%)</w:t>
            </w:r>
          </w:p>
        </w:tc>
      </w:tr>
    </w:tbl>
    <w:p w14:paraId="0D491CD3" w14:textId="77777777" w:rsidR="00594740" w:rsidRPr="00594740" w:rsidRDefault="00594740" w:rsidP="00594740">
      <w:pPr>
        <w:pStyle w:val="Heading4"/>
        <w:rPr>
          <w:lang w:val="en-GB" w:eastAsia="en-GB"/>
        </w:rPr>
      </w:pPr>
      <w:proofErr w:type="spellStart"/>
      <w:r w:rsidRPr="00594740">
        <w:rPr>
          <w:lang w:val="en-GB" w:eastAsia="en-GB"/>
        </w:rPr>
        <w:t>Ranníocaíochtaí</w:t>
      </w:r>
      <w:proofErr w:type="spellEnd"/>
      <w:r w:rsidRPr="00594740">
        <w:rPr>
          <w:lang w:val="en-GB" w:eastAsia="en-GB"/>
        </w:rPr>
        <w:t xml:space="preserve"> </w:t>
      </w:r>
      <w:proofErr w:type="spellStart"/>
      <w:r w:rsidRPr="00594740">
        <w:rPr>
          <w:lang w:val="en-GB" w:eastAsia="en-GB"/>
        </w:rPr>
        <w:t>Tobhaigh</w:t>
      </w:r>
      <w:proofErr w:type="spellEnd"/>
      <w:r w:rsidRPr="00594740">
        <w:rPr>
          <w:lang w:val="en-GB" w:eastAsia="en-GB"/>
        </w:rPr>
        <w:t xml:space="preserve"> Pinsin</w:t>
      </w:r>
    </w:p>
    <w:p w14:paraId="48E3920F" w14:textId="77777777" w:rsidR="00594740" w:rsidRDefault="00594740" w:rsidP="00594740">
      <w:pPr>
        <w:rPr>
          <w:lang w:val="en-GB" w:eastAsia="en-GB"/>
        </w:rPr>
      </w:pPr>
      <w:r w:rsidRPr="00594740">
        <w:rPr>
          <w:lang w:val="en-GB" w:eastAsia="en-GB"/>
        </w:rPr>
        <w:t xml:space="preserve">Baineadh €133,969.18 ón bhfoireann trí </w:t>
      </w:r>
      <w:proofErr w:type="spellStart"/>
      <w:r w:rsidRPr="00594740">
        <w:rPr>
          <w:lang w:val="en-GB" w:eastAsia="en-GB"/>
        </w:rPr>
        <w:t>thobhach</w:t>
      </w:r>
      <w:proofErr w:type="spellEnd"/>
      <w:r w:rsidRPr="00594740">
        <w:rPr>
          <w:lang w:val="en-GB" w:eastAsia="en-GB"/>
        </w:rPr>
        <w:t xml:space="preserve"> pinsin agus choinnigh an </w:t>
      </w:r>
      <w:r w:rsidRPr="00594740">
        <w:rPr>
          <w:lang w:val="en-US" w:eastAsia="en-GB"/>
        </w:rPr>
        <w:t xml:space="preserve">Roinn Dlí agus Cirt, </w:t>
      </w:r>
      <w:proofErr w:type="spellStart"/>
      <w:r w:rsidRPr="00594740">
        <w:rPr>
          <w:lang w:val="en-US" w:eastAsia="en-GB"/>
        </w:rPr>
        <w:t>Comhionannais</w:t>
      </w:r>
      <w:proofErr w:type="spellEnd"/>
      <w:r w:rsidRPr="00594740">
        <w:rPr>
          <w:lang w:val="en-US" w:eastAsia="en-GB"/>
        </w:rPr>
        <w:t xml:space="preserve"> agus Athchóirithe Dlí é.</w:t>
      </w:r>
    </w:p>
    <w:p w14:paraId="5D672742" w14:textId="77777777" w:rsidR="00141421" w:rsidRDefault="00141421" w:rsidP="00141421">
      <w:pPr>
        <w:pStyle w:val="TableTitle"/>
        <w:jc w:val="left"/>
        <w:rPr>
          <w:lang w:val="en-GB" w:eastAsia="en-GB"/>
        </w:rPr>
      </w:pPr>
      <w:r w:rsidRPr="009079DB">
        <w:rPr>
          <w:lang w:val="en-GB" w:eastAsia="en-GB"/>
        </w:rPr>
        <w:t xml:space="preserve">11. </w:t>
      </w:r>
      <w:proofErr w:type="spellStart"/>
      <w:r w:rsidR="00752687">
        <w:t>Creidiúnaithe</w:t>
      </w:r>
      <w:proofErr w:type="spellEnd"/>
      <w:r w:rsidR="00752687">
        <w:t xml:space="preserve"> Agus </w:t>
      </w:r>
      <w:proofErr w:type="spellStart"/>
      <w:r w:rsidR="00752687">
        <w:t>Fabhruithe</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141421" w:rsidRPr="00AF114C" w14:paraId="3E477ABE" w14:textId="77777777" w:rsidTr="00141421">
        <w:tblPrEx>
          <w:tblCellMar>
            <w:top w:w="0" w:type="dxa"/>
            <w:bottom w:w="0" w:type="dxa"/>
          </w:tblCellMar>
        </w:tblPrEx>
        <w:trPr>
          <w:tblHeader/>
        </w:trPr>
        <w:tc>
          <w:tcPr>
            <w:tcW w:w="4788" w:type="dxa"/>
            <w:shd w:val="clear" w:color="auto" w:fill="auto"/>
          </w:tcPr>
          <w:p w14:paraId="5959F8B3" w14:textId="77777777" w:rsidR="00141421" w:rsidRPr="00AF114C" w:rsidRDefault="00141421" w:rsidP="00141421">
            <w:pPr>
              <w:pStyle w:val="TableHead"/>
              <w:jc w:val="right"/>
            </w:pPr>
          </w:p>
        </w:tc>
        <w:tc>
          <w:tcPr>
            <w:tcW w:w="2034" w:type="dxa"/>
            <w:shd w:val="clear" w:color="auto" w:fill="auto"/>
          </w:tcPr>
          <w:p w14:paraId="6BA6D02E" w14:textId="77777777" w:rsidR="00141421" w:rsidRPr="00B22912" w:rsidRDefault="00141421" w:rsidP="00141421">
            <w:pPr>
              <w:pStyle w:val="TableHead"/>
              <w:spacing w:line="240" w:lineRule="auto"/>
              <w:jc w:val="right"/>
            </w:pPr>
            <w:r w:rsidRPr="00B22912">
              <w:t>2010</w:t>
            </w:r>
          </w:p>
        </w:tc>
        <w:tc>
          <w:tcPr>
            <w:tcW w:w="2034" w:type="dxa"/>
            <w:shd w:val="clear" w:color="auto" w:fill="auto"/>
          </w:tcPr>
          <w:p w14:paraId="798D56CA" w14:textId="77777777" w:rsidR="00141421" w:rsidRPr="00B22912" w:rsidRDefault="00141421" w:rsidP="00141421">
            <w:pPr>
              <w:pStyle w:val="TableHead"/>
              <w:spacing w:line="240" w:lineRule="auto"/>
              <w:jc w:val="right"/>
            </w:pPr>
            <w:r w:rsidRPr="00B22912">
              <w:t>2009</w:t>
            </w:r>
          </w:p>
        </w:tc>
      </w:tr>
      <w:tr w:rsidR="00141421" w:rsidRPr="00AF114C" w14:paraId="019120D3" w14:textId="77777777" w:rsidTr="00141421">
        <w:tblPrEx>
          <w:tblCellMar>
            <w:top w:w="0" w:type="dxa"/>
            <w:bottom w:w="0" w:type="dxa"/>
          </w:tblCellMar>
        </w:tblPrEx>
        <w:tc>
          <w:tcPr>
            <w:tcW w:w="4788" w:type="dxa"/>
            <w:shd w:val="clear" w:color="auto" w:fill="auto"/>
          </w:tcPr>
          <w:p w14:paraId="573CB280" w14:textId="77777777" w:rsidR="00141421" w:rsidRPr="00AF114C" w:rsidRDefault="00141421" w:rsidP="00141421">
            <w:pPr>
              <w:pStyle w:val="TableRowHead"/>
            </w:pPr>
          </w:p>
        </w:tc>
        <w:tc>
          <w:tcPr>
            <w:tcW w:w="2034" w:type="dxa"/>
            <w:shd w:val="clear" w:color="auto" w:fill="auto"/>
            <w:vAlign w:val="bottom"/>
          </w:tcPr>
          <w:p w14:paraId="4E98AC6B"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c>
          <w:tcPr>
            <w:tcW w:w="2034" w:type="dxa"/>
            <w:shd w:val="clear" w:color="auto" w:fill="auto"/>
            <w:vAlign w:val="bottom"/>
          </w:tcPr>
          <w:p w14:paraId="521B6F7E"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r>
      <w:tr w:rsidR="00752687" w:rsidRPr="00AF114C" w14:paraId="6B26A2C0" w14:textId="77777777" w:rsidTr="00752687">
        <w:tblPrEx>
          <w:tblCellMar>
            <w:top w:w="0" w:type="dxa"/>
            <w:bottom w:w="0" w:type="dxa"/>
          </w:tblCellMar>
        </w:tblPrEx>
        <w:tc>
          <w:tcPr>
            <w:tcW w:w="4788" w:type="dxa"/>
            <w:shd w:val="clear" w:color="auto" w:fill="auto"/>
            <w:vAlign w:val="center"/>
          </w:tcPr>
          <w:p w14:paraId="37A4EF48" w14:textId="77777777" w:rsidR="00752687" w:rsidRPr="00067058" w:rsidRDefault="00752687" w:rsidP="00067058">
            <w:pPr>
              <w:pStyle w:val="TableRowHead"/>
            </w:pPr>
            <w:proofErr w:type="spellStart"/>
            <w:r w:rsidRPr="00067058">
              <w:t>Párolla</w:t>
            </w:r>
            <w:proofErr w:type="spellEnd"/>
            <w:r w:rsidRPr="00067058">
              <w:t xml:space="preserve"> / </w:t>
            </w:r>
            <w:proofErr w:type="spellStart"/>
            <w:r w:rsidRPr="00067058">
              <w:t>Creidmheaóirí</w:t>
            </w:r>
            <w:proofErr w:type="spellEnd"/>
            <w:r w:rsidRPr="00067058">
              <w:t xml:space="preserve"> Éagsúla</w:t>
            </w:r>
          </w:p>
        </w:tc>
        <w:tc>
          <w:tcPr>
            <w:tcW w:w="2034" w:type="dxa"/>
            <w:shd w:val="clear" w:color="auto" w:fill="auto"/>
            <w:vAlign w:val="bottom"/>
          </w:tcPr>
          <w:p w14:paraId="4D7C7293" w14:textId="77777777" w:rsidR="00752687" w:rsidRPr="0058102A" w:rsidRDefault="00752687" w:rsidP="00141421">
            <w:pPr>
              <w:spacing w:after="0" w:line="240" w:lineRule="auto"/>
              <w:jc w:val="right"/>
              <w:rPr>
                <w:rFonts w:cs="Arial"/>
                <w:lang w:val="en-GB" w:eastAsia="en-GB"/>
              </w:rPr>
            </w:pPr>
            <w:r w:rsidRPr="0058102A">
              <w:rPr>
                <w:rFonts w:cs="Arial"/>
                <w:lang w:val="en-GB" w:eastAsia="en-GB"/>
              </w:rPr>
              <w:t>0</w:t>
            </w:r>
          </w:p>
        </w:tc>
        <w:tc>
          <w:tcPr>
            <w:tcW w:w="2034" w:type="dxa"/>
            <w:shd w:val="clear" w:color="auto" w:fill="auto"/>
            <w:vAlign w:val="bottom"/>
          </w:tcPr>
          <w:p w14:paraId="3A445967" w14:textId="77777777" w:rsidR="00752687" w:rsidRPr="0058102A" w:rsidRDefault="00752687" w:rsidP="00141421">
            <w:pPr>
              <w:spacing w:after="0" w:line="240" w:lineRule="auto"/>
              <w:jc w:val="right"/>
              <w:rPr>
                <w:rFonts w:cs="Arial"/>
                <w:lang w:val="en-GB" w:eastAsia="en-GB"/>
              </w:rPr>
            </w:pPr>
            <w:r w:rsidRPr="0058102A">
              <w:rPr>
                <w:rFonts w:cs="Arial"/>
                <w:lang w:val="en-GB" w:eastAsia="en-GB"/>
              </w:rPr>
              <w:t>72,283</w:t>
            </w:r>
          </w:p>
        </w:tc>
      </w:tr>
      <w:tr w:rsidR="00752687" w:rsidRPr="00AF114C" w14:paraId="28075E81" w14:textId="77777777" w:rsidTr="00752687">
        <w:tblPrEx>
          <w:tblCellMar>
            <w:top w:w="0" w:type="dxa"/>
            <w:bottom w:w="0" w:type="dxa"/>
          </w:tblCellMar>
        </w:tblPrEx>
        <w:tc>
          <w:tcPr>
            <w:tcW w:w="4788" w:type="dxa"/>
            <w:shd w:val="clear" w:color="auto" w:fill="auto"/>
            <w:vAlign w:val="center"/>
          </w:tcPr>
          <w:p w14:paraId="443E93E4" w14:textId="77777777" w:rsidR="00752687" w:rsidRPr="00067058" w:rsidRDefault="00752687" w:rsidP="00067058">
            <w:pPr>
              <w:pStyle w:val="TableRowHead"/>
            </w:pPr>
            <w:proofErr w:type="spellStart"/>
            <w:r w:rsidRPr="00067058">
              <w:t>Creidmheasóirí</w:t>
            </w:r>
            <w:proofErr w:type="spellEnd"/>
            <w:r w:rsidRPr="00067058">
              <w:t xml:space="preserve"> a bhaineann le BNA</w:t>
            </w:r>
          </w:p>
        </w:tc>
        <w:tc>
          <w:tcPr>
            <w:tcW w:w="2034" w:type="dxa"/>
            <w:shd w:val="clear" w:color="auto" w:fill="auto"/>
            <w:vAlign w:val="bottom"/>
          </w:tcPr>
          <w:p w14:paraId="2FBC5A49" w14:textId="77777777" w:rsidR="00752687" w:rsidRPr="0058102A" w:rsidRDefault="00752687" w:rsidP="00141421">
            <w:pPr>
              <w:spacing w:after="0" w:line="240" w:lineRule="auto"/>
              <w:jc w:val="right"/>
              <w:rPr>
                <w:rFonts w:cs="Arial"/>
                <w:lang w:val="en-GB" w:eastAsia="en-GB"/>
              </w:rPr>
            </w:pPr>
            <w:r w:rsidRPr="0058102A">
              <w:rPr>
                <w:rFonts w:cs="Arial"/>
                <w:lang w:val="en-GB" w:eastAsia="en-GB"/>
              </w:rPr>
              <w:t>47,280</w:t>
            </w:r>
          </w:p>
        </w:tc>
        <w:tc>
          <w:tcPr>
            <w:tcW w:w="2034" w:type="dxa"/>
            <w:shd w:val="clear" w:color="auto" w:fill="auto"/>
            <w:vAlign w:val="bottom"/>
          </w:tcPr>
          <w:p w14:paraId="67E06ECB" w14:textId="77777777" w:rsidR="00752687" w:rsidRPr="0058102A" w:rsidRDefault="00752687" w:rsidP="00141421">
            <w:pPr>
              <w:spacing w:after="0" w:line="240" w:lineRule="auto"/>
              <w:jc w:val="right"/>
              <w:rPr>
                <w:rFonts w:cs="Arial"/>
                <w:lang w:val="en-GB" w:eastAsia="en-GB"/>
              </w:rPr>
            </w:pPr>
            <w:r w:rsidRPr="0058102A">
              <w:rPr>
                <w:rFonts w:cs="Arial"/>
                <w:lang w:val="en-GB" w:eastAsia="en-GB"/>
              </w:rPr>
              <w:t>118,197</w:t>
            </w:r>
          </w:p>
        </w:tc>
      </w:tr>
      <w:tr w:rsidR="00752687" w:rsidRPr="00AF114C" w14:paraId="15BD581D" w14:textId="77777777" w:rsidTr="00752687">
        <w:tblPrEx>
          <w:tblCellMar>
            <w:top w:w="0" w:type="dxa"/>
            <w:bottom w:w="0" w:type="dxa"/>
          </w:tblCellMar>
        </w:tblPrEx>
        <w:tc>
          <w:tcPr>
            <w:tcW w:w="4788" w:type="dxa"/>
            <w:shd w:val="clear" w:color="auto" w:fill="auto"/>
            <w:vAlign w:val="center"/>
          </w:tcPr>
          <w:p w14:paraId="3DC13EE6" w14:textId="77777777" w:rsidR="00752687" w:rsidRPr="00067058" w:rsidRDefault="00752687" w:rsidP="00067058">
            <w:pPr>
              <w:pStyle w:val="TableRowHead"/>
            </w:pPr>
            <w:proofErr w:type="spellStart"/>
            <w:r w:rsidRPr="00067058">
              <w:t>Fabhruithe</w:t>
            </w:r>
            <w:proofErr w:type="spellEnd"/>
          </w:p>
        </w:tc>
        <w:tc>
          <w:tcPr>
            <w:tcW w:w="2034" w:type="dxa"/>
            <w:shd w:val="clear" w:color="auto" w:fill="auto"/>
            <w:vAlign w:val="bottom"/>
          </w:tcPr>
          <w:p w14:paraId="3996D4B2" w14:textId="77777777" w:rsidR="00752687" w:rsidRPr="0058102A" w:rsidRDefault="00752687" w:rsidP="00141421">
            <w:pPr>
              <w:spacing w:after="0" w:line="240" w:lineRule="auto"/>
              <w:jc w:val="right"/>
              <w:rPr>
                <w:rFonts w:cs="Arial"/>
                <w:b/>
                <w:lang w:val="en-GB" w:eastAsia="en-GB"/>
              </w:rPr>
            </w:pPr>
            <w:r w:rsidRPr="0058102A">
              <w:rPr>
                <w:rFonts w:cs="Arial"/>
                <w:b/>
                <w:lang w:val="en-GB" w:eastAsia="en-GB"/>
              </w:rPr>
              <w:t>47,280</w:t>
            </w:r>
          </w:p>
        </w:tc>
        <w:tc>
          <w:tcPr>
            <w:tcW w:w="2034" w:type="dxa"/>
            <w:shd w:val="clear" w:color="auto" w:fill="auto"/>
            <w:vAlign w:val="bottom"/>
          </w:tcPr>
          <w:p w14:paraId="6A6A9404" w14:textId="77777777" w:rsidR="00752687" w:rsidRPr="0058102A" w:rsidRDefault="00752687" w:rsidP="00141421">
            <w:pPr>
              <w:spacing w:after="0" w:line="240" w:lineRule="auto"/>
              <w:jc w:val="right"/>
              <w:rPr>
                <w:rFonts w:cs="Arial"/>
                <w:b/>
                <w:lang w:val="en-GB" w:eastAsia="en-GB"/>
              </w:rPr>
            </w:pPr>
            <w:r w:rsidRPr="0058102A">
              <w:rPr>
                <w:rFonts w:cs="Arial"/>
                <w:b/>
                <w:lang w:val="en-GB" w:eastAsia="en-GB"/>
              </w:rPr>
              <w:t>190,480</w:t>
            </w:r>
          </w:p>
        </w:tc>
      </w:tr>
    </w:tbl>
    <w:p w14:paraId="1BEA1147" w14:textId="77777777" w:rsidR="00141421" w:rsidRPr="0058102A" w:rsidRDefault="00141421" w:rsidP="00141421">
      <w:pPr>
        <w:pStyle w:val="TableTitle"/>
        <w:jc w:val="left"/>
      </w:pPr>
      <w:r w:rsidRPr="0058102A">
        <w:t xml:space="preserve">12. </w:t>
      </w:r>
      <w:proofErr w:type="spellStart"/>
      <w:r w:rsidR="00752687">
        <w:t>Féichiúnaithe</w:t>
      </w:r>
      <w:proofErr w:type="spellEnd"/>
      <w:r w:rsidR="00752687">
        <w:t xml:space="preserve"> Agus </w:t>
      </w:r>
      <w:proofErr w:type="spellStart"/>
      <w:r w:rsidR="00752687">
        <w:t>Réamhíocaíochtaí</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88"/>
        <w:gridCol w:w="2034"/>
        <w:gridCol w:w="2034"/>
      </w:tblGrid>
      <w:tr w:rsidR="00141421" w:rsidRPr="0058102A" w14:paraId="71197233" w14:textId="77777777" w:rsidTr="00141421">
        <w:tblPrEx>
          <w:tblCellMar>
            <w:top w:w="0" w:type="dxa"/>
            <w:bottom w:w="0" w:type="dxa"/>
          </w:tblCellMar>
        </w:tblPrEx>
        <w:trPr>
          <w:tblHeader/>
        </w:trPr>
        <w:tc>
          <w:tcPr>
            <w:tcW w:w="4788" w:type="dxa"/>
            <w:shd w:val="clear" w:color="auto" w:fill="auto"/>
          </w:tcPr>
          <w:p w14:paraId="7DA581DE" w14:textId="77777777" w:rsidR="00141421" w:rsidRPr="0058102A" w:rsidRDefault="00141421" w:rsidP="00141421">
            <w:pPr>
              <w:pStyle w:val="TableHead"/>
              <w:jc w:val="right"/>
            </w:pPr>
          </w:p>
        </w:tc>
        <w:tc>
          <w:tcPr>
            <w:tcW w:w="2034" w:type="dxa"/>
            <w:shd w:val="clear" w:color="auto" w:fill="auto"/>
            <w:vAlign w:val="bottom"/>
          </w:tcPr>
          <w:p w14:paraId="517420E0" w14:textId="77777777" w:rsidR="00141421" w:rsidRPr="009079DB" w:rsidRDefault="00141421" w:rsidP="00141421">
            <w:pPr>
              <w:spacing w:after="0" w:line="240" w:lineRule="auto"/>
              <w:jc w:val="right"/>
              <w:rPr>
                <w:rFonts w:cs="Arial"/>
                <w:b/>
                <w:bCs/>
                <w:lang w:val="en-GB" w:eastAsia="en-GB"/>
              </w:rPr>
            </w:pPr>
            <w:r w:rsidRPr="009079DB">
              <w:rPr>
                <w:rFonts w:cs="Arial"/>
                <w:b/>
                <w:bCs/>
                <w:lang w:val="en-GB" w:eastAsia="en-GB"/>
              </w:rPr>
              <w:t>2010</w:t>
            </w:r>
          </w:p>
        </w:tc>
        <w:tc>
          <w:tcPr>
            <w:tcW w:w="2034" w:type="dxa"/>
            <w:shd w:val="clear" w:color="auto" w:fill="auto"/>
            <w:vAlign w:val="bottom"/>
          </w:tcPr>
          <w:p w14:paraId="6F1E1BB2" w14:textId="77777777" w:rsidR="00141421" w:rsidRPr="009079DB" w:rsidRDefault="00141421" w:rsidP="00141421">
            <w:pPr>
              <w:spacing w:after="0" w:line="240" w:lineRule="auto"/>
              <w:jc w:val="right"/>
              <w:rPr>
                <w:rFonts w:cs="Arial"/>
                <w:b/>
                <w:bCs/>
                <w:lang w:val="en-GB" w:eastAsia="en-GB"/>
              </w:rPr>
            </w:pPr>
            <w:r w:rsidRPr="009079DB">
              <w:rPr>
                <w:rFonts w:cs="Arial"/>
                <w:b/>
                <w:bCs/>
                <w:lang w:val="en-GB" w:eastAsia="en-GB"/>
              </w:rPr>
              <w:t>2009</w:t>
            </w:r>
          </w:p>
        </w:tc>
      </w:tr>
      <w:tr w:rsidR="00141421" w:rsidRPr="0058102A" w14:paraId="0F8E2482" w14:textId="77777777" w:rsidTr="00141421">
        <w:tblPrEx>
          <w:tblCellMar>
            <w:top w:w="0" w:type="dxa"/>
            <w:bottom w:w="0" w:type="dxa"/>
          </w:tblCellMar>
        </w:tblPrEx>
        <w:trPr>
          <w:tblHeader/>
        </w:trPr>
        <w:tc>
          <w:tcPr>
            <w:tcW w:w="4788" w:type="dxa"/>
            <w:shd w:val="clear" w:color="auto" w:fill="auto"/>
          </w:tcPr>
          <w:p w14:paraId="783EF626" w14:textId="77777777" w:rsidR="00141421" w:rsidRPr="0058102A" w:rsidRDefault="00141421" w:rsidP="00141421">
            <w:pPr>
              <w:pStyle w:val="TableHead"/>
              <w:jc w:val="right"/>
            </w:pPr>
          </w:p>
        </w:tc>
        <w:tc>
          <w:tcPr>
            <w:tcW w:w="2034" w:type="dxa"/>
            <w:shd w:val="clear" w:color="auto" w:fill="auto"/>
            <w:vAlign w:val="bottom"/>
          </w:tcPr>
          <w:p w14:paraId="2276181A"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c>
          <w:tcPr>
            <w:tcW w:w="2034" w:type="dxa"/>
            <w:shd w:val="clear" w:color="auto" w:fill="auto"/>
            <w:vAlign w:val="bottom"/>
          </w:tcPr>
          <w:p w14:paraId="27876082" w14:textId="77777777" w:rsidR="00141421" w:rsidRPr="00B22912" w:rsidRDefault="00141421" w:rsidP="00141421">
            <w:pPr>
              <w:spacing w:after="0" w:line="240" w:lineRule="auto"/>
              <w:jc w:val="right"/>
              <w:rPr>
                <w:rFonts w:cs="Arial"/>
                <w:b/>
                <w:bCs/>
                <w:lang w:val="en-GB" w:eastAsia="en-GB"/>
              </w:rPr>
            </w:pPr>
            <w:r w:rsidRPr="00B22912">
              <w:rPr>
                <w:rFonts w:cs="Arial"/>
                <w:b/>
                <w:bCs/>
                <w:lang w:val="en-GB" w:eastAsia="en-GB"/>
              </w:rPr>
              <w:t xml:space="preserve">          €</w:t>
            </w:r>
          </w:p>
        </w:tc>
      </w:tr>
      <w:tr w:rsidR="00752687" w:rsidRPr="0058102A" w14:paraId="148D8C08" w14:textId="77777777" w:rsidTr="00752687">
        <w:tblPrEx>
          <w:tblCellMar>
            <w:top w:w="0" w:type="dxa"/>
            <w:bottom w:w="0" w:type="dxa"/>
          </w:tblCellMar>
        </w:tblPrEx>
        <w:tc>
          <w:tcPr>
            <w:tcW w:w="4788" w:type="dxa"/>
            <w:shd w:val="clear" w:color="auto" w:fill="auto"/>
            <w:vAlign w:val="center"/>
          </w:tcPr>
          <w:p w14:paraId="5B1B5B6D" w14:textId="77777777" w:rsidR="00752687" w:rsidRPr="00067058" w:rsidRDefault="00752687" w:rsidP="00067058">
            <w:pPr>
              <w:pStyle w:val="TableRowHead"/>
            </w:pPr>
            <w:r w:rsidRPr="00067058">
              <w:t xml:space="preserve">An Roinn Oideachais agus Eolaíochta  </w:t>
            </w:r>
          </w:p>
        </w:tc>
        <w:tc>
          <w:tcPr>
            <w:tcW w:w="2034" w:type="dxa"/>
            <w:shd w:val="clear" w:color="auto" w:fill="auto"/>
            <w:vAlign w:val="bottom"/>
          </w:tcPr>
          <w:p w14:paraId="438F5A63"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0</w:t>
            </w:r>
          </w:p>
        </w:tc>
        <w:tc>
          <w:tcPr>
            <w:tcW w:w="2034" w:type="dxa"/>
            <w:shd w:val="clear" w:color="auto" w:fill="auto"/>
            <w:vAlign w:val="bottom"/>
          </w:tcPr>
          <w:p w14:paraId="6D8B501E"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41,921</w:t>
            </w:r>
          </w:p>
        </w:tc>
      </w:tr>
      <w:tr w:rsidR="00752687" w:rsidRPr="0058102A" w14:paraId="2C0D7FA7" w14:textId="77777777" w:rsidTr="00752687">
        <w:tblPrEx>
          <w:tblCellMar>
            <w:top w:w="0" w:type="dxa"/>
            <w:bottom w:w="0" w:type="dxa"/>
          </w:tblCellMar>
        </w:tblPrEx>
        <w:tc>
          <w:tcPr>
            <w:tcW w:w="4788" w:type="dxa"/>
            <w:shd w:val="clear" w:color="auto" w:fill="auto"/>
            <w:vAlign w:val="center"/>
          </w:tcPr>
          <w:p w14:paraId="1541CF93" w14:textId="77777777" w:rsidR="00752687" w:rsidRPr="00067058" w:rsidRDefault="00752687" w:rsidP="00067058">
            <w:pPr>
              <w:pStyle w:val="TableRowHead"/>
            </w:pPr>
            <w:r w:rsidRPr="00067058">
              <w:t>Cíos agus Seirbhísí Roinn Sláinte agus</w:t>
            </w:r>
          </w:p>
          <w:p w14:paraId="18C4E484" w14:textId="77777777" w:rsidR="00752687" w:rsidRPr="00067058" w:rsidRDefault="00752687" w:rsidP="00067058">
            <w:pPr>
              <w:pStyle w:val="TableRowHead"/>
            </w:pPr>
            <w:r w:rsidRPr="00067058">
              <w:t>Leanaí / FÁS</w:t>
            </w:r>
          </w:p>
        </w:tc>
        <w:tc>
          <w:tcPr>
            <w:tcW w:w="2034" w:type="dxa"/>
            <w:shd w:val="clear" w:color="auto" w:fill="auto"/>
            <w:vAlign w:val="bottom"/>
          </w:tcPr>
          <w:p w14:paraId="547F5293"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52,692</w:t>
            </w:r>
          </w:p>
        </w:tc>
        <w:tc>
          <w:tcPr>
            <w:tcW w:w="2034" w:type="dxa"/>
            <w:shd w:val="clear" w:color="auto" w:fill="auto"/>
            <w:vAlign w:val="bottom"/>
          </w:tcPr>
          <w:p w14:paraId="338FBB34"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3,885</w:t>
            </w:r>
          </w:p>
        </w:tc>
      </w:tr>
      <w:tr w:rsidR="00752687" w:rsidRPr="0058102A" w14:paraId="7A58B079" w14:textId="77777777" w:rsidTr="00752687">
        <w:tblPrEx>
          <w:tblCellMar>
            <w:top w:w="0" w:type="dxa"/>
            <w:bottom w:w="0" w:type="dxa"/>
          </w:tblCellMar>
        </w:tblPrEx>
        <w:tc>
          <w:tcPr>
            <w:tcW w:w="4788" w:type="dxa"/>
            <w:shd w:val="clear" w:color="auto" w:fill="auto"/>
            <w:vAlign w:val="center"/>
          </w:tcPr>
          <w:p w14:paraId="1CE6E144" w14:textId="77777777" w:rsidR="00752687" w:rsidRPr="00067058" w:rsidRDefault="00752687" w:rsidP="00067058">
            <w:pPr>
              <w:pStyle w:val="TableRowHead"/>
            </w:pPr>
            <w:proofErr w:type="spellStart"/>
            <w:r w:rsidRPr="00067058">
              <w:t>Féichiúnaí</w:t>
            </w:r>
            <w:proofErr w:type="spellEnd"/>
            <w:r w:rsidRPr="00067058">
              <w:t xml:space="preserve"> TSME</w:t>
            </w:r>
          </w:p>
        </w:tc>
        <w:tc>
          <w:tcPr>
            <w:tcW w:w="2034" w:type="dxa"/>
            <w:shd w:val="clear" w:color="auto" w:fill="auto"/>
            <w:vAlign w:val="bottom"/>
          </w:tcPr>
          <w:p w14:paraId="605CBF00"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40,307</w:t>
            </w:r>
          </w:p>
        </w:tc>
        <w:tc>
          <w:tcPr>
            <w:tcW w:w="2034" w:type="dxa"/>
            <w:shd w:val="clear" w:color="auto" w:fill="auto"/>
            <w:vAlign w:val="bottom"/>
          </w:tcPr>
          <w:p w14:paraId="61183FE9" w14:textId="77777777" w:rsidR="00752687" w:rsidRPr="009079DB" w:rsidRDefault="00752687" w:rsidP="00141421">
            <w:pPr>
              <w:spacing w:after="0" w:line="240" w:lineRule="auto"/>
              <w:jc w:val="right"/>
              <w:rPr>
                <w:rFonts w:cs="Arial"/>
                <w:lang w:val="en-GB" w:eastAsia="en-GB"/>
              </w:rPr>
            </w:pPr>
            <w:r w:rsidRPr="009079DB">
              <w:rPr>
                <w:rFonts w:cs="Arial"/>
                <w:lang w:val="en-GB" w:eastAsia="en-GB"/>
              </w:rPr>
              <w:t>44,618</w:t>
            </w:r>
          </w:p>
        </w:tc>
      </w:tr>
      <w:tr w:rsidR="00752687" w:rsidRPr="0058102A" w14:paraId="7389B724" w14:textId="77777777" w:rsidTr="00752687">
        <w:tblPrEx>
          <w:tblCellMar>
            <w:top w:w="0" w:type="dxa"/>
            <w:bottom w:w="0" w:type="dxa"/>
          </w:tblCellMar>
        </w:tblPrEx>
        <w:tc>
          <w:tcPr>
            <w:tcW w:w="4788" w:type="dxa"/>
            <w:shd w:val="clear" w:color="auto" w:fill="auto"/>
            <w:vAlign w:val="center"/>
          </w:tcPr>
          <w:p w14:paraId="37770233" w14:textId="77777777" w:rsidR="00752687" w:rsidRPr="00067058" w:rsidRDefault="00752687" w:rsidP="00067058">
            <w:pPr>
              <w:pStyle w:val="TableRowHead"/>
            </w:pPr>
            <w:proofErr w:type="spellStart"/>
            <w:r w:rsidRPr="00067058">
              <w:t>Féichiúnaithe</w:t>
            </w:r>
            <w:proofErr w:type="spellEnd"/>
            <w:r w:rsidRPr="00067058">
              <w:t xml:space="preserve"> Éagsúla ÚNM </w:t>
            </w:r>
          </w:p>
        </w:tc>
        <w:tc>
          <w:tcPr>
            <w:tcW w:w="2034" w:type="dxa"/>
            <w:shd w:val="clear" w:color="auto" w:fill="auto"/>
            <w:vAlign w:val="bottom"/>
          </w:tcPr>
          <w:p w14:paraId="6B9C3C43" w14:textId="77777777" w:rsidR="00752687" w:rsidRPr="0058102A" w:rsidRDefault="00752687" w:rsidP="00141421">
            <w:pPr>
              <w:spacing w:after="0" w:line="240" w:lineRule="auto"/>
              <w:jc w:val="right"/>
              <w:rPr>
                <w:rFonts w:cs="Arial"/>
                <w:b/>
                <w:lang w:val="en-GB" w:eastAsia="en-GB"/>
              </w:rPr>
            </w:pPr>
            <w:r w:rsidRPr="0058102A">
              <w:rPr>
                <w:rFonts w:cs="Arial"/>
                <w:b/>
                <w:lang w:val="en-GB" w:eastAsia="en-GB"/>
              </w:rPr>
              <w:t>92,999</w:t>
            </w:r>
          </w:p>
        </w:tc>
        <w:tc>
          <w:tcPr>
            <w:tcW w:w="2034" w:type="dxa"/>
            <w:shd w:val="clear" w:color="auto" w:fill="auto"/>
            <w:vAlign w:val="bottom"/>
          </w:tcPr>
          <w:p w14:paraId="63C0B918" w14:textId="77777777" w:rsidR="00752687" w:rsidRPr="0058102A" w:rsidRDefault="00752687" w:rsidP="00141421">
            <w:pPr>
              <w:spacing w:after="0" w:line="240" w:lineRule="auto"/>
              <w:jc w:val="right"/>
              <w:rPr>
                <w:rFonts w:cs="Arial"/>
                <w:b/>
                <w:lang w:val="en-GB" w:eastAsia="en-GB"/>
              </w:rPr>
            </w:pPr>
            <w:r w:rsidRPr="0058102A">
              <w:rPr>
                <w:rFonts w:cs="Arial"/>
                <w:b/>
                <w:lang w:val="en-GB" w:eastAsia="en-GB"/>
              </w:rPr>
              <w:t>90,424</w:t>
            </w:r>
          </w:p>
        </w:tc>
      </w:tr>
    </w:tbl>
    <w:p w14:paraId="0543CFBA" w14:textId="77777777" w:rsidR="00141421" w:rsidRDefault="00141421" w:rsidP="00141421">
      <w:pPr>
        <w:spacing w:after="0" w:line="240" w:lineRule="auto"/>
      </w:pPr>
    </w:p>
    <w:p w14:paraId="1584B890" w14:textId="77777777" w:rsidR="00141421" w:rsidRPr="009079DB" w:rsidRDefault="00141421" w:rsidP="00141421">
      <w:pPr>
        <w:pStyle w:val="Heading3"/>
        <w:rPr>
          <w:lang w:val="en-GB" w:eastAsia="en-GB"/>
        </w:rPr>
      </w:pPr>
      <w:r w:rsidRPr="009079DB">
        <w:rPr>
          <w:lang w:val="en-GB" w:eastAsia="en-GB"/>
        </w:rPr>
        <w:t>13</w:t>
      </w:r>
      <w:r>
        <w:rPr>
          <w:lang w:val="en-GB" w:eastAsia="en-GB"/>
        </w:rPr>
        <w:t>.</w:t>
      </w:r>
      <w:r w:rsidR="00752687">
        <w:rPr>
          <w:lang w:val="en-GB" w:eastAsia="en-GB"/>
        </w:rPr>
        <w:t xml:space="preserve"> </w:t>
      </w:r>
      <w:proofErr w:type="spellStart"/>
      <w:r w:rsidR="00752687">
        <w:t>Dliteanais</w:t>
      </w:r>
      <w:proofErr w:type="spellEnd"/>
      <w:r w:rsidR="00752687">
        <w:t xml:space="preserve"> </w:t>
      </w:r>
      <w:proofErr w:type="spellStart"/>
      <w:r w:rsidR="00752687">
        <w:t>Theagmhasacha</w:t>
      </w:r>
      <w:proofErr w:type="spellEnd"/>
    </w:p>
    <w:p w14:paraId="1FA92350" w14:textId="77777777" w:rsidR="00141421" w:rsidRPr="0058102A" w:rsidRDefault="00141421" w:rsidP="00141421">
      <w:pPr>
        <w:rPr>
          <w:rFonts w:cs="Arial"/>
          <w:lang w:val="en-GB" w:eastAsia="en-GB"/>
        </w:rPr>
      </w:pPr>
      <w:r w:rsidRPr="009079DB">
        <w:rPr>
          <w:rFonts w:cs="Arial"/>
          <w:lang w:val="en-GB" w:eastAsia="en-GB"/>
        </w:rPr>
        <w:t xml:space="preserve"> </w:t>
      </w:r>
      <w:r w:rsidR="00752687">
        <w:t xml:space="preserve">Ní ann d'aon </w:t>
      </w:r>
      <w:proofErr w:type="spellStart"/>
      <w:r w:rsidR="00752687">
        <w:t>dhliteanais</w:t>
      </w:r>
      <w:proofErr w:type="spellEnd"/>
      <w:r w:rsidR="00752687">
        <w:t xml:space="preserve"> </w:t>
      </w:r>
      <w:proofErr w:type="spellStart"/>
      <w:r w:rsidR="00752687">
        <w:t>theagmhasacha</w:t>
      </w:r>
      <w:proofErr w:type="spellEnd"/>
      <w:r w:rsidR="00752687">
        <w:t xml:space="preserve"> ar </w:t>
      </w:r>
      <w:proofErr w:type="gramStart"/>
      <w:r w:rsidR="00752687">
        <w:t>an</w:t>
      </w:r>
      <w:proofErr w:type="gramEnd"/>
      <w:r w:rsidR="00752687">
        <w:t xml:space="preserve"> 31 Nollaig 2010.</w:t>
      </w:r>
      <w:r w:rsidR="00752687">
        <w:rPr>
          <w:szCs w:val="20"/>
        </w:rPr>
        <w:t xml:space="preserve">  </w:t>
      </w:r>
    </w:p>
    <w:p w14:paraId="36BC73FA" w14:textId="77777777" w:rsidR="00141421" w:rsidRPr="0058102A" w:rsidRDefault="00141421" w:rsidP="00141421">
      <w:pPr>
        <w:pStyle w:val="Heading3"/>
        <w:rPr>
          <w:lang w:val="en-GB" w:eastAsia="en-GB"/>
        </w:rPr>
      </w:pPr>
      <w:r w:rsidRPr="009079DB">
        <w:rPr>
          <w:lang w:val="en-GB" w:eastAsia="en-GB"/>
        </w:rPr>
        <w:t xml:space="preserve"> 14. </w:t>
      </w:r>
      <w:proofErr w:type="spellStart"/>
      <w:r w:rsidR="00752687">
        <w:t>Ceanglais</w:t>
      </w:r>
      <w:proofErr w:type="spellEnd"/>
      <w:r w:rsidR="00752687">
        <w:t xml:space="preserve"> </w:t>
      </w:r>
      <w:proofErr w:type="spellStart"/>
      <w:r w:rsidR="00752687">
        <w:t>Chaipitil</w:t>
      </w:r>
      <w:proofErr w:type="spellEnd"/>
    </w:p>
    <w:p w14:paraId="76BA1555" w14:textId="77777777" w:rsidR="00141421" w:rsidRPr="009079DB" w:rsidRDefault="00752687" w:rsidP="00141421">
      <w:pPr>
        <w:rPr>
          <w:lang w:val="en-GB" w:eastAsia="en-GB"/>
        </w:rPr>
      </w:pPr>
      <w:r>
        <w:t xml:space="preserve">Ní raibh aon </w:t>
      </w:r>
      <w:proofErr w:type="spellStart"/>
      <w:r>
        <w:t>cheanglas</w:t>
      </w:r>
      <w:proofErr w:type="spellEnd"/>
      <w:r>
        <w:t xml:space="preserve"> </w:t>
      </w:r>
      <w:proofErr w:type="spellStart"/>
      <w:r>
        <w:t>caipitil</w:t>
      </w:r>
      <w:proofErr w:type="spellEnd"/>
      <w:r>
        <w:t xml:space="preserve"> gan </w:t>
      </w:r>
      <w:proofErr w:type="spellStart"/>
      <w:r>
        <w:t>chomhlánú</w:t>
      </w:r>
      <w:proofErr w:type="spellEnd"/>
      <w:r>
        <w:t xml:space="preserve"> ag an Údarás ar </w:t>
      </w:r>
      <w:proofErr w:type="gramStart"/>
      <w:r>
        <w:t>an</w:t>
      </w:r>
      <w:proofErr w:type="gramEnd"/>
      <w:r>
        <w:t xml:space="preserve"> 31 Nollaig 2010.</w:t>
      </w:r>
    </w:p>
    <w:p w14:paraId="5BD16413" w14:textId="77777777" w:rsidR="00594740" w:rsidRDefault="00594740" w:rsidP="00594740">
      <w:pPr>
        <w:pStyle w:val="Heading3"/>
        <w:rPr>
          <w:lang w:val="en-GB" w:eastAsia="en-GB"/>
        </w:rPr>
      </w:pPr>
      <w:r>
        <w:rPr>
          <w:lang w:val="en-GB" w:eastAsia="en-GB"/>
        </w:rPr>
        <w:lastRenderedPageBreak/>
        <w:t xml:space="preserve">15. </w:t>
      </w:r>
      <w:proofErr w:type="spellStart"/>
      <w:r>
        <w:rPr>
          <w:lang w:val="en-GB" w:eastAsia="en-GB"/>
        </w:rPr>
        <w:t>Áitreabh</w:t>
      </w:r>
      <w:proofErr w:type="spellEnd"/>
    </w:p>
    <w:p w14:paraId="0AF91308" w14:textId="77777777" w:rsidR="00594740" w:rsidRDefault="00594740" w:rsidP="00594740">
      <w:pPr>
        <w:rPr>
          <w:lang w:val="en-GB" w:eastAsia="en-GB"/>
        </w:rPr>
      </w:pPr>
      <w:proofErr w:type="spellStart"/>
      <w:r w:rsidRPr="00185FCF">
        <w:rPr>
          <w:lang w:val="en-GB" w:eastAsia="en-GB"/>
        </w:rPr>
        <w:t>Feidhmíonn</w:t>
      </w:r>
      <w:proofErr w:type="spellEnd"/>
      <w:r w:rsidRPr="00185FCF">
        <w:rPr>
          <w:lang w:val="en-GB" w:eastAsia="en-GB"/>
        </w:rPr>
        <w:t xml:space="preserve"> an </w:t>
      </w:r>
      <w:proofErr w:type="spellStart"/>
      <w:r w:rsidRPr="00185FCF">
        <w:rPr>
          <w:lang w:val="en-GB" w:eastAsia="en-GB"/>
        </w:rPr>
        <w:t>tÚdaras</w:t>
      </w:r>
      <w:proofErr w:type="spellEnd"/>
      <w:r w:rsidRPr="00185FCF">
        <w:rPr>
          <w:lang w:val="en-GB" w:eastAsia="en-GB"/>
        </w:rPr>
        <w:t xml:space="preserve"> as </w:t>
      </w:r>
      <w:proofErr w:type="spellStart"/>
      <w:r w:rsidRPr="00185FCF">
        <w:rPr>
          <w:lang w:val="en-GB" w:eastAsia="en-GB"/>
        </w:rPr>
        <w:t>áitreabh</w:t>
      </w:r>
      <w:proofErr w:type="spellEnd"/>
      <w:r w:rsidRPr="00185FCF">
        <w:rPr>
          <w:lang w:val="en-GB" w:eastAsia="en-GB"/>
        </w:rPr>
        <w:t xml:space="preserve"> </w:t>
      </w:r>
      <w:r w:rsidRPr="00185FCF">
        <w:rPr>
          <w:lang w:val="en-US"/>
        </w:rPr>
        <w:t xml:space="preserve">atá faoina sheilbh agus a áitíonn sé </w:t>
      </w:r>
      <w:r w:rsidRPr="00185FCF">
        <w:rPr>
          <w:lang w:val="en-GB" w:eastAsia="en-GB"/>
        </w:rPr>
        <w:t xml:space="preserve">ag </w:t>
      </w:r>
      <w:r w:rsidRPr="00185FCF">
        <w:t xml:space="preserve">25 Bóthar </w:t>
      </w:r>
      <w:proofErr w:type="spellStart"/>
      <w:proofErr w:type="gramStart"/>
      <w:r w:rsidRPr="00185FCF">
        <w:t>Chluaidh</w:t>
      </w:r>
      <w:proofErr w:type="spellEnd"/>
      <w:r w:rsidRPr="00185FCF">
        <w:t xml:space="preserve">,  </w:t>
      </w:r>
      <w:r w:rsidRPr="00185FCF">
        <w:rPr>
          <w:lang w:val="en-US"/>
        </w:rPr>
        <w:t>Droichead</w:t>
      </w:r>
      <w:proofErr w:type="gramEnd"/>
      <w:r w:rsidRPr="00185FCF">
        <w:rPr>
          <w:lang w:val="en-US"/>
        </w:rPr>
        <w:t xml:space="preserve"> na </w:t>
      </w:r>
      <w:proofErr w:type="spellStart"/>
      <w:r w:rsidRPr="00185FCF">
        <w:rPr>
          <w:lang w:val="en-US"/>
        </w:rPr>
        <w:t>Dothra</w:t>
      </w:r>
      <w:proofErr w:type="spellEnd"/>
      <w:r w:rsidRPr="00185FCF">
        <w:rPr>
          <w:lang w:val="en-US"/>
        </w:rPr>
        <w:t>, Baile Átha Cliath 4.</w:t>
      </w:r>
    </w:p>
    <w:p w14:paraId="105BE37D" w14:textId="77777777" w:rsidR="00141421" w:rsidRDefault="00752687" w:rsidP="00752687">
      <w:pPr>
        <w:pStyle w:val="Heading3"/>
      </w:pPr>
      <w:r>
        <w:rPr>
          <w:lang w:val="en-GB" w:eastAsia="en-GB"/>
        </w:rPr>
        <w:t xml:space="preserve">16. </w:t>
      </w:r>
      <w:proofErr w:type="spellStart"/>
      <w:r>
        <w:t>Faomhadh</w:t>
      </w:r>
      <w:proofErr w:type="spellEnd"/>
      <w:r>
        <w:t xml:space="preserve"> Na Ráiteas Airgeadais </w:t>
      </w:r>
    </w:p>
    <w:p w14:paraId="3032F420" w14:textId="77777777" w:rsidR="00716D67" w:rsidRDefault="00752687" w:rsidP="00752687">
      <w:pPr>
        <w:spacing w:after="0"/>
      </w:pPr>
      <w:r>
        <w:t xml:space="preserve">Thug an </w:t>
      </w:r>
      <w:proofErr w:type="spellStart"/>
      <w:r>
        <w:t>tÚdarás</w:t>
      </w:r>
      <w:proofErr w:type="spellEnd"/>
      <w:r>
        <w:t xml:space="preserve"> </w:t>
      </w:r>
      <w:proofErr w:type="spellStart"/>
      <w:r>
        <w:t>faomhadh</w:t>
      </w:r>
      <w:proofErr w:type="spellEnd"/>
      <w:r>
        <w:t xml:space="preserve"> do na </w:t>
      </w:r>
      <w:proofErr w:type="spellStart"/>
      <w:r>
        <w:t>Ráitis</w:t>
      </w:r>
      <w:proofErr w:type="spellEnd"/>
      <w:r>
        <w:t xml:space="preserve"> Airgeadais ar 16 </w:t>
      </w:r>
      <w:r w:rsidRPr="00752687">
        <w:rPr>
          <w:lang w:val="ga-IE"/>
        </w:rPr>
        <w:t>Meitheamh</w:t>
      </w:r>
      <w:r>
        <w:rPr>
          <w:lang w:val="ga-IE"/>
        </w:rPr>
        <w:t xml:space="preserve"> </w:t>
      </w:r>
      <w:r>
        <w:t>2011.</w:t>
      </w:r>
    </w:p>
    <w:p w14:paraId="2DCC2E91" w14:textId="77777777" w:rsidR="00752687" w:rsidRDefault="00716D67" w:rsidP="00752687">
      <w:pPr>
        <w:spacing w:after="0"/>
      </w:pPr>
      <w:r>
        <w:br w:type="page"/>
      </w:r>
    </w:p>
    <w:p w14:paraId="0D233A55" w14:textId="77777777" w:rsidR="00752687" w:rsidRDefault="00752687" w:rsidP="00752687"/>
    <w:p w14:paraId="1B819790" w14:textId="77777777" w:rsidR="00752687" w:rsidRPr="00752687" w:rsidRDefault="00752687" w:rsidP="00752687"/>
    <w:p w14:paraId="55A02A21" w14:textId="77777777" w:rsidR="00EE061F" w:rsidRPr="00BE6AB0" w:rsidRDefault="00EE061F" w:rsidP="006F18C4">
      <w:pPr>
        <w:rPr>
          <w:rFonts w:eastAsia="Gill Sans"/>
          <w:lang w:val="ga-IE"/>
        </w:rPr>
      </w:pPr>
    </w:p>
    <w:p w14:paraId="7C7D2461" w14:textId="77777777" w:rsidR="00EE061F" w:rsidRPr="000E6F67" w:rsidRDefault="00EE061F" w:rsidP="00397C6B">
      <w:pPr>
        <w:pStyle w:val="Heading1"/>
        <w:rPr>
          <w:lang w:val="ga-IE"/>
        </w:rPr>
      </w:pPr>
      <w:r w:rsidRPr="000E6F67">
        <w:rPr>
          <w:lang w:val="ga-IE"/>
        </w:rPr>
        <w:br w:type="page"/>
      </w:r>
      <w:bookmarkStart w:id="760" w:name="_Toc299362002"/>
      <w:bookmarkStart w:id="761" w:name="_Toc299362506"/>
      <w:bookmarkStart w:id="762" w:name="_Toc299362644"/>
      <w:bookmarkStart w:id="763" w:name="_Toc300741760"/>
      <w:bookmarkStart w:id="764" w:name="_Toc300742249"/>
      <w:bookmarkStart w:id="765" w:name="_Toc300743001"/>
      <w:bookmarkStart w:id="766" w:name="_Toc300744360"/>
      <w:bookmarkStart w:id="767" w:name="_Toc304371234"/>
      <w:bookmarkStart w:id="768" w:name="_Toc304381950"/>
      <w:proofErr w:type="spellStart"/>
      <w:r w:rsidR="00067058" w:rsidRPr="00067058">
        <w:lastRenderedPageBreak/>
        <w:t>Ausíní</w:t>
      </w:r>
      <w:proofErr w:type="spellEnd"/>
      <w:r w:rsidR="00067058">
        <w:rPr>
          <w:lang w:val="ga-IE"/>
        </w:rPr>
        <w:br w:type="page"/>
      </w:r>
      <w:bookmarkStart w:id="769" w:name="_Toc299362003"/>
      <w:bookmarkStart w:id="770" w:name="_Toc299362507"/>
      <w:bookmarkStart w:id="771" w:name="_Toc299362645"/>
      <w:bookmarkStart w:id="772" w:name="_Toc300741761"/>
      <w:bookmarkStart w:id="773" w:name="_Toc300742250"/>
      <w:bookmarkStart w:id="774" w:name="_Toc300743002"/>
      <w:bookmarkStart w:id="775" w:name="_Toc300744361"/>
      <w:bookmarkStart w:id="776" w:name="_Toc304371235"/>
      <w:bookmarkStart w:id="777" w:name="_Toc304381951"/>
      <w:r w:rsidRPr="000E6F67">
        <w:rPr>
          <w:lang w:val="ga-IE"/>
        </w:rPr>
        <w:lastRenderedPageBreak/>
        <w:t>Aguisín 1</w:t>
      </w:r>
      <w:bookmarkStart w:id="778" w:name="_Toc299362646"/>
      <w:bookmarkEnd w:id="760"/>
      <w:bookmarkEnd w:id="761"/>
      <w:bookmarkEnd w:id="762"/>
      <w:bookmarkEnd w:id="769"/>
      <w:bookmarkEnd w:id="770"/>
      <w:bookmarkEnd w:id="771"/>
      <w:r w:rsidR="00397C6B">
        <w:rPr>
          <w:lang w:val="ga-IE"/>
        </w:rPr>
        <w:t xml:space="preserve">: </w:t>
      </w:r>
      <w:r w:rsidRPr="000E6F67">
        <w:rPr>
          <w:lang w:val="ga-IE"/>
        </w:rPr>
        <w:t>An tÚdarás &amp; Coistí Eile in 2010</w:t>
      </w:r>
      <w:bookmarkEnd w:id="763"/>
      <w:bookmarkEnd w:id="764"/>
      <w:bookmarkEnd w:id="765"/>
      <w:bookmarkEnd w:id="766"/>
      <w:bookmarkEnd w:id="767"/>
      <w:bookmarkEnd w:id="768"/>
      <w:bookmarkEnd w:id="772"/>
      <w:bookmarkEnd w:id="773"/>
      <w:bookmarkEnd w:id="774"/>
      <w:bookmarkEnd w:id="775"/>
      <w:bookmarkEnd w:id="776"/>
      <w:bookmarkEnd w:id="777"/>
      <w:bookmarkEnd w:id="778"/>
    </w:p>
    <w:p w14:paraId="67E988C2" w14:textId="77777777" w:rsidR="00EE061F" w:rsidRPr="000E6F67" w:rsidRDefault="00EE061F" w:rsidP="00282963">
      <w:pPr>
        <w:pStyle w:val="Heading3"/>
        <w:rPr>
          <w:lang w:val="ga-IE"/>
        </w:rPr>
      </w:pPr>
      <w:r w:rsidRPr="000E6F67">
        <w:rPr>
          <w:lang w:val="ga-IE"/>
        </w:rPr>
        <w:t>An Coiste Iniúchta</w:t>
      </w:r>
    </w:p>
    <w:p w14:paraId="05306D7F" w14:textId="77777777" w:rsidR="00EE061F" w:rsidRPr="000E6F67" w:rsidRDefault="00EE061F" w:rsidP="00282963">
      <w:pPr>
        <w:rPr>
          <w:lang w:val="ga-IE"/>
        </w:rPr>
      </w:pPr>
      <w:r w:rsidRPr="000E6F67">
        <w:rPr>
          <w:lang w:val="ga-IE"/>
        </w:rPr>
        <w:t>Donal Lawlor (Cathaoirleach)</w:t>
      </w:r>
      <w:r w:rsidR="00282963" w:rsidRPr="000E6F67">
        <w:rPr>
          <w:lang w:val="ga-IE"/>
        </w:rPr>
        <w:br/>
      </w:r>
      <w:r w:rsidRPr="000E6F67">
        <w:rPr>
          <w:noProof/>
          <w:lang w:val="ga-IE"/>
        </w:rPr>
        <w:t>Robert Cashell</w:t>
      </w:r>
      <w:r w:rsidR="00282963" w:rsidRPr="000E6F67">
        <w:rPr>
          <w:lang w:val="ga-IE"/>
        </w:rPr>
        <w:br/>
      </w:r>
      <w:r w:rsidRPr="000E6F67">
        <w:rPr>
          <w:noProof/>
          <w:lang w:val="ga-IE"/>
        </w:rPr>
        <w:t>Frank Cunneen</w:t>
      </w:r>
      <w:r w:rsidR="00282963" w:rsidRPr="000E6F67">
        <w:rPr>
          <w:lang w:val="ga-IE"/>
        </w:rPr>
        <w:br/>
      </w:r>
      <w:r w:rsidRPr="000E6F67">
        <w:rPr>
          <w:noProof/>
          <w:lang w:val="ga-IE"/>
        </w:rPr>
        <w:t>Brian Duffy</w:t>
      </w:r>
      <w:r w:rsidR="00282963" w:rsidRPr="000E6F67">
        <w:rPr>
          <w:lang w:val="ga-IE"/>
        </w:rPr>
        <w:br/>
      </w:r>
      <w:r w:rsidRPr="000E6F67">
        <w:rPr>
          <w:lang w:val="ga-IE"/>
        </w:rPr>
        <w:t>Linda Grealy (scor sí i mí Mheán Fómhair 2010)</w:t>
      </w:r>
      <w:r w:rsidR="00282963" w:rsidRPr="000E6F67">
        <w:rPr>
          <w:lang w:val="ga-IE"/>
        </w:rPr>
        <w:br/>
      </w:r>
      <w:r w:rsidRPr="000E6F67">
        <w:rPr>
          <w:noProof/>
          <w:lang w:val="ga-IE"/>
        </w:rPr>
        <w:t>Des Kenny</w:t>
      </w:r>
    </w:p>
    <w:p w14:paraId="2DE54DA5" w14:textId="77777777" w:rsidR="00EE061F" w:rsidRPr="000E6F67" w:rsidRDefault="00EE061F" w:rsidP="00282963">
      <w:pPr>
        <w:pStyle w:val="Heading3"/>
        <w:rPr>
          <w:lang w:val="ga-IE"/>
        </w:rPr>
      </w:pPr>
      <w:r w:rsidRPr="000E6F67">
        <w:rPr>
          <w:lang w:val="ga-IE"/>
        </w:rPr>
        <w:t>An Coiste Airgeadais</w:t>
      </w:r>
    </w:p>
    <w:p w14:paraId="50E088BC" w14:textId="77777777" w:rsidR="00EE061F" w:rsidRPr="000E6F67" w:rsidRDefault="00EE061F" w:rsidP="00282963">
      <w:pPr>
        <w:rPr>
          <w:lang w:val="ga-IE"/>
        </w:rPr>
      </w:pPr>
      <w:r w:rsidRPr="000E6F67">
        <w:rPr>
          <w:lang w:val="ga-IE"/>
        </w:rPr>
        <w:t>Frank Cunneen (Cathaoirleach)</w:t>
      </w:r>
      <w:r w:rsidR="00282963" w:rsidRPr="000E6F67">
        <w:rPr>
          <w:lang w:val="ga-IE"/>
        </w:rPr>
        <w:br/>
      </w:r>
      <w:r w:rsidRPr="000E6F67">
        <w:rPr>
          <w:noProof/>
          <w:lang w:val="ga-IE"/>
        </w:rPr>
        <w:t>Caroline Burrell</w:t>
      </w:r>
      <w:r w:rsidR="00282963" w:rsidRPr="000E6F67">
        <w:rPr>
          <w:lang w:val="ga-IE"/>
        </w:rPr>
        <w:br/>
      </w:r>
      <w:r w:rsidRPr="000E6F67">
        <w:rPr>
          <w:noProof/>
          <w:lang w:val="ga-IE"/>
        </w:rPr>
        <w:t>David Joyce</w:t>
      </w:r>
      <w:r w:rsidR="00282963" w:rsidRPr="000E6F67">
        <w:rPr>
          <w:lang w:val="ga-IE"/>
        </w:rPr>
        <w:br/>
      </w:r>
      <w:r w:rsidRPr="000E6F67">
        <w:rPr>
          <w:noProof/>
          <w:lang w:val="ga-IE"/>
        </w:rPr>
        <w:t>Des Kenny</w:t>
      </w:r>
      <w:r w:rsidR="00282963" w:rsidRPr="000E6F67">
        <w:rPr>
          <w:lang w:val="ga-IE"/>
        </w:rPr>
        <w:br/>
      </w:r>
      <w:r w:rsidRPr="000E6F67">
        <w:rPr>
          <w:noProof/>
          <w:lang w:val="ga-IE"/>
        </w:rPr>
        <w:t>David Scott</w:t>
      </w:r>
    </w:p>
    <w:p w14:paraId="50EA6D50" w14:textId="77777777" w:rsidR="00EE061F" w:rsidRPr="000E6F67" w:rsidRDefault="00EE061F" w:rsidP="00282963">
      <w:pPr>
        <w:pStyle w:val="Heading3"/>
        <w:rPr>
          <w:lang w:val="ga-IE"/>
        </w:rPr>
      </w:pPr>
      <w:r w:rsidRPr="000E6F67">
        <w:rPr>
          <w:lang w:val="ga-IE"/>
        </w:rPr>
        <w:t>Fo-Choiste na Straitéise Náisiúnta Míchumais</w:t>
      </w:r>
    </w:p>
    <w:p w14:paraId="4C7067CF" w14:textId="77777777" w:rsidR="00EE061F" w:rsidRPr="000E6F67" w:rsidRDefault="00EE061F" w:rsidP="00282963">
      <w:pPr>
        <w:rPr>
          <w:rFonts w:ascii="Helv" w:hAnsi="Helv"/>
          <w:lang w:val="ga-IE"/>
        </w:rPr>
      </w:pPr>
      <w:r w:rsidRPr="000E6F67">
        <w:rPr>
          <w:lang w:val="ga-IE"/>
        </w:rPr>
        <w:t>Shane Hogan (Cathaoirleach)</w:t>
      </w:r>
      <w:r w:rsidR="00282963" w:rsidRPr="000E6F67">
        <w:rPr>
          <w:lang w:val="ga-IE"/>
        </w:rPr>
        <w:br/>
      </w:r>
      <w:r w:rsidRPr="000E6F67">
        <w:rPr>
          <w:rFonts w:ascii="Helv" w:hAnsi="Helv"/>
          <w:noProof/>
          <w:lang w:val="ga-IE"/>
        </w:rPr>
        <w:t>Tara Cunningham</w:t>
      </w:r>
      <w:r w:rsidRPr="000E6F67">
        <w:rPr>
          <w:rFonts w:ascii="Helv" w:hAnsi="Helv"/>
          <w:lang w:val="ga-IE"/>
        </w:rPr>
        <w:t xml:space="preserve"> </w:t>
      </w:r>
      <w:r w:rsidR="00282963" w:rsidRPr="000E6F67">
        <w:rPr>
          <w:rFonts w:ascii="Helv" w:hAnsi="Helv"/>
          <w:lang w:val="ga-IE"/>
        </w:rPr>
        <w:br/>
      </w:r>
      <w:r w:rsidRPr="000E6F67">
        <w:rPr>
          <w:rFonts w:ascii="Helv" w:hAnsi="Helv"/>
          <w:lang w:val="ga-IE"/>
        </w:rPr>
        <w:t>Colm Desmond (scor sé Mí na Nollag 2010)</w:t>
      </w:r>
      <w:r w:rsidR="00282963" w:rsidRPr="000E6F67">
        <w:rPr>
          <w:rFonts w:ascii="Helv" w:hAnsi="Helv"/>
          <w:lang w:val="ga-IE"/>
        </w:rPr>
        <w:br/>
      </w:r>
      <w:r w:rsidRPr="000E6F67">
        <w:rPr>
          <w:rFonts w:ascii="Helv" w:hAnsi="Helv"/>
          <w:noProof/>
          <w:lang w:val="ga-IE"/>
        </w:rPr>
        <w:t>David Joyce</w:t>
      </w:r>
      <w:r w:rsidRPr="000E6F67">
        <w:rPr>
          <w:rFonts w:ascii="Helv" w:hAnsi="Helv"/>
          <w:lang w:val="ga-IE"/>
        </w:rPr>
        <w:t xml:space="preserve"> </w:t>
      </w:r>
      <w:r w:rsidR="00282963" w:rsidRPr="000E6F67">
        <w:rPr>
          <w:rFonts w:ascii="Helv" w:hAnsi="Helv"/>
          <w:lang w:val="ga-IE"/>
        </w:rPr>
        <w:br/>
      </w:r>
      <w:r w:rsidRPr="000E6F67">
        <w:rPr>
          <w:rFonts w:ascii="Helv" w:hAnsi="Helv"/>
          <w:noProof/>
          <w:lang w:val="ga-IE"/>
        </w:rPr>
        <w:t>Mary Lavelle</w:t>
      </w:r>
      <w:r w:rsidR="00282963" w:rsidRPr="000E6F67">
        <w:rPr>
          <w:rFonts w:ascii="Helv" w:hAnsi="Helv"/>
          <w:lang w:val="ga-IE"/>
        </w:rPr>
        <w:br/>
      </w:r>
      <w:r w:rsidRPr="000E6F67">
        <w:rPr>
          <w:rFonts w:ascii="Helv" w:hAnsi="Helv"/>
          <w:noProof/>
          <w:lang w:val="ga-IE"/>
        </w:rPr>
        <w:t>Joanne McCarthy</w:t>
      </w:r>
      <w:r w:rsidRPr="000E6F67">
        <w:rPr>
          <w:rFonts w:ascii="Helv" w:hAnsi="Helv"/>
          <w:lang w:val="ga-IE"/>
        </w:rPr>
        <w:t xml:space="preserve"> </w:t>
      </w:r>
    </w:p>
    <w:p w14:paraId="0F4B508F" w14:textId="77777777" w:rsidR="00EE061F" w:rsidRPr="000E6F67" w:rsidRDefault="00EE061F" w:rsidP="00282963">
      <w:pPr>
        <w:pStyle w:val="Heading2"/>
        <w:rPr>
          <w:lang w:val="ga-IE"/>
        </w:rPr>
      </w:pPr>
      <w:bookmarkStart w:id="779" w:name="_Toc299362647"/>
      <w:bookmarkStart w:id="780" w:name="_Toc300742251"/>
      <w:bookmarkStart w:id="781" w:name="_Toc300743003"/>
      <w:bookmarkStart w:id="782" w:name="_Toc300744362"/>
      <w:r w:rsidRPr="000E6F67">
        <w:rPr>
          <w:lang w:val="ga-IE"/>
        </w:rPr>
        <w:t>Coistí Eile</w:t>
      </w:r>
      <w:bookmarkEnd w:id="779"/>
      <w:bookmarkEnd w:id="780"/>
      <w:bookmarkEnd w:id="781"/>
      <w:bookmarkEnd w:id="782"/>
    </w:p>
    <w:p w14:paraId="575E480D" w14:textId="77777777" w:rsidR="00EE061F" w:rsidRPr="000E6F67" w:rsidRDefault="00EE061F" w:rsidP="00282963">
      <w:pPr>
        <w:pStyle w:val="Heading3"/>
        <w:rPr>
          <w:lang w:val="ga-IE"/>
        </w:rPr>
      </w:pPr>
      <w:r w:rsidRPr="000E6F67">
        <w:rPr>
          <w:lang w:val="ga-IE"/>
        </w:rPr>
        <w:t xml:space="preserve">Bord Faofa na nGradam Sárchleachtas trí Inrochtaineacht </w:t>
      </w:r>
    </w:p>
    <w:p w14:paraId="56FF0D36" w14:textId="77777777" w:rsidR="00EE061F" w:rsidRPr="000E6F67" w:rsidRDefault="00EE061F" w:rsidP="00282963">
      <w:pPr>
        <w:rPr>
          <w:lang w:val="ga-IE"/>
        </w:rPr>
      </w:pPr>
      <w:r w:rsidRPr="000E6F67">
        <w:rPr>
          <w:lang w:val="ga-IE"/>
        </w:rPr>
        <w:t>James McClean (Cathaoirleach)</w:t>
      </w:r>
      <w:r w:rsidR="00282963" w:rsidRPr="000E6F67">
        <w:rPr>
          <w:lang w:val="ga-IE"/>
        </w:rPr>
        <w:br/>
      </w:r>
      <w:r w:rsidRPr="000E6F67">
        <w:rPr>
          <w:noProof/>
          <w:lang w:val="ga-IE"/>
        </w:rPr>
        <w:t>Alexis Donnelly</w:t>
      </w:r>
      <w:r w:rsidR="00282963" w:rsidRPr="000E6F67">
        <w:rPr>
          <w:lang w:val="ga-IE"/>
        </w:rPr>
        <w:br/>
      </w:r>
      <w:r w:rsidRPr="000E6F67">
        <w:rPr>
          <w:noProof/>
          <w:lang w:val="ga-IE"/>
        </w:rPr>
        <w:t>Chrissie Keane</w:t>
      </w:r>
      <w:r w:rsidRPr="000E6F67">
        <w:rPr>
          <w:lang w:val="ga-IE"/>
        </w:rPr>
        <w:t xml:space="preserve"> </w:t>
      </w:r>
      <w:r w:rsidR="00282963" w:rsidRPr="000E6F67">
        <w:rPr>
          <w:lang w:val="ga-IE"/>
        </w:rPr>
        <w:br/>
      </w:r>
      <w:r w:rsidRPr="000E6F67">
        <w:rPr>
          <w:noProof/>
          <w:lang w:val="ga-IE"/>
        </w:rPr>
        <w:t>Mícheál McDonnell</w:t>
      </w:r>
      <w:r w:rsidRPr="000E6F67">
        <w:rPr>
          <w:lang w:val="ga-IE"/>
        </w:rPr>
        <w:t xml:space="preserve"> </w:t>
      </w:r>
      <w:r w:rsidR="00282963" w:rsidRPr="000E6F67">
        <w:rPr>
          <w:lang w:val="ga-IE"/>
        </w:rPr>
        <w:br/>
      </w:r>
      <w:r w:rsidRPr="000E6F67">
        <w:rPr>
          <w:noProof/>
          <w:lang w:val="ga-IE"/>
        </w:rPr>
        <w:t>Barry McMullen</w:t>
      </w:r>
      <w:r w:rsidRPr="000E6F67">
        <w:rPr>
          <w:lang w:val="ga-IE"/>
        </w:rPr>
        <w:t xml:space="preserve"> </w:t>
      </w:r>
      <w:r w:rsidR="00282963" w:rsidRPr="000E6F67">
        <w:rPr>
          <w:lang w:val="ga-IE"/>
        </w:rPr>
        <w:br/>
      </w:r>
      <w:r w:rsidR="00282963" w:rsidRPr="000E6F67">
        <w:rPr>
          <w:noProof/>
          <w:lang w:val="ga-IE"/>
        </w:rPr>
        <w:t>L</w:t>
      </w:r>
      <w:r w:rsidRPr="000E6F67">
        <w:rPr>
          <w:noProof/>
          <w:lang w:val="ga-IE"/>
        </w:rPr>
        <w:t>orna Mulvihill</w:t>
      </w:r>
      <w:r w:rsidRPr="000E6F67">
        <w:rPr>
          <w:lang w:val="ga-IE"/>
        </w:rPr>
        <w:t xml:space="preserve"> </w:t>
      </w:r>
      <w:r w:rsidR="00282963" w:rsidRPr="000E6F67">
        <w:rPr>
          <w:lang w:val="ga-IE"/>
        </w:rPr>
        <w:br/>
      </w:r>
      <w:r w:rsidRPr="000E6F67">
        <w:rPr>
          <w:noProof/>
          <w:lang w:val="ga-IE"/>
        </w:rPr>
        <w:t>Fionnuala Rogerson</w:t>
      </w:r>
      <w:r w:rsidRPr="000E6F67">
        <w:rPr>
          <w:lang w:val="ga-IE"/>
        </w:rPr>
        <w:t xml:space="preserve"> </w:t>
      </w:r>
      <w:r w:rsidR="00282963" w:rsidRPr="000E6F67">
        <w:rPr>
          <w:lang w:val="ga-IE"/>
        </w:rPr>
        <w:br/>
      </w:r>
      <w:r w:rsidRPr="000E6F67">
        <w:rPr>
          <w:noProof/>
          <w:lang w:val="ga-IE"/>
        </w:rPr>
        <w:t>Angela Rolfe</w:t>
      </w:r>
      <w:r w:rsidRPr="000E6F67">
        <w:rPr>
          <w:lang w:val="ga-IE"/>
        </w:rPr>
        <w:t xml:space="preserve"> </w:t>
      </w:r>
      <w:r w:rsidR="00282963" w:rsidRPr="000E6F67">
        <w:rPr>
          <w:lang w:val="ga-IE"/>
        </w:rPr>
        <w:br/>
      </w:r>
      <w:r w:rsidRPr="000E6F67">
        <w:rPr>
          <w:noProof/>
          <w:lang w:val="ga-IE"/>
        </w:rPr>
        <w:t>Beverly Webster</w:t>
      </w:r>
      <w:r w:rsidR="00282963" w:rsidRPr="000E6F67">
        <w:rPr>
          <w:lang w:val="ga-IE"/>
        </w:rPr>
        <w:t xml:space="preserve"> </w:t>
      </w:r>
      <w:r w:rsidR="00282963" w:rsidRPr="000E6F67">
        <w:rPr>
          <w:lang w:val="ga-IE"/>
        </w:rPr>
        <w:br/>
      </w:r>
      <w:r w:rsidRPr="000E6F67">
        <w:rPr>
          <w:noProof/>
          <w:lang w:val="ga-IE"/>
        </w:rPr>
        <w:t>John Wickham</w:t>
      </w:r>
    </w:p>
    <w:p w14:paraId="11AABF70" w14:textId="77777777" w:rsidR="00EE061F" w:rsidRPr="000E6F67" w:rsidRDefault="00EE061F" w:rsidP="00397C6B">
      <w:pPr>
        <w:pStyle w:val="Heading1"/>
        <w:rPr>
          <w:lang w:val="ga-IE"/>
        </w:rPr>
      </w:pPr>
      <w:r w:rsidRPr="000E6F67">
        <w:rPr>
          <w:lang w:val="ga-IE"/>
        </w:rPr>
        <w:br w:type="page"/>
      </w:r>
      <w:bookmarkStart w:id="783" w:name="_Toc299362004"/>
      <w:bookmarkStart w:id="784" w:name="_Toc299362508"/>
      <w:bookmarkStart w:id="785" w:name="_Toc299362648"/>
      <w:bookmarkStart w:id="786" w:name="_Toc300741762"/>
      <w:bookmarkStart w:id="787" w:name="_Toc300742252"/>
      <w:bookmarkStart w:id="788" w:name="_Toc300743004"/>
      <w:bookmarkStart w:id="789" w:name="_Toc300744363"/>
      <w:bookmarkStart w:id="790" w:name="_Toc304371236"/>
      <w:bookmarkStart w:id="791" w:name="_Toc304381952"/>
      <w:r w:rsidRPr="000E6F67">
        <w:rPr>
          <w:lang w:val="ga-IE"/>
        </w:rPr>
        <w:lastRenderedPageBreak/>
        <w:t xml:space="preserve">Aguisín </w:t>
      </w:r>
      <w:r w:rsidR="00282963" w:rsidRPr="000E6F67">
        <w:rPr>
          <w:lang w:val="ga-IE"/>
        </w:rPr>
        <w:t>2</w:t>
      </w:r>
      <w:bookmarkEnd w:id="783"/>
      <w:bookmarkEnd w:id="784"/>
      <w:bookmarkEnd w:id="785"/>
      <w:r w:rsidR="00397C6B">
        <w:rPr>
          <w:lang w:val="ga-IE"/>
        </w:rPr>
        <w:t xml:space="preserve">: </w:t>
      </w:r>
      <w:bookmarkStart w:id="792" w:name="_Toc299362649"/>
      <w:r w:rsidRPr="000E6F67">
        <w:rPr>
          <w:lang w:val="ga-IE"/>
        </w:rPr>
        <w:t>Ionadaithe ar chomhlachtaí seachtracha in 2010</w:t>
      </w:r>
      <w:bookmarkEnd w:id="786"/>
      <w:bookmarkEnd w:id="787"/>
      <w:bookmarkEnd w:id="788"/>
      <w:bookmarkEnd w:id="789"/>
      <w:bookmarkEnd w:id="790"/>
      <w:bookmarkEnd w:id="791"/>
      <w:bookmarkEnd w:id="792"/>
    </w:p>
    <w:p w14:paraId="5E7EF7F7" w14:textId="77777777" w:rsidR="00EE061F" w:rsidRPr="000E6F67" w:rsidRDefault="00EE061F" w:rsidP="00282963">
      <w:pPr>
        <w:pStyle w:val="Heading3"/>
        <w:rPr>
          <w:lang w:val="ga-IE"/>
        </w:rPr>
      </w:pPr>
      <w:r w:rsidRPr="000E6F67">
        <w:rPr>
          <w:lang w:val="ga-IE"/>
        </w:rPr>
        <w:t>Bus Éireann</w:t>
      </w:r>
    </w:p>
    <w:p w14:paraId="47FB951F" w14:textId="77777777" w:rsidR="00EE061F" w:rsidRPr="000E6F67" w:rsidRDefault="00EE061F" w:rsidP="00282963">
      <w:pPr>
        <w:pStyle w:val="ListBullet"/>
        <w:rPr>
          <w:lang w:val="ga-IE"/>
        </w:rPr>
      </w:pPr>
      <w:r w:rsidRPr="000E6F67">
        <w:rPr>
          <w:lang w:val="ga-IE"/>
        </w:rPr>
        <w:t>Grúpa Úsáideoirí Míchumais</w:t>
      </w:r>
    </w:p>
    <w:p w14:paraId="1994B0AA" w14:textId="77777777" w:rsidR="00EE061F" w:rsidRPr="000E6F67" w:rsidRDefault="00EE061F" w:rsidP="00282963">
      <w:pPr>
        <w:pStyle w:val="Heading3"/>
        <w:rPr>
          <w:lang w:val="ga-IE"/>
        </w:rPr>
      </w:pPr>
      <w:r w:rsidRPr="000E6F67">
        <w:rPr>
          <w:lang w:val="ga-IE"/>
        </w:rPr>
        <w:t xml:space="preserve">An Coimisiún um Rialáil Cumarsáide </w:t>
      </w:r>
    </w:p>
    <w:p w14:paraId="784A1A88" w14:textId="77777777" w:rsidR="00EE061F" w:rsidRPr="000E6F67" w:rsidRDefault="00EE061F" w:rsidP="00282963">
      <w:pPr>
        <w:pStyle w:val="ListBullet"/>
        <w:rPr>
          <w:lang w:val="ga-IE"/>
        </w:rPr>
      </w:pPr>
      <w:r w:rsidRPr="000E6F67">
        <w:rPr>
          <w:lang w:val="ga-IE"/>
        </w:rPr>
        <w:t>Painéal Tomhaltóirí</w:t>
      </w:r>
    </w:p>
    <w:p w14:paraId="4DE8DD20" w14:textId="77777777" w:rsidR="00EE061F" w:rsidRPr="000E6F67" w:rsidRDefault="00EE061F" w:rsidP="00282963">
      <w:pPr>
        <w:pStyle w:val="ListBullet"/>
        <w:rPr>
          <w:lang w:val="ga-IE"/>
        </w:rPr>
      </w:pPr>
      <w:r w:rsidRPr="000E6F67">
        <w:rPr>
          <w:lang w:val="ga-IE"/>
        </w:rPr>
        <w:t>Fóram Tionscail ar Sheirbhísí do Dhaoine faoi Míchumas</w:t>
      </w:r>
    </w:p>
    <w:p w14:paraId="7977E911" w14:textId="77777777" w:rsidR="00EE061F" w:rsidRPr="000E6F67" w:rsidRDefault="00EE061F" w:rsidP="00282963">
      <w:pPr>
        <w:pStyle w:val="Heading3"/>
        <w:rPr>
          <w:lang w:val="ga-IE"/>
        </w:rPr>
      </w:pPr>
      <w:r w:rsidRPr="000E6F67">
        <w:rPr>
          <w:lang w:val="ga-IE"/>
        </w:rPr>
        <w:t>An Coimisiún um Rialáil Tacsaithe</w:t>
      </w:r>
    </w:p>
    <w:p w14:paraId="08352638" w14:textId="77777777" w:rsidR="00EE061F" w:rsidRPr="000E6F67" w:rsidRDefault="00EE061F" w:rsidP="00EE061F">
      <w:pPr>
        <w:pStyle w:val="ListBullet"/>
        <w:rPr>
          <w:lang w:val="ga-IE"/>
        </w:rPr>
      </w:pPr>
      <w:r w:rsidRPr="000E6F67">
        <w:rPr>
          <w:lang w:val="ga-IE"/>
        </w:rPr>
        <w:t>An Chomhairle Comhairleach Tacsaithe</w:t>
      </w:r>
    </w:p>
    <w:p w14:paraId="7A07DB54" w14:textId="77777777" w:rsidR="00EE061F" w:rsidRPr="000E6F67" w:rsidRDefault="00EE061F" w:rsidP="00282963">
      <w:pPr>
        <w:pStyle w:val="Heading3"/>
        <w:rPr>
          <w:lang w:val="ga-IE"/>
        </w:rPr>
      </w:pPr>
      <w:r w:rsidRPr="000E6F67">
        <w:rPr>
          <w:lang w:val="ga-IE"/>
        </w:rPr>
        <w:t>An Roinn Cumarsáide, Fuinnimh agus Acmhainní Nádúrtha</w:t>
      </w:r>
    </w:p>
    <w:p w14:paraId="1A760D12" w14:textId="77777777" w:rsidR="00EE061F" w:rsidRPr="000E6F67" w:rsidRDefault="00EE061F" w:rsidP="00282963">
      <w:pPr>
        <w:pStyle w:val="ListBullet"/>
        <w:rPr>
          <w:lang w:val="ga-IE"/>
        </w:rPr>
      </w:pPr>
      <w:r w:rsidRPr="000E6F67">
        <w:rPr>
          <w:lang w:val="ga-IE"/>
        </w:rPr>
        <w:t>Coiste Monatóireachta faoin bPlean Earnálach agus Chuid 5</w:t>
      </w:r>
    </w:p>
    <w:p w14:paraId="3DE02037" w14:textId="77777777" w:rsidR="00EE061F" w:rsidRPr="000E6F67" w:rsidRDefault="00EE061F" w:rsidP="00282963">
      <w:pPr>
        <w:pStyle w:val="Heading3"/>
        <w:rPr>
          <w:lang w:val="ga-IE"/>
        </w:rPr>
      </w:pPr>
      <w:r w:rsidRPr="000E6F67">
        <w:rPr>
          <w:lang w:val="ga-IE"/>
        </w:rPr>
        <w:t>An Roinn Comhshaoil, Oidhreachta agus Rialtais Áitiúil</w:t>
      </w:r>
    </w:p>
    <w:p w14:paraId="5A40AC0E" w14:textId="77777777" w:rsidR="00EE061F" w:rsidRPr="000E6F67" w:rsidRDefault="00EE061F" w:rsidP="00282963">
      <w:pPr>
        <w:pStyle w:val="ListBullet"/>
        <w:rPr>
          <w:lang w:val="ga-IE"/>
        </w:rPr>
      </w:pPr>
      <w:r w:rsidRPr="000E6F67">
        <w:rPr>
          <w:lang w:val="ga-IE"/>
        </w:rPr>
        <w:t>Coiste Comhairleach Phlean Earnálach an Achta um Míchumas</w:t>
      </w:r>
    </w:p>
    <w:p w14:paraId="7E157943" w14:textId="77777777" w:rsidR="00EE061F" w:rsidRPr="000E6F67" w:rsidRDefault="00EE061F" w:rsidP="00282963">
      <w:pPr>
        <w:pStyle w:val="ListBullet"/>
        <w:rPr>
          <w:lang w:val="ga-IE"/>
        </w:rPr>
      </w:pPr>
      <w:r w:rsidRPr="000E6F67">
        <w:rPr>
          <w:lang w:val="ga-IE"/>
        </w:rPr>
        <w:t>Grúpa Comhairleach Náisiúnta a bhíonn ag forbairt Straitéis Tithíochta do Dhaoine faoi Mhíchumas, agus an foghrúpa Prótacail Meabhairshláinte</w:t>
      </w:r>
    </w:p>
    <w:p w14:paraId="18D9F9ED" w14:textId="77777777" w:rsidR="00EE061F" w:rsidRPr="000E6F67" w:rsidRDefault="00EE061F" w:rsidP="00282963">
      <w:pPr>
        <w:pStyle w:val="Heading3"/>
        <w:rPr>
          <w:lang w:val="ga-IE"/>
        </w:rPr>
      </w:pPr>
      <w:r w:rsidRPr="000E6F67">
        <w:rPr>
          <w:lang w:val="ga-IE"/>
        </w:rPr>
        <w:t>An Roinn Sláinte agus Leanaí</w:t>
      </w:r>
    </w:p>
    <w:p w14:paraId="7D55B2DD" w14:textId="77777777" w:rsidR="00EE061F" w:rsidRPr="000E6F67" w:rsidRDefault="00EE061F" w:rsidP="00282963">
      <w:pPr>
        <w:pStyle w:val="ListBullet"/>
        <w:rPr>
          <w:lang w:val="ga-IE"/>
        </w:rPr>
      </w:pPr>
      <w:r w:rsidRPr="000E6F67">
        <w:rPr>
          <w:lang w:val="ga-IE"/>
        </w:rPr>
        <w:t>Coiste Náisiúnta Comhairleach Míchumais</w:t>
      </w:r>
    </w:p>
    <w:p w14:paraId="5BBBCA36" w14:textId="77777777" w:rsidR="00EE061F" w:rsidRPr="000E6F67" w:rsidRDefault="00EE061F" w:rsidP="00282963">
      <w:pPr>
        <w:pStyle w:val="ListBullet"/>
        <w:rPr>
          <w:lang w:val="ga-IE"/>
        </w:rPr>
      </w:pPr>
      <w:r w:rsidRPr="000E6F67">
        <w:rPr>
          <w:lang w:val="ga-IE"/>
        </w:rPr>
        <w:t>Coiste Náisiúnta Bunachar Sonraí Míchumais Fhisiciúil agus Chéadfach</w:t>
      </w:r>
    </w:p>
    <w:p w14:paraId="4E495242" w14:textId="77777777" w:rsidR="00EE061F" w:rsidRPr="000E6F67" w:rsidRDefault="00EE061F" w:rsidP="00282963">
      <w:pPr>
        <w:pStyle w:val="ListBullet"/>
        <w:rPr>
          <w:lang w:val="ga-IE"/>
        </w:rPr>
      </w:pPr>
      <w:r w:rsidRPr="000E6F67">
        <w:rPr>
          <w:lang w:val="ga-IE"/>
        </w:rPr>
        <w:t>Grúpa Tagartha Polasaí – Athbhreithniú Polasaí agus Luach ar Airgead</w:t>
      </w:r>
    </w:p>
    <w:p w14:paraId="6DE5833E" w14:textId="77777777" w:rsidR="00EE061F" w:rsidRPr="000E6F67" w:rsidRDefault="00EE061F" w:rsidP="00282963">
      <w:pPr>
        <w:pStyle w:val="ListBullet"/>
        <w:rPr>
          <w:lang w:val="ga-IE"/>
        </w:rPr>
      </w:pPr>
      <w:r w:rsidRPr="000E6F67">
        <w:rPr>
          <w:lang w:val="ga-IE"/>
        </w:rPr>
        <w:t>Fís d’Athrú – Grúpa Monatóireachta Neamhspleách</w:t>
      </w:r>
    </w:p>
    <w:p w14:paraId="18E8D67D" w14:textId="77777777" w:rsidR="00EE061F" w:rsidRPr="000E6F67" w:rsidRDefault="00EE061F" w:rsidP="00282963">
      <w:pPr>
        <w:pStyle w:val="Heading3"/>
        <w:rPr>
          <w:lang w:val="ga-IE"/>
        </w:rPr>
      </w:pPr>
      <w:r w:rsidRPr="000E6F67">
        <w:rPr>
          <w:lang w:val="ga-IE"/>
        </w:rPr>
        <w:t>An Roinn Dlí agus Cirt agus Athchóirithe Dlí</w:t>
      </w:r>
    </w:p>
    <w:p w14:paraId="377941B8" w14:textId="77777777" w:rsidR="00EE061F" w:rsidRPr="000E6F67" w:rsidRDefault="00EE061F" w:rsidP="00282963">
      <w:pPr>
        <w:pStyle w:val="ListBullet"/>
        <w:rPr>
          <w:lang w:val="ga-IE"/>
        </w:rPr>
      </w:pPr>
      <w:r w:rsidRPr="000E6F67">
        <w:rPr>
          <w:lang w:val="ga-IE"/>
        </w:rPr>
        <w:t>An tAcht um Míchumas 2005: Coiste Monatóireachta Chuid 5</w:t>
      </w:r>
    </w:p>
    <w:p w14:paraId="41DAEE2F" w14:textId="77777777" w:rsidR="00EE061F" w:rsidRPr="000E6F67" w:rsidRDefault="00EE061F" w:rsidP="00282963">
      <w:pPr>
        <w:pStyle w:val="ListBullet"/>
        <w:rPr>
          <w:lang w:val="ga-IE"/>
        </w:rPr>
      </w:pPr>
      <w:r w:rsidRPr="000E6F67">
        <w:rPr>
          <w:lang w:val="ga-IE"/>
        </w:rPr>
        <w:t>Coiste Náisiúnta Stiúrtha COSC</w:t>
      </w:r>
    </w:p>
    <w:p w14:paraId="06F05FB6" w14:textId="77777777" w:rsidR="00EE061F" w:rsidRPr="000E6F67" w:rsidRDefault="00EE061F" w:rsidP="00282963">
      <w:pPr>
        <w:pStyle w:val="ListBullet"/>
        <w:rPr>
          <w:lang w:val="ga-IE"/>
        </w:rPr>
      </w:pPr>
      <w:r w:rsidRPr="000E6F67">
        <w:rPr>
          <w:lang w:val="ga-IE"/>
        </w:rPr>
        <w:t>Líonra Foghlama Comhionannais na hEarnála Poiblí</w:t>
      </w:r>
    </w:p>
    <w:p w14:paraId="4E948C67" w14:textId="77777777" w:rsidR="00EE061F" w:rsidRPr="000E6F67" w:rsidRDefault="00EE061F" w:rsidP="00282963">
      <w:pPr>
        <w:pStyle w:val="Heading3"/>
        <w:rPr>
          <w:lang w:val="ga-IE"/>
        </w:rPr>
      </w:pPr>
      <w:r w:rsidRPr="000E6F67">
        <w:rPr>
          <w:lang w:val="ga-IE"/>
        </w:rPr>
        <w:t>An Roinn Coimirce Sóisialaí</w:t>
      </w:r>
    </w:p>
    <w:p w14:paraId="33DB299B" w14:textId="77777777" w:rsidR="00EE061F" w:rsidRPr="000E6F67" w:rsidRDefault="00EE061F" w:rsidP="00282963">
      <w:pPr>
        <w:pStyle w:val="ListBullet"/>
        <w:rPr>
          <w:lang w:val="ga-IE"/>
        </w:rPr>
      </w:pPr>
      <w:r w:rsidRPr="000E6F67">
        <w:rPr>
          <w:lang w:val="ga-IE"/>
        </w:rPr>
        <w:t>Fóram Comhairliúcháin Míchumais</w:t>
      </w:r>
    </w:p>
    <w:p w14:paraId="79D7DF25" w14:textId="77777777" w:rsidR="00EE061F" w:rsidRPr="000E6F67" w:rsidRDefault="00EE061F" w:rsidP="00282963">
      <w:pPr>
        <w:pStyle w:val="ListBullet"/>
        <w:rPr>
          <w:lang w:val="ga-IE"/>
        </w:rPr>
      </w:pPr>
      <w:r w:rsidRPr="000E6F67">
        <w:rPr>
          <w:lang w:val="ga-IE"/>
        </w:rPr>
        <w:t>Foireann Feidhmiúcháin, Tionscadal Gníomhachtúcháin Míchumais</w:t>
      </w:r>
    </w:p>
    <w:p w14:paraId="6998855A" w14:textId="77777777" w:rsidR="00EE061F" w:rsidRPr="000E6F67" w:rsidRDefault="00EE061F" w:rsidP="00282963">
      <w:pPr>
        <w:pStyle w:val="ListBullet"/>
        <w:rPr>
          <w:lang w:val="ga-IE"/>
        </w:rPr>
      </w:pPr>
      <w:r w:rsidRPr="000E6F67">
        <w:rPr>
          <w:lang w:val="ga-IE"/>
        </w:rPr>
        <w:t>Coiste Comhairleach Náisiúnta ar Bhliain na hEorpa chun dul i nGleic le Bochtaineacht agus Eisiamh Sóisialta 2010</w:t>
      </w:r>
    </w:p>
    <w:p w14:paraId="1B40B1BA" w14:textId="77777777" w:rsidR="00EE061F" w:rsidRPr="000E6F67" w:rsidRDefault="00EE061F" w:rsidP="00282963">
      <w:pPr>
        <w:pStyle w:val="Heading3"/>
        <w:rPr>
          <w:lang w:val="ga-IE"/>
        </w:rPr>
      </w:pPr>
      <w:r w:rsidRPr="000E6F67">
        <w:rPr>
          <w:lang w:val="ga-IE"/>
        </w:rPr>
        <w:t>Roinn an Taoisigh</w:t>
      </w:r>
    </w:p>
    <w:p w14:paraId="1BEEF2DB" w14:textId="77777777" w:rsidR="00EE061F" w:rsidRPr="000E6F67" w:rsidRDefault="00EE061F" w:rsidP="00282963">
      <w:pPr>
        <w:pStyle w:val="ListBullet"/>
        <w:rPr>
          <w:lang w:val="ga-IE"/>
        </w:rPr>
      </w:pPr>
      <w:r w:rsidRPr="000E6F67">
        <w:rPr>
          <w:lang w:val="ga-IE"/>
        </w:rPr>
        <w:t>Grúpa Idirchaidrimh Straitéise Sonraí</w:t>
      </w:r>
    </w:p>
    <w:p w14:paraId="38E77D92" w14:textId="77777777" w:rsidR="00EE061F" w:rsidRPr="000E6F67" w:rsidRDefault="00EE061F" w:rsidP="00282963">
      <w:pPr>
        <w:pStyle w:val="ListBullet"/>
        <w:rPr>
          <w:lang w:val="ga-IE"/>
        </w:rPr>
      </w:pPr>
      <w:r w:rsidRPr="000E6F67">
        <w:rPr>
          <w:lang w:val="ga-IE"/>
        </w:rPr>
        <w:t>Grúpa Monatóireachta Geallsealbhóirí na Straitéise Náisiúnta Míchumais</w:t>
      </w:r>
    </w:p>
    <w:p w14:paraId="23C924DB" w14:textId="77777777" w:rsidR="00EE061F" w:rsidRPr="000E6F67" w:rsidRDefault="00EE061F" w:rsidP="00282963">
      <w:pPr>
        <w:pStyle w:val="Heading3"/>
        <w:rPr>
          <w:lang w:val="ga-IE"/>
        </w:rPr>
      </w:pPr>
      <w:r w:rsidRPr="000E6F67">
        <w:rPr>
          <w:lang w:val="ga-IE"/>
        </w:rPr>
        <w:lastRenderedPageBreak/>
        <w:t>An Roinn Iompair</w:t>
      </w:r>
    </w:p>
    <w:p w14:paraId="76979EBA" w14:textId="77777777" w:rsidR="00EE061F" w:rsidRPr="000E6F67" w:rsidRDefault="00EE061F" w:rsidP="00282963">
      <w:pPr>
        <w:pStyle w:val="ListBullet"/>
        <w:rPr>
          <w:lang w:val="ga-IE"/>
        </w:rPr>
      </w:pPr>
      <w:r w:rsidRPr="000E6F67">
        <w:rPr>
          <w:lang w:val="ga-IE"/>
        </w:rPr>
        <w:t>Fóram Iompair Paisinéirí Muirí</w:t>
      </w:r>
    </w:p>
    <w:p w14:paraId="31B1361D" w14:textId="77777777" w:rsidR="00EE061F" w:rsidRPr="000E6F67" w:rsidRDefault="00EE061F" w:rsidP="00282963">
      <w:pPr>
        <w:pStyle w:val="ListBullet"/>
        <w:rPr>
          <w:lang w:val="ga-IE"/>
        </w:rPr>
      </w:pPr>
      <w:r w:rsidRPr="000E6F67">
        <w:rPr>
          <w:lang w:val="ga-IE"/>
        </w:rPr>
        <w:t xml:space="preserve">Coiste Comhairleach Iompair Phoiblí </w:t>
      </w:r>
    </w:p>
    <w:p w14:paraId="7675C9C7" w14:textId="77777777" w:rsidR="00EE061F" w:rsidRPr="000E6F67" w:rsidRDefault="00EE061F" w:rsidP="00282963">
      <w:pPr>
        <w:pStyle w:val="Heading3"/>
        <w:rPr>
          <w:lang w:val="ga-IE"/>
        </w:rPr>
      </w:pPr>
      <w:r w:rsidRPr="000E6F67">
        <w:rPr>
          <w:lang w:val="ga-IE"/>
        </w:rPr>
        <w:t>An Coimisiún Eorpach</w:t>
      </w:r>
    </w:p>
    <w:p w14:paraId="1FCACFEE" w14:textId="77777777" w:rsidR="00EE061F" w:rsidRPr="000E6F67" w:rsidRDefault="00EE061F" w:rsidP="00282963">
      <w:pPr>
        <w:pStyle w:val="ListBullet"/>
        <w:rPr>
          <w:lang w:val="ga-IE"/>
        </w:rPr>
      </w:pPr>
      <w:r w:rsidRPr="000E6F67">
        <w:rPr>
          <w:lang w:val="ga-IE"/>
        </w:rPr>
        <w:t>Grúpa Ardleibhéil ar Mhíchumas (breathnóir)</w:t>
      </w:r>
    </w:p>
    <w:p w14:paraId="4297A205" w14:textId="77777777" w:rsidR="00EE061F" w:rsidRPr="000E6F67" w:rsidRDefault="00EE061F" w:rsidP="00282963">
      <w:pPr>
        <w:pStyle w:val="ListBullet"/>
        <w:rPr>
          <w:lang w:val="ga-IE"/>
        </w:rPr>
      </w:pPr>
      <w:r w:rsidRPr="000E6F67">
        <w:rPr>
          <w:lang w:val="ga-IE"/>
        </w:rPr>
        <w:t>Grúpa Saineolaithe ar Ríomh-Inrochtaineacht</w:t>
      </w:r>
    </w:p>
    <w:p w14:paraId="4E2F7B5F" w14:textId="77777777" w:rsidR="00EE061F" w:rsidRPr="000E6F67" w:rsidRDefault="00EE061F" w:rsidP="00282963">
      <w:pPr>
        <w:pStyle w:val="Heading3"/>
        <w:rPr>
          <w:lang w:val="ga-IE"/>
        </w:rPr>
      </w:pPr>
      <w:r w:rsidRPr="000E6F67">
        <w:rPr>
          <w:lang w:val="ga-IE"/>
        </w:rPr>
        <w:t>Coiste Eorpach ar Chaighdeánú</w:t>
      </w:r>
    </w:p>
    <w:p w14:paraId="0E9CD863" w14:textId="77777777" w:rsidR="00EE061F" w:rsidRPr="000E6F67" w:rsidRDefault="00EE061F" w:rsidP="00282963">
      <w:pPr>
        <w:pStyle w:val="ListBullet"/>
        <w:rPr>
          <w:lang w:val="ga-IE"/>
        </w:rPr>
      </w:pPr>
      <w:r w:rsidRPr="000E6F67">
        <w:rPr>
          <w:lang w:val="ga-IE"/>
        </w:rPr>
        <w:t>CEN/BT/WG Grúpa Inrochtaineacht do Chách chun Treoir 6 CEN  a chur chun cinn</w:t>
      </w:r>
    </w:p>
    <w:p w14:paraId="3225FE85" w14:textId="77777777" w:rsidR="00EE061F" w:rsidRPr="000E6F67" w:rsidRDefault="00EE061F" w:rsidP="00282963">
      <w:pPr>
        <w:pStyle w:val="ListBullet"/>
        <w:rPr>
          <w:lang w:val="ga-IE"/>
        </w:rPr>
      </w:pPr>
      <w:r w:rsidRPr="000E6F67">
        <w:rPr>
          <w:lang w:val="ga-IE"/>
        </w:rPr>
        <w:t>CEN/TC 122/WG1 Antrapaiméadracht</w:t>
      </w:r>
    </w:p>
    <w:p w14:paraId="76A202C3" w14:textId="77777777" w:rsidR="00EE061F" w:rsidRPr="000E6F67" w:rsidRDefault="00EE061F" w:rsidP="00282963">
      <w:pPr>
        <w:pStyle w:val="ListBullet"/>
        <w:rPr>
          <w:lang w:val="ga-IE"/>
        </w:rPr>
      </w:pPr>
      <w:r w:rsidRPr="000E6F67">
        <w:rPr>
          <w:lang w:val="ga-IE"/>
        </w:rPr>
        <w:t>Sainordú CEN 376 – Foireann Tionscadail Eorpach faoi Shraith Straitéisí Inrochtaineachta ICT</w:t>
      </w:r>
    </w:p>
    <w:p w14:paraId="4050F9DC" w14:textId="77777777" w:rsidR="00EE061F" w:rsidRPr="000E6F67" w:rsidRDefault="00EE061F" w:rsidP="00282963">
      <w:pPr>
        <w:pStyle w:val="Heading3"/>
        <w:rPr>
          <w:lang w:val="ga-IE"/>
        </w:rPr>
      </w:pPr>
      <w:r w:rsidRPr="000E6F67">
        <w:rPr>
          <w:lang w:val="ga-IE"/>
        </w:rPr>
        <w:t>FÁS</w:t>
      </w:r>
    </w:p>
    <w:p w14:paraId="7D8E530C" w14:textId="77777777" w:rsidR="00EE061F" w:rsidRPr="000E6F67" w:rsidRDefault="00EE061F" w:rsidP="00282963">
      <w:pPr>
        <w:pStyle w:val="ListBullet"/>
        <w:rPr>
          <w:lang w:val="ga-IE"/>
        </w:rPr>
      </w:pPr>
      <w:r w:rsidRPr="000E6F67">
        <w:rPr>
          <w:lang w:val="ga-IE"/>
        </w:rPr>
        <w:t>Coiste Náisiúnta Comhairleach ar Mhíchumas</w:t>
      </w:r>
    </w:p>
    <w:p w14:paraId="5814E34D" w14:textId="77777777" w:rsidR="00EE061F" w:rsidRPr="000E6F67" w:rsidRDefault="00EE061F" w:rsidP="00282963">
      <w:pPr>
        <w:pStyle w:val="Heading3"/>
        <w:rPr>
          <w:lang w:val="ga-IE"/>
        </w:rPr>
      </w:pPr>
      <w:r w:rsidRPr="000E6F67">
        <w:rPr>
          <w:lang w:val="ga-IE"/>
        </w:rPr>
        <w:t>An Bord Taighde Sláinte</w:t>
      </w:r>
    </w:p>
    <w:p w14:paraId="3460E933" w14:textId="77777777" w:rsidR="00EE061F" w:rsidRPr="000E6F67" w:rsidRDefault="00EE061F" w:rsidP="00282963">
      <w:pPr>
        <w:pStyle w:val="ListBullet"/>
        <w:rPr>
          <w:lang w:val="ga-IE"/>
        </w:rPr>
      </w:pPr>
      <w:r w:rsidRPr="000E6F67">
        <w:rPr>
          <w:lang w:val="ga-IE"/>
        </w:rPr>
        <w:t>Coiste Taighde Seirbhísí Sláinte</w:t>
      </w:r>
    </w:p>
    <w:p w14:paraId="04DF1668" w14:textId="77777777" w:rsidR="00EE061F" w:rsidRPr="000E6F67" w:rsidRDefault="00EE061F" w:rsidP="00282963">
      <w:pPr>
        <w:pStyle w:val="Heading3"/>
        <w:rPr>
          <w:lang w:val="ga-IE"/>
        </w:rPr>
      </w:pPr>
      <w:r w:rsidRPr="000E6F67">
        <w:rPr>
          <w:lang w:val="ga-IE"/>
        </w:rPr>
        <w:t>Feidhmeannacht na Seirbhíse Sláinte</w:t>
      </w:r>
    </w:p>
    <w:p w14:paraId="7D6B5531" w14:textId="77777777" w:rsidR="00EE061F" w:rsidRPr="000E6F67" w:rsidRDefault="00EE061F" w:rsidP="00282963">
      <w:pPr>
        <w:pStyle w:val="ListBullet"/>
        <w:rPr>
          <w:lang w:val="ga-IE"/>
        </w:rPr>
      </w:pPr>
      <w:r w:rsidRPr="000E6F67">
        <w:rPr>
          <w:lang w:val="ga-IE"/>
        </w:rPr>
        <w:t>Grúpa Oibre ar Ionaid Chónaithe</w:t>
      </w:r>
    </w:p>
    <w:p w14:paraId="19B02899" w14:textId="77777777" w:rsidR="00EE061F" w:rsidRPr="000E6F67" w:rsidRDefault="00EE061F" w:rsidP="00282963">
      <w:pPr>
        <w:pStyle w:val="Heading3"/>
        <w:rPr>
          <w:lang w:val="ga-IE"/>
        </w:rPr>
      </w:pPr>
      <w:r w:rsidRPr="000E6F67">
        <w:rPr>
          <w:lang w:val="ga-IE"/>
        </w:rPr>
        <w:t>Eagraíocht Caighdeáin Idirnáisiúnta</w:t>
      </w:r>
    </w:p>
    <w:p w14:paraId="1612295C" w14:textId="77777777" w:rsidR="00EE061F" w:rsidRPr="000E6F67" w:rsidRDefault="00EE061F" w:rsidP="00282963">
      <w:pPr>
        <w:pStyle w:val="ListBullet"/>
        <w:rPr>
          <w:lang w:val="ga-IE"/>
        </w:rPr>
      </w:pPr>
      <w:r w:rsidRPr="000E6F67">
        <w:rPr>
          <w:lang w:val="ga-IE"/>
        </w:rPr>
        <w:t>Coiste Teicniúil ISO TC 159 Grúpa Comhairleach ar Dhearadh Uilíoch</w:t>
      </w:r>
    </w:p>
    <w:p w14:paraId="51C9759A" w14:textId="77777777" w:rsidR="00EE061F" w:rsidRPr="000E6F67" w:rsidRDefault="00EE061F" w:rsidP="00282963">
      <w:pPr>
        <w:pStyle w:val="ListBullet"/>
        <w:rPr>
          <w:lang w:val="ga-IE"/>
        </w:rPr>
      </w:pPr>
      <w:r w:rsidRPr="000E6F67">
        <w:rPr>
          <w:lang w:val="ga-IE"/>
        </w:rPr>
        <w:t>Coiste Teicniúil 173 Táirgí Chuiditheacha do Dhaoine faoi Mhíchumas, Fochoiste 1, cathaoireacha rothaí</w:t>
      </w:r>
    </w:p>
    <w:p w14:paraId="38B18437" w14:textId="77777777" w:rsidR="00EE061F" w:rsidRPr="000E6F67" w:rsidRDefault="00EE061F" w:rsidP="00282963">
      <w:pPr>
        <w:pStyle w:val="ListBullet"/>
        <w:rPr>
          <w:lang w:val="ga-IE"/>
        </w:rPr>
      </w:pPr>
      <w:r w:rsidRPr="000E6F67">
        <w:rPr>
          <w:lang w:val="ga-IE"/>
        </w:rPr>
        <w:t>Coiste Teicniúil ISO TC 159 W2 Eirgeanamaíocht do dhaoine le riachtanais speisialta</w:t>
      </w:r>
    </w:p>
    <w:p w14:paraId="0D2A01B5" w14:textId="77777777" w:rsidR="00EE061F" w:rsidRPr="000E6F67" w:rsidRDefault="00EE061F" w:rsidP="00282963">
      <w:pPr>
        <w:pStyle w:val="Heading3"/>
        <w:rPr>
          <w:lang w:val="ga-IE"/>
        </w:rPr>
      </w:pPr>
      <w:r w:rsidRPr="000E6F67">
        <w:rPr>
          <w:lang w:val="ga-IE"/>
        </w:rPr>
        <w:t>Comhar Ceardchumann na hÉireann</w:t>
      </w:r>
    </w:p>
    <w:p w14:paraId="1F903A6C" w14:textId="77777777" w:rsidR="00EE061F" w:rsidRPr="000E6F67" w:rsidRDefault="00EE061F" w:rsidP="00282963">
      <w:pPr>
        <w:pStyle w:val="ListBullet"/>
        <w:rPr>
          <w:lang w:val="ga-IE"/>
        </w:rPr>
      </w:pPr>
      <w:r w:rsidRPr="000E6F67">
        <w:rPr>
          <w:lang w:val="ga-IE"/>
        </w:rPr>
        <w:t>Grúpa Stiúrthóirí Oibrithe</w:t>
      </w:r>
    </w:p>
    <w:p w14:paraId="7B1E0784" w14:textId="77777777" w:rsidR="00EE061F" w:rsidRPr="000E6F67" w:rsidRDefault="00EE061F" w:rsidP="00282963">
      <w:pPr>
        <w:pStyle w:val="Heading3"/>
        <w:rPr>
          <w:lang w:val="ga-IE"/>
        </w:rPr>
      </w:pPr>
      <w:r w:rsidRPr="000E6F67">
        <w:rPr>
          <w:lang w:val="ga-IE"/>
        </w:rPr>
        <w:t xml:space="preserve">Gradaim Ríomhrialtais na hÉireann </w:t>
      </w:r>
    </w:p>
    <w:p w14:paraId="4A133B54" w14:textId="77777777" w:rsidR="00EE061F" w:rsidRPr="000E6F67" w:rsidRDefault="00EE061F" w:rsidP="00282963">
      <w:pPr>
        <w:pStyle w:val="ListBullet"/>
        <w:rPr>
          <w:lang w:val="ga-IE"/>
        </w:rPr>
      </w:pPr>
      <w:r w:rsidRPr="000E6F67">
        <w:rPr>
          <w:lang w:val="ga-IE"/>
        </w:rPr>
        <w:t>Painéal Moltóireachta</w:t>
      </w:r>
    </w:p>
    <w:p w14:paraId="5ED7E067" w14:textId="77777777" w:rsidR="00EE061F" w:rsidRPr="000E6F67" w:rsidRDefault="00EE061F" w:rsidP="00282963">
      <w:pPr>
        <w:pStyle w:val="Heading3"/>
        <w:rPr>
          <w:lang w:val="ga-IE"/>
        </w:rPr>
      </w:pPr>
      <w:r w:rsidRPr="000E6F67">
        <w:rPr>
          <w:lang w:val="ga-IE"/>
        </w:rPr>
        <w:t xml:space="preserve">Bord Seirbhísí Bainistíochta Rialtais Áitiúil </w:t>
      </w:r>
    </w:p>
    <w:p w14:paraId="1AC8B5EC" w14:textId="77777777" w:rsidR="00EE061F" w:rsidRPr="000E6F67" w:rsidRDefault="00EE061F" w:rsidP="00282963">
      <w:pPr>
        <w:pStyle w:val="ListBullet"/>
        <w:rPr>
          <w:lang w:val="ga-IE"/>
        </w:rPr>
      </w:pPr>
      <w:r w:rsidRPr="000E6F67">
        <w:rPr>
          <w:lang w:val="ga-IE"/>
        </w:rPr>
        <w:t>Grúpa Stiúrtha an Achta um Míchumas, agus na foghrúpaí ar Oiliúint agus ar Chumarsáid; Inrochtaineacht; agus Teastais Inrochtaineachta Míchumais</w:t>
      </w:r>
    </w:p>
    <w:p w14:paraId="20F7E4CB" w14:textId="77777777" w:rsidR="00EE061F" w:rsidRPr="000E6F67" w:rsidRDefault="00EE061F" w:rsidP="00282963">
      <w:pPr>
        <w:pStyle w:val="Heading3"/>
        <w:rPr>
          <w:lang w:val="ga-IE"/>
        </w:rPr>
      </w:pPr>
      <w:r w:rsidRPr="000E6F67">
        <w:rPr>
          <w:lang w:val="ga-IE"/>
        </w:rPr>
        <w:t xml:space="preserve">An Chomhairle Náisiúnta um Oideachas Speisialta </w:t>
      </w:r>
    </w:p>
    <w:p w14:paraId="61111337" w14:textId="77777777" w:rsidR="00EE061F" w:rsidRPr="000E6F67" w:rsidRDefault="00EE061F" w:rsidP="00282963">
      <w:pPr>
        <w:pStyle w:val="ListBullet"/>
        <w:rPr>
          <w:lang w:val="ga-IE"/>
        </w:rPr>
      </w:pPr>
      <w:r w:rsidRPr="000E6F67">
        <w:rPr>
          <w:lang w:val="ga-IE"/>
        </w:rPr>
        <w:t xml:space="preserve">Bord </w:t>
      </w:r>
    </w:p>
    <w:p w14:paraId="671B0C28" w14:textId="77777777" w:rsidR="00EE061F" w:rsidRPr="000E6F67" w:rsidRDefault="00EE061F" w:rsidP="00282963">
      <w:pPr>
        <w:pStyle w:val="ListBullet"/>
        <w:rPr>
          <w:lang w:val="ga-IE"/>
        </w:rPr>
      </w:pPr>
      <w:r w:rsidRPr="000E6F67">
        <w:rPr>
          <w:lang w:val="ga-IE"/>
        </w:rPr>
        <w:t>Coiste Comhairleach ar Thaighde maidir le hOideachas Speisialta</w:t>
      </w:r>
    </w:p>
    <w:p w14:paraId="13AE38F2" w14:textId="77777777" w:rsidR="00EE061F" w:rsidRPr="000E6F67" w:rsidRDefault="00EE061F" w:rsidP="00282963">
      <w:pPr>
        <w:pStyle w:val="Heading3"/>
        <w:rPr>
          <w:lang w:val="ga-IE"/>
        </w:rPr>
      </w:pPr>
      <w:r w:rsidRPr="000E6F67">
        <w:rPr>
          <w:lang w:val="ga-IE"/>
        </w:rPr>
        <w:lastRenderedPageBreak/>
        <w:t xml:space="preserve">An tÚdarás um Chaighdeáin Náisiúnta na hÉireann </w:t>
      </w:r>
    </w:p>
    <w:p w14:paraId="1DCB4A4C" w14:textId="77777777" w:rsidR="00EE061F" w:rsidRPr="000E6F67" w:rsidRDefault="00EE061F" w:rsidP="00282963">
      <w:pPr>
        <w:pStyle w:val="ListBullet"/>
        <w:rPr>
          <w:lang w:val="ga-IE"/>
        </w:rPr>
      </w:pPr>
      <w:r w:rsidRPr="000E6F67">
        <w:rPr>
          <w:lang w:val="ga-IE"/>
        </w:rPr>
        <w:t>Coiste Comhairleach ar Inrochtaineacht do Chách</w:t>
      </w:r>
    </w:p>
    <w:p w14:paraId="1AEE09CC" w14:textId="77777777" w:rsidR="00EE061F" w:rsidRPr="000E6F67" w:rsidRDefault="00EE061F" w:rsidP="00282963">
      <w:pPr>
        <w:pStyle w:val="ListBullet"/>
        <w:rPr>
          <w:lang w:val="ga-IE"/>
        </w:rPr>
      </w:pPr>
      <w:r w:rsidRPr="000E6F67">
        <w:rPr>
          <w:lang w:val="ga-IE"/>
        </w:rPr>
        <w:t>Foghrúpa Saineolaithe Dóiteáin ar Inrochtaineacht do Chách</w:t>
      </w:r>
    </w:p>
    <w:p w14:paraId="38FA95D3" w14:textId="77777777" w:rsidR="00EE061F" w:rsidRPr="000E6F67" w:rsidRDefault="00EE061F" w:rsidP="00282963">
      <w:pPr>
        <w:pStyle w:val="ListBullet"/>
        <w:rPr>
          <w:lang w:val="ga-IE"/>
        </w:rPr>
      </w:pPr>
      <w:r w:rsidRPr="000E6F67">
        <w:rPr>
          <w:lang w:val="ga-IE"/>
        </w:rPr>
        <w:t>Coiste Cathaoireacha Rothaí agus Soghluaisteachta</w:t>
      </w:r>
    </w:p>
    <w:p w14:paraId="00529AC5" w14:textId="77777777" w:rsidR="00EE061F" w:rsidRPr="000E6F67" w:rsidRDefault="00EE061F" w:rsidP="00282963">
      <w:pPr>
        <w:pStyle w:val="ListBullet"/>
        <w:rPr>
          <w:lang w:val="ga-IE"/>
        </w:rPr>
      </w:pPr>
      <w:r w:rsidRPr="000E6F67">
        <w:rPr>
          <w:lang w:val="ga-IE"/>
        </w:rPr>
        <w:t>Fochoiste faoin nGrúpa Oibre Timpeallachta Tógtha ar Tháscairí Dromchlaí Oibre Tadhaill</w:t>
      </w:r>
    </w:p>
    <w:p w14:paraId="7C08263E" w14:textId="77777777" w:rsidR="00EE061F" w:rsidRPr="000E6F67" w:rsidRDefault="00EE061F" w:rsidP="00282963">
      <w:pPr>
        <w:pStyle w:val="Heading3"/>
        <w:rPr>
          <w:lang w:val="ga-IE"/>
        </w:rPr>
      </w:pPr>
      <w:r w:rsidRPr="000E6F67">
        <w:rPr>
          <w:lang w:val="ga-IE"/>
        </w:rPr>
        <w:t>Athshlánúchán Idirnáisiúnta / RI na hEorpa</w:t>
      </w:r>
    </w:p>
    <w:p w14:paraId="5FB01EF2" w14:textId="77777777" w:rsidR="00EE061F" w:rsidRPr="000E6F67" w:rsidRDefault="00EE061F" w:rsidP="00EE061F">
      <w:pPr>
        <w:pStyle w:val="ListBullet"/>
        <w:numPr>
          <w:ilvl w:val="0"/>
          <w:numId w:val="0"/>
        </w:numPr>
        <w:rPr>
          <w:lang w:val="ga-IE"/>
        </w:rPr>
      </w:pPr>
    </w:p>
    <w:p w14:paraId="02A00CE6" w14:textId="77777777" w:rsidR="00EE061F" w:rsidRPr="000E6F67" w:rsidRDefault="00EE061F" w:rsidP="00397C6B">
      <w:pPr>
        <w:pStyle w:val="Heading1"/>
        <w:spacing w:line="300" w:lineRule="exact"/>
        <w:rPr>
          <w:lang w:val="ga-IE"/>
        </w:rPr>
      </w:pPr>
      <w:r w:rsidRPr="000E6F67">
        <w:rPr>
          <w:lang w:val="ga-IE"/>
        </w:rPr>
        <w:br w:type="page"/>
      </w:r>
      <w:bookmarkStart w:id="793" w:name="_Toc299362005"/>
      <w:bookmarkStart w:id="794" w:name="_Toc299362509"/>
      <w:bookmarkStart w:id="795" w:name="_Toc299362650"/>
      <w:bookmarkStart w:id="796" w:name="_Toc300741763"/>
      <w:bookmarkStart w:id="797" w:name="_Toc300742253"/>
      <w:bookmarkStart w:id="798" w:name="_Toc300743005"/>
      <w:bookmarkStart w:id="799" w:name="_Toc300744364"/>
      <w:bookmarkStart w:id="800" w:name="_Toc304371237"/>
      <w:bookmarkStart w:id="801" w:name="_Toc304381953"/>
      <w:r w:rsidRPr="000E6F67">
        <w:rPr>
          <w:lang w:val="ga-IE"/>
        </w:rPr>
        <w:lastRenderedPageBreak/>
        <w:t xml:space="preserve">Aguisín </w:t>
      </w:r>
      <w:r w:rsidR="00282963" w:rsidRPr="000E6F67">
        <w:rPr>
          <w:lang w:val="ga-IE"/>
        </w:rPr>
        <w:t>3</w:t>
      </w:r>
      <w:bookmarkEnd w:id="793"/>
      <w:bookmarkEnd w:id="794"/>
      <w:bookmarkEnd w:id="795"/>
      <w:r w:rsidR="00716D67">
        <w:rPr>
          <w:lang w:val="ga-IE"/>
        </w:rPr>
        <w:t>:</w:t>
      </w:r>
      <w:r w:rsidR="00397C6B">
        <w:rPr>
          <w:lang w:val="ga-IE"/>
        </w:rPr>
        <w:t xml:space="preserve"> </w:t>
      </w:r>
      <w:bookmarkStart w:id="802" w:name="_Toc299362651"/>
      <w:r w:rsidRPr="000E6F67">
        <w:rPr>
          <w:lang w:val="ga-IE"/>
        </w:rPr>
        <w:t>Foilseacháin 2010</w:t>
      </w:r>
      <w:bookmarkEnd w:id="796"/>
      <w:bookmarkEnd w:id="797"/>
      <w:bookmarkEnd w:id="798"/>
      <w:bookmarkEnd w:id="799"/>
      <w:bookmarkEnd w:id="800"/>
      <w:bookmarkEnd w:id="801"/>
      <w:bookmarkEnd w:id="802"/>
    </w:p>
    <w:p w14:paraId="511B8502" w14:textId="77777777" w:rsidR="00EE061F" w:rsidRPr="00AF078C" w:rsidRDefault="00B43F0B" w:rsidP="00282963">
      <w:pPr>
        <w:rPr>
          <w:lang w:val="ga-IE"/>
        </w:rPr>
      </w:pPr>
      <w:r w:rsidRPr="00AF078C">
        <w:rPr>
          <w:noProof/>
        </w:rPr>
        <w:t xml:space="preserve">Tuarascáil Bhliantúil </w:t>
      </w:r>
      <w:r w:rsidR="00EE061F" w:rsidRPr="00AF078C">
        <w:rPr>
          <w:lang w:val="ga-IE"/>
        </w:rPr>
        <w:t>2009</w:t>
      </w:r>
    </w:p>
    <w:p w14:paraId="27CA7313" w14:textId="77777777" w:rsidR="00594740" w:rsidRDefault="00594740" w:rsidP="00594740">
      <w:pPr>
        <w:rPr>
          <w:lang w:val="ga-IE"/>
        </w:rPr>
      </w:pPr>
      <w:r>
        <w:rPr>
          <w:lang/>
        </w:rPr>
        <w:t>Athbhreithniú ar Bhearta Torthaí Idirnáisiúnta i Soláthair Seirbhísí Míchumais. Páipéar faoi Fhorbairtí Comhaimseartha i Seirbhísí Míchumais.</w:t>
      </w:r>
      <w:r>
        <w:rPr>
          <w:rStyle w:val="tw4winMark"/>
          <w:lang w:val="en-US"/>
        </w:rPr>
        <w:t>&lt;0}</w:t>
      </w:r>
    </w:p>
    <w:p w14:paraId="1CAD661D" w14:textId="77777777" w:rsidR="00594740" w:rsidRDefault="00594740" w:rsidP="00594740">
      <w:pPr>
        <w:rPr>
          <w:lang w:val="ga-IE"/>
        </w:rPr>
      </w:pPr>
      <w:r>
        <w:rPr>
          <w:rStyle w:val="tw4winMark"/>
          <w:lang w:val="en-US"/>
        </w:rPr>
        <w:t>{</w:t>
      </w:r>
      <w:r>
        <w:rPr>
          <w:lang/>
        </w:rPr>
        <w:t>Ag Forbairt Seirbhísí do Dhaoine faoi MhíchumasPáipéar sintéise a dhéanann achoimre ar na príomhthaithí foghlama i ndlínsí roghnaithe amhail Deireadh Fómhair 2010. Páipéar faoi Fhorbairtí Comhaimseartha i Seirbhísí Míchumais.</w:t>
      </w:r>
      <w:r>
        <w:rPr>
          <w:rStyle w:val="tw4winMark"/>
          <w:lang w:val="en-US"/>
        </w:rPr>
        <w:t>&lt;0}</w:t>
      </w:r>
    </w:p>
    <w:p w14:paraId="43332194" w14:textId="77777777" w:rsidR="00594740" w:rsidRDefault="00594740" w:rsidP="00594740">
      <w:pPr>
        <w:rPr>
          <w:lang w:val="ga-IE"/>
        </w:rPr>
      </w:pPr>
      <w:r>
        <w:rPr>
          <w:lang/>
        </w:rPr>
        <w:t>Treoirlínte d’Iompar Paisinéirí Muirí Inrochtana.</w:t>
      </w:r>
      <w:r>
        <w:rPr>
          <w:rStyle w:val="tw4winMark"/>
          <w:lang w:val="en-US"/>
        </w:rPr>
        <w:t>&lt;0}</w:t>
      </w:r>
    </w:p>
    <w:p w14:paraId="1B9C09B4" w14:textId="77777777" w:rsidR="00594740" w:rsidRDefault="00594740" w:rsidP="00594740">
      <w:pPr>
        <w:rPr>
          <w:lang w:val="ga-IE"/>
        </w:rPr>
      </w:pPr>
      <w:r>
        <w:rPr>
          <w:lang/>
        </w:rPr>
        <w:t>Seirbhísí Sóisialta Sláinte agus Pearsanta do Dhaoine faoi Mhíchumas in Albain.  Páipéar faoi Fhorbairtí Comhaimseartha i Seirbhísí Míchumais.</w:t>
      </w:r>
      <w:r>
        <w:rPr>
          <w:rStyle w:val="tw4winMark"/>
          <w:lang w:val="en-US"/>
        </w:rPr>
        <w:t>&lt;0}</w:t>
      </w:r>
    </w:p>
    <w:p w14:paraId="4C2CF730" w14:textId="77777777" w:rsidR="00594740" w:rsidRDefault="00594740" w:rsidP="00594740">
      <w:pPr>
        <w:rPr>
          <w:lang/>
        </w:rPr>
      </w:pPr>
      <w:r>
        <w:rPr>
          <w:lang/>
        </w:rPr>
        <w:t>Seirbhísí Sóisialta Sláinte agus Pearsanta do Dhaoine faoi Mhíchumas in Victoria san Astráil. Páipéar faoi Fhorbairtí Comhaimseartha i Seirbhísí Míchumais.</w:t>
      </w:r>
    </w:p>
    <w:p w14:paraId="7413BA23" w14:textId="77777777" w:rsidR="00594740" w:rsidRDefault="00594740" w:rsidP="00594740">
      <w:pPr>
        <w:rPr>
          <w:lang w:val="ga-IE"/>
        </w:rPr>
      </w:pPr>
      <w:r>
        <w:rPr>
          <w:lang/>
        </w:rPr>
        <w:t>Ag Cur an Clár Oibre Míchumais Chun Cinn: Plean Straitéiseach 2010-2012</w:t>
      </w:r>
      <w:r>
        <w:rPr>
          <w:rStyle w:val="tw4winMark"/>
          <w:lang w:val="en-US"/>
        </w:rPr>
        <w:t>&lt;0}</w:t>
      </w:r>
      <w:r>
        <w:rPr>
          <w:lang w:val="ga-IE"/>
        </w:rPr>
        <w:t>.</w:t>
      </w:r>
    </w:p>
    <w:p w14:paraId="33D8B86B" w14:textId="77777777" w:rsidR="00594740" w:rsidRDefault="00594740" w:rsidP="00594740">
      <w:pPr>
        <w:rPr>
          <w:b/>
          <w:lang w:val="ga-IE"/>
        </w:rPr>
      </w:pPr>
      <w:r>
        <w:rPr>
          <w:lang/>
        </w:rPr>
        <w:t xml:space="preserve">Ag Cónaí Leat Féin agus ag Cónaí i bPobal </w:t>
      </w:r>
      <w:r>
        <w:rPr>
          <w:rStyle w:val="tw4winMark"/>
          <w:lang w:val="en-US"/>
        </w:rPr>
        <w:t>&gt;</w:t>
      </w:r>
      <w:r>
        <w:rPr>
          <w:lang/>
        </w:rPr>
        <w:t xml:space="preserve">tuairimí na ndaoine faoi mhíchumas, na dteaghlach agus na foirne líne tosaigh.  </w:t>
      </w:r>
      <w:r>
        <w:rPr>
          <w:rStyle w:val="tw4winMark"/>
          <w:lang w:val="en-US"/>
        </w:rPr>
        <w:t>{&gt;</w:t>
      </w:r>
      <w:r>
        <w:rPr>
          <w:lang/>
        </w:rPr>
        <w:t xml:space="preserve">Tuarascáil Chomhairliúcháin an Ghrúpa Fócais. </w:t>
      </w:r>
      <w:r>
        <w:rPr>
          <w:rStyle w:val="tw4winMark"/>
          <w:lang w:val="en-US"/>
        </w:rPr>
        <w:t>&lt;0}</w:t>
      </w:r>
    </w:p>
    <w:p w14:paraId="1C27A356" w14:textId="77777777" w:rsidR="00594740" w:rsidRDefault="00594740" w:rsidP="00594740">
      <w:pPr>
        <w:rPr>
          <w:b/>
          <w:lang w:val="ga-IE"/>
        </w:rPr>
      </w:pPr>
      <w:r>
        <w:rPr>
          <w:lang/>
        </w:rPr>
        <w:t>Seirbhísí Tacaíochta agus Príomhshrutha Aonair.  Tuairimí na daoine faoi mhíchumas agus na ngeallsealbhóirí eile i leith tograí beartas na Roinne Sláinte agus Leanaí.</w:t>
      </w:r>
      <w:r>
        <w:rPr>
          <w:rStyle w:val="tw4winMark"/>
          <w:lang w:val="en-US"/>
        </w:rPr>
        <w:t>&lt;0}</w:t>
      </w:r>
    </w:p>
    <w:p w14:paraId="37B1D224" w14:textId="77777777" w:rsidR="00594740" w:rsidRDefault="00594740" w:rsidP="00594740">
      <w:pPr>
        <w:rPr>
          <w:lang w:val="ga-IE"/>
        </w:rPr>
      </w:pPr>
      <w:r>
        <w:rPr>
          <w:lang/>
        </w:rPr>
        <w:t>Athbhreithniú Litríochta ar Sholáthar Thacaíocht Chuí agus Inrochtana do Dhaoine faoi Mhíchumas Intleachtúil atá ag dul i nGleic le Toircheas Géirchéime.</w:t>
      </w:r>
      <w:r>
        <w:rPr>
          <w:rStyle w:val="tw4winMark"/>
          <w:lang w:val="en-US"/>
        </w:rPr>
        <w:t>&lt;0}</w:t>
      </w:r>
    </w:p>
    <w:p w14:paraId="3BD775E3" w14:textId="77777777" w:rsidR="00594740" w:rsidRDefault="00594740" w:rsidP="00594740">
      <w:pPr>
        <w:rPr>
          <w:lang w:val="ga-IE"/>
        </w:rPr>
      </w:pPr>
      <w:r>
        <w:rPr>
          <w:lang/>
        </w:rPr>
        <w:t>Samhlacha Soláthair Chónaitheach do Dhaoine faoi Mhíchumais.  Páipéar faoi Fhorbairtí Comhaimseartha i Seirbhísí Míchumais.</w:t>
      </w:r>
      <w:r>
        <w:rPr>
          <w:rStyle w:val="tw4winMark"/>
          <w:lang w:val="en-US"/>
        </w:rPr>
        <w:t>&lt;0}</w:t>
      </w:r>
    </w:p>
    <w:p w14:paraId="53D251E4" w14:textId="77777777" w:rsidR="00594740" w:rsidRDefault="00594740" w:rsidP="00594740">
      <w:pPr>
        <w:rPr>
          <w:lang w:val="ga-IE"/>
        </w:rPr>
      </w:pPr>
      <w:r>
        <w:rPr>
          <w:lang/>
        </w:rPr>
        <w:t>Láidreachtaí agus Laigeachtaí Seirbhísí Sláinte na hÉireann arna maoiniú go Poiblí a chuirtear ar fáil do Mhná faoi Mhíchumais maidir le Toircheas, Breith Clainne agus Luathmháithreachas.</w:t>
      </w:r>
      <w:r>
        <w:rPr>
          <w:rStyle w:val="tw4winMark"/>
          <w:lang w:val="en-US"/>
        </w:rPr>
        <w:t>&lt;0}</w:t>
      </w:r>
    </w:p>
    <w:p w14:paraId="469C7C28" w14:textId="77777777" w:rsidR="00594740" w:rsidRDefault="00594740" w:rsidP="00594740">
      <w:pPr>
        <w:rPr>
          <w:lang w:val="ga-IE"/>
        </w:rPr>
      </w:pPr>
      <w:r>
        <w:rPr>
          <w:lang/>
        </w:rPr>
        <w:t>Mná faoi Mhíchumais  Bacainní agus Éascaitheoirí ó thaobh Rochtain a fháil ar Sheirbhísí i rith Toirchis, Bhreith Clainne agus Luathmháithreachais</w:t>
      </w:r>
      <w:r>
        <w:rPr>
          <w:rStyle w:val="tw4winMark"/>
          <w:lang w:val="en-US"/>
        </w:rPr>
        <w:t xml:space="preserve"> &lt;0}</w:t>
      </w:r>
    </w:p>
    <w:p w14:paraId="7C53ECAF" w14:textId="77777777" w:rsidR="006052A9" w:rsidRDefault="00594740" w:rsidP="006052A9">
      <w:pPr>
        <w:rPr>
          <w:lang/>
        </w:rPr>
      </w:pPr>
      <w:bookmarkStart w:id="803" w:name="_Toc300744365"/>
      <w:r>
        <w:rPr>
          <w:lang/>
        </w:rPr>
        <w:t>Mná faoi Mhíchumais:</w:t>
      </w:r>
      <w:r>
        <w:rPr>
          <w:rStyle w:val="tw4winMark"/>
          <w:lang w:val="en-US"/>
        </w:rPr>
        <w:t>&lt;</w:t>
      </w:r>
      <w:r>
        <w:rPr>
          <w:lang/>
        </w:rPr>
        <w:t xml:space="preserve"> Beartais a Rialaíonn Nósanna Imeachta agus Cleachtais i Soláthar Seirbhísí in Éirinn i rith Toirchis, Bhreith Clainne agus Luathmháithreachais.</w:t>
      </w:r>
      <w:bookmarkStart w:id="804" w:name="_Toc300744366"/>
    </w:p>
    <w:p w14:paraId="3AABF3D4" w14:textId="77777777" w:rsidR="00EE061F" w:rsidRPr="000E6F67" w:rsidRDefault="006052A9" w:rsidP="006052A9">
      <w:pPr>
        <w:pStyle w:val="Heading1"/>
        <w:rPr>
          <w:lang w:val="ga-IE"/>
        </w:rPr>
      </w:pPr>
      <w:r>
        <w:rPr>
          <w:lang/>
        </w:rPr>
        <w:br w:type="page"/>
      </w:r>
      <w:bookmarkStart w:id="805" w:name="_Toc304371238"/>
      <w:bookmarkStart w:id="806" w:name="_Toc304381954"/>
      <w:r w:rsidR="00EE061F" w:rsidRPr="000E6F67">
        <w:rPr>
          <w:lang w:val="ga-IE"/>
        </w:rPr>
        <w:lastRenderedPageBreak/>
        <w:t xml:space="preserve">Aguisín </w:t>
      </w:r>
      <w:r w:rsidR="00282963" w:rsidRPr="000E6F67">
        <w:rPr>
          <w:lang w:val="ga-IE"/>
        </w:rPr>
        <w:t>4</w:t>
      </w:r>
      <w:r w:rsidR="00397C6B">
        <w:rPr>
          <w:lang w:val="ga-IE"/>
        </w:rPr>
        <w:t xml:space="preserve">: </w:t>
      </w:r>
      <w:bookmarkStart w:id="807" w:name="_Toc299362652"/>
      <w:r w:rsidR="00EE061F" w:rsidRPr="000E6F67">
        <w:rPr>
          <w:lang w:val="ga-IE"/>
        </w:rPr>
        <w:t>Páipéir chomhairleach polasaí in 2010</w:t>
      </w:r>
      <w:bookmarkEnd w:id="803"/>
      <w:bookmarkEnd w:id="804"/>
      <w:bookmarkEnd w:id="805"/>
      <w:bookmarkEnd w:id="806"/>
      <w:bookmarkEnd w:id="807"/>
    </w:p>
    <w:p w14:paraId="71B5E866" w14:textId="77777777" w:rsidR="00EE061F" w:rsidRPr="000E6F67" w:rsidRDefault="00EE061F" w:rsidP="00282963">
      <w:pPr>
        <w:pStyle w:val="Heading3"/>
        <w:rPr>
          <w:lang w:val="ga-IE"/>
        </w:rPr>
      </w:pPr>
      <w:r w:rsidRPr="000E6F67">
        <w:rPr>
          <w:lang w:val="ga-IE"/>
        </w:rPr>
        <w:t>Bord Pleanála</w:t>
      </w:r>
    </w:p>
    <w:p w14:paraId="6AA18FD5" w14:textId="77777777" w:rsidR="00EE061F" w:rsidRPr="000E6F67" w:rsidRDefault="00EE061F" w:rsidP="00282963">
      <w:pPr>
        <w:rPr>
          <w:lang w:val="ga-IE"/>
        </w:rPr>
      </w:pPr>
      <w:r w:rsidRPr="000E6F67">
        <w:rPr>
          <w:lang w:val="ga-IE"/>
        </w:rPr>
        <w:t>Ráiteas Straitéise 2011-2013</w:t>
      </w:r>
    </w:p>
    <w:p w14:paraId="5317C51B" w14:textId="77777777" w:rsidR="00EE061F" w:rsidRPr="000E6F67" w:rsidRDefault="00EE061F" w:rsidP="00282963">
      <w:pPr>
        <w:pStyle w:val="Heading3"/>
        <w:rPr>
          <w:lang w:val="ga-IE"/>
        </w:rPr>
      </w:pPr>
      <w:r w:rsidRPr="000E6F67">
        <w:rPr>
          <w:lang w:val="ga-IE"/>
        </w:rPr>
        <w:t>An Phríomh-Oifig Staidrimh</w:t>
      </w:r>
    </w:p>
    <w:p w14:paraId="51F177C5" w14:textId="77777777" w:rsidR="00EE061F" w:rsidRPr="000E6F67" w:rsidRDefault="00EE061F" w:rsidP="00282963">
      <w:pPr>
        <w:rPr>
          <w:lang w:val="ga-IE"/>
        </w:rPr>
      </w:pPr>
      <w:r w:rsidRPr="000E6F67">
        <w:rPr>
          <w:lang w:val="ga-IE"/>
        </w:rPr>
        <w:t>Ráiteas Straitéise 2011-2013</w:t>
      </w:r>
    </w:p>
    <w:p w14:paraId="378CAE0A" w14:textId="77777777" w:rsidR="00EE061F" w:rsidRPr="000E6F67" w:rsidRDefault="00EE061F" w:rsidP="00282963">
      <w:pPr>
        <w:pStyle w:val="Heading3"/>
        <w:rPr>
          <w:lang w:val="ga-IE"/>
        </w:rPr>
      </w:pPr>
      <w:r w:rsidRPr="000E6F67">
        <w:rPr>
          <w:lang w:val="ga-IE"/>
        </w:rPr>
        <w:t>An Coimisiún um Rialáil Fuinnimh</w:t>
      </w:r>
    </w:p>
    <w:p w14:paraId="2AFD7792" w14:textId="77777777" w:rsidR="00EE061F" w:rsidRPr="000E6F67" w:rsidRDefault="00EE061F" w:rsidP="00282963">
      <w:pPr>
        <w:rPr>
          <w:lang w:val="ga-IE"/>
        </w:rPr>
      </w:pPr>
      <w:r w:rsidRPr="000E6F67">
        <w:rPr>
          <w:lang w:val="ga-IE"/>
        </w:rPr>
        <w:t>Athbhreithniú Treorach</w:t>
      </w:r>
    </w:p>
    <w:p w14:paraId="58E0EFE2" w14:textId="77777777" w:rsidR="00EE061F" w:rsidRPr="000E6F67" w:rsidRDefault="00EE061F" w:rsidP="00282963">
      <w:pPr>
        <w:pStyle w:val="Heading3"/>
        <w:rPr>
          <w:lang w:val="ga-IE"/>
        </w:rPr>
      </w:pPr>
      <w:r w:rsidRPr="000E6F67">
        <w:rPr>
          <w:lang w:val="ga-IE"/>
        </w:rPr>
        <w:t>An Coimisiún um Rialáil Cumarsáide</w:t>
      </w:r>
    </w:p>
    <w:p w14:paraId="485F94C2" w14:textId="77777777" w:rsidR="00EE061F" w:rsidRPr="000E6F67" w:rsidRDefault="00EE061F" w:rsidP="00282963">
      <w:pPr>
        <w:rPr>
          <w:b/>
          <w:i/>
          <w:lang w:val="ga-IE"/>
        </w:rPr>
      </w:pPr>
      <w:r w:rsidRPr="000E6F67">
        <w:rPr>
          <w:lang w:val="ga-IE"/>
        </w:rPr>
        <w:t>Soláthar Seirbhísí Teileafónaíochta faoi Oibleagáidí Seirbhíse Uilíoch – ComReg 10/35</w:t>
      </w:r>
    </w:p>
    <w:p w14:paraId="15DAA049" w14:textId="77777777" w:rsidR="00EE061F" w:rsidRPr="000E6F67" w:rsidRDefault="00EE061F" w:rsidP="00282963">
      <w:pPr>
        <w:rPr>
          <w:b/>
          <w:i/>
          <w:lang w:val="ga-IE"/>
        </w:rPr>
      </w:pPr>
      <w:r w:rsidRPr="000E6F67">
        <w:rPr>
          <w:lang w:val="ga-IE"/>
        </w:rPr>
        <w:t>Scóip rialachán Seirbhísí Ráta Príomha – ComReg 10/27</w:t>
      </w:r>
      <w:r w:rsidRPr="000E6F67">
        <w:rPr>
          <w:lang w:val="ga-IE"/>
        </w:rPr>
        <w:br/>
        <w:t>Ráiteas Straitéise – ComReg 10/31</w:t>
      </w:r>
    </w:p>
    <w:p w14:paraId="7F43C0C5" w14:textId="77777777" w:rsidR="00EE061F" w:rsidRPr="000E6F67" w:rsidRDefault="00EE061F" w:rsidP="00282963">
      <w:pPr>
        <w:pStyle w:val="Heading3"/>
        <w:rPr>
          <w:lang w:val="ga-IE"/>
        </w:rPr>
      </w:pPr>
      <w:r w:rsidRPr="000E6F67">
        <w:rPr>
          <w:lang w:val="ga-IE"/>
        </w:rPr>
        <w:t>An Roinn Talmhaíochta, Iascaigh agus Bia</w:t>
      </w:r>
    </w:p>
    <w:p w14:paraId="654744DE" w14:textId="77777777" w:rsidR="00EE061F" w:rsidRPr="000E6F67" w:rsidRDefault="00EE061F" w:rsidP="00282963">
      <w:pPr>
        <w:rPr>
          <w:lang w:val="ga-IE"/>
        </w:rPr>
      </w:pPr>
      <w:r w:rsidRPr="000E6F67">
        <w:rPr>
          <w:lang w:val="ga-IE"/>
        </w:rPr>
        <w:t>Ráiteas Straitéise 2011-2013</w:t>
      </w:r>
    </w:p>
    <w:p w14:paraId="7A29E9DD" w14:textId="77777777" w:rsidR="00EE061F" w:rsidRPr="000E6F67" w:rsidRDefault="00EE061F" w:rsidP="00282963">
      <w:pPr>
        <w:pStyle w:val="Heading3"/>
        <w:rPr>
          <w:lang w:val="ga-IE"/>
        </w:rPr>
      </w:pPr>
      <w:r w:rsidRPr="000E6F67">
        <w:rPr>
          <w:lang w:val="ga-IE"/>
        </w:rPr>
        <w:t>An Roinn Cumarsáide, Fuinnimh agus Acmhainní Nádúrtha</w:t>
      </w:r>
    </w:p>
    <w:p w14:paraId="34FDAEBC" w14:textId="77777777" w:rsidR="00EE061F" w:rsidRPr="000E6F67" w:rsidRDefault="00EE061F" w:rsidP="00282963">
      <w:pPr>
        <w:rPr>
          <w:lang w:val="ga-IE"/>
        </w:rPr>
      </w:pPr>
      <w:r w:rsidRPr="000E6F67">
        <w:rPr>
          <w:lang w:val="ga-IE"/>
        </w:rPr>
        <w:t>Ráiteas Straitéise 2011-2013</w:t>
      </w:r>
    </w:p>
    <w:p w14:paraId="0325280F" w14:textId="77777777" w:rsidR="00EE061F" w:rsidRPr="000E6F67" w:rsidRDefault="00EE061F" w:rsidP="00282963">
      <w:pPr>
        <w:rPr>
          <w:lang w:val="ga-IE"/>
        </w:rPr>
      </w:pPr>
      <w:r w:rsidRPr="000E6F67">
        <w:rPr>
          <w:lang w:val="ga-IE"/>
        </w:rPr>
        <w:t>Comhairliúchán faoi Mholtaí Seirbhísí RTÉ Nua</w:t>
      </w:r>
    </w:p>
    <w:p w14:paraId="437E7F0C" w14:textId="77777777" w:rsidR="00EE061F" w:rsidRPr="000E6F67" w:rsidRDefault="00EE061F" w:rsidP="00282963">
      <w:pPr>
        <w:pStyle w:val="Heading3"/>
        <w:rPr>
          <w:lang w:val="ga-IE"/>
        </w:rPr>
      </w:pPr>
      <w:r w:rsidRPr="000E6F67">
        <w:rPr>
          <w:lang w:val="ga-IE"/>
        </w:rPr>
        <w:t>An Roinn Gnóthaí Pobail, Comhionannais agus Gaeltachta</w:t>
      </w:r>
    </w:p>
    <w:p w14:paraId="66DCC0A8" w14:textId="77777777" w:rsidR="00EE061F" w:rsidRPr="000E6F67" w:rsidRDefault="00EE061F" w:rsidP="00282963">
      <w:pPr>
        <w:rPr>
          <w:lang w:val="ga-IE"/>
        </w:rPr>
      </w:pPr>
      <w:r w:rsidRPr="000E6F67">
        <w:rPr>
          <w:lang w:val="ga-IE"/>
        </w:rPr>
        <w:t>Athbhreithniú ar fheidhmiú an Achta um Míchumas 2005</w:t>
      </w:r>
    </w:p>
    <w:p w14:paraId="3DD7E0F2" w14:textId="77777777" w:rsidR="00EE061F" w:rsidRPr="000E6F67" w:rsidRDefault="00EE061F" w:rsidP="00282963">
      <w:pPr>
        <w:rPr>
          <w:lang w:val="ga-IE"/>
        </w:rPr>
      </w:pPr>
      <w:r w:rsidRPr="000E6F67">
        <w:rPr>
          <w:lang w:val="ga-IE"/>
        </w:rPr>
        <w:t>Ráiteas Straitéise 2011-2013</w:t>
      </w:r>
    </w:p>
    <w:p w14:paraId="1DDD7DAE" w14:textId="77777777" w:rsidR="00EE061F" w:rsidRPr="000E6F67" w:rsidRDefault="00EE061F" w:rsidP="00282963">
      <w:pPr>
        <w:rPr>
          <w:lang w:val="ga-IE"/>
        </w:rPr>
      </w:pPr>
      <w:r w:rsidRPr="000E6F67">
        <w:rPr>
          <w:lang w:val="ga-IE"/>
        </w:rPr>
        <w:t>Comhairle ar Phlépháipéar ar Straitéis Míchumais na hEorpa 2010-2020</w:t>
      </w:r>
    </w:p>
    <w:p w14:paraId="552B46EA" w14:textId="77777777" w:rsidR="00EE061F" w:rsidRPr="000E6F67" w:rsidRDefault="00EE061F" w:rsidP="00282963">
      <w:pPr>
        <w:rPr>
          <w:lang w:val="ga-IE"/>
        </w:rPr>
      </w:pPr>
      <w:r w:rsidRPr="000E6F67">
        <w:rPr>
          <w:lang w:val="ga-IE"/>
        </w:rPr>
        <w:t>Comhairle ar Shainordú Caighdeánaithe chuig CEN, CENELEC, agus ETSI chun ‘Dearadh do Chách’ a chur san áireamh sna tionscnaimh chaighdeánaithe iomchuí</w:t>
      </w:r>
    </w:p>
    <w:p w14:paraId="784C5C84" w14:textId="77777777" w:rsidR="00EE061F" w:rsidRPr="000E6F67" w:rsidRDefault="00EE061F" w:rsidP="00282963">
      <w:pPr>
        <w:pStyle w:val="Heading3"/>
        <w:rPr>
          <w:lang w:val="ga-IE"/>
        </w:rPr>
      </w:pPr>
      <w:r w:rsidRPr="000E6F67">
        <w:rPr>
          <w:lang w:val="ga-IE"/>
        </w:rPr>
        <w:t>An Roinn Cosanta</w:t>
      </w:r>
    </w:p>
    <w:p w14:paraId="2486282B" w14:textId="77777777" w:rsidR="00EE061F" w:rsidRPr="000E6F67" w:rsidRDefault="00EE061F" w:rsidP="00282963">
      <w:pPr>
        <w:rPr>
          <w:lang w:val="ga-IE"/>
        </w:rPr>
      </w:pPr>
      <w:r w:rsidRPr="000E6F67">
        <w:rPr>
          <w:lang w:val="ga-IE"/>
        </w:rPr>
        <w:t>Ráiteas Straitéise 2011-2013</w:t>
      </w:r>
    </w:p>
    <w:p w14:paraId="49BFC8F8" w14:textId="77777777" w:rsidR="00EE061F" w:rsidRPr="000E6F67" w:rsidRDefault="00EE061F" w:rsidP="00282963">
      <w:pPr>
        <w:pStyle w:val="Heading3"/>
        <w:rPr>
          <w:lang w:val="ga-IE"/>
        </w:rPr>
      </w:pPr>
      <w:r w:rsidRPr="000E6F67">
        <w:rPr>
          <w:lang w:val="ga-IE"/>
        </w:rPr>
        <w:t>An Roinn Oideachais agus Scileanna</w:t>
      </w:r>
    </w:p>
    <w:p w14:paraId="5D8DB9A5" w14:textId="77777777" w:rsidR="00EE061F" w:rsidRPr="000E6F67" w:rsidRDefault="00EE061F" w:rsidP="00282963">
      <w:pPr>
        <w:rPr>
          <w:lang w:val="ga-IE"/>
        </w:rPr>
      </w:pPr>
      <w:r w:rsidRPr="000E6F67">
        <w:rPr>
          <w:lang w:val="ga-IE"/>
        </w:rPr>
        <w:t>Ráiteas Straitéise 2011-2013</w:t>
      </w:r>
    </w:p>
    <w:p w14:paraId="2117C9D5" w14:textId="77777777" w:rsidR="00EE061F" w:rsidRPr="000E6F67" w:rsidRDefault="00EE061F" w:rsidP="00282963">
      <w:pPr>
        <w:rPr>
          <w:lang w:val="ga-IE"/>
        </w:rPr>
      </w:pPr>
      <w:r w:rsidRPr="000E6F67">
        <w:rPr>
          <w:lang w:val="ga-IE"/>
        </w:rPr>
        <w:t>NCSE – Athbhreithniú ar Ról Scoileanna agus Ranganna Oideachais Speisialta</w:t>
      </w:r>
    </w:p>
    <w:p w14:paraId="28A6B085" w14:textId="77777777" w:rsidR="00EE061F" w:rsidRPr="000E6F67" w:rsidRDefault="00EE061F" w:rsidP="00282963">
      <w:pPr>
        <w:pStyle w:val="Heading3"/>
        <w:rPr>
          <w:lang w:val="ga-IE"/>
        </w:rPr>
      </w:pPr>
      <w:r w:rsidRPr="000E6F67">
        <w:rPr>
          <w:lang w:val="ga-IE"/>
        </w:rPr>
        <w:t>An Roinn Comhshaoil, Oidhreachta agus Rialtais Áitiúil</w:t>
      </w:r>
    </w:p>
    <w:p w14:paraId="1DCEA460" w14:textId="77777777" w:rsidR="00EE061F" w:rsidRPr="000E6F67" w:rsidRDefault="00EE061F" w:rsidP="00282963">
      <w:pPr>
        <w:rPr>
          <w:lang w:val="ga-IE"/>
        </w:rPr>
      </w:pPr>
      <w:r w:rsidRPr="000E6F67">
        <w:rPr>
          <w:lang w:val="ga-IE"/>
        </w:rPr>
        <w:t>Ráiteas Straitéise 2011-2013</w:t>
      </w:r>
    </w:p>
    <w:p w14:paraId="1B84CA59" w14:textId="77777777" w:rsidR="00EE061F" w:rsidRPr="000E6F67" w:rsidRDefault="00EE061F" w:rsidP="00282963">
      <w:pPr>
        <w:rPr>
          <w:lang w:val="ga-IE"/>
        </w:rPr>
      </w:pPr>
      <w:r w:rsidRPr="000E6F67">
        <w:rPr>
          <w:lang w:val="ga-IE"/>
        </w:rPr>
        <w:t>Aighneacht chuig an nGrúpa Athbhreithnithe Éifeachtúlachta Rialtais Áitiúil</w:t>
      </w:r>
    </w:p>
    <w:p w14:paraId="50537925" w14:textId="77777777" w:rsidR="00EE061F" w:rsidRPr="000E6F67" w:rsidRDefault="00EE061F" w:rsidP="00282963">
      <w:pPr>
        <w:rPr>
          <w:lang w:val="ga-IE"/>
        </w:rPr>
      </w:pPr>
      <w:r w:rsidRPr="000E6F67">
        <w:rPr>
          <w:lang w:val="ga-IE"/>
        </w:rPr>
        <w:t>Aighneacht ar dhréacht Threoirlínte Pleanála ar Phleanáil Spáis agus Bóithre Náisiúnta</w:t>
      </w:r>
    </w:p>
    <w:p w14:paraId="2D5B5EDA" w14:textId="77777777" w:rsidR="00EE061F" w:rsidRPr="000E6F67" w:rsidRDefault="00EE061F" w:rsidP="00282963">
      <w:pPr>
        <w:rPr>
          <w:lang w:val="ga-IE"/>
        </w:rPr>
      </w:pPr>
      <w:r w:rsidRPr="000E6F67">
        <w:rPr>
          <w:lang w:val="ga-IE"/>
        </w:rPr>
        <w:lastRenderedPageBreak/>
        <w:t>Freagra ar Cheistiúchán chun eolas a thabhairt ar Athbhreithniú ar Threoirlínte Pleanála Miondíola</w:t>
      </w:r>
    </w:p>
    <w:p w14:paraId="2552A5F1" w14:textId="77777777" w:rsidR="00EE061F" w:rsidRPr="000E6F67" w:rsidRDefault="00EE061F" w:rsidP="00282963">
      <w:pPr>
        <w:pStyle w:val="Heading3"/>
        <w:rPr>
          <w:lang w:val="ga-IE"/>
        </w:rPr>
      </w:pPr>
      <w:r w:rsidRPr="000E6F67">
        <w:rPr>
          <w:lang w:val="ga-IE"/>
        </w:rPr>
        <w:t>An Roinn Fiontar, Trádála agus Nuálachta</w:t>
      </w:r>
    </w:p>
    <w:p w14:paraId="6EB4D2BC" w14:textId="77777777" w:rsidR="00EE061F" w:rsidRPr="000E6F67" w:rsidRDefault="00EE061F" w:rsidP="00282963">
      <w:pPr>
        <w:rPr>
          <w:lang w:val="ga-IE"/>
        </w:rPr>
      </w:pPr>
      <w:r w:rsidRPr="000E6F67">
        <w:rPr>
          <w:lang w:val="ga-IE"/>
        </w:rPr>
        <w:t>Ráiteas Straitéise 2011-2013</w:t>
      </w:r>
    </w:p>
    <w:p w14:paraId="2A055B60" w14:textId="77777777" w:rsidR="00EE061F" w:rsidRPr="000E6F67" w:rsidRDefault="00EE061F" w:rsidP="00282963">
      <w:pPr>
        <w:pStyle w:val="Heading3"/>
        <w:rPr>
          <w:lang w:val="ga-IE"/>
        </w:rPr>
      </w:pPr>
      <w:r w:rsidRPr="000E6F67">
        <w:rPr>
          <w:lang w:val="ga-IE"/>
        </w:rPr>
        <w:t>An Roinn Airgeadais</w:t>
      </w:r>
    </w:p>
    <w:p w14:paraId="2A8F4D10" w14:textId="77777777" w:rsidR="00EE061F" w:rsidRPr="000E6F67" w:rsidRDefault="00EE061F" w:rsidP="00282963">
      <w:pPr>
        <w:rPr>
          <w:lang w:val="ga-IE"/>
        </w:rPr>
      </w:pPr>
      <w:r w:rsidRPr="000E6F67">
        <w:rPr>
          <w:lang w:val="ga-IE"/>
        </w:rPr>
        <w:t>Ráiteas Straitéise 2011-2013</w:t>
      </w:r>
    </w:p>
    <w:p w14:paraId="568C3AD3" w14:textId="77777777" w:rsidR="00EE061F" w:rsidRPr="000E6F67" w:rsidRDefault="00EE061F" w:rsidP="00282963">
      <w:pPr>
        <w:pStyle w:val="Heading3"/>
        <w:rPr>
          <w:lang w:val="ga-IE"/>
        </w:rPr>
      </w:pPr>
      <w:r w:rsidRPr="000E6F67">
        <w:rPr>
          <w:lang w:val="ga-IE"/>
        </w:rPr>
        <w:t xml:space="preserve">An Roinn Gnóthaí Eachtracha </w:t>
      </w:r>
    </w:p>
    <w:p w14:paraId="5CB98C97" w14:textId="77777777" w:rsidR="00EE061F" w:rsidRPr="000E6F67" w:rsidRDefault="00EE061F" w:rsidP="00282963">
      <w:pPr>
        <w:rPr>
          <w:lang w:val="ga-IE"/>
        </w:rPr>
      </w:pPr>
      <w:r w:rsidRPr="000E6F67">
        <w:rPr>
          <w:lang w:val="ga-IE"/>
        </w:rPr>
        <w:t>Ráiteas Straitéise 2011-2013</w:t>
      </w:r>
    </w:p>
    <w:p w14:paraId="555351D3" w14:textId="77777777" w:rsidR="00EE061F" w:rsidRPr="000E6F67" w:rsidRDefault="00EE061F" w:rsidP="00282963">
      <w:pPr>
        <w:pStyle w:val="Heading3"/>
        <w:rPr>
          <w:lang w:val="ga-IE"/>
        </w:rPr>
      </w:pPr>
      <w:r w:rsidRPr="000E6F67">
        <w:rPr>
          <w:lang w:val="ga-IE"/>
        </w:rPr>
        <w:t>An Roinn Sláinte agus Leanaí</w:t>
      </w:r>
    </w:p>
    <w:p w14:paraId="7876E4BD" w14:textId="77777777" w:rsidR="00EE061F" w:rsidRPr="000E6F67" w:rsidRDefault="00EE061F" w:rsidP="00282963">
      <w:pPr>
        <w:rPr>
          <w:lang w:val="ga-IE"/>
        </w:rPr>
      </w:pPr>
      <w:r w:rsidRPr="000E6F67">
        <w:rPr>
          <w:lang w:val="ga-IE"/>
        </w:rPr>
        <w:t>Ráiteas Straitéise 2011-2013</w:t>
      </w:r>
    </w:p>
    <w:p w14:paraId="043225BE" w14:textId="77777777" w:rsidR="00EE061F" w:rsidRPr="000E6F67" w:rsidRDefault="00EE061F" w:rsidP="00282963">
      <w:pPr>
        <w:rPr>
          <w:b/>
          <w:i/>
          <w:lang w:val="ga-IE"/>
        </w:rPr>
      </w:pPr>
      <w:r w:rsidRPr="000E6F67">
        <w:rPr>
          <w:lang w:val="ga-IE"/>
        </w:rPr>
        <w:t>Paipéar Comhairleach Polasaí ar Athbhreithniú Polasaí agus Luach ar Airgead na Seirbhísí Míchumais</w:t>
      </w:r>
    </w:p>
    <w:p w14:paraId="12DE9FE6" w14:textId="77777777" w:rsidR="00EE061F" w:rsidRPr="000E6F67" w:rsidRDefault="00EE061F" w:rsidP="00282963">
      <w:pPr>
        <w:rPr>
          <w:b/>
          <w:i/>
          <w:lang w:val="ga-IE"/>
        </w:rPr>
      </w:pPr>
      <w:r w:rsidRPr="000E6F67">
        <w:rPr>
          <w:lang w:val="ga-IE"/>
        </w:rPr>
        <w:t>Athbhreithniú Litríochta, Réamhscoil agus Míchumas</w:t>
      </w:r>
    </w:p>
    <w:p w14:paraId="01A9050A" w14:textId="77777777" w:rsidR="00EE061F" w:rsidRPr="000E6F67" w:rsidRDefault="00EE061F" w:rsidP="00282963">
      <w:pPr>
        <w:rPr>
          <w:b/>
          <w:i/>
          <w:lang w:val="ga-IE"/>
        </w:rPr>
      </w:pPr>
      <w:r w:rsidRPr="000E6F67">
        <w:rPr>
          <w:lang w:val="ga-IE"/>
        </w:rPr>
        <w:t>Aighneacht ar Dhréacht-Chaighdeáin ar Chúram Sláinte níos Fearr agus níos Sábháilte an Údaráis um Fhaisnéis agus Cáilíocht Sláinte</w:t>
      </w:r>
    </w:p>
    <w:p w14:paraId="4C32F2E0" w14:textId="77777777" w:rsidR="00EE061F" w:rsidRPr="000E6F67" w:rsidRDefault="00EE061F" w:rsidP="00282963">
      <w:pPr>
        <w:pStyle w:val="Heading3"/>
        <w:rPr>
          <w:lang w:val="ga-IE"/>
        </w:rPr>
      </w:pPr>
      <w:r w:rsidRPr="000E6F67">
        <w:rPr>
          <w:lang w:val="ga-IE"/>
        </w:rPr>
        <w:t>An Roinn Dlí agus Cirt agus Athchóirithe Dlí</w:t>
      </w:r>
    </w:p>
    <w:p w14:paraId="599C5597" w14:textId="77777777" w:rsidR="00EE061F" w:rsidRPr="000E6F67" w:rsidRDefault="00EE061F" w:rsidP="00282963">
      <w:pPr>
        <w:rPr>
          <w:lang w:val="ga-IE"/>
        </w:rPr>
      </w:pPr>
      <w:r w:rsidRPr="000E6F67">
        <w:rPr>
          <w:lang w:val="ga-IE"/>
        </w:rPr>
        <w:t>Ráiteas Straitéise 2011-2013</w:t>
      </w:r>
    </w:p>
    <w:p w14:paraId="5D8C5B78" w14:textId="77777777" w:rsidR="00EE061F" w:rsidRPr="000E6F67" w:rsidRDefault="00EE061F" w:rsidP="00282963">
      <w:pPr>
        <w:rPr>
          <w:lang w:val="ga-IE"/>
        </w:rPr>
      </w:pPr>
      <w:r w:rsidRPr="000E6F67">
        <w:rPr>
          <w:lang w:val="ga-IE"/>
        </w:rPr>
        <w:t>Comhairle ar chumas agus ar chaidrimh ghnéis chuig Fochoiste Saincheisteanna Dlí an Choiste Stiúrtha Náisiúnta maidir le Cosc a chur ar Fhoréigean Baile, Gnéis agus Inscne-Bhunaithe (COSC)</w:t>
      </w:r>
    </w:p>
    <w:p w14:paraId="6C9DEDB9" w14:textId="77777777" w:rsidR="00EE061F" w:rsidRPr="000E6F67" w:rsidRDefault="00EE061F" w:rsidP="00282963">
      <w:pPr>
        <w:pStyle w:val="Heading3"/>
        <w:rPr>
          <w:lang w:val="ga-IE"/>
        </w:rPr>
      </w:pPr>
      <w:r w:rsidRPr="000E6F67">
        <w:rPr>
          <w:lang w:val="ga-IE"/>
        </w:rPr>
        <w:t>An Roinn Coimirce Sóisialaí</w:t>
      </w:r>
    </w:p>
    <w:p w14:paraId="01B5B7F7" w14:textId="77777777" w:rsidR="00EE061F" w:rsidRPr="000E6F67" w:rsidRDefault="00EE061F" w:rsidP="00282963">
      <w:pPr>
        <w:rPr>
          <w:lang w:val="ga-IE"/>
        </w:rPr>
      </w:pPr>
      <w:r w:rsidRPr="000E6F67">
        <w:rPr>
          <w:lang w:val="ga-IE"/>
        </w:rPr>
        <w:t>Ráiteas Straitéise 2011-2013</w:t>
      </w:r>
    </w:p>
    <w:p w14:paraId="335F259F" w14:textId="77777777" w:rsidR="00EE061F" w:rsidRPr="000E6F67" w:rsidRDefault="00EE061F" w:rsidP="00282963">
      <w:pPr>
        <w:pStyle w:val="Heading3"/>
        <w:rPr>
          <w:lang w:val="ga-IE"/>
        </w:rPr>
      </w:pPr>
      <w:r w:rsidRPr="000E6F67">
        <w:rPr>
          <w:lang w:val="ga-IE"/>
        </w:rPr>
        <w:t>An Roinn Turasóireachta, Spóirt agus Cultúir</w:t>
      </w:r>
    </w:p>
    <w:p w14:paraId="643302A7" w14:textId="77777777" w:rsidR="00EE061F" w:rsidRPr="000E6F67" w:rsidRDefault="00EE061F" w:rsidP="00282963">
      <w:pPr>
        <w:rPr>
          <w:lang w:val="ga-IE"/>
        </w:rPr>
      </w:pPr>
      <w:r w:rsidRPr="000E6F67">
        <w:rPr>
          <w:lang w:val="ga-IE"/>
        </w:rPr>
        <w:t>Ráiteas Straitéise 2011-2013</w:t>
      </w:r>
    </w:p>
    <w:p w14:paraId="13F9B2DD" w14:textId="77777777" w:rsidR="00EE061F" w:rsidRPr="000E6F67" w:rsidRDefault="00EE061F" w:rsidP="00282963">
      <w:pPr>
        <w:pStyle w:val="Heading3"/>
        <w:rPr>
          <w:lang w:val="ga-IE"/>
        </w:rPr>
      </w:pPr>
      <w:r w:rsidRPr="000E6F67">
        <w:rPr>
          <w:lang w:val="ga-IE"/>
        </w:rPr>
        <w:t>An Roinn Iompair</w:t>
      </w:r>
    </w:p>
    <w:p w14:paraId="6D4F74DD" w14:textId="77777777" w:rsidR="00EE061F" w:rsidRPr="000E6F67" w:rsidRDefault="00EE061F" w:rsidP="00282963">
      <w:pPr>
        <w:rPr>
          <w:lang w:val="ga-IE"/>
        </w:rPr>
      </w:pPr>
      <w:r w:rsidRPr="000E6F67">
        <w:rPr>
          <w:lang w:val="ga-IE"/>
        </w:rPr>
        <w:t>Ráiteas Straitéise 2011-2013</w:t>
      </w:r>
    </w:p>
    <w:p w14:paraId="1C43456A" w14:textId="77777777" w:rsidR="00EE061F" w:rsidRPr="000E6F67" w:rsidRDefault="00EE061F" w:rsidP="00282963">
      <w:pPr>
        <w:pStyle w:val="Heading3"/>
        <w:rPr>
          <w:lang w:val="ga-IE"/>
        </w:rPr>
      </w:pPr>
      <w:r w:rsidRPr="000E6F67">
        <w:rPr>
          <w:lang w:val="ga-IE"/>
        </w:rPr>
        <w:t>Roinn an Taoisigh</w:t>
      </w:r>
    </w:p>
    <w:p w14:paraId="5BCAA230" w14:textId="77777777" w:rsidR="00EE061F" w:rsidRPr="000E6F67" w:rsidRDefault="00EE061F" w:rsidP="00282963">
      <w:pPr>
        <w:rPr>
          <w:lang w:val="ga-IE"/>
        </w:rPr>
      </w:pPr>
      <w:r w:rsidRPr="000E6F67">
        <w:rPr>
          <w:lang w:val="ga-IE"/>
        </w:rPr>
        <w:t>Ráiteas Straitéise 2011-2013</w:t>
      </w:r>
    </w:p>
    <w:p w14:paraId="07BCEB80" w14:textId="77777777" w:rsidR="00EE061F" w:rsidRPr="000E6F67" w:rsidRDefault="00EE061F" w:rsidP="00282963">
      <w:pPr>
        <w:pStyle w:val="Heading3"/>
        <w:rPr>
          <w:lang w:val="ga-IE"/>
        </w:rPr>
      </w:pPr>
      <w:r w:rsidRPr="000E6F67">
        <w:rPr>
          <w:lang w:val="ga-IE"/>
        </w:rPr>
        <w:t>Comhairle Chontae Dhún na nGall</w:t>
      </w:r>
    </w:p>
    <w:p w14:paraId="75A33BBA" w14:textId="77777777" w:rsidR="00EE061F" w:rsidRPr="000E6F67" w:rsidRDefault="00EE061F" w:rsidP="00282963">
      <w:pPr>
        <w:rPr>
          <w:lang w:val="ga-IE"/>
        </w:rPr>
      </w:pPr>
      <w:r w:rsidRPr="000E6F67">
        <w:rPr>
          <w:lang w:val="ga-IE"/>
        </w:rPr>
        <w:t>Aighneacht chun Athbhreithniú a dhéanamh ar Phlean Forbartha Chontae Dhún na nGall 2006-2012 (arna leasú) agus Plean Forbartha Contae nua a ullmhú</w:t>
      </w:r>
    </w:p>
    <w:p w14:paraId="1237518C" w14:textId="77777777" w:rsidR="00EE061F" w:rsidRPr="000E6F67" w:rsidRDefault="00EE061F" w:rsidP="00282963">
      <w:pPr>
        <w:pStyle w:val="Heading3"/>
        <w:rPr>
          <w:lang w:val="ga-IE"/>
        </w:rPr>
      </w:pPr>
      <w:r w:rsidRPr="000E6F67">
        <w:rPr>
          <w:lang w:val="ga-IE"/>
        </w:rPr>
        <w:t>Comhairle Cathrach Bhaile Átha Cliath</w:t>
      </w:r>
    </w:p>
    <w:p w14:paraId="6F402ED0" w14:textId="77777777" w:rsidR="00EE061F" w:rsidRPr="000E6F67" w:rsidRDefault="00EE061F" w:rsidP="00282963">
      <w:pPr>
        <w:rPr>
          <w:lang w:val="ga-IE"/>
        </w:rPr>
      </w:pPr>
      <w:r w:rsidRPr="000E6F67">
        <w:rPr>
          <w:lang w:val="ga-IE"/>
        </w:rPr>
        <w:t>Aighneacht ar Chomhairliúchán ar Dhréacht-Phlean Forbartha Chathair Bhaile Átha Cliath 2011-2017</w:t>
      </w:r>
    </w:p>
    <w:p w14:paraId="0C50E24B" w14:textId="77777777" w:rsidR="00EE061F" w:rsidRPr="000E6F67" w:rsidRDefault="00EE061F" w:rsidP="00282963">
      <w:pPr>
        <w:pStyle w:val="Heading3"/>
        <w:rPr>
          <w:lang w:val="ga-IE"/>
        </w:rPr>
      </w:pPr>
      <w:r w:rsidRPr="000E6F67">
        <w:rPr>
          <w:lang w:val="ga-IE"/>
        </w:rPr>
        <w:lastRenderedPageBreak/>
        <w:t>Coimisiún Ard-Mhéara Bhaile Átha Cliath ar Fhostaíocht</w:t>
      </w:r>
    </w:p>
    <w:p w14:paraId="16060D1F" w14:textId="77777777" w:rsidR="00EE061F" w:rsidRPr="000E6F67" w:rsidRDefault="00EE061F" w:rsidP="00282963">
      <w:pPr>
        <w:rPr>
          <w:lang w:val="ga-IE"/>
        </w:rPr>
      </w:pPr>
      <w:r w:rsidRPr="000E6F67">
        <w:rPr>
          <w:lang w:val="ga-IE"/>
        </w:rPr>
        <w:t>Daoine faoi mhíchumas a fhostú</w:t>
      </w:r>
    </w:p>
    <w:p w14:paraId="013228BF" w14:textId="77777777" w:rsidR="00EE061F" w:rsidRPr="000E6F67" w:rsidRDefault="00EE061F" w:rsidP="00282963">
      <w:pPr>
        <w:pStyle w:val="Heading3"/>
        <w:rPr>
          <w:lang w:val="ga-IE"/>
        </w:rPr>
      </w:pPr>
      <w:r w:rsidRPr="000E6F67">
        <w:rPr>
          <w:lang w:val="ga-IE"/>
        </w:rPr>
        <w:t>FÁS</w:t>
      </w:r>
    </w:p>
    <w:p w14:paraId="7C51C9A0" w14:textId="77777777" w:rsidR="00EE061F" w:rsidRPr="000E6F67" w:rsidRDefault="00EE061F" w:rsidP="00282963">
      <w:pPr>
        <w:rPr>
          <w:lang w:val="ga-IE"/>
        </w:rPr>
      </w:pPr>
      <w:r w:rsidRPr="000E6F67">
        <w:rPr>
          <w:lang w:val="ga-IE"/>
        </w:rPr>
        <w:t>Plean Corparáideach</w:t>
      </w:r>
    </w:p>
    <w:p w14:paraId="68B0FFB3" w14:textId="77777777" w:rsidR="00EE061F" w:rsidRPr="000E6F67" w:rsidRDefault="00EE061F" w:rsidP="00282963">
      <w:pPr>
        <w:pStyle w:val="Heading3"/>
        <w:rPr>
          <w:lang w:val="ga-IE"/>
        </w:rPr>
      </w:pPr>
      <w:r w:rsidRPr="000E6F67">
        <w:rPr>
          <w:lang w:val="ga-IE"/>
        </w:rPr>
        <w:t>Oifig an Ard-Aighne</w:t>
      </w:r>
    </w:p>
    <w:p w14:paraId="694E7614" w14:textId="77777777" w:rsidR="00EE061F" w:rsidRPr="000E6F67" w:rsidRDefault="00EE061F" w:rsidP="00282963">
      <w:pPr>
        <w:rPr>
          <w:lang w:val="ga-IE"/>
        </w:rPr>
      </w:pPr>
      <w:r w:rsidRPr="000E6F67">
        <w:rPr>
          <w:lang w:val="ga-IE"/>
        </w:rPr>
        <w:t>Ráiteas Straitéise 2011-2013</w:t>
      </w:r>
    </w:p>
    <w:p w14:paraId="0214C75E" w14:textId="77777777" w:rsidR="00EE061F" w:rsidRPr="000E6F67" w:rsidRDefault="00EE061F" w:rsidP="00282963">
      <w:pPr>
        <w:pStyle w:val="Heading3"/>
        <w:rPr>
          <w:lang w:val="ga-IE"/>
        </w:rPr>
      </w:pPr>
      <w:r w:rsidRPr="000E6F67">
        <w:rPr>
          <w:lang w:val="ga-IE"/>
        </w:rPr>
        <w:t>Oifig na nOibreacha Poiblí</w:t>
      </w:r>
    </w:p>
    <w:p w14:paraId="72311C6A" w14:textId="77777777" w:rsidR="00EE061F" w:rsidRPr="000E6F67" w:rsidRDefault="00EE061F" w:rsidP="00282963">
      <w:pPr>
        <w:rPr>
          <w:lang w:val="ga-IE"/>
        </w:rPr>
      </w:pPr>
      <w:r w:rsidRPr="000E6F67">
        <w:rPr>
          <w:lang w:val="ga-IE"/>
        </w:rPr>
        <w:t>Ráiteas Straitéise 2011-2013</w:t>
      </w:r>
    </w:p>
    <w:p w14:paraId="611C0259" w14:textId="77777777" w:rsidR="00EE061F" w:rsidRPr="000E6F67" w:rsidRDefault="00EE061F" w:rsidP="00282963">
      <w:pPr>
        <w:pStyle w:val="Heading3"/>
        <w:rPr>
          <w:lang w:val="ga-IE"/>
        </w:rPr>
      </w:pPr>
      <w:r w:rsidRPr="000E6F67">
        <w:rPr>
          <w:lang w:val="ga-IE"/>
        </w:rPr>
        <w:t>Oifig na gCoimisinéirí Ioncaim</w:t>
      </w:r>
    </w:p>
    <w:p w14:paraId="0A92FA36" w14:textId="77777777" w:rsidR="00EE061F" w:rsidRPr="000E6F67" w:rsidRDefault="00EE061F" w:rsidP="00282963">
      <w:pPr>
        <w:rPr>
          <w:lang w:val="ga-IE"/>
        </w:rPr>
      </w:pPr>
      <w:r w:rsidRPr="000E6F67">
        <w:rPr>
          <w:lang w:val="ga-IE"/>
        </w:rPr>
        <w:t>Ráiteas Straitéise 2011-2013</w:t>
      </w:r>
    </w:p>
    <w:p w14:paraId="43958FFB" w14:textId="77777777" w:rsidR="00EE061F" w:rsidRPr="000E6F67" w:rsidRDefault="00EE061F" w:rsidP="00282963">
      <w:pPr>
        <w:pStyle w:val="Heading3"/>
        <w:rPr>
          <w:lang w:val="ga-IE"/>
        </w:rPr>
      </w:pPr>
      <w:r w:rsidRPr="000E6F67">
        <w:rPr>
          <w:lang w:val="ga-IE"/>
        </w:rPr>
        <w:t>An tSeirbhís um Cheapacháin Phoiblí</w:t>
      </w:r>
    </w:p>
    <w:p w14:paraId="5BC16A05" w14:textId="77777777" w:rsidR="00EE061F" w:rsidRPr="000E6F67" w:rsidRDefault="00EE061F" w:rsidP="00282963">
      <w:pPr>
        <w:rPr>
          <w:lang w:val="ga-IE"/>
        </w:rPr>
      </w:pPr>
      <w:r w:rsidRPr="000E6F67">
        <w:rPr>
          <w:lang w:val="ga-IE"/>
        </w:rPr>
        <w:t>Ráiteas Straitéise 2011-2013</w:t>
      </w:r>
    </w:p>
    <w:p w14:paraId="260D39DA" w14:textId="77777777" w:rsidR="00EE061F" w:rsidRPr="000E6F67" w:rsidRDefault="00EE061F" w:rsidP="00282963">
      <w:pPr>
        <w:pStyle w:val="Heading3"/>
        <w:rPr>
          <w:lang w:val="ga-IE"/>
        </w:rPr>
      </w:pPr>
      <w:r w:rsidRPr="000E6F67">
        <w:rPr>
          <w:lang w:val="ga-IE"/>
        </w:rPr>
        <w:t>RTÉ</w:t>
      </w:r>
    </w:p>
    <w:p w14:paraId="64713995" w14:textId="77777777" w:rsidR="00EE061F" w:rsidRPr="000E6F67" w:rsidRDefault="00EE061F" w:rsidP="00282963">
      <w:pPr>
        <w:rPr>
          <w:lang w:val="ga-IE"/>
        </w:rPr>
      </w:pPr>
      <w:r w:rsidRPr="000E6F67">
        <w:rPr>
          <w:lang w:val="ga-IE"/>
        </w:rPr>
        <w:t>Ráiteas Seirbhíse Poiblí</w:t>
      </w:r>
    </w:p>
    <w:p w14:paraId="66BAFDB7" w14:textId="77777777" w:rsidR="00EE061F" w:rsidRPr="000E6F67" w:rsidRDefault="00EE061F" w:rsidP="00282963">
      <w:pPr>
        <w:pStyle w:val="Heading3"/>
        <w:rPr>
          <w:lang w:val="ga-IE"/>
        </w:rPr>
      </w:pPr>
      <w:r w:rsidRPr="000E6F67">
        <w:rPr>
          <w:lang w:val="ga-IE"/>
        </w:rPr>
        <w:t>Oifig Luachála</w:t>
      </w:r>
    </w:p>
    <w:p w14:paraId="2EA44799" w14:textId="77777777" w:rsidR="00A2204D" w:rsidRPr="000E6F67" w:rsidRDefault="00EE061F" w:rsidP="00B43F0B">
      <w:pPr>
        <w:rPr>
          <w:i/>
          <w:lang w:val="ga-IE"/>
        </w:rPr>
      </w:pPr>
      <w:r w:rsidRPr="000E6F67">
        <w:rPr>
          <w:lang w:val="ga-IE"/>
        </w:rPr>
        <w:t>Ráiteas Straitéise 2011-2013</w:t>
      </w:r>
    </w:p>
    <w:sectPr w:rsidR="00A2204D" w:rsidRPr="000E6F67" w:rsidSect="00B3690F">
      <w:headerReference w:type="default" r:id="rId11"/>
      <w:footerReference w:type="default" r:id="rId12"/>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794B" w14:textId="77777777" w:rsidR="00946AC9" w:rsidRDefault="00946AC9">
      <w:r>
        <w:separator/>
      </w:r>
    </w:p>
  </w:endnote>
  <w:endnote w:type="continuationSeparator" w:id="0">
    <w:p w14:paraId="4A17A22F" w14:textId="77777777" w:rsidR="00946AC9" w:rsidRDefault="009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DC61" w14:textId="77777777" w:rsidR="006A79AE" w:rsidRDefault="006A79AE" w:rsidP="008F1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5D9070CB" w14:textId="77777777" w:rsidR="006A79AE" w:rsidRDefault="006A79AE" w:rsidP="00EE0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6A40" w14:textId="77777777" w:rsidR="006A79AE" w:rsidRDefault="006A79AE" w:rsidP="008F1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788">
      <w:rPr>
        <w:rStyle w:val="PageNumber"/>
        <w:noProof/>
      </w:rPr>
      <w:t>2</w:t>
    </w:r>
    <w:r>
      <w:rPr>
        <w:rStyle w:val="PageNumber"/>
      </w:rPr>
      <w:fldChar w:fldCharType="end"/>
    </w:r>
  </w:p>
  <w:p w14:paraId="3FADCC20" w14:textId="77777777" w:rsidR="006A79AE" w:rsidRPr="001A248B" w:rsidRDefault="006A79AE" w:rsidP="00EE06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8D99" w14:textId="77777777" w:rsidR="006A79AE" w:rsidRDefault="006A79AE">
    <w:pPr>
      <w:pStyle w:val="Footer"/>
      <w:rPr>
        <w:szCs w:val="24"/>
      </w:rPr>
    </w:pPr>
    <w:r>
      <w:rPr>
        <w:szCs w:val="24"/>
      </w:rPr>
      <w:tab/>
    </w:r>
    <w:r>
      <w:rPr>
        <w:szCs w:val="24"/>
      </w:rPr>
      <w:tab/>
    </w:r>
    <w:r>
      <w:rPr>
        <w:rStyle w:val="PageNumber"/>
        <w:szCs w:val="24"/>
      </w:rPr>
      <w:fldChar w:fldCharType="begin"/>
    </w:r>
    <w:r>
      <w:rPr>
        <w:rStyle w:val="PageNumber"/>
        <w:szCs w:val="24"/>
      </w:rPr>
      <w:instrText xml:space="preserve"> PAGE </w:instrText>
    </w:r>
    <w:r>
      <w:rPr>
        <w:rStyle w:val="PageNumber"/>
        <w:szCs w:val="24"/>
      </w:rPr>
      <w:fldChar w:fldCharType="separate"/>
    </w:r>
    <w:r w:rsidR="00481788">
      <w:rPr>
        <w:rStyle w:val="PageNumber"/>
        <w:noProof/>
        <w:szCs w:val="24"/>
      </w:rPr>
      <w:t>22</w:t>
    </w:r>
    <w:r>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4886" w14:textId="77777777" w:rsidR="00946AC9" w:rsidRDefault="00946AC9">
      <w:r>
        <w:separator/>
      </w:r>
    </w:p>
  </w:footnote>
  <w:footnote w:type="continuationSeparator" w:id="0">
    <w:p w14:paraId="6686184C" w14:textId="77777777" w:rsidR="00946AC9" w:rsidRDefault="00946AC9">
      <w:r>
        <w:continuationSeparator/>
      </w:r>
    </w:p>
  </w:footnote>
  <w:footnote w:id="1">
    <w:p w14:paraId="03E1F748" w14:textId="77777777" w:rsidR="006A79AE" w:rsidRPr="004967CA" w:rsidRDefault="006A79AE">
      <w:pPr>
        <w:pStyle w:val="FootnoteText"/>
      </w:pPr>
      <w:r w:rsidRPr="004967CA">
        <w:rPr>
          <w:rStyle w:val="FootnoteReference"/>
          <w:sz w:val="18"/>
          <w:szCs w:val="18"/>
        </w:rPr>
        <w:footnoteRef/>
      </w:r>
      <w:r w:rsidRPr="004967CA">
        <w:rPr>
          <w:sz w:val="18"/>
          <w:szCs w:val="18"/>
        </w:rPr>
        <w:t xml:space="preserve"> http://www.</w:t>
      </w:r>
      <w:r>
        <w:rPr>
          <w:sz w:val="18"/>
          <w:szCs w:val="18"/>
        </w:rPr>
        <w:t>Authority</w:t>
      </w:r>
      <w:r w:rsidRPr="004967CA">
        <w:rPr>
          <w:sz w:val="18"/>
          <w:szCs w:val="18"/>
        </w:rPr>
        <w:t>.ie/cntmgmtnew.nsf/0/ADAEC989A4DCA8C1802576E20033EB52?OpenDocument</w:t>
      </w:r>
    </w:p>
  </w:footnote>
  <w:footnote w:id="2">
    <w:p w14:paraId="0ED84706" w14:textId="77777777" w:rsidR="006A79AE" w:rsidRPr="00EB58CD" w:rsidRDefault="006A79AE" w:rsidP="00CE0E7F">
      <w:pPr>
        <w:pStyle w:val="FootnoteText"/>
        <w:rPr>
          <w:sz w:val="18"/>
          <w:szCs w:val="18"/>
        </w:rPr>
      </w:pPr>
      <w:r w:rsidRPr="00EB58CD">
        <w:rPr>
          <w:rStyle w:val="FootnoteReference"/>
          <w:sz w:val="18"/>
          <w:szCs w:val="18"/>
        </w:rPr>
        <w:footnoteRef/>
      </w:r>
      <w:r w:rsidRPr="00EB58CD">
        <w:rPr>
          <w:sz w:val="18"/>
          <w:szCs w:val="18"/>
        </w:rPr>
        <w:t xml:space="preserve"> http://www.irishstatutebook.ie/2010/en/si/0217.html</w:t>
      </w:r>
    </w:p>
  </w:footnote>
  <w:footnote w:id="3">
    <w:p w14:paraId="1A2957B2" w14:textId="77777777" w:rsidR="006A79AE" w:rsidRPr="00EB58CD" w:rsidRDefault="006A79AE" w:rsidP="00CE0E7F">
      <w:pPr>
        <w:pStyle w:val="FootnoteText"/>
      </w:pPr>
      <w:r w:rsidRPr="00EB58CD">
        <w:rPr>
          <w:rStyle w:val="FootnoteReference"/>
          <w:sz w:val="18"/>
          <w:szCs w:val="18"/>
        </w:rPr>
        <w:footnoteRef/>
      </w:r>
      <w:r w:rsidRPr="00EB58CD">
        <w:rPr>
          <w:sz w:val="18"/>
          <w:szCs w:val="18"/>
        </w:rPr>
        <w:t xml:space="preserve"> http://www.irishstatutebook.ie/2010/en/si/0408.html</w:t>
      </w:r>
    </w:p>
  </w:footnote>
  <w:footnote w:id="4">
    <w:p w14:paraId="3F160914" w14:textId="77777777" w:rsidR="006A79AE" w:rsidRPr="00B655FA" w:rsidRDefault="006A79AE" w:rsidP="00CE0E7F">
      <w:pPr>
        <w:pStyle w:val="FootnoteText"/>
      </w:pPr>
      <w:r>
        <w:rPr>
          <w:rStyle w:val="FootnoteReference"/>
        </w:rPr>
        <w:footnoteRef/>
      </w:r>
      <w:r>
        <w:t xml:space="preserve"> </w:t>
      </w:r>
      <w:r w:rsidRPr="00B655FA">
        <w:rPr>
          <w:sz w:val="18"/>
          <w:szCs w:val="18"/>
        </w:rPr>
        <w:t>http://debates.oireachtas.ie/dail/2010/03/23/00004.asp</w:t>
      </w:r>
    </w:p>
  </w:footnote>
  <w:footnote w:id="5">
    <w:p w14:paraId="4B670DB2" w14:textId="77777777" w:rsidR="006A79AE" w:rsidRPr="009B1A92" w:rsidRDefault="006A79AE" w:rsidP="001458CA">
      <w:pPr>
        <w:pStyle w:val="FootnoteText"/>
      </w:pPr>
      <w:r>
        <w:rPr>
          <w:rStyle w:val="FootnoteReference"/>
        </w:rPr>
        <w:footnoteRef/>
      </w:r>
      <w:r>
        <w:t xml:space="preserve"> </w:t>
      </w:r>
      <w:r w:rsidRPr="009B1A92">
        <w:rPr>
          <w:sz w:val="18"/>
          <w:szCs w:val="18"/>
        </w:rPr>
        <w:t>http://www.irishstatutebook.ie/2010/en/si/0513.html</w:t>
      </w:r>
    </w:p>
  </w:footnote>
  <w:footnote w:id="6">
    <w:p w14:paraId="4B853FCD" w14:textId="77777777" w:rsidR="006A79AE" w:rsidRDefault="006A79AE" w:rsidP="00EE061F">
      <w:pPr>
        <w:pStyle w:val="FootnoteText"/>
        <w:rPr>
          <w:sz w:val="18"/>
          <w:szCs w:val="24"/>
        </w:rPr>
      </w:pPr>
      <w:r>
        <w:rPr>
          <w:rStyle w:val="FootnoteReference"/>
          <w:sz w:val="18"/>
          <w:szCs w:val="24"/>
        </w:rPr>
        <w:footnoteRef/>
      </w:r>
      <w:r>
        <w:rPr>
          <w:sz w:val="18"/>
          <w:szCs w:val="24"/>
        </w:rPr>
        <w:t xml:space="preserve"> </w:t>
      </w:r>
      <w:r>
        <w:rPr>
          <w:noProof/>
          <w:sz w:val="18"/>
          <w:szCs w:val="24"/>
        </w:rPr>
        <w:t>http://www.Authority.ie/cntmgmtnew.nsf/0/ADAEC989A4DCA8C1802576E20033EB52?OpenDocument</w:t>
      </w:r>
    </w:p>
  </w:footnote>
  <w:footnote w:id="7">
    <w:p w14:paraId="51ED8904" w14:textId="77777777" w:rsidR="006A79AE" w:rsidRDefault="006A79AE" w:rsidP="00EE061F">
      <w:pPr>
        <w:pStyle w:val="FootnoteText"/>
        <w:rPr>
          <w:sz w:val="18"/>
          <w:szCs w:val="24"/>
        </w:rPr>
      </w:pPr>
      <w:r>
        <w:rPr>
          <w:rStyle w:val="FootnoteReference"/>
          <w:sz w:val="18"/>
          <w:szCs w:val="24"/>
        </w:rPr>
        <w:footnoteRef/>
      </w:r>
      <w:r>
        <w:rPr>
          <w:sz w:val="18"/>
          <w:szCs w:val="24"/>
        </w:rPr>
        <w:t xml:space="preserve"> </w:t>
      </w:r>
      <w:r>
        <w:rPr>
          <w:noProof/>
          <w:sz w:val="18"/>
          <w:szCs w:val="24"/>
        </w:rPr>
        <w:t>http://www.irishstatutebook.ie/2010/en/si/0217.html</w:t>
      </w:r>
    </w:p>
  </w:footnote>
  <w:footnote w:id="8">
    <w:p w14:paraId="20AE4DB9" w14:textId="77777777" w:rsidR="006A79AE" w:rsidRDefault="006A79AE" w:rsidP="00EE061F">
      <w:pPr>
        <w:pStyle w:val="FootnoteText"/>
        <w:rPr>
          <w:sz w:val="18"/>
          <w:szCs w:val="24"/>
        </w:rPr>
      </w:pPr>
      <w:r>
        <w:rPr>
          <w:rStyle w:val="FootnoteReference"/>
          <w:sz w:val="18"/>
          <w:szCs w:val="24"/>
        </w:rPr>
        <w:footnoteRef/>
      </w:r>
      <w:r>
        <w:rPr>
          <w:sz w:val="18"/>
          <w:szCs w:val="24"/>
        </w:rPr>
        <w:t xml:space="preserve"> </w:t>
      </w:r>
      <w:r>
        <w:rPr>
          <w:noProof/>
          <w:sz w:val="18"/>
          <w:szCs w:val="24"/>
        </w:rPr>
        <w:t>http://www.irishstatutebook.ie/2010/en/si/0408.html</w:t>
      </w:r>
    </w:p>
  </w:footnote>
  <w:footnote w:id="9">
    <w:p w14:paraId="59E881EE" w14:textId="77777777" w:rsidR="006A79AE" w:rsidRDefault="006A79AE" w:rsidP="00EE061F">
      <w:pPr>
        <w:pStyle w:val="FootnoteText"/>
        <w:rPr>
          <w:szCs w:val="24"/>
        </w:rPr>
      </w:pPr>
      <w:r>
        <w:rPr>
          <w:rStyle w:val="FootnoteReference"/>
          <w:szCs w:val="24"/>
        </w:rPr>
        <w:footnoteRef/>
      </w:r>
      <w:r>
        <w:rPr>
          <w:szCs w:val="24"/>
        </w:rPr>
        <w:t xml:space="preserve"> </w:t>
      </w:r>
      <w:r>
        <w:rPr>
          <w:noProof/>
          <w:sz w:val="18"/>
          <w:szCs w:val="24"/>
        </w:rPr>
        <w:t>http://debates.oireachtas.ie/dail/2010/03/23/00004.asp</w:t>
      </w:r>
    </w:p>
  </w:footnote>
  <w:footnote w:id="10">
    <w:p w14:paraId="47CD6B7D" w14:textId="77777777" w:rsidR="006A79AE" w:rsidRDefault="006A79AE" w:rsidP="00EE061F">
      <w:pPr>
        <w:pStyle w:val="FootnoteText"/>
        <w:rPr>
          <w:szCs w:val="24"/>
        </w:rPr>
      </w:pPr>
      <w:r>
        <w:rPr>
          <w:rStyle w:val="FootnoteReference"/>
          <w:szCs w:val="24"/>
        </w:rPr>
        <w:footnoteRef/>
      </w:r>
      <w:r>
        <w:rPr>
          <w:szCs w:val="24"/>
        </w:rPr>
        <w:t xml:space="preserve"> </w:t>
      </w:r>
      <w:r>
        <w:rPr>
          <w:noProof/>
          <w:sz w:val="18"/>
          <w:szCs w:val="24"/>
        </w:rPr>
        <w:t>http://www.irishstatutebook.ie/2010/en/si/0513.html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4DCA" w14:textId="77777777" w:rsidR="006A79AE" w:rsidRPr="00C10045" w:rsidRDefault="006A79AE" w:rsidP="00C1004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4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8CD8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28B4E8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6AB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B9258A4"/>
    <w:multiLevelType w:val="hybridMultilevel"/>
    <w:tmpl w:val="BE126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F79E6"/>
    <w:multiLevelType w:val="hybridMultilevel"/>
    <w:tmpl w:val="97EC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7518A"/>
    <w:multiLevelType w:val="hybridMultilevel"/>
    <w:tmpl w:val="A57AA3F2"/>
    <w:lvl w:ilvl="0" w:tplc="48CE73C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A55D3"/>
    <w:multiLevelType w:val="hybridMultilevel"/>
    <w:tmpl w:val="AB4881FC"/>
    <w:lvl w:ilvl="0" w:tplc="5AA840C0">
      <w:start w:val="1"/>
      <w:numFmt w:val="bullet"/>
      <w:lvlText w:val="o"/>
      <w:lvlJc w:val="left"/>
      <w:pPr>
        <w:tabs>
          <w:tab w:val="num" w:pos="680"/>
        </w:tabs>
        <w:ind w:left="680" w:hanging="340"/>
      </w:pPr>
      <w:rPr>
        <w:rFonts w:ascii="Gill Sans" w:hAnsi="Gill San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326CC"/>
    <w:multiLevelType w:val="multilevel"/>
    <w:tmpl w:val="37D200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980ED1"/>
    <w:multiLevelType w:val="hybridMultilevel"/>
    <w:tmpl w:val="3E7EC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D13CF"/>
    <w:multiLevelType w:val="hybridMultilevel"/>
    <w:tmpl w:val="4430738A"/>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6F590888"/>
    <w:multiLevelType w:val="multilevel"/>
    <w:tmpl w:val="01D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956023">
    <w:abstractNumId w:val="9"/>
  </w:num>
  <w:num w:numId="2" w16cid:durableId="1367175968">
    <w:abstractNumId w:val="9"/>
  </w:num>
  <w:num w:numId="3" w16cid:durableId="1435662546">
    <w:abstractNumId w:val="7"/>
  </w:num>
  <w:num w:numId="4" w16cid:durableId="1950162035">
    <w:abstractNumId w:val="7"/>
  </w:num>
  <w:num w:numId="5" w16cid:durableId="780151612">
    <w:abstractNumId w:val="6"/>
  </w:num>
  <w:num w:numId="6" w16cid:durableId="1593204369">
    <w:abstractNumId w:val="6"/>
  </w:num>
  <w:num w:numId="7" w16cid:durableId="626934176">
    <w:abstractNumId w:val="8"/>
  </w:num>
  <w:num w:numId="8" w16cid:durableId="1220748716">
    <w:abstractNumId w:val="8"/>
  </w:num>
  <w:num w:numId="9" w16cid:durableId="59787200">
    <w:abstractNumId w:val="3"/>
  </w:num>
  <w:num w:numId="10" w16cid:durableId="1110130772">
    <w:abstractNumId w:val="3"/>
  </w:num>
  <w:num w:numId="11" w16cid:durableId="220950052">
    <w:abstractNumId w:val="2"/>
  </w:num>
  <w:num w:numId="12" w16cid:durableId="741220841">
    <w:abstractNumId w:val="2"/>
  </w:num>
  <w:num w:numId="13" w16cid:durableId="398939530">
    <w:abstractNumId w:val="10"/>
  </w:num>
  <w:num w:numId="14" w16cid:durableId="1478231018">
    <w:abstractNumId w:val="13"/>
  </w:num>
  <w:num w:numId="15" w16cid:durableId="1376268912">
    <w:abstractNumId w:val="9"/>
    <w:lvlOverride w:ilvl="0"/>
  </w:num>
  <w:num w:numId="16" w16cid:durableId="588545197">
    <w:abstractNumId w:val="5"/>
  </w:num>
  <w:num w:numId="17" w16cid:durableId="1089735144">
    <w:abstractNumId w:val="4"/>
  </w:num>
  <w:num w:numId="18" w16cid:durableId="1252080855">
    <w:abstractNumId w:val="1"/>
  </w:num>
  <w:num w:numId="19" w16cid:durableId="954798003">
    <w:abstractNumId w:val="0"/>
  </w:num>
  <w:num w:numId="20" w16cid:durableId="2111898314">
    <w:abstractNumId w:val="14"/>
  </w:num>
  <w:num w:numId="21" w16cid:durableId="623661477">
    <w:abstractNumId w:val="11"/>
  </w:num>
  <w:num w:numId="22" w16cid:durableId="1782645439">
    <w:abstractNumId w:val="15"/>
  </w:num>
  <w:num w:numId="23" w16cid:durableId="192621261">
    <w:abstractNumId w:val="17"/>
  </w:num>
  <w:num w:numId="24" w16cid:durableId="881527122">
    <w:abstractNumId w:val="16"/>
  </w:num>
  <w:num w:numId="25" w16cid:durableId="9949931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9"/>
    <w:rsid w:val="00003174"/>
    <w:rsid w:val="0000354E"/>
    <w:rsid w:val="000064BC"/>
    <w:rsid w:val="00010FEC"/>
    <w:rsid w:val="00022190"/>
    <w:rsid w:val="0004290C"/>
    <w:rsid w:val="0004305B"/>
    <w:rsid w:val="00046CF8"/>
    <w:rsid w:val="000524FC"/>
    <w:rsid w:val="000557F8"/>
    <w:rsid w:val="00055AF3"/>
    <w:rsid w:val="00064183"/>
    <w:rsid w:val="00067058"/>
    <w:rsid w:val="00070022"/>
    <w:rsid w:val="00072607"/>
    <w:rsid w:val="00073756"/>
    <w:rsid w:val="00080D7F"/>
    <w:rsid w:val="00083A69"/>
    <w:rsid w:val="000A0530"/>
    <w:rsid w:val="000A0640"/>
    <w:rsid w:val="000A71EF"/>
    <w:rsid w:val="000B3274"/>
    <w:rsid w:val="000C1645"/>
    <w:rsid w:val="000C6930"/>
    <w:rsid w:val="000D2A04"/>
    <w:rsid w:val="000D68EC"/>
    <w:rsid w:val="000E4337"/>
    <w:rsid w:val="000E6F67"/>
    <w:rsid w:val="000F2886"/>
    <w:rsid w:val="000F613A"/>
    <w:rsid w:val="0010202F"/>
    <w:rsid w:val="00106EAD"/>
    <w:rsid w:val="00117D8A"/>
    <w:rsid w:val="0013007A"/>
    <w:rsid w:val="00130803"/>
    <w:rsid w:val="00134262"/>
    <w:rsid w:val="001371C0"/>
    <w:rsid w:val="00141421"/>
    <w:rsid w:val="001458CA"/>
    <w:rsid w:val="00152383"/>
    <w:rsid w:val="00154FB8"/>
    <w:rsid w:val="001650DF"/>
    <w:rsid w:val="001767CF"/>
    <w:rsid w:val="00177FD0"/>
    <w:rsid w:val="00180B59"/>
    <w:rsid w:val="00192956"/>
    <w:rsid w:val="001D5BF8"/>
    <w:rsid w:val="001E55AE"/>
    <w:rsid w:val="001F058B"/>
    <w:rsid w:val="001F30C2"/>
    <w:rsid w:val="002039D6"/>
    <w:rsid w:val="0023177A"/>
    <w:rsid w:val="00231F76"/>
    <w:rsid w:val="002405D8"/>
    <w:rsid w:val="002543D0"/>
    <w:rsid w:val="0025498F"/>
    <w:rsid w:val="00255423"/>
    <w:rsid w:val="00263B61"/>
    <w:rsid w:val="002703F7"/>
    <w:rsid w:val="00282963"/>
    <w:rsid w:val="002A5C36"/>
    <w:rsid w:val="002C0220"/>
    <w:rsid w:val="002C6872"/>
    <w:rsid w:val="003218E6"/>
    <w:rsid w:val="00331BFB"/>
    <w:rsid w:val="00335BFD"/>
    <w:rsid w:val="00337317"/>
    <w:rsid w:val="003413E1"/>
    <w:rsid w:val="00357D8B"/>
    <w:rsid w:val="00364CB7"/>
    <w:rsid w:val="00367072"/>
    <w:rsid w:val="003677B3"/>
    <w:rsid w:val="003809CB"/>
    <w:rsid w:val="0039751D"/>
    <w:rsid w:val="00397C6B"/>
    <w:rsid w:val="003A49F4"/>
    <w:rsid w:val="003B7E24"/>
    <w:rsid w:val="003C1D82"/>
    <w:rsid w:val="003E2A6D"/>
    <w:rsid w:val="003F0754"/>
    <w:rsid w:val="003F18F3"/>
    <w:rsid w:val="003F4DEE"/>
    <w:rsid w:val="00410135"/>
    <w:rsid w:val="0044112E"/>
    <w:rsid w:val="00444647"/>
    <w:rsid w:val="00462E28"/>
    <w:rsid w:val="004673E2"/>
    <w:rsid w:val="00472F8A"/>
    <w:rsid w:val="00474788"/>
    <w:rsid w:val="00476138"/>
    <w:rsid w:val="004773C7"/>
    <w:rsid w:val="00481788"/>
    <w:rsid w:val="00484C47"/>
    <w:rsid w:val="004857ED"/>
    <w:rsid w:val="00490F84"/>
    <w:rsid w:val="0049362B"/>
    <w:rsid w:val="004946EE"/>
    <w:rsid w:val="004967CA"/>
    <w:rsid w:val="004B5942"/>
    <w:rsid w:val="004C52B2"/>
    <w:rsid w:val="004C5763"/>
    <w:rsid w:val="004D3E46"/>
    <w:rsid w:val="004E2589"/>
    <w:rsid w:val="004E3533"/>
    <w:rsid w:val="004F58E4"/>
    <w:rsid w:val="0052068C"/>
    <w:rsid w:val="00522033"/>
    <w:rsid w:val="00522868"/>
    <w:rsid w:val="00540C03"/>
    <w:rsid w:val="00546F26"/>
    <w:rsid w:val="005577FB"/>
    <w:rsid w:val="0056124A"/>
    <w:rsid w:val="00563633"/>
    <w:rsid w:val="00565ACA"/>
    <w:rsid w:val="00566A92"/>
    <w:rsid w:val="00572BA4"/>
    <w:rsid w:val="00575BED"/>
    <w:rsid w:val="0057631B"/>
    <w:rsid w:val="00580ACA"/>
    <w:rsid w:val="0058102A"/>
    <w:rsid w:val="00592ED5"/>
    <w:rsid w:val="00594740"/>
    <w:rsid w:val="005A22BF"/>
    <w:rsid w:val="005A2A10"/>
    <w:rsid w:val="005C4ADC"/>
    <w:rsid w:val="005D1BC6"/>
    <w:rsid w:val="005D4DDA"/>
    <w:rsid w:val="005E4A3E"/>
    <w:rsid w:val="005F16C7"/>
    <w:rsid w:val="005F4490"/>
    <w:rsid w:val="005F5E1B"/>
    <w:rsid w:val="006016D4"/>
    <w:rsid w:val="00603B29"/>
    <w:rsid w:val="006052A9"/>
    <w:rsid w:val="00607B92"/>
    <w:rsid w:val="00633DFB"/>
    <w:rsid w:val="006350A3"/>
    <w:rsid w:val="00651622"/>
    <w:rsid w:val="00652276"/>
    <w:rsid w:val="00653EB2"/>
    <w:rsid w:val="00671308"/>
    <w:rsid w:val="00677217"/>
    <w:rsid w:val="00680825"/>
    <w:rsid w:val="00695735"/>
    <w:rsid w:val="006A79AE"/>
    <w:rsid w:val="006B62B3"/>
    <w:rsid w:val="006C4674"/>
    <w:rsid w:val="006E0990"/>
    <w:rsid w:val="006F18C4"/>
    <w:rsid w:val="00701434"/>
    <w:rsid w:val="007073BE"/>
    <w:rsid w:val="00716D67"/>
    <w:rsid w:val="007311C7"/>
    <w:rsid w:val="0073492C"/>
    <w:rsid w:val="00752687"/>
    <w:rsid w:val="00754118"/>
    <w:rsid w:val="00763BED"/>
    <w:rsid w:val="00764B8D"/>
    <w:rsid w:val="007678D4"/>
    <w:rsid w:val="00770B1D"/>
    <w:rsid w:val="00770D62"/>
    <w:rsid w:val="007769B4"/>
    <w:rsid w:val="007820F1"/>
    <w:rsid w:val="00782383"/>
    <w:rsid w:val="00787DD5"/>
    <w:rsid w:val="007905EA"/>
    <w:rsid w:val="007A574B"/>
    <w:rsid w:val="007B05B0"/>
    <w:rsid w:val="007C1D73"/>
    <w:rsid w:val="007C71A1"/>
    <w:rsid w:val="007E17A3"/>
    <w:rsid w:val="007E59AC"/>
    <w:rsid w:val="007F3094"/>
    <w:rsid w:val="00805265"/>
    <w:rsid w:val="00807C8F"/>
    <w:rsid w:val="00811CCE"/>
    <w:rsid w:val="00817B5D"/>
    <w:rsid w:val="00826690"/>
    <w:rsid w:val="00827DD9"/>
    <w:rsid w:val="00831007"/>
    <w:rsid w:val="008319BA"/>
    <w:rsid w:val="008368FD"/>
    <w:rsid w:val="0084050C"/>
    <w:rsid w:val="00847C7A"/>
    <w:rsid w:val="00850E7B"/>
    <w:rsid w:val="00864597"/>
    <w:rsid w:val="00871C18"/>
    <w:rsid w:val="00872C46"/>
    <w:rsid w:val="00880981"/>
    <w:rsid w:val="008867AA"/>
    <w:rsid w:val="00891E3A"/>
    <w:rsid w:val="008A446E"/>
    <w:rsid w:val="008A5332"/>
    <w:rsid w:val="008C1AAD"/>
    <w:rsid w:val="008C3BB7"/>
    <w:rsid w:val="008C4F00"/>
    <w:rsid w:val="008D25AB"/>
    <w:rsid w:val="008D2CD4"/>
    <w:rsid w:val="008D6B6E"/>
    <w:rsid w:val="008E12E6"/>
    <w:rsid w:val="008E7370"/>
    <w:rsid w:val="008F150C"/>
    <w:rsid w:val="008F2374"/>
    <w:rsid w:val="009079DB"/>
    <w:rsid w:val="00910011"/>
    <w:rsid w:val="0092212A"/>
    <w:rsid w:val="009309B8"/>
    <w:rsid w:val="00934F76"/>
    <w:rsid w:val="00935B22"/>
    <w:rsid w:val="00943124"/>
    <w:rsid w:val="00946AC9"/>
    <w:rsid w:val="00955DDB"/>
    <w:rsid w:val="0097318F"/>
    <w:rsid w:val="0097715B"/>
    <w:rsid w:val="00985F1B"/>
    <w:rsid w:val="00987CFF"/>
    <w:rsid w:val="009912D3"/>
    <w:rsid w:val="009958FE"/>
    <w:rsid w:val="009A79AF"/>
    <w:rsid w:val="009B1A92"/>
    <w:rsid w:val="009B47EA"/>
    <w:rsid w:val="009C4D62"/>
    <w:rsid w:val="009E20FE"/>
    <w:rsid w:val="009E6857"/>
    <w:rsid w:val="009F3E05"/>
    <w:rsid w:val="009F4573"/>
    <w:rsid w:val="00A129FE"/>
    <w:rsid w:val="00A15753"/>
    <w:rsid w:val="00A15917"/>
    <w:rsid w:val="00A17516"/>
    <w:rsid w:val="00A2204D"/>
    <w:rsid w:val="00A2296F"/>
    <w:rsid w:val="00A3361D"/>
    <w:rsid w:val="00A402DE"/>
    <w:rsid w:val="00A5066C"/>
    <w:rsid w:val="00A55A77"/>
    <w:rsid w:val="00A70E4D"/>
    <w:rsid w:val="00A74C7B"/>
    <w:rsid w:val="00A80F15"/>
    <w:rsid w:val="00A81473"/>
    <w:rsid w:val="00A8356B"/>
    <w:rsid w:val="00A83F1E"/>
    <w:rsid w:val="00AB0464"/>
    <w:rsid w:val="00AB0C5D"/>
    <w:rsid w:val="00AC2331"/>
    <w:rsid w:val="00AE769B"/>
    <w:rsid w:val="00AF00C3"/>
    <w:rsid w:val="00AF078C"/>
    <w:rsid w:val="00AF114C"/>
    <w:rsid w:val="00AF4F63"/>
    <w:rsid w:val="00AF522B"/>
    <w:rsid w:val="00B14C76"/>
    <w:rsid w:val="00B22912"/>
    <w:rsid w:val="00B3690F"/>
    <w:rsid w:val="00B4003A"/>
    <w:rsid w:val="00B40776"/>
    <w:rsid w:val="00B43F0B"/>
    <w:rsid w:val="00B54AB4"/>
    <w:rsid w:val="00B62BE6"/>
    <w:rsid w:val="00B6445E"/>
    <w:rsid w:val="00B655FA"/>
    <w:rsid w:val="00B74E22"/>
    <w:rsid w:val="00B85293"/>
    <w:rsid w:val="00B92FA1"/>
    <w:rsid w:val="00B93F60"/>
    <w:rsid w:val="00BA2631"/>
    <w:rsid w:val="00BA588E"/>
    <w:rsid w:val="00BB0ED7"/>
    <w:rsid w:val="00BB359E"/>
    <w:rsid w:val="00BB5B68"/>
    <w:rsid w:val="00BC6F7E"/>
    <w:rsid w:val="00BD0D51"/>
    <w:rsid w:val="00BD36B7"/>
    <w:rsid w:val="00BE059D"/>
    <w:rsid w:val="00BE6AB0"/>
    <w:rsid w:val="00BF2BE9"/>
    <w:rsid w:val="00C10045"/>
    <w:rsid w:val="00C16EA2"/>
    <w:rsid w:val="00C27F9F"/>
    <w:rsid w:val="00C31B12"/>
    <w:rsid w:val="00C32F4C"/>
    <w:rsid w:val="00C33750"/>
    <w:rsid w:val="00C54D51"/>
    <w:rsid w:val="00C60B27"/>
    <w:rsid w:val="00C736A8"/>
    <w:rsid w:val="00C7626C"/>
    <w:rsid w:val="00C822AE"/>
    <w:rsid w:val="00C867C9"/>
    <w:rsid w:val="00C87C87"/>
    <w:rsid w:val="00CA3D2B"/>
    <w:rsid w:val="00CA495E"/>
    <w:rsid w:val="00CB41E8"/>
    <w:rsid w:val="00CB441D"/>
    <w:rsid w:val="00CC33D1"/>
    <w:rsid w:val="00CC48A5"/>
    <w:rsid w:val="00CD4D92"/>
    <w:rsid w:val="00CD6FA4"/>
    <w:rsid w:val="00CD7190"/>
    <w:rsid w:val="00CE0E7F"/>
    <w:rsid w:val="00CF194C"/>
    <w:rsid w:val="00CF6F27"/>
    <w:rsid w:val="00D030BD"/>
    <w:rsid w:val="00D030CC"/>
    <w:rsid w:val="00D03B5E"/>
    <w:rsid w:val="00D05BA4"/>
    <w:rsid w:val="00D07AEC"/>
    <w:rsid w:val="00D13F65"/>
    <w:rsid w:val="00D20B07"/>
    <w:rsid w:val="00D24294"/>
    <w:rsid w:val="00D52FB6"/>
    <w:rsid w:val="00D537ED"/>
    <w:rsid w:val="00D552B8"/>
    <w:rsid w:val="00D6039D"/>
    <w:rsid w:val="00D739D9"/>
    <w:rsid w:val="00D758F9"/>
    <w:rsid w:val="00DA26AF"/>
    <w:rsid w:val="00DB5E5D"/>
    <w:rsid w:val="00DC0809"/>
    <w:rsid w:val="00DC1572"/>
    <w:rsid w:val="00DC2CB6"/>
    <w:rsid w:val="00DC4C65"/>
    <w:rsid w:val="00DE0C95"/>
    <w:rsid w:val="00DF76FC"/>
    <w:rsid w:val="00E00AD0"/>
    <w:rsid w:val="00E06F58"/>
    <w:rsid w:val="00E1111D"/>
    <w:rsid w:val="00E15D81"/>
    <w:rsid w:val="00E3191E"/>
    <w:rsid w:val="00E45FCB"/>
    <w:rsid w:val="00E61111"/>
    <w:rsid w:val="00E75047"/>
    <w:rsid w:val="00E75CE8"/>
    <w:rsid w:val="00E763FF"/>
    <w:rsid w:val="00E8086E"/>
    <w:rsid w:val="00E91CE1"/>
    <w:rsid w:val="00EB48C8"/>
    <w:rsid w:val="00EB58CD"/>
    <w:rsid w:val="00EC7CC1"/>
    <w:rsid w:val="00EC7D69"/>
    <w:rsid w:val="00EC7EA6"/>
    <w:rsid w:val="00EE061F"/>
    <w:rsid w:val="00EE5BFC"/>
    <w:rsid w:val="00F016C5"/>
    <w:rsid w:val="00F158DE"/>
    <w:rsid w:val="00F24EC9"/>
    <w:rsid w:val="00F34780"/>
    <w:rsid w:val="00F409CD"/>
    <w:rsid w:val="00F467BF"/>
    <w:rsid w:val="00F46B8F"/>
    <w:rsid w:val="00F53CED"/>
    <w:rsid w:val="00F61DDB"/>
    <w:rsid w:val="00F61E4F"/>
    <w:rsid w:val="00F62A79"/>
    <w:rsid w:val="00F63B24"/>
    <w:rsid w:val="00F868E5"/>
    <w:rsid w:val="00F86BF5"/>
    <w:rsid w:val="00F8767B"/>
    <w:rsid w:val="00FA5AF4"/>
    <w:rsid w:val="00FA6CAB"/>
    <w:rsid w:val="00FB680A"/>
    <w:rsid w:val="00FB7134"/>
    <w:rsid w:val="00FB743D"/>
    <w:rsid w:val="00FC0771"/>
    <w:rsid w:val="00FC4BAE"/>
    <w:rsid w:val="00FD1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35E5AE"/>
  <w15:chartTrackingRefBased/>
  <w15:docId w15:val="{B0345427-8BA3-4634-A90C-5A7B940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F26"/>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qFormat/>
    <w:rsid w:val="00481788"/>
    <w:pPr>
      <w:keepNext/>
      <w:spacing w:before="360" w:after="60"/>
      <w:ind w:left="-284"/>
      <w:outlineLvl w:val="0"/>
    </w:pPr>
    <w:rPr>
      <w:rFonts w:cs="Arial"/>
      <w:b/>
      <w:bCs/>
      <w:kern w:val="32"/>
      <w:sz w:val="32"/>
      <w:szCs w:val="32"/>
    </w:rPr>
  </w:style>
  <w:style w:type="paragraph" w:styleId="Heading2">
    <w:name w:val="heading 2"/>
    <w:basedOn w:val="Normal"/>
    <w:next w:val="Normal"/>
    <w:link w:val="Heading2Char"/>
    <w:qFormat/>
    <w:rsid w:val="00481788"/>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481788"/>
    <w:pPr>
      <w:keepNext/>
      <w:spacing w:before="240" w:after="0"/>
      <w:outlineLvl w:val="2"/>
    </w:pPr>
    <w:rPr>
      <w:rFonts w:ascii="Arial Bold" w:hAnsi="Arial Bold" w:cs="Arial"/>
      <w:b/>
      <w:bCs/>
    </w:rPr>
  </w:style>
  <w:style w:type="paragraph" w:styleId="Heading4">
    <w:name w:val="heading 4"/>
    <w:basedOn w:val="Normal"/>
    <w:next w:val="Normal"/>
    <w:qFormat/>
    <w:rsid w:val="00481788"/>
    <w:pPr>
      <w:keepNext/>
      <w:spacing w:before="240" w:after="60"/>
      <w:outlineLvl w:val="3"/>
    </w:pPr>
    <w:rPr>
      <w:rFonts w:ascii="Arial Bold" w:hAnsi="Arial Bold"/>
      <w:b/>
      <w:bCs/>
      <w:color w:val="333333"/>
    </w:rPr>
  </w:style>
  <w:style w:type="paragraph" w:styleId="Heading5">
    <w:name w:val="heading 5"/>
    <w:basedOn w:val="Normal"/>
    <w:next w:val="Normal"/>
    <w:qFormat/>
    <w:rsid w:val="00481788"/>
    <w:pPr>
      <w:spacing w:before="240"/>
      <w:outlineLvl w:val="4"/>
    </w:pPr>
    <w:rPr>
      <w:b/>
      <w:bCs/>
      <w:i/>
      <w:iCs/>
      <w:sz w:val="26"/>
      <w:szCs w:val="26"/>
    </w:rPr>
  </w:style>
  <w:style w:type="paragraph" w:styleId="Heading6">
    <w:name w:val="heading 6"/>
    <w:basedOn w:val="Normal"/>
    <w:next w:val="Normal"/>
    <w:qFormat/>
    <w:rsid w:val="00481788"/>
    <w:pPr>
      <w:spacing w:before="240"/>
      <w:outlineLvl w:val="5"/>
    </w:pPr>
    <w:rPr>
      <w:rFonts w:ascii="Times New Roman" w:hAnsi="Times New Roman"/>
      <w:b/>
      <w:bCs/>
    </w:rPr>
  </w:style>
  <w:style w:type="paragraph" w:styleId="Heading7">
    <w:name w:val="heading 7"/>
    <w:basedOn w:val="Normal"/>
    <w:next w:val="Normal"/>
    <w:qFormat/>
    <w:rsid w:val="00481788"/>
    <w:pPr>
      <w:keepNext/>
      <w:spacing w:before="240"/>
      <w:jc w:val="center"/>
      <w:outlineLvl w:val="6"/>
    </w:pPr>
    <w:rPr>
      <w:rFonts w:cs="Arial"/>
      <w:b/>
      <w:sz w:val="48"/>
      <w:szCs w:val="40"/>
    </w:rPr>
  </w:style>
  <w:style w:type="paragraph" w:styleId="Heading8">
    <w:name w:val="heading 8"/>
    <w:basedOn w:val="Normal"/>
    <w:next w:val="Normal"/>
    <w:qFormat/>
    <w:rsid w:val="00481788"/>
    <w:pPr>
      <w:keepNext/>
      <w:outlineLvl w:val="7"/>
    </w:pPr>
    <w:rPr>
      <w:sz w:val="32"/>
    </w:rPr>
  </w:style>
  <w:style w:type="paragraph" w:styleId="Heading9">
    <w:name w:val="heading 9"/>
    <w:basedOn w:val="Normal"/>
    <w:next w:val="Normal"/>
    <w:qFormat/>
    <w:rsid w:val="00481788"/>
    <w:pPr>
      <w:keepNext/>
      <w:spacing w:before="240"/>
      <w:outlineLvl w:val="8"/>
    </w:pPr>
    <w:rPr>
      <w:rFonts w:cs="Arial"/>
      <w:b/>
      <w:sz w:val="40"/>
      <w:szCs w:val="32"/>
    </w:rPr>
  </w:style>
  <w:style w:type="character" w:default="1" w:styleId="DefaultParagraphFont">
    <w:name w:val="Default Paragraph Font"/>
    <w:uiPriority w:val="1"/>
    <w:semiHidden/>
    <w:unhideWhenUsed/>
    <w:rsid w:val="00546F26"/>
  </w:style>
  <w:style w:type="table" w:default="1" w:styleId="TableNormal">
    <w:name w:val="Normal Table"/>
    <w:semiHidden/>
    <w:rsid w:val="00C32F4C"/>
    <w:tblPr>
      <w:tblInd w:w="0" w:type="dxa"/>
      <w:tblCellMar>
        <w:top w:w="0" w:type="dxa"/>
        <w:left w:w="108" w:type="dxa"/>
        <w:bottom w:w="0" w:type="dxa"/>
        <w:right w:w="108" w:type="dxa"/>
      </w:tblCellMar>
    </w:tblPr>
  </w:style>
  <w:style w:type="numbering" w:default="1" w:styleId="NoList">
    <w:name w:val="No List"/>
    <w:uiPriority w:val="99"/>
    <w:semiHidden/>
    <w:unhideWhenUsed/>
    <w:rsid w:val="00546F26"/>
  </w:style>
  <w:style w:type="character" w:customStyle="1" w:styleId="Heading1Char">
    <w:name w:val="Heading 1 Char"/>
    <w:link w:val="Heading1"/>
    <w:rsid w:val="00651622"/>
    <w:rPr>
      <w:rFonts w:ascii="Arial" w:eastAsia="Times New Roman" w:hAnsi="Arial" w:cs="Arial"/>
      <w:b/>
      <w:bCs/>
      <w:kern w:val="32"/>
      <w:sz w:val="32"/>
      <w:szCs w:val="32"/>
      <w:lang w:eastAsia="en-US"/>
    </w:rPr>
  </w:style>
  <w:style w:type="character" w:customStyle="1" w:styleId="Heading2Char">
    <w:name w:val="Heading 2 Char"/>
    <w:link w:val="Heading2"/>
    <w:rsid w:val="000F2886"/>
    <w:rPr>
      <w:rFonts w:ascii="Arial Bold" w:eastAsia="Times New Roman" w:hAnsi="Arial Bold" w:cs="Arial"/>
      <w:b/>
      <w:bCs/>
      <w:iCs/>
      <w:sz w:val="28"/>
      <w:szCs w:val="28"/>
      <w:lang w:eastAsia="en-US"/>
    </w:rPr>
  </w:style>
  <w:style w:type="character" w:customStyle="1" w:styleId="Heading3Char">
    <w:name w:val="Heading 3 Char"/>
    <w:link w:val="Heading3"/>
    <w:rsid w:val="00651622"/>
    <w:rPr>
      <w:rFonts w:ascii="Arial Bold" w:eastAsia="Times New Roman" w:hAnsi="Arial Bold" w:cs="Arial"/>
      <w:b/>
      <w:bCs/>
      <w:sz w:val="24"/>
      <w:szCs w:val="24"/>
      <w:lang w:eastAsia="en-US"/>
    </w:rPr>
  </w:style>
  <w:style w:type="paragraph" w:styleId="CommentText">
    <w:name w:val="annotation text"/>
    <w:basedOn w:val="Normal"/>
    <w:semiHidden/>
    <w:rsid w:val="00481788"/>
    <w:rPr>
      <w:sz w:val="20"/>
    </w:rPr>
  </w:style>
  <w:style w:type="paragraph" w:styleId="BlockText">
    <w:name w:val="Block Text"/>
    <w:basedOn w:val="Normal"/>
    <w:rsid w:val="00481788"/>
    <w:pPr>
      <w:spacing w:after="120"/>
      <w:ind w:left="1440" w:right="1440"/>
    </w:pPr>
  </w:style>
  <w:style w:type="paragraph" w:styleId="BodyText">
    <w:name w:val="Body Text"/>
    <w:basedOn w:val="Normal"/>
    <w:rsid w:val="00481788"/>
    <w:pPr>
      <w:spacing w:after="120"/>
    </w:pPr>
  </w:style>
  <w:style w:type="paragraph" w:styleId="BodyTextIndent">
    <w:name w:val="Body Text Indent"/>
    <w:basedOn w:val="Normal"/>
    <w:rsid w:val="00481788"/>
    <w:pPr>
      <w:spacing w:after="120"/>
      <w:ind w:left="283"/>
    </w:pPr>
  </w:style>
  <w:style w:type="paragraph" w:styleId="Caption">
    <w:name w:val="caption"/>
    <w:basedOn w:val="Normal"/>
    <w:next w:val="Normal"/>
    <w:qFormat/>
    <w:rsid w:val="00481788"/>
    <w:pPr>
      <w:spacing w:after="120" w:line="240" w:lineRule="auto"/>
      <w:jc w:val="center"/>
    </w:pPr>
    <w:rPr>
      <w:b/>
      <w:bCs/>
    </w:rPr>
  </w:style>
  <w:style w:type="paragraph" w:styleId="Date">
    <w:name w:val="Date"/>
    <w:basedOn w:val="Normal"/>
    <w:next w:val="Normal"/>
    <w:rsid w:val="00481788"/>
    <w:rPr>
      <w:i/>
    </w:rPr>
  </w:style>
  <w:style w:type="paragraph" w:styleId="DocumentMap">
    <w:name w:val="Document Map"/>
    <w:basedOn w:val="Normal"/>
    <w:semiHidden/>
    <w:rsid w:val="00481788"/>
    <w:pPr>
      <w:shd w:val="clear" w:color="auto" w:fill="000080"/>
    </w:pPr>
    <w:rPr>
      <w:rFonts w:ascii="Tahoma" w:hAnsi="Tahoma" w:cs="Tahoma"/>
      <w:sz w:val="20"/>
    </w:rPr>
  </w:style>
  <w:style w:type="character" w:styleId="Emphasis">
    <w:name w:val="Emphasis"/>
    <w:qFormat/>
    <w:rsid w:val="00481788"/>
    <w:rPr>
      <w:i/>
    </w:rPr>
  </w:style>
  <w:style w:type="character" w:styleId="FollowedHyperlink">
    <w:name w:val="FollowedHyperlink"/>
    <w:rsid w:val="00481788"/>
    <w:rPr>
      <w:color w:val="800080"/>
      <w:u w:val="single"/>
    </w:rPr>
  </w:style>
  <w:style w:type="paragraph" w:styleId="Footer">
    <w:name w:val="footer"/>
    <w:basedOn w:val="Normal"/>
    <w:link w:val="FooterChar"/>
    <w:rsid w:val="00481788"/>
    <w:pPr>
      <w:tabs>
        <w:tab w:val="center" w:pos="4153"/>
        <w:tab w:val="right" w:pos="8306"/>
      </w:tabs>
      <w:spacing w:before="60" w:after="60" w:line="240" w:lineRule="auto"/>
    </w:pPr>
    <w:rPr>
      <w:color w:val="323232"/>
      <w:sz w:val="20"/>
      <w:szCs w:val="20"/>
    </w:rPr>
  </w:style>
  <w:style w:type="character" w:customStyle="1" w:styleId="FooterChar">
    <w:name w:val="Footer Char"/>
    <w:link w:val="Footer"/>
    <w:rsid w:val="00EE061F"/>
    <w:rPr>
      <w:rFonts w:ascii="Arial" w:eastAsia="Times New Roman" w:hAnsi="Arial"/>
      <w:color w:val="323232"/>
      <w:lang w:eastAsia="en-US"/>
    </w:rPr>
  </w:style>
  <w:style w:type="paragraph" w:styleId="Header">
    <w:name w:val="header"/>
    <w:basedOn w:val="Normal"/>
    <w:link w:val="HeaderChar"/>
    <w:rsid w:val="00481788"/>
    <w:pPr>
      <w:tabs>
        <w:tab w:val="center" w:pos="4320"/>
        <w:tab w:val="right" w:pos="8640"/>
      </w:tabs>
      <w:spacing w:after="0" w:line="240" w:lineRule="auto"/>
    </w:pPr>
    <w:rPr>
      <w:color w:val="333333"/>
      <w:sz w:val="20"/>
      <w:szCs w:val="20"/>
    </w:rPr>
  </w:style>
  <w:style w:type="character" w:customStyle="1" w:styleId="HeaderChar">
    <w:name w:val="Header Char"/>
    <w:link w:val="Header"/>
    <w:rsid w:val="00EE061F"/>
    <w:rPr>
      <w:rFonts w:ascii="Arial" w:eastAsia="Times New Roman" w:hAnsi="Arial"/>
      <w:color w:val="333333"/>
      <w:lang w:eastAsia="en-US"/>
    </w:rPr>
  </w:style>
  <w:style w:type="character" w:styleId="Hyperlink">
    <w:name w:val="Hyperlink"/>
    <w:rsid w:val="00481788"/>
    <w:rPr>
      <w:color w:val="0000FF"/>
      <w:u w:val="single"/>
    </w:rPr>
  </w:style>
  <w:style w:type="paragraph" w:styleId="ListBullet">
    <w:name w:val="List Bullet"/>
    <w:basedOn w:val="Normal"/>
    <w:link w:val="ListBulletChar"/>
    <w:rsid w:val="00481788"/>
    <w:pPr>
      <w:numPr>
        <w:numId w:val="1"/>
      </w:numPr>
      <w:spacing w:before="120" w:after="120" w:line="240" w:lineRule="auto"/>
    </w:pPr>
  </w:style>
  <w:style w:type="character" w:customStyle="1" w:styleId="ListBulletChar">
    <w:name w:val="List Bullet Char"/>
    <w:link w:val="ListBullet"/>
    <w:rsid w:val="00444647"/>
    <w:rPr>
      <w:rFonts w:ascii="Arial" w:eastAsia="Times New Roman" w:hAnsi="Arial"/>
      <w:sz w:val="24"/>
      <w:szCs w:val="24"/>
      <w:lang w:eastAsia="en-US"/>
    </w:rPr>
  </w:style>
  <w:style w:type="paragraph" w:styleId="ListBullet2">
    <w:name w:val="List Bullet 2"/>
    <w:basedOn w:val="Normal"/>
    <w:link w:val="ListBullet2Char"/>
    <w:rsid w:val="00481788"/>
    <w:pPr>
      <w:numPr>
        <w:numId w:val="3"/>
      </w:numPr>
      <w:spacing w:before="60" w:after="60"/>
    </w:pPr>
  </w:style>
  <w:style w:type="character" w:customStyle="1" w:styleId="ListBullet2Char">
    <w:name w:val="List Bullet 2 Char"/>
    <w:link w:val="ListBullet2"/>
    <w:rsid w:val="003B7E24"/>
    <w:rPr>
      <w:rFonts w:ascii="Arial" w:eastAsia="Times New Roman" w:hAnsi="Arial"/>
      <w:sz w:val="24"/>
      <w:szCs w:val="24"/>
      <w:lang w:eastAsia="en-US"/>
    </w:rPr>
  </w:style>
  <w:style w:type="paragraph" w:styleId="ListBullet3">
    <w:name w:val="List Bullet 3"/>
    <w:basedOn w:val="Normal"/>
    <w:rsid w:val="00481788"/>
    <w:pPr>
      <w:numPr>
        <w:numId w:val="5"/>
      </w:numPr>
      <w:spacing w:before="60" w:after="60"/>
    </w:pPr>
  </w:style>
  <w:style w:type="paragraph" w:styleId="ListContinue">
    <w:name w:val="List Continue"/>
    <w:basedOn w:val="Normal"/>
    <w:rsid w:val="00481788"/>
    <w:pPr>
      <w:spacing w:before="120" w:after="120"/>
      <w:ind w:left="357"/>
    </w:pPr>
  </w:style>
  <w:style w:type="paragraph" w:styleId="ListContinue2">
    <w:name w:val="List Continue 2"/>
    <w:basedOn w:val="Normal"/>
    <w:rsid w:val="00481788"/>
    <w:pPr>
      <w:spacing w:before="60" w:after="60"/>
      <w:ind w:left="641"/>
    </w:pPr>
  </w:style>
  <w:style w:type="paragraph" w:styleId="ListContinue3">
    <w:name w:val="List Continue 3"/>
    <w:basedOn w:val="Normal"/>
    <w:rsid w:val="00481788"/>
    <w:pPr>
      <w:spacing w:before="60" w:after="60"/>
      <w:ind w:left="924"/>
    </w:pPr>
  </w:style>
  <w:style w:type="paragraph" w:styleId="ListNumber">
    <w:name w:val="List Number"/>
    <w:basedOn w:val="Normal"/>
    <w:rsid w:val="00481788"/>
    <w:pPr>
      <w:numPr>
        <w:numId w:val="7"/>
      </w:numPr>
      <w:tabs>
        <w:tab w:val="clear" w:pos="360"/>
      </w:tabs>
      <w:spacing w:after="120" w:line="240" w:lineRule="auto"/>
    </w:pPr>
  </w:style>
  <w:style w:type="paragraph" w:styleId="ListNumber2">
    <w:name w:val="List Number 2"/>
    <w:basedOn w:val="Normal"/>
    <w:rsid w:val="00481788"/>
    <w:pPr>
      <w:numPr>
        <w:numId w:val="9"/>
      </w:numPr>
      <w:tabs>
        <w:tab w:val="clear" w:pos="641"/>
        <w:tab w:val="num" w:pos="643"/>
      </w:tabs>
      <w:spacing w:before="60" w:after="60"/>
    </w:pPr>
  </w:style>
  <w:style w:type="paragraph" w:styleId="ListNumber3">
    <w:name w:val="List Number 3"/>
    <w:basedOn w:val="Normal"/>
    <w:rsid w:val="00481788"/>
    <w:pPr>
      <w:numPr>
        <w:numId w:val="11"/>
      </w:numPr>
      <w:tabs>
        <w:tab w:val="clear" w:pos="926"/>
        <w:tab w:val="num" w:pos="360"/>
      </w:tabs>
      <w:spacing w:before="60" w:after="60"/>
      <w:ind w:left="357" w:hanging="357"/>
    </w:pPr>
  </w:style>
  <w:style w:type="paragraph" w:styleId="MacroText">
    <w:name w:val="macro"/>
    <w:semiHidden/>
    <w:rsid w:val="00481788"/>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81788"/>
    <w:pPr>
      <w:ind w:left="720"/>
    </w:pPr>
  </w:style>
  <w:style w:type="character" w:styleId="PageNumber">
    <w:name w:val="page number"/>
    <w:rsid w:val="00481788"/>
  </w:style>
  <w:style w:type="paragraph" w:styleId="Subtitle">
    <w:name w:val="Subtitle"/>
    <w:basedOn w:val="Normal"/>
    <w:next w:val="Normal"/>
    <w:qFormat/>
    <w:rsid w:val="00481788"/>
    <w:pPr>
      <w:jc w:val="center"/>
      <w:outlineLvl w:val="1"/>
    </w:pPr>
    <w:rPr>
      <w:sz w:val="28"/>
    </w:rPr>
  </w:style>
  <w:style w:type="paragraph" w:styleId="Title">
    <w:name w:val="Title"/>
    <w:basedOn w:val="Normal"/>
    <w:next w:val="Normal"/>
    <w:link w:val="TitleChar"/>
    <w:qFormat/>
    <w:rsid w:val="00481788"/>
    <w:pPr>
      <w:spacing w:before="240" w:after="60"/>
      <w:jc w:val="center"/>
      <w:outlineLvl w:val="0"/>
    </w:pPr>
    <w:rPr>
      <w:rFonts w:ascii="Arial Bold" w:hAnsi="Arial Bold" w:cs="Arial"/>
      <w:b/>
      <w:bCs/>
      <w:kern w:val="28"/>
      <w:sz w:val="32"/>
      <w:szCs w:val="32"/>
    </w:rPr>
  </w:style>
  <w:style w:type="character" w:customStyle="1" w:styleId="TitleChar">
    <w:name w:val="Title Char"/>
    <w:link w:val="Title"/>
    <w:locked/>
    <w:rsid w:val="00EE061F"/>
    <w:rPr>
      <w:rFonts w:ascii="Arial Bold" w:eastAsia="Times New Roman" w:hAnsi="Arial Bold" w:cs="Arial"/>
      <w:b/>
      <w:bCs/>
      <w:kern w:val="28"/>
      <w:sz w:val="32"/>
      <w:szCs w:val="32"/>
      <w:lang w:eastAsia="en-US"/>
    </w:rPr>
  </w:style>
  <w:style w:type="paragraph" w:styleId="FootnoteText">
    <w:name w:val="footnote text"/>
    <w:basedOn w:val="Normal"/>
    <w:semiHidden/>
    <w:rsid w:val="00481788"/>
    <w:pPr>
      <w:spacing w:after="60" w:line="240" w:lineRule="auto"/>
    </w:pPr>
    <w:rPr>
      <w:sz w:val="20"/>
      <w:szCs w:val="20"/>
    </w:rPr>
  </w:style>
  <w:style w:type="character" w:styleId="FootnoteReference">
    <w:name w:val="footnote reference"/>
    <w:semiHidden/>
    <w:rsid w:val="003809CB"/>
    <w:rPr>
      <w:vertAlign w:val="superscript"/>
    </w:rPr>
  </w:style>
  <w:style w:type="character" w:customStyle="1" w:styleId="Abbreviation">
    <w:name w:val="Abbreviation"/>
    <w:rsid w:val="00481788"/>
    <w:rPr>
      <w:u w:val="dottedHeavy"/>
    </w:rPr>
  </w:style>
  <w:style w:type="character" w:customStyle="1" w:styleId="Acronym">
    <w:name w:val="Acronym"/>
    <w:rsid w:val="00481788"/>
    <w:rPr>
      <w:u w:val="dotted"/>
    </w:rPr>
  </w:style>
  <w:style w:type="character" w:customStyle="1" w:styleId="attribute-value">
    <w:name w:val="attribute-value"/>
    <w:rsid w:val="00481788"/>
  </w:style>
  <w:style w:type="paragraph" w:customStyle="1" w:styleId="BlockQuote">
    <w:name w:val="Block Quote"/>
    <w:basedOn w:val="CommentText"/>
    <w:rsid w:val="00481788"/>
    <w:pPr>
      <w:ind w:left="1134"/>
    </w:pPr>
    <w:rPr>
      <w:sz w:val="24"/>
    </w:rPr>
  </w:style>
  <w:style w:type="paragraph" w:customStyle="1" w:styleId="Byline">
    <w:name w:val="Byline"/>
    <w:basedOn w:val="Normal"/>
    <w:next w:val="Normal"/>
    <w:rsid w:val="00481788"/>
    <w:pPr>
      <w:spacing w:after="0"/>
    </w:pPr>
    <w:rPr>
      <w:rFonts w:ascii="Times New Roman" w:hAnsi="Times New Roman"/>
      <w:i/>
      <w:iCs/>
      <w:lang w:val="en-GB" w:eastAsia="en-GB"/>
    </w:rPr>
  </w:style>
  <w:style w:type="paragraph" w:customStyle="1" w:styleId="DefinitionDescription">
    <w:name w:val="Definition Description"/>
    <w:basedOn w:val="Normal"/>
    <w:next w:val="Normal"/>
    <w:rsid w:val="00481788"/>
    <w:pPr>
      <w:ind w:left="1077"/>
    </w:pPr>
  </w:style>
  <w:style w:type="paragraph" w:customStyle="1" w:styleId="DefinitionTerm">
    <w:name w:val="Definition Term"/>
    <w:basedOn w:val="Normal"/>
    <w:next w:val="DefinitionDescription"/>
    <w:rsid w:val="00481788"/>
    <w:rPr>
      <w:b/>
    </w:rPr>
  </w:style>
  <w:style w:type="paragraph" w:customStyle="1" w:styleId="GraphCaption">
    <w:name w:val="GraphCaption"/>
    <w:basedOn w:val="Normal"/>
    <w:rsid w:val="00481788"/>
    <w:pPr>
      <w:keepNext/>
      <w:spacing w:after="120" w:line="240" w:lineRule="auto"/>
      <w:jc w:val="center"/>
    </w:pPr>
    <w:rPr>
      <w:rFonts w:ascii="Arial Bold" w:hAnsi="Arial Bold"/>
      <w:b/>
    </w:rPr>
  </w:style>
  <w:style w:type="paragraph" w:customStyle="1" w:styleId="Note">
    <w:name w:val="Note"/>
    <w:basedOn w:val="BodyText"/>
    <w:rsid w:val="00481788"/>
    <w:pPr>
      <w:pBdr>
        <w:top w:val="single" w:sz="12" w:space="1" w:color="808080"/>
        <w:bottom w:val="single" w:sz="12" w:space="1" w:color="808080"/>
      </w:pBdr>
    </w:pPr>
    <w:rPr>
      <w:rFonts w:ascii="Charlotte Sans" w:hAnsi="Charlotte Sans"/>
      <w:lang w:val="en-GB"/>
    </w:rPr>
  </w:style>
  <w:style w:type="character" w:customStyle="1" w:styleId="Quote1">
    <w:name w:val="Quote1"/>
    <w:rsid w:val="00481788"/>
    <w:rPr>
      <w:i/>
    </w:rPr>
  </w:style>
  <w:style w:type="paragraph" w:customStyle="1" w:styleId="TableCell">
    <w:name w:val="Table Cell"/>
    <w:basedOn w:val="Normal"/>
    <w:rsid w:val="00481788"/>
    <w:pPr>
      <w:spacing w:after="0" w:line="240" w:lineRule="auto"/>
    </w:pPr>
  </w:style>
  <w:style w:type="paragraph" w:customStyle="1" w:styleId="TableHead">
    <w:name w:val="Table Head"/>
    <w:basedOn w:val="Normal"/>
    <w:next w:val="Normal"/>
    <w:rsid w:val="00481788"/>
    <w:pPr>
      <w:spacing w:after="0"/>
    </w:pPr>
    <w:rPr>
      <w:b/>
    </w:rPr>
  </w:style>
  <w:style w:type="paragraph" w:customStyle="1" w:styleId="TableNote">
    <w:name w:val="Table Note"/>
    <w:basedOn w:val="Normal"/>
    <w:next w:val="Normal"/>
    <w:rsid w:val="00481788"/>
    <w:pPr>
      <w:spacing w:before="120"/>
      <w:jc w:val="center"/>
    </w:pPr>
    <w:rPr>
      <w:sz w:val="20"/>
      <w:szCs w:val="20"/>
    </w:rPr>
  </w:style>
  <w:style w:type="paragraph" w:customStyle="1" w:styleId="TableRowHead">
    <w:name w:val="Table Row Head"/>
    <w:basedOn w:val="Normal"/>
    <w:rsid w:val="00481788"/>
    <w:pPr>
      <w:keepNext/>
      <w:spacing w:after="0" w:line="240" w:lineRule="auto"/>
    </w:pPr>
    <w:rPr>
      <w:rFonts w:ascii="Arial Bold" w:hAnsi="Arial Bold"/>
      <w:b/>
    </w:rPr>
  </w:style>
  <w:style w:type="paragraph" w:customStyle="1" w:styleId="TableSummary">
    <w:name w:val="Table Summary"/>
    <w:basedOn w:val="Normal"/>
    <w:next w:val="TableHead"/>
    <w:rsid w:val="00481788"/>
    <w:pPr>
      <w:ind w:left="567" w:right="567"/>
      <w:jc w:val="center"/>
    </w:pPr>
    <w:rPr>
      <w:i/>
    </w:rPr>
  </w:style>
  <w:style w:type="paragraph" w:customStyle="1" w:styleId="TableTitle">
    <w:name w:val="Table Title"/>
    <w:basedOn w:val="Normal"/>
    <w:next w:val="TableSummary"/>
    <w:rsid w:val="00481788"/>
    <w:pPr>
      <w:keepNext/>
      <w:spacing w:before="240"/>
      <w:jc w:val="center"/>
    </w:pPr>
    <w:rPr>
      <w:b/>
    </w:rPr>
  </w:style>
  <w:style w:type="paragraph" w:customStyle="1" w:styleId="TaggedText">
    <w:name w:val="Tagged Text"/>
    <w:basedOn w:val="Normal"/>
    <w:rsid w:val="00481788"/>
    <w:pPr>
      <w:suppressAutoHyphens/>
      <w:spacing w:after="0"/>
    </w:pPr>
    <w:rPr>
      <w:rFonts w:ascii="Courier New" w:hAnsi="Courier New"/>
      <w:color w:val="FF0000"/>
    </w:rPr>
  </w:style>
  <w:style w:type="paragraph" w:customStyle="1" w:styleId="TableHeadRight">
    <w:name w:val="Table Head Right"/>
    <w:basedOn w:val="TableHead"/>
    <w:rsid w:val="00481788"/>
    <w:pPr>
      <w:spacing w:line="240" w:lineRule="auto"/>
      <w:jc w:val="right"/>
    </w:pPr>
  </w:style>
  <w:style w:type="paragraph" w:customStyle="1" w:styleId="TableCellLeft">
    <w:name w:val="Table Cell Left"/>
    <w:basedOn w:val="TableCell"/>
    <w:rsid w:val="00481788"/>
  </w:style>
  <w:style w:type="paragraph" w:styleId="TOC1">
    <w:name w:val="toc 1"/>
    <w:basedOn w:val="Normal"/>
    <w:next w:val="Normal"/>
    <w:autoRedefine/>
    <w:semiHidden/>
    <w:rsid w:val="00716D67"/>
    <w:pPr>
      <w:tabs>
        <w:tab w:val="right" w:leader="dot" w:pos="8630"/>
      </w:tabs>
    </w:pPr>
    <w:rPr>
      <w:noProof/>
      <w:lang w:val="ga-IE"/>
    </w:rPr>
  </w:style>
  <w:style w:type="character" w:customStyle="1" w:styleId="Heading3CharCharChar">
    <w:name w:val="Heading 3 Char Char Char"/>
    <w:aliases w:val="Heading 3 Char Char Char Char Char Char Char Char"/>
    <w:rsid w:val="00A83F1E"/>
    <w:rPr>
      <w:rFonts w:ascii="Arial Bold" w:hAnsi="Arial Bold" w:cs="Arial"/>
      <w:b/>
      <w:bCs/>
      <w:sz w:val="24"/>
      <w:szCs w:val="24"/>
      <w:lang w:val="en-IE" w:eastAsia="en-US" w:bidi="ar-SA"/>
    </w:rPr>
  </w:style>
  <w:style w:type="character" w:customStyle="1" w:styleId="Char2CharCharChar">
    <w:name w:val=" Char2 Char Char Char"/>
    <w:rsid w:val="00BB5B68"/>
    <w:rPr>
      <w:rFonts w:ascii="Arial Bold" w:hAnsi="Arial Bold" w:cs="Arial"/>
      <w:b/>
      <w:bCs/>
      <w:iCs/>
      <w:sz w:val="28"/>
      <w:szCs w:val="28"/>
      <w:lang w:val="en-IE" w:eastAsia="en-US" w:bidi="ar-SA"/>
    </w:rPr>
  </w:style>
  <w:style w:type="paragraph" w:styleId="ListParagraph">
    <w:name w:val="List Paragraph"/>
    <w:basedOn w:val="Normal"/>
    <w:qFormat/>
    <w:rsid w:val="00A8356B"/>
    <w:pPr>
      <w:spacing w:after="200" w:line="276" w:lineRule="auto"/>
      <w:ind w:left="720"/>
      <w:contextualSpacing/>
    </w:pPr>
    <w:rPr>
      <w:lang w:val="en-US"/>
    </w:rPr>
  </w:style>
  <w:style w:type="paragraph" w:styleId="BalloonText">
    <w:name w:val="Balloon Text"/>
    <w:basedOn w:val="Normal"/>
    <w:semiHidden/>
    <w:rsid w:val="007311C7"/>
    <w:rPr>
      <w:rFonts w:ascii="Tahoma" w:hAnsi="Tahoma" w:cs="Tahoma"/>
      <w:sz w:val="16"/>
      <w:szCs w:val="16"/>
    </w:rPr>
  </w:style>
  <w:style w:type="character" w:styleId="CommentReference">
    <w:name w:val="annotation reference"/>
    <w:semiHidden/>
    <w:rsid w:val="0073492C"/>
    <w:rPr>
      <w:sz w:val="16"/>
      <w:szCs w:val="16"/>
    </w:rPr>
  </w:style>
  <w:style w:type="paragraph" w:styleId="CommentSubject">
    <w:name w:val="annotation subject"/>
    <w:basedOn w:val="CommentText"/>
    <w:next w:val="CommentText"/>
    <w:semiHidden/>
    <w:rsid w:val="0073492C"/>
    <w:rPr>
      <w:b/>
      <w:bCs/>
      <w:szCs w:val="20"/>
    </w:rPr>
  </w:style>
  <w:style w:type="character" w:customStyle="1" w:styleId="Char3CharChar">
    <w:name w:val=" Char3 Char Char"/>
    <w:rsid w:val="00444647"/>
    <w:rPr>
      <w:rFonts w:ascii="Arial" w:hAnsi="Arial" w:cs="Arial"/>
      <w:b/>
      <w:bCs/>
      <w:kern w:val="32"/>
      <w:sz w:val="32"/>
      <w:szCs w:val="32"/>
      <w:lang w:val="en-IE" w:eastAsia="en-US" w:bidi="ar-SA"/>
    </w:rPr>
  </w:style>
  <w:style w:type="character" w:customStyle="1" w:styleId="CharChar1">
    <w:name w:val=" Char Char1"/>
    <w:rsid w:val="00444647"/>
    <w:rPr>
      <w:rFonts w:ascii="Arial Bold" w:hAnsi="Arial Bold" w:cs="Arial"/>
      <w:b/>
      <w:bCs/>
      <w:sz w:val="24"/>
      <w:szCs w:val="24"/>
      <w:lang w:val="en-IE" w:eastAsia="en-US" w:bidi="ar-SA"/>
    </w:rPr>
  </w:style>
  <w:style w:type="character" w:customStyle="1" w:styleId="CharChar2">
    <w:name w:val=" Char Char2"/>
    <w:rsid w:val="00444647"/>
    <w:rPr>
      <w:rFonts w:ascii="Arial Bold" w:hAnsi="Arial Bold" w:cs="Arial"/>
      <w:b/>
      <w:bCs/>
      <w:iCs/>
      <w:sz w:val="28"/>
      <w:szCs w:val="28"/>
      <w:lang w:val="en-IE" w:eastAsia="en-US" w:bidi="ar-SA"/>
    </w:rPr>
  </w:style>
  <w:style w:type="table" w:styleId="TableGrid">
    <w:name w:val="Table Grid"/>
    <w:basedOn w:val="TableNormal"/>
    <w:rsid w:val="00444647"/>
    <w:pPr>
      <w:spacing w:after="300" w:line="294"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ListBulletCharListBullet">
    <w:name w:val="Style List BulletList Bullet CharList Bullet"/>
    <w:basedOn w:val="ListBullet"/>
    <w:rsid w:val="00FB743D"/>
    <w:pPr>
      <w:ind w:left="0" w:firstLine="0"/>
    </w:pPr>
    <w:rPr>
      <w:szCs w:val="20"/>
    </w:rPr>
  </w:style>
  <w:style w:type="character" w:customStyle="1" w:styleId="CharChar5">
    <w:name w:val=" Char Char5"/>
    <w:rsid w:val="006B62B3"/>
    <w:rPr>
      <w:rFonts w:ascii="Arial Bold" w:hAnsi="Arial Bold" w:cs="Arial"/>
      <w:b/>
      <w:bCs/>
      <w:iCs/>
      <w:sz w:val="28"/>
      <w:szCs w:val="28"/>
      <w:lang w:val="en-IE" w:eastAsia="en-US" w:bidi="ar-SA"/>
    </w:rPr>
  </w:style>
  <w:style w:type="character" w:customStyle="1" w:styleId="CharChar4">
    <w:name w:val=" Char Char4"/>
    <w:rsid w:val="006B62B3"/>
    <w:rPr>
      <w:rFonts w:ascii="Arial Bold" w:hAnsi="Arial Bold" w:cs="Arial"/>
      <w:b/>
      <w:bCs/>
      <w:sz w:val="24"/>
      <w:szCs w:val="24"/>
      <w:lang w:val="en-IE" w:eastAsia="en-US" w:bidi="ar-SA"/>
    </w:rPr>
  </w:style>
  <w:style w:type="paragraph" w:customStyle="1" w:styleId="Leadparagraph">
    <w:name w:val="Lead paragraph"/>
    <w:basedOn w:val="Normal"/>
    <w:rsid w:val="00C822AE"/>
    <w:pPr>
      <w:spacing w:after="0" w:line="264" w:lineRule="auto"/>
      <w:jc w:val="both"/>
    </w:pPr>
    <w:rPr>
      <w:sz w:val="18"/>
      <w:lang w:val="en-GB"/>
    </w:rPr>
  </w:style>
  <w:style w:type="paragraph" w:customStyle="1" w:styleId="NDATableText">
    <w:name w:val="NDA Table Text"/>
    <w:basedOn w:val="Normal"/>
    <w:link w:val="NDATableTextChar"/>
    <w:autoRedefine/>
    <w:rsid w:val="00E8086E"/>
    <w:pPr>
      <w:spacing w:after="0" w:line="240" w:lineRule="auto"/>
    </w:pPr>
    <w:rPr>
      <w:rFonts w:eastAsia="Arial" w:cs="Arial"/>
      <w:color w:val="000000"/>
      <w:lang w:val="ga-IE" w:eastAsia="en-IE"/>
    </w:rPr>
  </w:style>
  <w:style w:type="character" w:customStyle="1" w:styleId="NDATableTextChar">
    <w:name w:val="NDA Table Text Char"/>
    <w:link w:val="NDATableText"/>
    <w:rsid w:val="00E8086E"/>
    <w:rPr>
      <w:rFonts w:ascii="Arial" w:eastAsia="Arial" w:hAnsi="Arial" w:cs="Arial"/>
      <w:color w:val="000000"/>
      <w:sz w:val="24"/>
      <w:szCs w:val="24"/>
      <w:lang w:val="ga-IE" w:eastAsia="en-IE" w:bidi="ar-SA"/>
    </w:rPr>
  </w:style>
  <w:style w:type="paragraph" w:customStyle="1" w:styleId="NDATableHeadingL">
    <w:name w:val="NDA Table Heading L"/>
    <w:basedOn w:val="NDATableText"/>
    <w:link w:val="NDATableHeadingLChar"/>
    <w:rsid w:val="00E8086E"/>
    <w:rPr>
      <w:rFonts w:eastAsia="SimSun"/>
      <w:b/>
    </w:rPr>
  </w:style>
  <w:style w:type="character" w:customStyle="1" w:styleId="NDATableHeadingLChar">
    <w:name w:val="NDA Table Heading L Char"/>
    <w:link w:val="NDATableHeadingL"/>
    <w:rsid w:val="00E8086E"/>
    <w:rPr>
      <w:rFonts w:ascii="Arial" w:eastAsia="SimSun" w:hAnsi="Arial" w:cs="Arial"/>
      <w:b/>
      <w:color w:val="000000"/>
      <w:sz w:val="24"/>
      <w:szCs w:val="24"/>
      <w:lang w:val="ga-IE" w:eastAsia="en-IE" w:bidi="ar-SA"/>
    </w:rPr>
  </w:style>
  <w:style w:type="paragraph" w:customStyle="1" w:styleId="NDATableNos">
    <w:name w:val="NDA Table No's"/>
    <w:basedOn w:val="NDATableText"/>
    <w:rsid w:val="009E6857"/>
    <w:pPr>
      <w:jc w:val="right"/>
    </w:pPr>
    <w:rPr>
      <w:rFonts w:eastAsia="SimSun"/>
    </w:rPr>
  </w:style>
  <w:style w:type="character" w:customStyle="1" w:styleId="glotext2">
    <w:name w:val="glotext2"/>
    <w:basedOn w:val="DefaultParagraphFont"/>
    <w:rsid w:val="00231F76"/>
  </w:style>
  <w:style w:type="character" w:customStyle="1" w:styleId="tw4winMark">
    <w:name w:val="tw4winMark"/>
    <w:rsid w:val="00594740"/>
    <w:rPr>
      <w:rFonts w:ascii="Courier New" w:hAnsi="Courier New"/>
      <w:vanish/>
      <w:color w:val="800080"/>
      <w:vertAlign w:val="subscript"/>
    </w:rPr>
  </w:style>
  <w:style w:type="paragraph" w:styleId="TOC2">
    <w:name w:val="toc 2"/>
    <w:basedOn w:val="Normal"/>
    <w:next w:val="Normal"/>
    <w:autoRedefine/>
    <w:semiHidden/>
    <w:rsid w:val="00C10045"/>
    <w:pPr>
      <w:ind w:left="240"/>
    </w:pPr>
  </w:style>
  <w:style w:type="paragraph" w:styleId="TOC3">
    <w:name w:val="toc 3"/>
    <w:basedOn w:val="Normal"/>
    <w:next w:val="Normal"/>
    <w:autoRedefine/>
    <w:semiHidden/>
    <w:rsid w:val="00C10045"/>
    <w:pPr>
      <w:ind w:left="480"/>
    </w:pPr>
  </w:style>
  <w:style w:type="paragraph" w:styleId="TOC4">
    <w:name w:val="toc 4"/>
    <w:basedOn w:val="Normal"/>
    <w:next w:val="Normal"/>
    <w:autoRedefine/>
    <w:semiHidden/>
    <w:rsid w:val="00CF6F27"/>
    <w:pPr>
      <w:spacing w:after="0" w:line="240" w:lineRule="auto"/>
      <w:ind w:left="720"/>
    </w:pPr>
    <w:rPr>
      <w:rFonts w:ascii="Times New Roman" w:hAnsi="Times New Roman"/>
      <w:lang w:val="en-GB" w:eastAsia="en-GB"/>
    </w:rPr>
  </w:style>
  <w:style w:type="paragraph" w:styleId="TOC5">
    <w:name w:val="toc 5"/>
    <w:basedOn w:val="Normal"/>
    <w:next w:val="Normal"/>
    <w:autoRedefine/>
    <w:semiHidden/>
    <w:rsid w:val="00CF6F27"/>
    <w:pPr>
      <w:spacing w:after="0" w:line="240" w:lineRule="auto"/>
      <w:ind w:left="960"/>
    </w:pPr>
    <w:rPr>
      <w:rFonts w:ascii="Times New Roman" w:hAnsi="Times New Roman"/>
      <w:lang w:val="en-GB" w:eastAsia="en-GB"/>
    </w:rPr>
  </w:style>
  <w:style w:type="paragraph" w:styleId="TOC6">
    <w:name w:val="toc 6"/>
    <w:basedOn w:val="Normal"/>
    <w:next w:val="Normal"/>
    <w:autoRedefine/>
    <w:semiHidden/>
    <w:rsid w:val="00CF6F27"/>
    <w:pPr>
      <w:spacing w:after="0" w:line="240" w:lineRule="auto"/>
      <w:ind w:left="1200"/>
    </w:pPr>
    <w:rPr>
      <w:rFonts w:ascii="Times New Roman" w:hAnsi="Times New Roman"/>
      <w:lang w:val="en-GB" w:eastAsia="en-GB"/>
    </w:rPr>
  </w:style>
  <w:style w:type="paragraph" w:styleId="TOC7">
    <w:name w:val="toc 7"/>
    <w:basedOn w:val="Normal"/>
    <w:next w:val="Normal"/>
    <w:autoRedefine/>
    <w:semiHidden/>
    <w:rsid w:val="00CF6F27"/>
    <w:pPr>
      <w:spacing w:after="0" w:line="240" w:lineRule="auto"/>
      <w:ind w:left="1440"/>
    </w:pPr>
    <w:rPr>
      <w:rFonts w:ascii="Times New Roman" w:hAnsi="Times New Roman"/>
      <w:lang w:val="en-GB" w:eastAsia="en-GB"/>
    </w:rPr>
  </w:style>
  <w:style w:type="paragraph" w:styleId="TOC8">
    <w:name w:val="toc 8"/>
    <w:basedOn w:val="Normal"/>
    <w:next w:val="Normal"/>
    <w:autoRedefine/>
    <w:semiHidden/>
    <w:rsid w:val="00CF6F27"/>
    <w:pPr>
      <w:spacing w:after="0" w:line="240" w:lineRule="auto"/>
      <w:ind w:left="1680"/>
    </w:pPr>
    <w:rPr>
      <w:rFonts w:ascii="Times New Roman" w:hAnsi="Times New Roman"/>
      <w:lang w:val="en-GB" w:eastAsia="en-GB"/>
    </w:rPr>
  </w:style>
  <w:style w:type="paragraph" w:styleId="TOC9">
    <w:name w:val="toc 9"/>
    <w:basedOn w:val="Normal"/>
    <w:next w:val="Normal"/>
    <w:autoRedefine/>
    <w:semiHidden/>
    <w:rsid w:val="00CF6F27"/>
    <w:pPr>
      <w:spacing w:after="0" w:line="240" w:lineRule="auto"/>
      <w:ind w:left="1920"/>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337">
      <w:bodyDiv w:val="1"/>
      <w:marLeft w:val="0"/>
      <w:marRight w:val="0"/>
      <w:marTop w:val="0"/>
      <w:marBottom w:val="0"/>
      <w:divBdr>
        <w:top w:val="none" w:sz="0" w:space="0" w:color="auto"/>
        <w:left w:val="none" w:sz="0" w:space="0" w:color="auto"/>
        <w:bottom w:val="none" w:sz="0" w:space="0" w:color="auto"/>
        <w:right w:val="none" w:sz="0" w:space="0" w:color="auto"/>
      </w:divBdr>
      <w:divsChild>
        <w:div w:id="404648804">
          <w:marLeft w:val="0"/>
          <w:marRight w:val="0"/>
          <w:marTop w:val="0"/>
          <w:marBottom w:val="0"/>
          <w:divBdr>
            <w:top w:val="none" w:sz="0" w:space="0" w:color="auto"/>
            <w:left w:val="none" w:sz="0" w:space="0" w:color="auto"/>
            <w:bottom w:val="none" w:sz="0" w:space="0" w:color="auto"/>
            <w:right w:val="none" w:sz="0" w:space="0" w:color="auto"/>
          </w:divBdr>
          <w:divsChild>
            <w:div w:id="1132870614">
              <w:marLeft w:val="0"/>
              <w:marRight w:val="0"/>
              <w:marTop w:val="0"/>
              <w:marBottom w:val="0"/>
              <w:divBdr>
                <w:top w:val="none" w:sz="0" w:space="0" w:color="auto"/>
                <w:left w:val="none" w:sz="0" w:space="0" w:color="auto"/>
                <w:bottom w:val="none" w:sz="0" w:space="0" w:color="auto"/>
                <w:right w:val="none" w:sz="0" w:space="0" w:color="auto"/>
              </w:divBdr>
              <w:divsChild>
                <w:div w:id="1433284122">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sChild>
                        <w:div w:id="547840270">
                          <w:marLeft w:val="0"/>
                          <w:marRight w:val="0"/>
                          <w:marTop w:val="0"/>
                          <w:marBottom w:val="0"/>
                          <w:divBdr>
                            <w:top w:val="none" w:sz="0" w:space="0" w:color="auto"/>
                            <w:left w:val="none" w:sz="0" w:space="0" w:color="auto"/>
                            <w:bottom w:val="none" w:sz="0" w:space="0" w:color="auto"/>
                            <w:right w:val="none" w:sz="0" w:space="0" w:color="auto"/>
                          </w:divBdr>
                          <w:divsChild>
                            <w:div w:id="546186417">
                              <w:marLeft w:val="0"/>
                              <w:marRight w:val="0"/>
                              <w:marTop w:val="0"/>
                              <w:marBottom w:val="0"/>
                              <w:divBdr>
                                <w:top w:val="none" w:sz="0" w:space="0" w:color="auto"/>
                                <w:left w:val="none" w:sz="0" w:space="0" w:color="auto"/>
                                <w:bottom w:val="none" w:sz="0" w:space="0" w:color="auto"/>
                                <w:right w:val="none" w:sz="0" w:space="0" w:color="auto"/>
                              </w:divBdr>
                              <w:divsChild>
                                <w:div w:id="320043784">
                                  <w:marLeft w:val="0"/>
                                  <w:marRight w:val="0"/>
                                  <w:marTop w:val="0"/>
                                  <w:marBottom w:val="0"/>
                                  <w:divBdr>
                                    <w:top w:val="none" w:sz="0" w:space="0" w:color="auto"/>
                                    <w:left w:val="none" w:sz="0" w:space="0" w:color="auto"/>
                                    <w:bottom w:val="none" w:sz="0" w:space="0" w:color="auto"/>
                                    <w:right w:val="none" w:sz="0" w:space="0" w:color="auto"/>
                                  </w:divBdr>
                                  <w:divsChild>
                                    <w:div w:id="15219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9346">
      <w:bodyDiv w:val="1"/>
      <w:marLeft w:val="0"/>
      <w:marRight w:val="0"/>
      <w:marTop w:val="0"/>
      <w:marBottom w:val="0"/>
      <w:divBdr>
        <w:top w:val="none" w:sz="0" w:space="0" w:color="auto"/>
        <w:left w:val="none" w:sz="0" w:space="0" w:color="auto"/>
        <w:bottom w:val="none" w:sz="0" w:space="0" w:color="auto"/>
        <w:right w:val="none" w:sz="0" w:space="0" w:color="auto"/>
      </w:divBdr>
      <w:divsChild>
        <w:div w:id="156045110">
          <w:marLeft w:val="0"/>
          <w:marRight w:val="0"/>
          <w:marTop w:val="0"/>
          <w:marBottom w:val="0"/>
          <w:divBdr>
            <w:top w:val="none" w:sz="0" w:space="0" w:color="auto"/>
            <w:left w:val="none" w:sz="0" w:space="0" w:color="auto"/>
            <w:bottom w:val="none" w:sz="0" w:space="0" w:color="auto"/>
            <w:right w:val="none" w:sz="0" w:space="0" w:color="auto"/>
          </w:divBdr>
          <w:divsChild>
            <w:div w:id="1151366369">
              <w:marLeft w:val="0"/>
              <w:marRight w:val="0"/>
              <w:marTop w:val="0"/>
              <w:marBottom w:val="0"/>
              <w:divBdr>
                <w:top w:val="none" w:sz="0" w:space="0" w:color="auto"/>
                <w:left w:val="none" w:sz="0" w:space="0" w:color="auto"/>
                <w:bottom w:val="none" w:sz="0" w:space="0" w:color="auto"/>
                <w:right w:val="none" w:sz="0" w:space="0" w:color="auto"/>
              </w:divBdr>
              <w:divsChild>
                <w:div w:id="1875729203">
                  <w:marLeft w:val="0"/>
                  <w:marRight w:val="0"/>
                  <w:marTop w:val="0"/>
                  <w:marBottom w:val="0"/>
                  <w:divBdr>
                    <w:top w:val="none" w:sz="0" w:space="0" w:color="auto"/>
                    <w:left w:val="none" w:sz="0" w:space="0" w:color="auto"/>
                    <w:bottom w:val="none" w:sz="0" w:space="0" w:color="auto"/>
                    <w:right w:val="none" w:sz="0" w:space="0" w:color="auto"/>
                  </w:divBdr>
                  <w:divsChild>
                    <w:div w:id="179705323">
                      <w:marLeft w:val="0"/>
                      <w:marRight w:val="0"/>
                      <w:marTop w:val="0"/>
                      <w:marBottom w:val="0"/>
                      <w:divBdr>
                        <w:top w:val="none" w:sz="0" w:space="0" w:color="auto"/>
                        <w:left w:val="none" w:sz="0" w:space="0" w:color="auto"/>
                        <w:bottom w:val="none" w:sz="0" w:space="0" w:color="auto"/>
                        <w:right w:val="none" w:sz="0" w:space="0" w:color="auto"/>
                      </w:divBdr>
                      <w:divsChild>
                        <w:div w:id="583416052">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sChild>
                                <w:div w:id="562253720">
                                  <w:marLeft w:val="0"/>
                                  <w:marRight w:val="0"/>
                                  <w:marTop w:val="0"/>
                                  <w:marBottom w:val="0"/>
                                  <w:divBdr>
                                    <w:top w:val="none" w:sz="0" w:space="0" w:color="auto"/>
                                    <w:left w:val="none" w:sz="0" w:space="0" w:color="auto"/>
                                    <w:bottom w:val="none" w:sz="0" w:space="0" w:color="auto"/>
                                    <w:right w:val="none" w:sz="0" w:space="0" w:color="auto"/>
                                  </w:divBdr>
                                  <w:divsChild>
                                    <w:div w:id="1449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5076">
      <w:bodyDiv w:val="1"/>
      <w:marLeft w:val="0"/>
      <w:marRight w:val="0"/>
      <w:marTop w:val="0"/>
      <w:marBottom w:val="0"/>
      <w:divBdr>
        <w:top w:val="none" w:sz="0" w:space="0" w:color="auto"/>
        <w:left w:val="none" w:sz="0" w:space="0" w:color="auto"/>
        <w:bottom w:val="none" w:sz="0" w:space="0" w:color="auto"/>
        <w:right w:val="none" w:sz="0" w:space="0" w:color="auto"/>
      </w:divBdr>
    </w:div>
    <w:div w:id="163521131">
      <w:bodyDiv w:val="1"/>
      <w:marLeft w:val="0"/>
      <w:marRight w:val="0"/>
      <w:marTop w:val="0"/>
      <w:marBottom w:val="0"/>
      <w:divBdr>
        <w:top w:val="none" w:sz="0" w:space="0" w:color="auto"/>
        <w:left w:val="none" w:sz="0" w:space="0" w:color="auto"/>
        <w:bottom w:val="none" w:sz="0" w:space="0" w:color="auto"/>
        <w:right w:val="none" w:sz="0" w:space="0" w:color="auto"/>
      </w:divBdr>
    </w:div>
    <w:div w:id="165485659">
      <w:bodyDiv w:val="1"/>
      <w:marLeft w:val="0"/>
      <w:marRight w:val="0"/>
      <w:marTop w:val="0"/>
      <w:marBottom w:val="0"/>
      <w:divBdr>
        <w:top w:val="none" w:sz="0" w:space="0" w:color="auto"/>
        <w:left w:val="none" w:sz="0" w:space="0" w:color="auto"/>
        <w:bottom w:val="none" w:sz="0" w:space="0" w:color="auto"/>
        <w:right w:val="none" w:sz="0" w:space="0" w:color="auto"/>
      </w:divBdr>
    </w:div>
    <w:div w:id="196477392">
      <w:bodyDiv w:val="1"/>
      <w:marLeft w:val="0"/>
      <w:marRight w:val="0"/>
      <w:marTop w:val="0"/>
      <w:marBottom w:val="0"/>
      <w:divBdr>
        <w:top w:val="none" w:sz="0" w:space="0" w:color="auto"/>
        <w:left w:val="none" w:sz="0" w:space="0" w:color="auto"/>
        <w:bottom w:val="none" w:sz="0" w:space="0" w:color="auto"/>
        <w:right w:val="none" w:sz="0" w:space="0" w:color="auto"/>
      </w:divBdr>
    </w:div>
    <w:div w:id="258146547">
      <w:bodyDiv w:val="1"/>
      <w:marLeft w:val="0"/>
      <w:marRight w:val="0"/>
      <w:marTop w:val="0"/>
      <w:marBottom w:val="0"/>
      <w:divBdr>
        <w:top w:val="none" w:sz="0" w:space="0" w:color="auto"/>
        <w:left w:val="none" w:sz="0" w:space="0" w:color="auto"/>
        <w:bottom w:val="none" w:sz="0" w:space="0" w:color="auto"/>
        <w:right w:val="none" w:sz="0" w:space="0" w:color="auto"/>
      </w:divBdr>
    </w:div>
    <w:div w:id="269360082">
      <w:bodyDiv w:val="1"/>
      <w:marLeft w:val="0"/>
      <w:marRight w:val="0"/>
      <w:marTop w:val="0"/>
      <w:marBottom w:val="0"/>
      <w:divBdr>
        <w:top w:val="none" w:sz="0" w:space="0" w:color="auto"/>
        <w:left w:val="none" w:sz="0" w:space="0" w:color="auto"/>
        <w:bottom w:val="none" w:sz="0" w:space="0" w:color="auto"/>
        <w:right w:val="none" w:sz="0" w:space="0" w:color="auto"/>
      </w:divBdr>
    </w:div>
    <w:div w:id="328218505">
      <w:bodyDiv w:val="1"/>
      <w:marLeft w:val="0"/>
      <w:marRight w:val="0"/>
      <w:marTop w:val="0"/>
      <w:marBottom w:val="0"/>
      <w:divBdr>
        <w:top w:val="none" w:sz="0" w:space="0" w:color="auto"/>
        <w:left w:val="none" w:sz="0" w:space="0" w:color="auto"/>
        <w:bottom w:val="none" w:sz="0" w:space="0" w:color="auto"/>
        <w:right w:val="none" w:sz="0" w:space="0" w:color="auto"/>
      </w:divBdr>
    </w:div>
    <w:div w:id="377244980">
      <w:bodyDiv w:val="1"/>
      <w:marLeft w:val="0"/>
      <w:marRight w:val="0"/>
      <w:marTop w:val="0"/>
      <w:marBottom w:val="0"/>
      <w:divBdr>
        <w:top w:val="none" w:sz="0" w:space="0" w:color="auto"/>
        <w:left w:val="none" w:sz="0" w:space="0" w:color="auto"/>
        <w:bottom w:val="none" w:sz="0" w:space="0" w:color="auto"/>
        <w:right w:val="none" w:sz="0" w:space="0" w:color="auto"/>
      </w:divBdr>
    </w:div>
    <w:div w:id="498279110">
      <w:bodyDiv w:val="1"/>
      <w:marLeft w:val="0"/>
      <w:marRight w:val="0"/>
      <w:marTop w:val="0"/>
      <w:marBottom w:val="0"/>
      <w:divBdr>
        <w:top w:val="none" w:sz="0" w:space="0" w:color="auto"/>
        <w:left w:val="none" w:sz="0" w:space="0" w:color="auto"/>
        <w:bottom w:val="none" w:sz="0" w:space="0" w:color="auto"/>
        <w:right w:val="none" w:sz="0" w:space="0" w:color="auto"/>
      </w:divBdr>
    </w:div>
    <w:div w:id="574509715">
      <w:bodyDiv w:val="1"/>
      <w:marLeft w:val="0"/>
      <w:marRight w:val="0"/>
      <w:marTop w:val="0"/>
      <w:marBottom w:val="0"/>
      <w:divBdr>
        <w:top w:val="none" w:sz="0" w:space="0" w:color="auto"/>
        <w:left w:val="none" w:sz="0" w:space="0" w:color="auto"/>
        <w:bottom w:val="none" w:sz="0" w:space="0" w:color="auto"/>
        <w:right w:val="none" w:sz="0" w:space="0" w:color="auto"/>
      </w:divBdr>
    </w:div>
    <w:div w:id="606692562">
      <w:bodyDiv w:val="1"/>
      <w:marLeft w:val="0"/>
      <w:marRight w:val="0"/>
      <w:marTop w:val="0"/>
      <w:marBottom w:val="0"/>
      <w:divBdr>
        <w:top w:val="none" w:sz="0" w:space="0" w:color="auto"/>
        <w:left w:val="none" w:sz="0" w:space="0" w:color="auto"/>
        <w:bottom w:val="none" w:sz="0" w:space="0" w:color="auto"/>
        <w:right w:val="none" w:sz="0" w:space="0" w:color="auto"/>
      </w:divBdr>
    </w:div>
    <w:div w:id="629476905">
      <w:bodyDiv w:val="1"/>
      <w:marLeft w:val="0"/>
      <w:marRight w:val="0"/>
      <w:marTop w:val="0"/>
      <w:marBottom w:val="0"/>
      <w:divBdr>
        <w:top w:val="none" w:sz="0" w:space="0" w:color="auto"/>
        <w:left w:val="none" w:sz="0" w:space="0" w:color="auto"/>
        <w:bottom w:val="none" w:sz="0" w:space="0" w:color="auto"/>
        <w:right w:val="none" w:sz="0" w:space="0" w:color="auto"/>
      </w:divBdr>
    </w:div>
    <w:div w:id="717045556">
      <w:bodyDiv w:val="1"/>
      <w:marLeft w:val="0"/>
      <w:marRight w:val="0"/>
      <w:marTop w:val="0"/>
      <w:marBottom w:val="0"/>
      <w:divBdr>
        <w:top w:val="none" w:sz="0" w:space="0" w:color="auto"/>
        <w:left w:val="none" w:sz="0" w:space="0" w:color="auto"/>
        <w:bottom w:val="none" w:sz="0" w:space="0" w:color="auto"/>
        <w:right w:val="none" w:sz="0" w:space="0" w:color="auto"/>
      </w:divBdr>
    </w:div>
    <w:div w:id="760875532">
      <w:bodyDiv w:val="1"/>
      <w:marLeft w:val="0"/>
      <w:marRight w:val="0"/>
      <w:marTop w:val="0"/>
      <w:marBottom w:val="0"/>
      <w:divBdr>
        <w:top w:val="none" w:sz="0" w:space="0" w:color="auto"/>
        <w:left w:val="none" w:sz="0" w:space="0" w:color="auto"/>
        <w:bottom w:val="none" w:sz="0" w:space="0" w:color="auto"/>
        <w:right w:val="none" w:sz="0" w:space="0" w:color="auto"/>
      </w:divBdr>
    </w:div>
    <w:div w:id="772242629">
      <w:bodyDiv w:val="1"/>
      <w:marLeft w:val="0"/>
      <w:marRight w:val="0"/>
      <w:marTop w:val="0"/>
      <w:marBottom w:val="0"/>
      <w:divBdr>
        <w:top w:val="none" w:sz="0" w:space="0" w:color="auto"/>
        <w:left w:val="none" w:sz="0" w:space="0" w:color="auto"/>
        <w:bottom w:val="none" w:sz="0" w:space="0" w:color="auto"/>
        <w:right w:val="none" w:sz="0" w:space="0" w:color="auto"/>
      </w:divBdr>
    </w:div>
    <w:div w:id="778066479">
      <w:bodyDiv w:val="1"/>
      <w:marLeft w:val="0"/>
      <w:marRight w:val="0"/>
      <w:marTop w:val="0"/>
      <w:marBottom w:val="0"/>
      <w:divBdr>
        <w:top w:val="none" w:sz="0" w:space="0" w:color="auto"/>
        <w:left w:val="none" w:sz="0" w:space="0" w:color="auto"/>
        <w:bottom w:val="none" w:sz="0" w:space="0" w:color="auto"/>
        <w:right w:val="none" w:sz="0" w:space="0" w:color="auto"/>
      </w:divBdr>
      <w:divsChild>
        <w:div w:id="1750344481">
          <w:marLeft w:val="0"/>
          <w:marRight w:val="0"/>
          <w:marTop w:val="0"/>
          <w:marBottom w:val="0"/>
          <w:divBdr>
            <w:top w:val="none" w:sz="0" w:space="0" w:color="auto"/>
            <w:left w:val="none" w:sz="0" w:space="0" w:color="auto"/>
            <w:bottom w:val="none" w:sz="0" w:space="0" w:color="auto"/>
            <w:right w:val="none" w:sz="0" w:space="0" w:color="auto"/>
          </w:divBdr>
          <w:divsChild>
            <w:div w:id="1970896080">
              <w:marLeft w:val="0"/>
              <w:marRight w:val="0"/>
              <w:marTop w:val="0"/>
              <w:marBottom w:val="0"/>
              <w:divBdr>
                <w:top w:val="none" w:sz="0" w:space="0" w:color="auto"/>
                <w:left w:val="none" w:sz="0" w:space="0" w:color="auto"/>
                <w:bottom w:val="none" w:sz="0" w:space="0" w:color="auto"/>
                <w:right w:val="none" w:sz="0" w:space="0" w:color="auto"/>
              </w:divBdr>
              <w:divsChild>
                <w:div w:id="1650551221">
                  <w:marLeft w:val="0"/>
                  <w:marRight w:val="0"/>
                  <w:marTop w:val="0"/>
                  <w:marBottom w:val="0"/>
                  <w:divBdr>
                    <w:top w:val="none" w:sz="0" w:space="0" w:color="auto"/>
                    <w:left w:val="none" w:sz="0" w:space="0" w:color="auto"/>
                    <w:bottom w:val="none" w:sz="0" w:space="0" w:color="auto"/>
                    <w:right w:val="none" w:sz="0" w:space="0" w:color="auto"/>
                  </w:divBdr>
                  <w:divsChild>
                    <w:div w:id="86586037">
                      <w:marLeft w:val="0"/>
                      <w:marRight w:val="0"/>
                      <w:marTop w:val="0"/>
                      <w:marBottom w:val="0"/>
                      <w:divBdr>
                        <w:top w:val="none" w:sz="0" w:space="0" w:color="auto"/>
                        <w:left w:val="none" w:sz="0" w:space="0" w:color="auto"/>
                        <w:bottom w:val="none" w:sz="0" w:space="0" w:color="auto"/>
                        <w:right w:val="none" w:sz="0" w:space="0" w:color="auto"/>
                      </w:divBdr>
                      <w:divsChild>
                        <w:div w:id="425730874">
                          <w:marLeft w:val="0"/>
                          <w:marRight w:val="0"/>
                          <w:marTop w:val="0"/>
                          <w:marBottom w:val="0"/>
                          <w:divBdr>
                            <w:top w:val="none" w:sz="0" w:space="0" w:color="auto"/>
                            <w:left w:val="none" w:sz="0" w:space="0" w:color="auto"/>
                            <w:bottom w:val="none" w:sz="0" w:space="0" w:color="auto"/>
                            <w:right w:val="none" w:sz="0" w:space="0" w:color="auto"/>
                          </w:divBdr>
                          <w:divsChild>
                            <w:div w:id="20128634">
                              <w:marLeft w:val="0"/>
                              <w:marRight w:val="0"/>
                              <w:marTop w:val="0"/>
                              <w:marBottom w:val="0"/>
                              <w:divBdr>
                                <w:top w:val="none" w:sz="0" w:space="0" w:color="auto"/>
                                <w:left w:val="none" w:sz="0" w:space="0" w:color="auto"/>
                                <w:bottom w:val="none" w:sz="0" w:space="0" w:color="auto"/>
                                <w:right w:val="none" w:sz="0" w:space="0" w:color="auto"/>
                              </w:divBdr>
                              <w:divsChild>
                                <w:div w:id="1780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0316">
      <w:bodyDiv w:val="1"/>
      <w:marLeft w:val="0"/>
      <w:marRight w:val="0"/>
      <w:marTop w:val="0"/>
      <w:marBottom w:val="0"/>
      <w:divBdr>
        <w:top w:val="none" w:sz="0" w:space="0" w:color="auto"/>
        <w:left w:val="none" w:sz="0" w:space="0" w:color="auto"/>
        <w:bottom w:val="none" w:sz="0" w:space="0" w:color="auto"/>
        <w:right w:val="none" w:sz="0" w:space="0" w:color="auto"/>
      </w:divBdr>
    </w:div>
    <w:div w:id="1019506398">
      <w:bodyDiv w:val="1"/>
      <w:marLeft w:val="0"/>
      <w:marRight w:val="0"/>
      <w:marTop w:val="0"/>
      <w:marBottom w:val="0"/>
      <w:divBdr>
        <w:top w:val="none" w:sz="0" w:space="0" w:color="auto"/>
        <w:left w:val="none" w:sz="0" w:space="0" w:color="auto"/>
        <w:bottom w:val="none" w:sz="0" w:space="0" w:color="auto"/>
        <w:right w:val="none" w:sz="0" w:space="0" w:color="auto"/>
      </w:divBdr>
    </w:div>
    <w:div w:id="1041129723">
      <w:bodyDiv w:val="1"/>
      <w:marLeft w:val="0"/>
      <w:marRight w:val="0"/>
      <w:marTop w:val="0"/>
      <w:marBottom w:val="0"/>
      <w:divBdr>
        <w:top w:val="none" w:sz="0" w:space="0" w:color="auto"/>
        <w:left w:val="none" w:sz="0" w:space="0" w:color="auto"/>
        <w:bottom w:val="none" w:sz="0" w:space="0" w:color="auto"/>
        <w:right w:val="none" w:sz="0" w:space="0" w:color="auto"/>
      </w:divBdr>
      <w:divsChild>
        <w:div w:id="1923174184">
          <w:marLeft w:val="0"/>
          <w:marRight w:val="0"/>
          <w:marTop w:val="0"/>
          <w:marBottom w:val="0"/>
          <w:divBdr>
            <w:top w:val="none" w:sz="0" w:space="0" w:color="auto"/>
            <w:left w:val="none" w:sz="0" w:space="0" w:color="auto"/>
            <w:bottom w:val="none" w:sz="0" w:space="0" w:color="auto"/>
            <w:right w:val="none" w:sz="0" w:space="0" w:color="auto"/>
          </w:divBdr>
          <w:divsChild>
            <w:div w:id="193426767">
              <w:marLeft w:val="0"/>
              <w:marRight w:val="0"/>
              <w:marTop w:val="0"/>
              <w:marBottom w:val="0"/>
              <w:divBdr>
                <w:top w:val="none" w:sz="0" w:space="0" w:color="auto"/>
                <w:left w:val="none" w:sz="0" w:space="0" w:color="auto"/>
                <w:bottom w:val="none" w:sz="0" w:space="0" w:color="auto"/>
                <w:right w:val="none" w:sz="0" w:space="0" w:color="auto"/>
              </w:divBdr>
              <w:divsChild>
                <w:div w:id="182211610">
                  <w:marLeft w:val="0"/>
                  <w:marRight w:val="0"/>
                  <w:marTop w:val="0"/>
                  <w:marBottom w:val="0"/>
                  <w:divBdr>
                    <w:top w:val="none" w:sz="0" w:space="0" w:color="auto"/>
                    <w:left w:val="none" w:sz="0" w:space="0" w:color="auto"/>
                    <w:bottom w:val="none" w:sz="0" w:space="0" w:color="auto"/>
                    <w:right w:val="none" w:sz="0" w:space="0" w:color="auto"/>
                  </w:divBdr>
                  <w:divsChild>
                    <w:div w:id="1279602982">
                      <w:marLeft w:val="0"/>
                      <w:marRight w:val="0"/>
                      <w:marTop w:val="0"/>
                      <w:marBottom w:val="0"/>
                      <w:divBdr>
                        <w:top w:val="none" w:sz="0" w:space="0" w:color="auto"/>
                        <w:left w:val="none" w:sz="0" w:space="0" w:color="auto"/>
                        <w:bottom w:val="none" w:sz="0" w:space="0" w:color="auto"/>
                        <w:right w:val="none" w:sz="0" w:space="0" w:color="auto"/>
                      </w:divBdr>
                      <w:divsChild>
                        <w:div w:id="1705445125">
                          <w:marLeft w:val="0"/>
                          <w:marRight w:val="0"/>
                          <w:marTop w:val="0"/>
                          <w:marBottom w:val="0"/>
                          <w:divBdr>
                            <w:top w:val="none" w:sz="0" w:space="0" w:color="auto"/>
                            <w:left w:val="none" w:sz="0" w:space="0" w:color="auto"/>
                            <w:bottom w:val="none" w:sz="0" w:space="0" w:color="auto"/>
                            <w:right w:val="none" w:sz="0" w:space="0" w:color="auto"/>
                          </w:divBdr>
                          <w:divsChild>
                            <w:div w:id="1403020344">
                              <w:marLeft w:val="0"/>
                              <w:marRight w:val="0"/>
                              <w:marTop w:val="0"/>
                              <w:marBottom w:val="0"/>
                              <w:divBdr>
                                <w:top w:val="none" w:sz="0" w:space="0" w:color="auto"/>
                                <w:left w:val="none" w:sz="0" w:space="0" w:color="auto"/>
                                <w:bottom w:val="none" w:sz="0" w:space="0" w:color="auto"/>
                                <w:right w:val="none" w:sz="0" w:space="0" w:color="auto"/>
                              </w:divBdr>
                              <w:divsChild>
                                <w:div w:id="6430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810273">
      <w:bodyDiv w:val="1"/>
      <w:marLeft w:val="0"/>
      <w:marRight w:val="0"/>
      <w:marTop w:val="0"/>
      <w:marBottom w:val="0"/>
      <w:divBdr>
        <w:top w:val="none" w:sz="0" w:space="0" w:color="auto"/>
        <w:left w:val="none" w:sz="0" w:space="0" w:color="auto"/>
        <w:bottom w:val="none" w:sz="0" w:space="0" w:color="auto"/>
        <w:right w:val="none" w:sz="0" w:space="0" w:color="auto"/>
      </w:divBdr>
    </w:div>
    <w:div w:id="1148014599">
      <w:bodyDiv w:val="1"/>
      <w:marLeft w:val="0"/>
      <w:marRight w:val="0"/>
      <w:marTop w:val="0"/>
      <w:marBottom w:val="0"/>
      <w:divBdr>
        <w:top w:val="none" w:sz="0" w:space="0" w:color="auto"/>
        <w:left w:val="none" w:sz="0" w:space="0" w:color="auto"/>
        <w:bottom w:val="none" w:sz="0" w:space="0" w:color="auto"/>
        <w:right w:val="none" w:sz="0" w:space="0" w:color="auto"/>
      </w:divBdr>
    </w:div>
    <w:div w:id="1277981714">
      <w:bodyDiv w:val="1"/>
      <w:marLeft w:val="0"/>
      <w:marRight w:val="0"/>
      <w:marTop w:val="0"/>
      <w:marBottom w:val="0"/>
      <w:divBdr>
        <w:top w:val="none" w:sz="0" w:space="0" w:color="auto"/>
        <w:left w:val="none" w:sz="0" w:space="0" w:color="auto"/>
        <w:bottom w:val="none" w:sz="0" w:space="0" w:color="auto"/>
        <w:right w:val="none" w:sz="0" w:space="0" w:color="auto"/>
      </w:divBdr>
    </w:div>
    <w:div w:id="1368872490">
      <w:bodyDiv w:val="1"/>
      <w:marLeft w:val="0"/>
      <w:marRight w:val="0"/>
      <w:marTop w:val="0"/>
      <w:marBottom w:val="0"/>
      <w:divBdr>
        <w:top w:val="none" w:sz="0" w:space="0" w:color="auto"/>
        <w:left w:val="none" w:sz="0" w:space="0" w:color="auto"/>
        <w:bottom w:val="none" w:sz="0" w:space="0" w:color="auto"/>
        <w:right w:val="none" w:sz="0" w:space="0" w:color="auto"/>
      </w:divBdr>
    </w:div>
    <w:div w:id="1509514387">
      <w:bodyDiv w:val="1"/>
      <w:marLeft w:val="0"/>
      <w:marRight w:val="0"/>
      <w:marTop w:val="0"/>
      <w:marBottom w:val="0"/>
      <w:divBdr>
        <w:top w:val="none" w:sz="0" w:space="0" w:color="auto"/>
        <w:left w:val="none" w:sz="0" w:space="0" w:color="auto"/>
        <w:bottom w:val="none" w:sz="0" w:space="0" w:color="auto"/>
        <w:right w:val="none" w:sz="0" w:space="0" w:color="auto"/>
      </w:divBdr>
      <w:divsChild>
        <w:div w:id="1155418159">
          <w:marLeft w:val="0"/>
          <w:marRight w:val="0"/>
          <w:marTop w:val="0"/>
          <w:marBottom w:val="0"/>
          <w:divBdr>
            <w:top w:val="none" w:sz="0" w:space="0" w:color="auto"/>
            <w:left w:val="none" w:sz="0" w:space="0" w:color="auto"/>
            <w:bottom w:val="none" w:sz="0" w:space="0" w:color="auto"/>
            <w:right w:val="none" w:sz="0" w:space="0" w:color="auto"/>
          </w:divBdr>
          <w:divsChild>
            <w:div w:id="1816602235">
              <w:marLeft w:val="0"/>
              <w:marRight w:val="0"/>
              <w:marTop w:val="0"/>
              <w:marBottom w:val="0"/>
              <w:divBdr>
                <w:top w:val="none" w:sz="0" w:space="0" w:color="auto"/>
                <w:left w:val="none" w:sz="0" w:space="0" w:color="auto"/>
                <w:bottom w:val="none" w:sz="0" w:space="0" w:color="auto"/>
                <w:right w:val="none" w:sz="0" w:space="0" w:color="auto"/>
              </w:divBdr>
              <w:divsChild>
                <w:div w:id="2013364156">
                  <w:marLeft w:val="0"/>
                  <w:marRight w:val="0"/>
                  <w:marTop w:val="0"/>
                  <w:marBottom w:val="0"/>
                  <w:divBdr>
                    <w:top w:val="none" w:sz="0" w:space="0" w:color="auto"/>
                    <w:left w:val="none" w:sz="0" w:space="0" w:color="auto"/>
                    <w:bottom w:val="none" w:sz="0" w:space="0" w:color="auto"/>
                    <w:right w:val="none" w:sz="0" w:space="0" w:color="auto"/>
                  </w:divBdr>
                  <w:divsChild>
                    <w:div w:id="1563179485">
                      <w:marLeft w:val="0"/>
                      <w:marRight w:val="0"/>
                      <w:marTop w:val="0"/>
                      <w:marBottom w:val="0"/>
                      <w:divBdr>
                        <w:top w:val="none" w:sz="0" w:space="0" w:color="auto"/>
                        <w:left w:val="none" w:sz="0" w:space="0" w:color="auto"/>
                        <w:bottom w:val="none" w:sz="0" w:space="0" w:color="auto"/>
                        <w:right w:val="none" w:sz="0" w:space="0" w:color="auto"/>
                      </w:divBdr>
                      <w:divsChild>
                        <w:div w:id="1819302043">
                          <w:marLeft w:val="0"/>
                          <w:marRight w:val="0"/>
                          <w:marTop w:val="0"/>
                          <w:marBottom w:val="0"/>
                          <w:divBdr>
                            <w:top w:val="none" w:sz="0" w:space="0" w:color="auto"/>
                            <w:left w:val="none" w:sz="0" w:space="0" w:color="auto"/>
                            <w:bottom w:val="none" w:sz="0" w:space="0" w:color="auto"/>
                            <w:right w:val="none" w:sz="0" w:space="0" w:color="auto"/>
                          </w:divBdr>
                          <w:divsChild>
                            <w:div w:id="1493568052">
                              <w:marLeft w:val="0"/>
                              <w:marRight w:val="0"/>
                              <w:marTop w:val="0"/>
                              <w:marBottom w:val="0"/>
                              <w:divBdr>
                                <w:top w:val="none" w:sz="0" w:space="0" w:color="auto"/>
                                <w:left w:val="none" w:sz="0" w:space="0" w:color="auto"/>
                                <w:bottom w:val="none" w:sz="0" w:space="0" w:color="auto"/>
                                <w:right w:val="none" w:sz="0" w:space="0" w:color="auto"/>
                              </w:divBdr>
                              <w:divsChild>
                                <w:div w:id="4022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556373">
      <w:bodyDiv w:val="1"/>
      <w:marLeft w:val="0"/>
      <w:marRight w:val="0"/>
      <w:marTop w:val="0"/>
      <w:marBottom w:val="0"/>
      <w:divBdr>
        <w:top w:val="none" w:sz="0" w:space="0" w:color="auto"/>
        <w:left w:val="none" w:sz="0" w:space="0" w:color="auto"/>
        <w:bottom w:val="none" w:sz="0" w:space="0" w:color="auto"/>
        <w:right w:val="none" w:sz="0" w:space="0" w:color="auto"/>
      </w:divBdr>
    </w:div>
    <w:div w:id="1640306616">
      <w:bodyDiv w:val="1"/>
      <w:marLeft w:val="0"/>
      <w:marRight w:val="0"/>
      <w:marTop w:val="0"/>
      <w:marBottom w:val="0"/>
      <w:divBdr>
        <w:top w:val="none" w:sz="0" w:space="0" w:color="auto"/>
        <w:left w:val="none" w:sz="0" w:space="0" w:color="auto"/>
        <w:bottom w:val="none" w:sz="0" w:space="0" w:color="auto"/>
        <w:right w:val="none" w:sz="0" w:space="0" w:color="auto"/>
      </w:divBdr>
    </w:div>
    <w:div w:id="1649362537">
      <w:bodyDiv w:val="1"/>
      <w:marLeft w:val="0"/>
      <w:marRight w:val="0"/>
      <w:marTop w:val="0"/>
      <w:marBottom w:val="0"/>
      <w:divBdr>
        <w:top w:val="none" w:sz="0" w:space="0" w:color="auto"/>
        <w:left w:val="none" w:sz="0" w:space="0" w:color="auto"/>
        <w:bottom w:val="none" w:sz="0" w:space="0" w:color="auto"/>
        <w:right w:val="none" w:sz="0" w:space="0" w:color="auto"/>
      </w:divBdr>
    </w:div>
    <w:div w:id="1697922821">
      <w:bodyDiv w:val="1"/>
      <w:marLeft w:val="0"/>
      <w:marRight w:val="0"/>
      <w:marTop w:val="0"/>
      <w:marBottom w:val="0"/>
      <w:divBdr>
        <w:top w:val="none" w:sz="0" w:space="0" w:color="auto"/>
        <w:left w:val="none" w:sz="0" w:space="0" w:color="auto"/>
        <w:bottom w:val="none" w:sz="0" w:space="0" w:color="auto"/>
        <w:right w:val="none" w:sz="0" w:space="0" w:color="auto"/>
      </w:divBdr>
    </w:div>
    <w:div w:id="1722899294">
      <w:bodyDiv w:val="1"/>
      <w:marLeft w:val="0"/>
      <w:marRight w:val="0"/>
      <w:marTop w:val="0"/>
      <w:marBottom w:val="0"/>
      <w:divBdr>
        <w:top w:val="none" w:sz="0" w:space="0" w:color="auto"/>
        <w:left w:val="none" w:sz="0" w:space="0" w:color="auto"/>
        <w:bottom w:val="none" w:sz="0" w:space="0" w:color="auto"/>
        <w:right w:val="none" w:sz="0" w:space="0" w:color="auto"/>
      </w:divBdr>
    </w:div>
    <w:div w:id="1910000951">
      <w:bodyDiv w:val="1"/>
      <w:marLeft w:val="0"/>
      <w:marRight w:val="0"/>
      <w:marTop w:val="0"/>
      <w:marBottom w:val="0"/>
      <w:divBdr>
        <w:top w:val="none" w:sz="0" w:space="0" w:color="auto"/>
        <w:left w:val="none" w:sz="0" w:space="0" w:color="auto"/>
        <w:bottom w:val="none" w:sz="0" w:space="0" w:color="auto"/>
        <w:right w:val="none" w:sz="0" w:space="0" w:color="auto"/>
      </w:divBdr>
    </w:div>
    <w:div w:id="1992060122">
      <w:bodyDiv w:val="1"/>
      <w:marLeft w:val="0"/>
      <w:marRight w:val="0"/>
      <w:marTop w:val="0"/>
      <w:marBottom w:val="0"/>
      <w:divBdr>
        <w:top w:val="none" w:sz="0" w:space="0" w:color="auto"/>
        <w:left w:val="none" w:sz="0" w:space="0" w:color="auto"/>
        <w:bottom w:val="none" w:sz="0" w:space="0" w:color="auto"/>
        <w:right w:val="none" w:sz="0" w:space="0" w:color="auto"/>
      </w:divBdr>
    </w:div>
    <w:div w:id="2082561152">
      <w:bodyDiv w:val="1"/>
      <w:marLeft w:val="0"/>
      <w:marRight w:val="0"/>
      <w:marTop w:val="0"/>
      <w:marBottom w:val="0"/>
      <w:divBdr>
        <w:top w:val="none" w:sz="0" w:space="0" w:color="auto"/>
        <w:left w:val="none" w:sz="0" w:space="0" w:color="auto"/>
        <w:bottom w:val="none" w:sz="0" w:space="0" w:color="auto"/>
        <w:right w:val="none" w:sz="0" w:space="0" w:color="auto"/>
      </w:divBdr>
    </w:div>
    <w:div w:id="20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873421718">
          <w:marLeft w:val="0"/>
          <w:marRight w:val="0"/>
          <w:marTop w:val="0"/>
          <w:marBottom w:val="0"/>
          <w:divBdr>
            <w:top w:val="none" w:sz="0" w:space="0" w:color="auto"/>
            <w:left w:val="none" w:sz="0" w:space="0" w:color="auto"/>
            <w:bottom w:val="none" w:sz="0" w:space="0" w:color="auto"/>
            <w:right w:val="none" w:sz="0" w:space="0" w:color="auto"/>
          </w:divBdr>
          <w:divsChild>
            <w:div w:id="532693036">
              <w:marLeft w:val="0"/>
              <w:marRight w:val="0"/>
              <w:marTop w:val="0"/>
              <w:marBottom w:val="0"/>
              <w:divBdr>
                <w:top w:val="none" w:sz="0" w:space="0" w:color="auto"/>
                <w:left w:val="none" w:sz="0" w:space="0" w:color="auto"/>
                <w:bottom w:val="none" w:sz="0" w:space="0" w:color="auto"/>
                <w:right w:val="none" w:sz="0" w:space="0" w:color="auto"/>
              </w:divBdr>
              <w:divsChild>
                <w:div w:id="685667987">
                  <w:marLeft w:val="0"/>
                  <w:marRight w:val="0"/>
                  <w:marTop w:val="0"/>
                  <w:marBottom w:val="0"/>
                  <w:divBdr>
                    <w:top w:val="none" w:sz="0" w:space="0" w:color="auto"/>
                    <w:left w:val="none" w:sz="0" w:space="0" w:color="auto"/>
                    <w:bottom w:val="none" w:sz="0" w:space="0" w:color="auto"/>
                    <w:right w:val="none" w:sz="0" w:space="0" w:color="auto"/>
                  </w:divBdr>
                  <w:divsChild>
                    <w:div w:id="868108327">
                      <w:marLeft w:val="0"/>
                      <w:marRight w:val="0"/>
                      <w:marTop w:val="0"/>
                      <w:marBottom w:val="0"/>
                      <w:divBdr>
                        <w:top w:val="none" w:sz="0" w:space="0" w:color="auto"/>
                        <w:left w:val="none" w:sz="0" w:space="0" w:color="auto"/>
                        <w:bottom w:val="none" w:sz="0" w:space="0" w:color="auto"/>
                        <w:right w:val="none" w:sz="0" w:space="0" w:color="auto"/>
                      </w:divBdr>
                      <w:divsChild>
                        <w:div w:id="1266229275">
                          <w:marLeft w:val="0"/>
                          <w:marRight w:val="0"/>
                          <w:marTop w:val="0"/>
                          <w:marBottom w:val="0"/>
                          <w:divBdr>
                            <w:top w:val="none" w:sz="0" w:space="0" w:color="auto"/>
                            <w:left w:val="none" w:sz="0" w:space="0" w:color="auto"/>
                            <w:bottom w:val="none" w:sz="0" w:space="0" w:color="auto"/>
                            <w:right w:val="none" w:sz="0" w:space="0" w:color="auto"/>
                          </w:divBdr>
                          <w:divsChild>
                            <w:div w:id="2093817490">
                              <w:marLeft w:val="0"/>
                              <w:marRight w:val="0"/>
                              <w:marTop w:val="0"/>
                              <w:marBottom w:val="0"/>
                              <w:divBdr>
                                <w:top w:val="none" w:sz="0" w:space="0" w:color="auto"/>
                                <w:left w:val="none" w:sz="0" w:space="0" w:color="auto"/>
                                <w:bottom w:val="none" w:sz="0" w:space="0" w:color="auto"/>
                                <w:right w:val="none" w:sz="0" w:space="0" w:color="auto"/>
                              </w:divBdr>
                              <w:divsChild>
                                <w:div w:id="14713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ranslate.google.com/?tr=f&amp;hl=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1</TotalTime>
  <Pages>132</Pages>
  <Words>32141</Words>
  <Characters>183206</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Strategic Priority One: To provide support and evidenced-based advice to Government Departments and Public Bodies by:</vt:lpstr>
    </vt:vector>
  </TitlesOfParts>
  <Company>National Disability Authority</Company>
  <LinksUpToDate>false</LinksUpToDate>
  <CharactersWithSpaces>214918</CharactersWithSpaces>
  <SharedDoc>false</SharedDoc>
  <HLinks>
    <vt:vector size="282" baseType="variant">
      <vt:variant>
        <vt:i4>2424894</vt:i4>
      </vt:variant>
      <vt:variant>
        <vt:i4>288</vt:i4>
      </vt:variant>
      <vt:variant>
        <vt:i4>0</vt:i4>
      </vt:variant>
      <vt:variant>
        <vt:i4>5</vt:i4>
      </vt:variant>
      <vt:variant>
        <vt:lpwstr>http://translate.google.com/?tr=f&amp;hl=en</vt:lpwstr>
      </vt:variant>
      <vt:variant>
        <vt:lpwstr/>
      </vt:variant>
      <vt:variant>
        <vt:i4>1114164</vt:i4>
      </vt:variant>
      <vt:variant>
        <vt:i4>281</vt:i4>
      </vt:variant>
      <vt:variant>
        <vt:i4>0</vt:i4>
      </vt:variant>
      <vt:variant>
        <vt:i4>5</vt:i4>
      </vt:variant>
      <vt:variant>
        <vt:lpwstr/>
      </vt:variant>
      <vt:variant>
        <vt:lpwstr>_Toc300744359</vt:lpwstr>
      </vt:variant>
      <vt:variant>
        <vt:i4>1114164</vt:i4>
      </vt:variant>
      <vt:variant>
        <vt:i4>275</vt:i4>
      </vt:variant>
      <vt:variant>
        <vt:i4>0</vt:i4>
      </vt:variant>
      <vt:variant>
        <vt:i4>5</vt:i4>
      </vt:variant>
      <vt:variant>
        <vt:lpwstr/>
      </vt:variant>
      <vt:variant>
        <vt:lpwstr>_Toc300744358</vt:lpwstr>
      </vt:variant>
      <vt:variant>
        <vt:i4>1114164</vt:i4>
      </vt:variant>
      <vt:variant>
        <vt:i4>269</vt:i4>
      </vt:variant>
      <vt:variant>
        <vt:i4>0</vt:i4>
      </vt:variant>
      <vt:variant>
        <vt:i4>5</vt:i4>
      </vt:variant>
      <vt:variant>
        <vt:lpwstr/>
      </vt:variant>
      <vt:variant>
        <vt:lpwstr>_Toc300744357</vt:lpwstr>
      </vt:variant>
      <vt:variant>
        <vt:i4>1114164</vt:i4>
      </vt:variant>
      <vt:variant>
        <vt:i4>263</vt:i4>
      </vt:variant>
      <vt:variant>
        <vt:i4>0</vt:i4>
      </vt:variant>
      <vt:variant>
        <vt:i4>5</vt:i4>
      </vt:variant>
      <vt:variant>
        <vt:lpwstr/>
      </vt:variant>
      <vt:variant>
        <vt:lpwstr>_Toc300744356</vt:lpwstr>
      </vt:variant>
      <vt:variant>
        <vt:i4>1114164</vt:i4>
      </vt:variant>
      <vt:variant>
        <vt:i4>257</vt:i4>
      </vt:variant>
      <vt:variant>
        <vt:i4>0</vt:i4>
      </vt:variant>
      <vt:variant>
        <vt:i4>5</vt:i4>
      </vt:variant>
      <vt:variant>
        <vt:lpwstr/>
      </vt:variant>
      <vt:variant>
        <vt:lpwstr>_Toc300744355</vt:lpwstr>
      </vt:variant>
      <vt:variant>
        <vt:i4>1114164</vt:i4>
      </vt:variant>
      <vt:variant>
        <vt:i4>251</vt:i4>
      </vt:variant>
      <vt:variant>
        <vt:i4>0</vt:i4>
      </vt:variant>
      <vt:variant>
        <vt:i4>5</vt:i4>
      </vt:variant>
      <vt:variant>
        <vt:lpwstr/>
      </vt:variant>
      <vt:variant>
        <vt:lpwstr>_Toc300744350</vt:lpwstr>
      </vt:variant>
      <vt:variant>
        <vt:i4>1048628</vt:i4>
      </vt:variant>
      <vt:variant>
        <vt:i4>245</vt:i4>
      </vt:variant>
      <vt:variant>
        <vt:i4>0</vt:i4>
      </vt:variant>
      <vt:variant>
        <vt:i4>5</vt:i4>
      </vt:variant>
      <vt:variant>
        <vt:lpwstr/>
      </vt:variant>
      <vt:variant>
        <vt:lpwstr>_Toc300744349</vt:lpwstr>
      </vt:variant>
      <vt:variant>
        <vt:i4>1048628</vt:i4>
      </vt:variant>
      <vt:variant>
        <vt:i4>239</vt:i4>
      </vt:variant>
      <vt:variant>
        <vt:i4>0</vt:i4>
      </vt:variant>
      <vt:variant>
        <vt:i4>5</vt:i4>
      </vt:variant>
      <vt:variant>
        <vt:lpwstr/>
      </vt:variant>
      <vt:variant>
        <vt:lpwstr>_Toc300744348</vt:lpwstr>
      </vt:variant>
      <vt:variant>
        <vt:i4>1048628</vt:i4>
      </vt:variant>
      <vt:variant>
        <vt:i4>233</vt:i4>
      </vt:variant>
      <vt:variant>
        <vt:i4>0</vt:i4>
      </vt:variant>
      <vt:variant>
        <vt:i4>5</vt:i4>
      </vt:variant>
      <vt:variant>
        <vt:lpwstr/>
      </vt:variant>
      <vt:variant>
        <vt:lpwstr>_Toc300744346</vt:lpwstr>
      </vt:variant>
      <vt:variant>
        <vt:i4>1048628</vt:i4>
      </vt:variant>
      <vt:variant>
        <vt:i4>227</vt:i4>
      </vt:variant>
      <vt:variant>
        <vt:i4>0</vt:i4>
      </vt:variant>
      <vt:variant>
        <vt:i4>5</vt:i4>
      </vt:variant>
      <vt:variant>
        <vt:lpwstr/>
      </vt:variant>
      <vt:variant>
        <vt:lpwstr>_Toc300744344</vt:lpwstr>
      </vt:variant>
      <vt:variant>
        <vt:i4>1048630</vt:i4>
      </vt:variant>
      <vt:variant>
        <vt:i4>218</vt:i4>
      </vt:variant>
      <vt:variant>
        <vt:i4>0</vt:i4>
      </vt:variant>
      <vt:variant>
        <vt:i4>5</vt:i4>
      </vt:variant>
      <vt:variant>
        <vt:lpwstr/>
      </vt:variant>
      <vt:variant>
        <vt:lpwstr>_Toc304381954</vt:lpwstr>
      </vt:variant>
      <vt:variant>
        <vt:i4>1048630</vt:i4>
      </vt:variant>
      <vt:variant>
        <vt:i4>212</vt:i4>
      </vt:variant>
      <vt:variant>
        <vt:i4>0</vt:i4>
      </vt:variant>
      <vt:variant>
        <vt:i4>5</vt:i4>
      </vt:variant>
      <vt:variant>
        <vt:lpwstr/>
      </vt:variant>
      <vt:variant>
        <vt:lpwstr>_Toc304381953</vt:lpwstr>
      </vt:variant>
      <vt:variant>
        <vt:i4>1048630</vt:i4>
      </vt:variant>
      <vt:variant>
        <vt:i4>206</vt:i4>
      </vt:variant>
      <vt:variant>
        <vt:i4>0</vt:i4>
      </vt:variant>
      <vt:variant>
        <vt:i4>5</vt:i4>
      </vt:variant>
      <vt:variant>
        <vt:lpwstr/>
      </vt:variant>
      <vt:variant>
        <vt:lpwstr>_Toc304381952</vt:lpwstr>
      </vt:variant>
      <vt:variant>
        <vt:i4>1048630</vt:i4>
      </vt:variant>
      <vt:variant>
        <vt:i4>200</vt:i4>
      </vt:variant>
      <vt:variant>
        <vt:i4>0</vt:i4>
      </vt:variant>
      <vt:variant>
        <vt:i4>5</vt:i4>
      </vt:variant>
      <vt:variant>
        <vt:lpwstr/>
      </vt:variant>
      <vt:variant>
        <vt:lpwstr>_Toc304381951</vt:lpwstr>
      </vt:variant>
      <vt:variant>
        <vt:i4>1048630</vt:i4>
      </vt:variant>
      <vt:variant>
        <vt:i4>194</vt:i4>
      </vt:variant>
      <vt:variant>
        <vt:i4>0</vt:i4>
      </vt:variant>
      <vt:variant>
        <vt:i4>5</vt:i4>
      </vt:variant>
      <vt:variant>
        <vt:lpwstr/>
      </vt:variant>
      <vt:variant>
        <vt:lpwstr>_Toc304381950</vt:lpwstr>
      </vt:variant>
      <vt:variant>
        <vt:i4>1114166</vt:i4>
      </vt:variant>
      <vt:variant>
        <vt:i4>188</vt:i4>
      </vt:variant>
      <vt:variant>
        <vt:i4>0</vt:i4>
      </vt:variant>
      <vt:variant>
        <vt:i4>5</vt:i4>
      </vt:variant>
      <vt:variant>
        <vt:lpwstr/>
      </vt:variant>
      <vt:variant>
        <vt:lpwstr>_Toc304381945</vt:lpwstr>
      </vt:variant>
      <vt:variant>
        <vt:i4>1114166</vt:i4>
      </vt:variant>
      <vt:variant>
        <vt:i4>182</vt:i4>
      </vt:variant>
      <vt:variant>
        <vt:i4>0</vt:i4>
      </vt:variant>
      <vt:variant>
        <vt:i4>5</vt:i4>
      </vt:variant>
      <vt:variant>
        <vt:lpwstr/>
      </vt:variant>
      <vt:variant>
        <vt:lpwstr>_Toc304381944</vt:lpwstr>
      </vt:variant>
      <vt:variant>
        <vt:i4>1114166</vt:i4>
      </vt:variant>
      <vt:variant>
        <vt:i4>176</vt:i4>
      </vt:variant>
      <vt:variant>
        <vt:i4>0</vt:i4>
      </vt:variant>
      <vt:variant>
        <vt:i4>5</vt:i4>
      </vt:variant>
      <vt:variant>
        <vt:lpwstr/>
      </vt:variant>
      <vt:variant>
        <vt:lpwstr>_Toc304381943</vt:lpwstr>
      </vt:variant>
      <vt:variant>
        <vt:i4>1114166</vt:i4>
      </vt:variant>
      <vt:variant>
        <vt:i4>170</vt:i4>
      </vt:variant>
      <vt:variant>
        <vt:i4>0</vt:i4>
      </vt:variant>
      <vt:variant>
        <vt:i4>5</vt:i4>
      </vt:variant>
      <vt:variant>
        <vt:lpwstr/>
      </vt:variant>
      <vt:variant>
        <vt:lpwstr>_Toc304381942</vt:lpwstr>
      </vt:variant>
      <vt:variant>
        <vt:i4>1114166</vt:i4>
      </vt:variant>
      <vt:variant>
        <vt:i4>164</vt:i4>
      </vt:variant>
      <vt:variant>
        <vt:i4>0</vt:i4>
      </vt:variant>
      <vt:variant>
        <vt:i4>5</vt:i4>
      </vt:variant>
      <vt:variant>
        <vt:lpwstr/>
      </vt:variant>
      <vt:variant>
        <vt:lpwstr>_Toc304381941</vt:lpwstr>
      </vt:variant>
      <vt:variant>
        <vt:i4>1114166</vt:i4>
      </vt:variant>
      <vt:variant>
        <vt:i4>158</vt:i4>
      </vt:variant>
      <vt:variant>
        <vt:i4>0</vt:i4>
      </vt:variant>
      <vt:variant>
        <vt:i4>5</vt:i4>
      </vt:variant>
      <vt:variant>
        <vt:lpwstr/>
      </vt:variant>
      <vt:variant>
        <vt:lpwstr>_Toc304381940</vt:lpwstr>
      </vt:variant>
      <vt:variant>
        <vt:i4>1441846</vt:i4>
      </vt:variant>
      <vt:variant>
        <vt:i4>152</vt:i4>
      </vt:variant>
      <vt:variant>
        <vt:i4>0</vt:i4>
      </vt:variant>
      <vt:variant>
        <vt:i4>5</vt:i4>
      </vt:variant>
      <vt:variant>
        <vt:lpwstr/>
      </vt:variant>
      <vt:variant>
        <vt:lpwstr>_Toc304381939</vt:lpwstr>
      </vt:variant>
      <vt:variant>
        <vt:i4>1441846</vt:i4>
      </vt:variant>
      <vt:variant>
        <vt:i4>146</vt:i4>
      </vt:variant>
      <vt:variant>
        <vt:i4>0</vt:i4>
      </vt:variant>
      <vt:variant>
        <vt:i4>5</vt:i4>
      </vt:variant>
      <vt:variant>
        <vt:lpwstr/>
      </vt:variant>
      <vt:variant>
        <vt:lpwstr>_Toc304381938</vt:lpwstr>
      </vt:variant>
      <vt:variant>
        <vt:i4>1114174</vt:i4>
      </vt:variant>
      <vt:variant>
        <vt:i4>137</vt:i4>
      </vt:variant>
      <vt:variant>
        <vt:i4>0</vt:i4>
      </vt:variant>
      <vt:variant>
        <vt:i4>5</vt:i4>
      </vt:variant>
      <vt:variant>
        <vt:lpwstr/>
      </vt:variant>
      <vt:variant>
        <vt:lpwstr>_Toc300742935</vt:lpwstr>
      </vt:variant>
      <vt:variant>
        <vt:i4>1114174</vt:i4>
      </vt:variant>
      <vt:variant>
        <vt:i4>131</vt:i4>
      </vt:variant>
      <vt:variant>
        <vt:i4>0</vt:i4>
      </vt:variant>
      <vt:variant>
        <vt:i4>5</vt:i4>
      </vt:variant>
      <vt:variant>
        <vt:lpwstr/>
      </vt:variant>
      <vt:variant>
        <vt:lpwstr>_Toc300742934</vt:lpwstr>
      </vt:variant>
      <vt:variant>
        <vt:i4>1114174</vt:i4>
      </vt:variant>
      <vt:variant>
        <vt:i4>125</vt:i4>
      </vt:variant>
      <vt:variant>
        <vt:i4>0</vt:i4>
      </vt:variant>
      <vt:variant>
        <vt:i4>5</vt:i4>
      </vt:variant>
      <vt:variant>
        <vt:lpwstr/>
      </vt:variant>
      <vt:variant>
        <vt:lpwstr>_Toc300742933</vt:lpwstr>
      </vt:variant>
      <vt:variant>
        <vt:i4>1114174</vt:i4>
      </vt:variant>
      <vt:variant>
        <vt:i4>119</vt:i4>
      </vt:variant>
      <vt:variant>
        <vt:i4>0</vt:i4>
      </vt:variant>
      <vt:variant>
        <vt:i4>5</vt:i4>
      </vt:variant>
      <vt:variant>
        <vt:lpwstr/>
      </vt:variant>
      <vt:variant>
        <vt:lpwstr>_Toc300742932</vt:lpwstr>
      </vt:variant>
      <vt:variant>
        <vt:i4>1048638</vt:i4>
      </vt:variant>
      <vt:variant>
        <vt:i4>113</vt:i4>
      </vt:variant>
      <vt:variant>
        <vt:i4>0</vt:i4>
      </vt:variant>
      <vt:variant>
        <vt:i4>5</vt:i4>
      </vt:variant>
      <vt:variant>
        <vt:lpwstr/>
      </vt:variant>
      <vt:variant>
        <vt:lpwstr>_Toc300742925</vt:lpwstr>
      </vt:variant>
      <vt:variant>
        <vt:i4>1245246</vt:i4>
      </vt:variant>
      <vt:variant>
        <vt:i4>107</vt:i4>
      </vt:variant>
      <vt:variant>
        <vt:i4>0</vt:i4>
      </vt:variant>
      <vt:variant>
        <vt:i4>5</vt:i4>
      </vt:variant>
      <vt:variant>
        <vt:lpwstr/>
      </vt:variant>
      <vt:variant>
        <vt:lpwstr>_Toc300742919</vt:lpwstr>
      </vt:variant>
      <vt:variant>
        <vt:i4>1245246</vt:i4>
      </vt:variant>
      <vt:variant>
        <vt:i4>101</vt:i4>
      </vt:variant>
      <vt:variant>
        <vt:i4>0</vt:i4>
      </vt:variant>
      <vt:variant>
        <vt:i4>5</vt:i4>
      </vt:variant>
      <vt:variant>
        <vt:lpwstr/>
      </vt:variant>
      <vt:variant>
        <vt:lpwstr>_Toc300742918</vt:lpwstr>
      </vt:variant>
      <vt:variant>
        <vt:i4>1245246</vt:i4>
      </vt:variant>
      <vt:variant>
        <vt:i4>95</vt:i4>
      </vt:variant>
      <vt:variant>
        <vt:i4>0</vt:i4>
      </vt:variant>
      <vt:variant>
        <vt:i4>5</vt:i4>
      </vt:variant>
      <vt:variant>
        <vt:lpwstr/>
      </vt:variant>
      <vt:variant>
        <vt:lpwstr>_Toc300742917</vt:lpwstr>
      </vt:variant>
      <vt:variant>
        <vt:i4>1245246</vt:i4>
      </vt:variant>
      <vt:variant>
        <vt:i4>89</vt:i4>
      </vt:variant>
      <vt:variant>
        <vt:i4>0</vt:i4>
      </vt:variant>
      <vt:variant>
        <vt:i4>5</vt:i4>
      </vt:variant>
      <vt:variant>
        <vt:lpwstr/>
      </vt:variant>
      <vt:variant>
        <vt:lpwstr>_Toc300742915</vt:lpwstr>
      </vt:variant>
      <vt:variant>
        <vt:i4>1245246</vt:i4>
      </vt:variant>
      <vt:variant>
        <vt:i4>83</vt:i4>
      </vt:variant>
      <vt:variant>
        <vt:i4>0</vt:i4>
      </vt:variant>
      <vt:variant>
        <vt:i4>5</vt:i4>
      </vt:variant>
      <vt:variant>
        <vt:lpwstr/>
      </vt:variant>
      <vt:variant>
        <vt:lpwstr>_Toc300742913</vt:lpwstr>
      </vt:variant>
      <vt:variant>
        <vt:i4>1310770</vt:i4>
      </vt:variant>
      <vt:variant>
        <vt:i4>74</vt:i4>
      </vt:variant>
      <vt:variant>
        <vt:i4>0</vt:i4>
      </vt:variant>
      <vt:variant>
        <vt:i4>5</vt:i4>
      </vt:variant>
      <vt:variant>
        <vt:lpwstr/>
      </vt:variant>
      <vt:variant>
        <vt:lpwstr>_Toc304371215</vt:lpwstr>
      </vt:variant>
      <vt:variant>
        <vt:i4>1310770</vt:i4>
      </vt:variant>
      <vt:variant>
        <vt:i4>68</vt:i4>
      </vt:variant>
      <vt:variant>
        <vt:i4>0</vt:i4>
      </vt:variant>
      <vt:variant>
        <vt:i4>5</vt:i4>
      </vt:variant>
      <vt:variant>
        <vt:lpwstr/>
      </vt:variant>
      <vt:variant>
        <vt:lpwstr>_Toc304371214</vt:lpwstr>
      </vt:variant>
      <vt:variant>
        <vt:i4>1310770</vt:i4>
      </vt:variant>
      <vt:variant>
        <vt:i4>62</vt:i4>
      </vt:variant>
      <vt:variant>
        <vt:i4>0</vt:i4>
      </vt:variant>
      <vt:variant>
        <vt:i4>5</vt:i4>
      </vt:variant>
      <vt:variant>
        <vt:lpwstr/>
      </vt:variant>
      <vt:variant>
        <vt:lpwstr>_Toc304371213</vt:lpwstr>
      </vt:variant>
      <vt:variant>
        <vt:i4>1310770</vt:i4>
      </vt:variant>
      <vt:variant>
        <vt:i4>56</vt:i4>
      </vt:variant>
      <vt:variant>
        <vt:i4>0</vt:i4>
      </vt:variant>
      <vt:variant>
        <vt:i4>5</vt:i4>
      </vt:variant>
      <vt:variant>
        <vt:lpwstr/>
      </vt:variant>
      <vt:variant>
        <vt:lpwstr>_Toc304371212</vt:lpwstr>
      </vt:variant>
      <vt:variant>
        <vt:i4>1310770</vt:i4>
      </vt:variant>
      <vt:variant>
        <vt:i4>50</vt:i4>
      </vt:variant>
      <vt:variant>
        <vt:i4>0</vt:i4>
      </vt:variant>
      <vt:variant>
        <vt:i4>5</vt:i4>
      </vt:variant>
      <vt:variant>
        <vt:lpwstr/>
      </vt:variant>
      <vt:variant>
        <vt:lpwstr>_Toc304371211</vt:lpwstr>
      </vt:variant>
      <vt:variant>
        <vt:i4>1376306</vt:i4>
      </vt:variant>
      <vt:variant>
        <vt:i4>44</vt:i4>
      </vt:variant>
      <vt:variant>
        <vt:i4>0</vt:i4>
      </vt:variant>
      <vt:variant>
        <vt:i4>5</vt:i4>
      </vt:variant>
      <vt:variant>
        <vt:lpwstr/>
      </vt:variant>
      <vt:variant>
        <vt:lpwstr>_Toc304371204</vt:lpwstr>
      </vt:variant>
      <vt:variant>
        <vt:i4>1376306</vt:i4>
      </vt:variant>
      <vt:variant>
        <vt:i4>38</vt:i4>
      </vt:variant>
      <vt:variant>
        <vt:i4>0</vt:i4>
      </vt:variant>
      <vt:variant>
        <vt:i4>5</vt:i4>
      </vt:variant>
      <vt:variant>
        <vt:lpwstr/>
      </vt:variant>
      <vt:variant>
        <vt:lpwstr>_Toc304371202</vt:lpwstr>
      </vt:variant>
      <vt:variant>
        <vt:i4>1376306</vt:i4>
      </vt:variant>
      <vt:variant>
        <vt:i4>32</vt:i4>
      </vt:variant>
      <vt:variant>
        <vt:i4>0</vt:i4>
      </vt:variant>
      <vt:variant>
        <vt:i4>5</vt:i4>
      </vt:variant>
      <vt:variant>
        <vt:lpwstr/>
      </vt:variant>
      <vt:variant>
        <vt:lpwstr>_Toc304371200</vt:lpwstr>
      </vt:variant>
      <vt:variant>
        <vt:i4>1835057</vt:i4>
      </vt:variant>
      <vt:variant>
        <vt:i4>26</vt:i4>
      </vt:variant>
      <vt:variant>
        <vt:i4>0</vt:i4>
      </vt:variant>
      <vt:variant>
        <vt:i4>5</vt:i4>
      </vt:variant>
      <vt:variant>
        <vt:lpwstr/>
      </vt:variant>
      <vt:variant>
        <vt:lpwstr>_Toc304371198</vt:lpwstr>
      </vt:variant>
      <vt:variant>
        <vt:i4>1835057</vt:i4>
      </vt:variant>
      <vt:variant>
        <vt:i4>20</vt:i4>
      </vt:variant>
      <vt:variant>
        <vt:i4>0</vt:i4>
      </vt:variant>
      <vt:variant>
        <vt:i4>5</vt:i4>
      </vt:variant>
      <vt:variant>
        <vt:lpwstr/>
      </vt:variant>
      <vt:variant>
        <vt:lpwstr>_Toc304371196</vt:lpwstr>
      </vt:variant>
      <vt:variant>
        <vt:i4>1835057</vt:i4>
      </vt:variant>
      <vt:variant>
        <vt:i4>14</vt:i4>
      </vt:variant>
      <vt:variant>
        <vt:i4>0</vt:i4>
      </vt:variant>
      <vt:variant>
        <vt:i4>5</vt:i4>
      </vt:variant>
      <vt:variant>
        <vt:lpwstr/>
      </vt:variant>
      <vt:variant>
        <vt:lpwstr>_Toc304371195</vt:lpwstr>
      </vt:variant>
      <vt:variant>
        <vt:i4>1835057</vt:i4>
      </vt:variant>
      <vt:variant>
        <vt:i4>8</vt:i4>
      </vt:variant>
      <vt:variant>
        <vt:i4>0</vt:i4>
      </vt:variant>
      <vt:variant>
        <vt:i4>5</vt:i4>
      </vt:variant>
      <vt:variant>
        <vt:lpwstr/>
      </vt:variant>
      <vt:variant>
        <vt:lpwstr>_Toc304371194</vt:lpwstr>
      </vt:variant>
      <vt:variant>
        <vt:i4>1835057</vt:i4>
      </vt:variant>
      <vt:variant>
        <vt:i4>2</vt:i4>
      </vt:variant>
      <vt:variant>
        <vt:i4>0</vt:i4>
      </vt:variant>
      <vt:variant>
        <vt:i4>5</vt:i4>
      </vt:variant>
      <vt:variant>
        <vt:lpwstr/>
      </vt:variant>
      <vt:variant>
        <vt:lpwstr>_Toc304371193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Priority One: To provide support and evidenced-based advice to Government Departments and Public Bodies by:</dc:title>
  <dc:subject/>
  <dc:creator>mulhollandc</dc:creator>
  <cp:keywords/>
  <dc:description/>
  <cp:lastModifiedBy>Heather O'Leary (NDA)</cp:lastModifiedBy>
  <cp:revision>2</cp:revision>
  <cp:lastPrinted>2011-09-26T14:20:00Z</cp:lastPrinted>
  <dcterms:created xsi:type="dcterms:W3CDTF">2023-07-10T13:19:00Z</dcterms:created>
  <dcterms:modified xsi:type="dcterms:W3CDTF">2023-07-10T13:19:00Z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